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0" w:right="977"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茂硕电源科技股份有限公司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3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公司负责人顾永德、主管会计工作负责人谢春华及会计机构负责人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秦利红声明：保证年度报告中财务报告的真实、准确、完整。</w:t>
      </w:r>
      <w:r>
        <w:rPr>
          <w:rFonts w:ascii="宋体" w:hAnsi="宋体" w:cs="宋体" w:eastAsia="宋体" w:hint="default"/>
          <w:sz w:val="28"/>
          <w:szCs w:val="28"/>
        </w:rPr>
      </w:r>
    </w:p>
    <w:p>
      <w:pPr>
        <w:spacing w:line="472" w:lineRule="auto" w:before="147"/>
        <w:ind w:left="715" w:right="113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本年度报告内容所涉及的未来计划、发展战略等前瞻性描述，不构成公司</w:t>
      </w:r>
      <w:r>
        <w:rPr>
          <w:rFonts w:ascii="宋体" w:hAnsi="宋体" w:cs="宋体" w:eastAsia="宋体" w:hint="default"/>
          <w:spacing w:val="3"/>
          <w:sz w:val="28"/>
          <w:szCs w:val="28"/>
        </w:rPr>
      </w:r>
    </w:p>
    <w:p>
      <w:pPr>
        <w:spacing w:line="448" w:lineRule="auto" w:before="0"/>
        <w:ind w:left="716" w:right="1130" w:hanging="562"/>
        <w:jc w:val="left"/>
        <w:rPr>
          <w:rFonts w:ascii="宋体" w:hAnsi="宋体" w:cs="宋体" w:eastAsia="宋体" w:hint="default"/>
          <w:sz w:val="28"/>
          <w:szCs w:val="28"/>
        </w:rPr>
      </w:pPr>
      <w:r>
        <w:rPr>
          <w:rFonts w:ascii="宋体" w:hAnsi="宋体" w:cs="宋体" w:eastAsia="宋体" w:hint="default"/>
          <w:b/>
          <w:bCs/>
          <w:sz w:val="28"/>
          <w:szCs w:val="28"/>
        </w:rPr>
        <w:t>对投资者的实质承诺，敬请投资者注意投资风险</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3"/>
          <w:sz w:val="28"/>
          <w:szCs w:val="28"/>
        </w:rPr>
        <w:t>公司可能面临的风险详见本报告第四节 </w:t>
      </w:r>
      <w:r>
        <w:rPr>
          <w:rFonts w:ascii="宋体" w:hAnsi="宋体" w:cs="宋体" w:eastAsia="宋体" w:hint="default"/>
          <w:b/>
          <w:bCs/>
          <w:spacing w:val="2"/>
          <w:sz w:val="28"/>
          <w:szCs w:val="28"/>
        </w:rPr>
        <w:t>管理层讨论与分析</w:t>
      </w:r>
      <w:r>
        <w:rPr>
          <w:rFonts w:ascii="宋体" w:hAnsi="宋体" w:cs="宋体" w:eastAsia="宋体" w:hint="default"/>
          <w:b/>
          <w:bCs/>
          <w:spacing w:val="-24"/>
          <w:sz w:val="28"/>
          <w:szCs w:val="28"/>
        </w:rPr>
        <w:t> </w:t>
      </w:r>
      <w:r>
        <w:rPr>
          <w:rFonts w:ascii="宋体" w:hAnsi="宋体" w:cs="宋体" w:eastAsia="宋体" w:hint="default"/>
          <w:b/>
          <w:bCs/>
          <w:spacing w:val="3"/>
          <w:sz w:val="28"/>
          <w:szCs w:val="28"/>
        </w:rPr>
        <w:t>九、公司未来</w:t>
      </w:r>
      <w:r>
        <w:rPr>
          <w:rFonts w:ascii="宋体" w:hAnsi="宋体" w:cs="宋体" w:eastAsia="宋体" w:hint="default"/>
          <w:spacing w:val="3"/>
          <w:sz w:val="28"/>
          <w:szCs w:val="28"/>
        </w:rPr>
      </w:r>
    </w:p>
    <w:p>
      <w:pPr>
        <w:spacing w:line="472" w:lineRule="auto" w:before="15"/>
        <w:ind w:left="715" w:right="1130" w:hanging="562"/>
        <w:jc w:val="left"/>
        <w:rPr>
          <w:rFonts w:ascii="宋体" w:hAnsi="宋体" w:cs="宋体" w:eastAsia="宋体" w:hint="default"/>
          <w:sz w:val="28"/>
          <w:szCs w:val="28"/>
        </w:rPr>
      </w:pPr>
      <w:r>
        <w:rPr>
          <w:rFonts w:ascii="宋体" w:hAnsi="宋体" w:cs="宋体" w:eastAsia="宋体" w:hint="default"/>
          <w:b/>
          <w:bCs/>
          <w:sz w:val="28"/>
          <w:szCs w:val="28"/>
        </w:rPr>
        <w:t>发展的展望</w:t>
      </w:r>
      <w:r>
        <w:rPr>
          <w:rFonts w:ascii="宋体" w:hAnsi="宋体" w:cs="宋体" w:eastAsia="宋体" w:hint="default"/>
          <w:b/>
          <w:bCs/>
          <w:spacing w:val="1"/>
          <w:sz w:val="28"/>
          <w:szCs w:val="28"/>
        </w:rPr>
        <w:t> </w:t>
      </w:r>
      <w:r>
        <w:rPr>
          <w:rFonts w:ascii="宋体" w:hAnsi="宋体" w:cs="宋体" w:eastAsia="宋体" w:hint="default"/>
          <w:b/>
          <w:bCs/>
          <w:sz w:val="28"/>
          <w:szCs w:val="28"/>
        </w:rPr>
        <w:t>（五）面临的风险</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公司计划不派发现金红利，不送红股，不以公积金转增股本。</w:t>
      </w:r>
      <w:r>
        <w:rPr>
          <w:rFonts w:ascii="宋体" w:hAnsi="宋体" w:cs="宋体" w:eastAsia="宋体" w:hint="default"/>
          <w:sz w:val="28"/>
          <w:szCs w:val="28"/>
        </w:rPr>
      </w:r>
    </w:p>
    <w:p>
      <w:pPr>
        <w:spacing w:after="0" w:line="472"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36</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69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75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76</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85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92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93</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217</w:t>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香港加码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瑞盈茂硕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前海九派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深圳市前海九派资本管理合伙企业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国利英核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安徽新国利英核能源有限公司，原</w:t>
            </w:r>
            <w:r>
              <w:rPr>
                <w:rFonts w:ascii="Times New Roman" w:hAnsi="Times New Roman" w:cs="Times New Roman" w:eastAsia="Times New Roman" w:hint="default"/>
                <w:sz w:val="18"/>
                <w:szCs w:val="18"/>
              </w:rPr>
              <w:t>"</w:t>
            </w:r>
            <w:r>
              <w:rPr>
                <w:rFonts w:ascii="宋体" w:hAnsi="宋体" w:cs="宋体" w:eastAsia="宋体" w:hint="default"/>
                <w:sz w:val="18"/>
                <w:szCs w:val="18"/>
              </w:rPr>
              <w:t>浙江国利英核能源有限公司</w:t>
            </w:r>
            <w:r>
              <w:rPr>
                <w:rFonts w:ascii="Times New Roman" w:hAnsi="Times New Roman" w:cs="Times New Roman" w:eastAsia="Times New Roman" w:hint="default"/>
                <w:sz w:val="18"/>
                <w:szCs w:val="18"/>
              </w:rPr>
              <w:t>"</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华智测控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通新源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弘康茂硕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海宁茂硕新能源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海宁茂硕新能源科技有限公司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聚电网络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00"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FPC</w:t>
            </w:r>
            <w:r>
              <w:rPr>
                <w:rFonts w:ascii="宋体" w:hAnsi="宋体" w:cs="宋体" w:eastAsia="宋体" w:hint="default"/>
                <w:sz w:val="18"/>
                <w:szCs w:val="18"/>
              </w:rPr>
              <w:t>、柔性印制电路板、柔性电路板或柔性 线路板</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3"/>
              <w:jc w:val="left"/>
              <w:rPr>
                <w:rFonts w:ascii="宋体" w:hAnsi="宋体" w:cs="宋体" w:eastAsia="宋体" w:hint="default"/>
                <w:sz w:val="18"/>
                <w:szCs w:val="18"/>
              </w:rPr>
            </w:pPr>
            <w:r>
              <w:rPr>
                <w:rFonts w:ascii="宋体" w:hAnsi="宋体" w:cs="宋体" w:eastAsia="宋体" w:hint="default"/>
                <w:spacing w:val="-2"/>
                <w:sz w:val="18"/>
                <w:szCs w:val="18"/>
              </w:rPr>
              <w:t>组装电子零件用的基板，是在柔性基材上按预定设计形成点间连接及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印制元件的印制板</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西南证券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茂硕电源科技股份有限公司公司章程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31893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113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002660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茂硕电源</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Moso Power Supply Technology</w:t>
            </w:r>
            <w:r>
              <w:rPr>
                <w:rFonts w:ascii="Times New Roman"/>
                <w:spacing w:val="-7"/>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Moso</w:t>
            </w:r>
            <w:r>
              <w:rPr>
                <w:rFonts w:ascii="Times New Roman"/>
                <w:spacing w:val="-3"/>
                <w:sz w:val="18"/>
              </w:rPr>
              <w:t> </w:t>
            </w:r>
            <w:r>
              <w:rPr>
                <w:rFonts w:ascii="Times New Roman"/>
                <w:sz w:val="18"/>
              </w:rPr>
              <w:t>Power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顾永德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广东省深圳市南山区松白路关外小白芒桑泰工业园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号茂硕科技园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www.mosopower.com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GYD@mosopower.com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698"/>
        <w:gridCol w:w="3615"/>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朱瑶瑶</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号茂硕科技园</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深圳市南山区西丽松白路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号茂硕科技园</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0755-27659888</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chunhua.xie@mosopower.com</w:t>
              </w:r>
            </w:hyperlink>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yaoyao.zhu@mosopower.com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3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91440300786559921G</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日，公司原控股股东深圳德旺投资发展有限公司（以下简称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德旺 </w:t>
            </w:r>
            <w:r>
              <w:rPr>
                <w:rFonts w:ascii="宋体" w:hAnsi="宋体" w:cs="宋体" w:eastAsia="宋体" w:hint="default"/>
                <w:spacing w:val="-2"/>
                <w:sz w:val="18"/>
                <w:szCs w:val="18"/>
              </w:rPr>
              <w:t>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）与顾永德先生签署了《股权转让合同》，徳旺投资为顾永德先生的全资控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股公司，德旺投资将其持有的茂硕电源无限售流通股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49,200,347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股协议转让给公 司实际控制人顾永德先生，顾永德先生现为公司控股股东。</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1101</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王建华</w:t>
            </w:r>
            <w:r>
              <w:rPr>
                <w:rFonts w:ascii="Times New Roman" w:hAnsi="Times New Roman" w:cs="Times New Roman" w:eastAsia="Times New Roman" w:hint="default"/>
                <w:sz w:val="18"/>
                <w:szCs w:val="18"/>
              </w:rPr>
              <w:t>,</w:t>
            </w:r>
            <w:r>
              <w:rPr>
                <w:rFonts w:ascii="宋体" w:hAnsi="宋体" w:cs="宋体" w:eastAsia="宋体" w:hint="default"/>
                <w:sz w:val="18"/>
                <w:szCs w:val="18"/>
              </w:rPr>
              <w:t>刘国军</w:t>
            </w:r>
          </w:p>
        </w:tc>
      </w:tr>
    </w:tbl>
    <w:p>
      <w:pPr>
        <w:pStyle w:val="BodyText"/>
        <w:spacing w:line="240" w:lineRule="auto" w:before="51"/>
        <w:ind w:left="154" w:right="1130"/>
        <w:jc w:val="left"/>
      </w:pPr>
      <w:r>
        <w:rPr/>
        <w:t>公司聘请的报告期内履行持续督导职责的保荐机构</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深圳市福田区深南大道创建 大厦四楼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彭德强</w:t>
            </w:r>
            <w:r>
              <w:rPr>
                <w:rFonts w:ascii="Times New Roman" w:hAnsi="Times New Roman" w:cs="Times New Roman" w:eastAsia="Times New Roman" w:hint="default"/>
                <w:sz w:val="18"/>
                <w:szCs w:val="18"/>
              </w:rPr>
              <w:t>,</w:t>
            </w:r>
            <w:r>
              <w:rPr>
                <w:rFonts w:ascii="宋体" w:hAnsi="宋体" w:cs="宋体" w:eastAsia="宋体" w:hint="default"/>
                <w:sz w:val="18"/>
                <w:szCs w:val="18"/>
              </w:rPr>
              <w:t>涂和东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由于公司非公开发行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票，聘请西南证券股份有限公 司担任非公开发行</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股股票的 保荐机构，根据中国证券监督 管理委员会《证券发行上市保 荐业务管理办法》相关规定， 公司将保荐机构更换为西南 证券股份有限公司</w:t>
            </w:r>
          </w:p>
        </w:tc>
      </w:tr>
    </w:tbl>
    <w:p>
      <w:pPr>
        <w:pStyle w:val="BodyText"/>
        <w:spacing w:line="240" w:lineRule="auto" w:before="51"/>
        <w:ind w:left="154" w:right="1130"/>
        <w:jc w:val="left"/>
      </w:pPr>
      <w:r>
        <w:rPr/>
        <w:t>公司聘请的报告期内履行持续督导职责的财务顾问</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公司是否需追溯调整或重述以前年度会计数据</w:t>
      </w:r>
    </w:p>
    <w:p>
      <w:pPr>
        <w:pStyle w:val="BodyText"/>
        <w:spacing w:line="240" w:lineRule="auto" w:before="117"/>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1,652,076,282.01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1,292,958,187.22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922,185,556.51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13,065,004.57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-1,788,124.06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16,053,060.51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-10,966,934.68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-20,478,668.92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-19,680,692.72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196,239,173.63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2,181,305.76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8,896.41%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37,898,409.10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2,047,914,695.95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2,273,730,374.07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1,860,141,332.37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850,558,239.12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861,737,756.77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872,667,159.34</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9"/>
        <w:rPr>
          <w:rFonts w:ascii="宋体" w:hAnsi="宋体" w:cs="宋体" w:eastAsia="宋体" w:hint="default"/>
          <w:sz w:val="21"/>
          <w:szCs w:val="21"/>
        </w:rPr>
      </w:pPr>
    </w:p>
    <w:p>
      <w:pPr>
        <w:pStyle w:val="Heading3"/>
        <w:spacing w:line="240" w:lineRule="auto"/>
        <w:ind w:right="113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327,335,260.06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485,127,180.85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479,561,560.15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360,052,280.95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-971,741.38</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6,173,992.45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13,248,224.22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-5,385,470.72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-3,266,644.15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4,059,102.54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11,184,247.40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-22,943,640.47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53,935,560.81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26,962,625.86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33,206,488.64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82,134,498.32</w:t>
            </w:r>
          </w:p>
        </w:tc>
      </w:tr>
    </w:tbl>
    <w:p>
      <w:pPr>
        <w:pStyle w:val="BodyText"/>
        <w:spacing w:line="240" w:lineRule="auto" w:before="51"/>
        <w:ind w:left="154" w:right="1130"/>
        <w:jc w:val="left"/>
      </w:pPr>
      <w:r>
        <w:rPr/>
        <w:t>上述财务指标或其加总数是否与公司已披露季度报告、半年度报告相关财务指标存在重大差异</w:t>
      </w:r>
    </w:p>
    <w:p>
      <w:pPr>
        <w:pStyle w:val="BodyText"/>
        <w:spacing w:line="240" w:lineRule="auto" w:before="117"/>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85"/>
        <w:gridCol w:w="1532"/>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 w:right="0"/>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52" w:right="0"/>
              <w:jc w:val="left"/>
              <w:rPr>
                <w:rFonts w:ascii="Times New Roman" w:hAnsi="Times New Roman" w:cs="Times New Roman" w:eastAsia="Times New Roman" w:hint="default"/>
                <w:sz w:val="18"/>
                <w:szCs w:val="18"/>
              </w:rPr>
            </w:pPr>
            <w:r>
              <w:rPr>
                <w:rFonts w:ascii="Times New Roman"/>
                <w:sz w:val="18"/>
              </w:rPr>
              <w:t>12,892,461.74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-131,508.95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-314,221.05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11,454,289.54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7,591,650.79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7,832,256.39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151,254.68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34,799.27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215,408.22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-3,567,229.42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5,523,113.17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-2,666,632.78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35,551,494.74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22,340,082.62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4,692,825.93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3,970,230.03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6,562,047.05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1,511,762.17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940,386.64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773,729.80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24,031,939.25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18,690,544.86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35,733,753.23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3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7" w:lineRule="auto" w:before="25"/>
        <w:ind w:right="1130" w:firstLine="450"/>
        <w:jc w:val="both"/>
      </w:pPr>
      <w:r>
        <w:rPr>
          <w:spacing w:val="-1"/>
        </w:rPr>
        <w:t>公司主要业务涵盖消费电子类开关电源、</w:t>
      </w:r>
      <w:r>
        <w:rPr>
          <w:rFonts w:ascii="Times New Roman" w:hAnsi="Times New Roman" w:cs="Times New Roman" w:eastAsia="Times New Roman" w:hint="default"/>
          <w:spacing w:val="-1"/>
        </w:rPr>
        <w:t>LED</w:t>
      </w:r>
      <w:r>
        <w:rPr>
          <w:spacing w:val="-1"/>
        </w:rPr>
        <w:t>室内</w:t>
      </w:r>
      <w:r>
        <w:rPr>
          <w:rFonts w:ascii="Times New Roman" w:hAnsi="Times New Roman" w:cs="Times New Roman" w:eastAsia="Times New Roman" w:hint="default"/>
          <w:spacing w:val="-1"/>
        </w:rPr>
        <w:t>/</w:t>
      </w:r>
      <w:r>
        <w:rPr>
          <w:spacing w:val="-1"/>
        </w:rPr>
        <w:t>户外照明产品驱动电源、光伏逆变器、智能充电桩、新能源光伏电</w:t>
      </w:r>
      <w:r>
        <w:rPr/>
        <w:t> </w:t>
      </w:r>
      <w:r>
        <w:rPr>
          <w:spacing w:val="-1"/>
        </w:rPr>
        <w:t>站投资、新能源汽车充电运营、</w:t>
      </w:r>
      <w:r>
        <w:rPr>
          <w:rFonts w:ascii="Times New Roman" w:hAnsi="Times New Roman" w:cs="Times New Roman" w:eastAsia="Times New Roman" w:hint="default"/>
          <w:spacing w:val="-1"/>
        </w:rPr>
        <w:t>FPC</w:t>
      </w:r>
      <w:r>
        <w:rPr>
          <w:spacing w:val="-1"/>
        </w:rPr>
        <w:t>、投资并购等多种领域，形成了</w:t>
      </w:r>
      <w:r>
        <w:rPr>
          <w:rFonts w:ascii="Times New Roman" w:hAnsi="Times New Roman" w:cs="Times New Roman" w:eastAsia="Times New Roman" w:hint="default"/>
          <w:spacing w:val="-1"/>
        </w:rPr>
        <w:t>“</w:t>
      </w:r>
      <w:r>
        <w:rPr>
          <w:spacing w:val="-1"/>
        </w:rPr>
        <w:t>主业</w:t>
      </w:r>
      <w:r>
        <w:rPr>
          <w:rFonts w:ascii="Times New Roman" w:hAnsi="Times New Roman" w:cs="Times New Roman" w:eastAsia="Times New Roman" w:hint="default"/>
          <w:spacing w:val="-1"/>
        </w:rPr>
        <w:t>+</w:t>
      </w:r>
      <w:r>
        <w:rPr>
          <w:spacing w:val="-1"/>
        </w:rPr>
        <w:t>创新</w:t>
      </w:r>
      <w:r>
        <w:rPr>
          <w:rFonts w:ascii="Times New Roman" w:hAnsi="Times New Roman" w:cs="Times New Roman" w:eastAsia="Times New Roman" w:hint="default"/>
          <w:spacing w:val="-1"/>
        </w:rPr>
        <w:t>+</w:t>
      </w:r>
      <w:r>
        <w:rPr>
          <w:spacing w:val="-1"/>
        </w:rPr>
        <w:t>创投</w:t>
      </w:r>
      <w:r>
        <w:rPr>
          <w:rFonts w:ascii="Times New Roman" w:hAnsi="Times New Roman" w:cs="Times New Roman" w:eastAsia="Times New Roman" w:hint="default"/>
          <w:spacing w:val="-1"/>
        </w:rPr>
        <w:t>”</w:t>
      </w:r>
      <w:r>
        <w:rPr>
          <w:spacing w:val="-1"/>
        </w:rPr>
        <w:t>的发展基调。消费电子类电源和</w:t>
      </w:r>
      <w:r>
        <w:rPr>
          <w:rFonts w:ascii="Times New Roman" w:hAnsi="Times New Roman" w:cs="Times New Roman" w:eastAsia="Times New Roman" w:hint="default"/>
          <w:spacing w:val="-1"/>
        </w:rPr>
        <w:t>LED</w:t>
      </w:r>
      <w:r>
        <w:rPr>
          <w:rFonts w:ascii="Times New Roman" w:hAnsi="Times New Roman" w:cs="Times New Roman" w:eastAsia="Times New Roman" w:hint="default"/>
          <w:spacing w:val="-29"/>
        </w:rPr>
        <w:t> </w:t>
      </w:r>
      <w:r>
        <w:rPr>
          <w:spacing w:val="-2"/>
        </w:rPr>
        <w:t>驱动电源是公司的传统主业，公司在该领域经过多年的大力发展，已成为全球领先的电源解决方案供应商和国内电源行业的</w:t>
      </w:r>
      <w:r>
        <w:rPr>
          <w:spacing w:val="-64"/>
        </w:rPr>
        <w:t> </w:t>
      </w:r>
      <w:r>
        <w:rPr>
          <w:spacing w:val="-64"/>
        </w:rPr>
      </w:r>
      <w:r>
        <w:rPr/>
        <w:t>标志性企业。</w:t>
      </w:r>
    </w:p>
    <w:p>
      <w:pPr>
        <w:pStyle w:val="BodyText"/>
        <w:spacing w:line="312" w:lineRule="auto" w:before="64"/>
        <w:ind w:right="1033" w:firstLine="480"/>
        <w:jc w:val="left"/>
      </w:pPr>
      <w:r>
        <w:rPr/>
        <w:t>目前，公司的消费电子类电源产品由公司控股子公司惠州茂硕能源科技有限公司负责生产和制造，全资子公司加码技 </w:t>
      </w:r>
      <w:r>
        <w:rPr>
          <w:spacing w:val="-2"/>
        </w:rPr>
        <w:t>术有限公司负责研发和销售；</w:t>
      </w:r>
      <w:r>
        <w:rPr>
          <w:rFonts w:ascii="Times New Roman" w:hAnsi="Times New Roman" w:cs="Times New Roman" w:eastAsia="Times New Roman" w:hint="default"/>
          <w:spacing w:val="-2"/>
        </w:rPr>
        <w:t>LED</w:t>
      </w:r>
      <w:r>
        <w:rPr>
          <w:spacing w:val="-2"/>
        </w:rPr>
        <w:t>驱动电源业务现由全资子公司深圳茂硕电子科技有限公司负责生产、研发及销售；公司控</w:t>
      </w:r>
      <w:r>
        <w:rPr>
          <w:spacing w:val="-53"/>
        </w:rPr>
        <w:t> </w:t>
      </w:r>
      <w:r>
        <w:rPr>
          <w:spacing w:val="-53"/>
        </w:rPr>
      </w:r>
      <w:r>
        <w:rPr>
          <w:spacing w:val="-2"/>
        </w:rPr>
        <w:t>股子公司茂硕电气主要负责光伏产业的逆变器研发、生产和销售；公司的二级子公司深圳茂硕新能源科技有限公司从以光伏</w:t>
      </w:r>
      <w:r>
        <w:rPr>
          <w:spacing w:val="-64"/>
        </w:rPr>
        <w:t> </w:t>
      </w:r>
      <w:r>
        <w:rPr>
          <w:spacing w:val="-64"/>
        </w:rPr>
      </w:r>
      <w:r>
        <w:rPr/>
        <w:t>电站开发、投建为主，变成了光伏电站运营为基础、充电桩投建运营为主。</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w:t>
      </w:r>
      <w:r>
        <w:rPr/>
        <w:t>在充电站</w:t>
      </w:r>
      <w:r>
        <w:rPr>
          <w:rFonts w:ascii="Times New Roman" w:hAnsi="Times New Roman" w:cs="Times New Roman" w:eastAsia="Times New Roman" w:hint="default"/>
        </w:rPr>
        <w:t>EPC</w:t>
      </w:r>
      <w:r>
        <w:rPr/>
        <w:t>总包业务方面，茂硕新</w:t>
      </w:r>
      <w:r>
        <w:rPr>
          <w:spacing w:val="-18"/>
        </w:rPr>
        <w:t> </w:t>
      </w:r>
      <w:r>
        <w:rPr>
          <w:spacing w:val="-18"/>
        </w:rPr>
      </w:r>
      <w:r>
        <w:rPr/>
        <w:t>能源利用自身承建光伏电站的优势和经验，顺利过渡承建新能源电动汽车充电站，不但成功中标九江北汽充电桩采购项目，</w:t>
      </w:r>
      <w:r>
        <w:rPr/>
        <w:t> </w:t>
      </w:r>
      <w:r>
        <w:rPr>
          <w:spacing w:val="-2"/>
        </w:rPr>
        <w:t>还顺利完成该项目建设，并获得业主认可。目前茂硕新能源已具备投资建设能力，逐步开始在全国各地投建新能源汽车充电</w:t>
      </w:r>
      <w:r>
        <w:rPr>
          <w:spacing w:val="-66"/>
        </w:rPr>
        <w:t> </w:t>
      </w:r>
      <w:r>
        <w:rPr>
          <w:spacing w:val="-66"/>
        </w:rPr>
      </w:r>
      <w:r>
        <w:rPr/>
        <w:t>站，为后续立足深圳、向全国扩散充电设施奠定了基础力量。</w:t>
      </w:r>
    </w:p>
    <w:p>
      <w:pPr>
        <w:pStyle w:val="BodyText"/>
        <w:spacing w:line="304" w:lineRule="auto" w:before="62"/>
        <w:ind w:right="1131" w:firstLine="480"/>
        <w:jc w:val="both"/>
      </w:pPr>
      <w:r>
        <w:rPr>
          <w:spacing w:val="-1"/>
        </w:rPr>
        <w:t>方正达的主营业务为印制电路板相关产品的研发、生产和销售，产品主要应用于节能照明领域，并逐渐向智能移动终</w:t>
      </w:r>
      <w:r>
        <w:rPr/>
        <w:t> </w:t>
      </w:r>
      <w:r>
        <w:rPr>
          <w:spacing w:val="-4"/>
        </w:rPr>
        <w:t>端领域延伸。报告期内，经公司第四届董事会</w:t>
      </w:r>
      <w:r>
        <w:rPr>
          <w:rFonts w:ascii="Times New Roman" w:hAnsi="Times New Roman" w:cs="Times New Roman" w:eastAsia="Times New Roman" w:hint="default"/>
          <w:spacing w:val="-4"/>
        </w:rPr>
        <w:t>2017</w:t>
      </w:r>
      <w:r>
        <w:rPr>
          <w:spacing w:val="-4"/>
        </w:rPr>
        <w:t>年第</w:t>
      </w:r>
      <w:r>
        <w:rPr>
          <w:rFonts w:ascii="Times New Roman" w:hAnsi="Times New Roman" w:cs="Times New Roman" w:eastAsia="Times New Roman" w:hint="default"/>
          <w:spacing w:val="-4"/>
        </w:rPr>
        <w:t>4</w:t>
      </w:r>
      <w:r>
        <w:rPr>
          <w:spacing w:val="-4"/>
        </w:rPr>
        <w:t>次临时会议、</w:t>
      </w:r>
      <w:r>
        <w:rPr>
          <w:rFonts w:ascii="Times New Roman" w:hAnsi="Times New Roman" w:cs="Times New Roman" w:eastAsia="Times New Roman" w:hint="default"/>
          <w:spacing w:val="-4"/>
        </w:rPr>
        <w:t>2017</w:t>
      </w:r>
      <w:r>
        <w:rPr>
          <w:spacing w:val="-4"/>
        </w:rPr>
        <w:t>年第</w:t>
      </w:r>
      <w:r>
        <w:rPr>
          <w:rFonts w:ascii="Times New Roman" w:hAnsi="Times New Roman" w:cs="Times New Roman" w:eastAsia="Times New Roman" w:hint="default"/>
          <w:spacing w:val="-4"/>
        </w:rPr>
        <w:t>3</w:t>
      </w:r>
      <w:r>
        <w:rPr>
          <w:spacing w:val="-4"/>
        </w:rPr>
        <w:t>次临时股东大会审议通过，同意公司以</w:t>
      </w:r>
      <w:r>
        <w:rPr>
          <w:rFonts w:ascii="Times New Roman" w:hAnsi="Times New Roman" w:cs="Times New Roman" w:eastAsia="Times New Roman" w:hint="default"/>
          <w:spacing w:val="-4"/>
        </w:rPr>
        <w:t>15,300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1"/>
        </w:rPr>
        <w:t>万元的股权交易对价转让方正达</w:t>
      </w:r>
      <w:r>
        <w:rPr>
          <w:rFonts w:ascii="Times New Roman" w:hAnsi="Times New Roman" w:cs="Times New Roman" w:eastAsia="Times New Roman" w:hint="default"/>
          <w:spacing w:val="-1"/>
        </w:rPr>
        <w:t>34%</w:t>
      </w:r>
      <w:r>
        <w:rPr>
          <w:spacing w:val="-1"/>
        </w:rPr>
        <w:t>的股权。交易顺利实施后，公司获得</w:t>
      </w:r>
      <w:r>
        <w:rPr>
          <w:rFonts w:ascii="Times New Roman" w:hAnsi="Times New Roman" w:cs="Times New Roman" w:eastAsia="Times New Roman" w:hint="default"/>
          <w:spacing w:val="-1"/>
        </w:rPr>
        <w:t>15,300</w:t>
      </w:r>
      <w:r>
        <w:rPr>
          <w:spacing w:val="-1"/>
        </w:rPr>
        <w:t>万元人民币的股权转让价款，增加公司的营</w:t>
      </w:r>
      <w:r>
        <w:rPr>
          <w:spacing w:val="-43"/>
        </w:rPr>
        <w:t> </w:t>
      </w:r>
      <w:r>
        <w:rPr>
          <w:spacing w:val="-43"/>
        </w:rPr>
      </w:r>
      <w:r>
        <w:rPr/>
        <w:t>运资金，有利于公司优化资产结构，符合公司的长期发展战略和全体股东的根本利益。转让完成后</w:t>
      </w:r>
      <w:r>
        <w:rPr>
          <w:rFonts w:ascii="Times New Roman" w:hAnsi="Times New Roman" w:cs="Times New Roman" w:eastAsia="Times New Roman" w:hint="default"/>
        </w:rPr>
        <w:t>,</w:t>
      </w:r>
      <w:r>
        <w:rPr/>
        <w:t>公司仍可通过发挥与方</w:t>
      </w:r>
      <w:r>
        <w:rPr>
          <w:spacing w:val="-42"/>
        </w:rPr>
        <w:t> </w:t>
      </w:r>
      <w:r>
        <w:rPr>
          <w:spacing w:val="-42"/>
        </w:rPr>
      </w:r>
      <w:r>
        <w:rPr>
          <w:spacing w:val="-2"/>
        </w:rPr>
        <w:t>正达在</w:t>
      </w:r>
      <w:r>
        <w:rPr>
          <w:rFonts w:ascii="Times New Roman" w:hAnsi="Times New Roman" w:cs="Times New Roman" w:eastAsia="Times New Roman" w:hint="default"/>
          <w:spacing w:val="-2"/>
        </w:rPr>
        <w:t>LED</w:t>
      </w:r>
      <w:r>
        <w:rPr>
          <w:spacing w:val="-2"/>
        </w:rPr>
        <w:t>产品产业链的配套优势，在品牌影响、技术研发、市场开拓等方面的协同优势，进一步增强细分领域的市场竞争</w:t>
      </w:r>
      <w:r>
        <w:rPr>
          <w:spacing w:val="-53"/>
        </w:rPr>
        <w:t> </w:t>
      </w:r>
      <w:r>
        <w:rPr>
          <w:spacing w:val="-53"/>
        </w:rPr>
      </w:r>
      <w:r>
        <w:rPr/>
        <w:t>力，稳步提升公司及方正达的市场拓展能力及市场占有率。</w:t>
      </w:r>
    </w:p>
    <w:p>
      <w:pPr>
        <w:pStyle w:val="BodyText"/>
        <w:spacing w:line="338" w:lineRule="auto" w:before="67"/>
        <w:ind w:left="633" w:right="1093"/>
        <w:jc w:val="left"/>
      </w:pPr>
      <w:r>
        <w:rPr>
          <w:rFonts w:ascii="Times New Roman" w:hAnsi="Times New Roman" w:cs="Times New Roman" w:eastAsia="Times New Roman" w:hint="default"/>
        </w:rPr>
        <w:t>2017</w:t>
      </w:r>
      <w:r>
        <w:rPr/>
        <w:t>年末，公司围绕</w:t>
      </w:r>
      <w:r>
        <w:rPr>
          <w:rFonts w:ascii="Times New Roman" w:hAnsi="Times New Roman" w:cs="Times New Roman" w:eastAsia="Times New Roman" w:hint="default"/>
        </w:rPr>
        <w:t>2018</w:t>
      </w:r>
      <w:r>
        <w:rPr/>
        <w:t>年的业绩目标作了产业结构整合及各产业发展方向的调整： 消费电子类开关电源方面：在稳固原有开关电源、充电器等主营产品外，将会在无线充电设备、智能终端充电设备、</w:t>
      </w:r>
    </w:p>
    <w:p>
      <w:pPr>
        <w:pStyle w:val="BodyText"/>
        <w:spacing w:line="302" w:lineRule="auto" w:before="2"/>
        <w:ind w:right="1130"/>
        <w:jc w:val="left"/>
      </w:pPr>
      <w:r>
        <w:rPr/>
        <w:t>微波电源、激光电源等领域进行发力，行业应用领域由网通</w:t>
      </w:r>
      <w:r>
        <w:rPr>
          <w:rFonts w:ascii="Times New Roman" w:hAnsi="Times New Roman" w:cs="Times New Roman" w:eastAsia="Times New Roman" w:hint="default"/>
        </w:rPr>
        <w:t>/</w:t>
      </w:r>
      <w:r>
        <w:rPr/>
        <w:t>机顶盒领域向安防、</w:t>
      </w:r>
      <w:r>
        <w:rPr>
          <w:rFonts w:ascii="Times New Roman" w:hAnsi="Times New Roman" w:cs="Times New Roman" w:eastAsia="Times New Roman" w:hint="default"/>
        </w:rPr>
        <w:t>POS</w:t>
      </w:r>
      <w:r>
        <w:rPr/>
        <w:t>机、医疗保健、电动工具等领域进行</w:t>
      </w:r>
      <w:r>
        <w:rPr>
          <w:spacing w:val="-23"/>
        </w:rPr>
        <w:t> </w:t>
      </w:r>
      <w:r>
        <w:rPr>
          <w:spacing w:val="-23"/>
        </w:rPr>
      </w:r>
      <w:r>
        <w:rPr/>
        <w:t>延伸；</w:t>
      </w:r>
    </w:p>
    <w:p>
      <w:pPr>
        <w:pStyle w:val="BodyText"/>
        <w:spacing w:line="300" w:lineRule="auto" w:before="69"/>
        <w:ind w:right="1131" w:firstLine="480"/>
        <w:jc w:val="both"/>
      </w:pPr>
      <w:r>
        <w:rPr>
          <w:rFonts w:ascii="Times New Roman" w:hAnsi="Times New Roman" w:cs="Times New Roman" w:eastAsia="Times New Roman" w:hint="default"/>
          <w:spacing w:val="-1"/>
        </w:rPr>
        <w:t>LED</w:t>
      </w:r>
      <w:r>
        <w:rPr>
          <w:spacing w:val="-1"/>
        </w:rPr>
        <w:t>驱动电源方面：坚持聚焦主业，以大功率驱动电源为主；同时深耕细分，深度挖掘有潜力的细分市场，如城市轨</w:t>
      </w:r>
      <w:r>
        <w:rPr>
          <w:w w:val="99"/>
        </w:rPr>
        <w:t> </w:t>
      </w:r>
      <w:r>
        <w:rPr>
          <w:spacing w:val="-1"/>
        </w:rPr>
        <w:t>道交通公共照明；坚持多元化发展，除以道路照明为主外，兼顾工业、景观、室内商照</w:t>
      </w:r>
      <w:r>
        <w:rPr>
          <w:rFonts w:ascii="Times New Roman" w:hAnsi="Times New Roman" w:cs="Times New Roman" w:eastAsia="Times New Roman" w:hint="default"/>
          <w:spacing w:val="-1"/>
        </w:rPr>
        <w:t>&amp;</w:t>
      </w:r>
      <w:r>
        <w:rPr>
          <w:spacing w:val="-1"/>
        </w:rPr>
        <w:t>家居照明。通过差异化竞争、提升</w:t>
      </w:r>
      <w:r>
        <w:rPr>
          <w:spacing w:val="-79"/>
        </w:rPr>
        <w:t> </w:t>
      </w:r>
      <w:r>
        <w:rPr>
          <w:spacing w:val="-79"/>
        </w:rPr>
      </w:r>
      <w:r>
        <w:rPr>
          <w:spacing w:val="-2"/>
        </w:rPr>
        <w:t>产品附加值等方式进入竞争的蓝海，同时，顺应行业发展大势，重新定位，将茂硕电子打造成一家智能物联网</w:t>
      </w:r>
      <w:r>
        <w:rPr>
          <w:rFonts w:ascii="Times New Roman" w:hAnsi="Times New Roman" w:cs="Times New Roman" w:eastAsia="Times New Roman" w:hint="default"/>
          <w:spacing w:val="-2"/>
        </w:rPr>
        <w:t>LED</w:t>
      </w:r>
      <w:r>
        <w:rPr>
          <w:spacing w:val="-2"/>
        </w:rPr>
        <w:t>照明解决</w:t>
      </w:r>
      <w:r>
        <w:rPr>
          <w:spacing w:val="-53"/>
        </w:rPr>
        <w:t> </w:t>
      </w:r>
      <w:r>
        <w:rPr/>
        <w:t>方案企业，加快布局互联互通智能照明领域。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113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月完成湖南方正达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股权出售，持股比例由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56.24%</w:t>
            </w:r>
            <w:r>
              <w:rPr>
                <w:rFonts w:ascii="宋体" w:hAnsi="宋体" w:cs="宋体" w:eastAsia="宋体" w:hint="default"/>
                <w:sz w:val="18"/>
                <w:szCs w:val="18"/>
              </w:rPr>
              <w:t>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新余何家边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光伏发电项目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6MWP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建设完成转为固定资产</w:t>
            </w:r>
          </w:p>
        </w:tc>
      </w:tr>
    </w:tbl>
    <w:p>
      <w:pPr>
        <w:spacing w:line="240" w:lineRule="auto" w:before="9"/>
        <w:rPr>
          <w:rFonts w:ascii="宋体" w:hAnsi="宋体" w:cs="宋体" w:eastAsia="宋体" w:hint="default"/>
          <w:b/>
          <w:bCs/>
          <w:sz w:val="19"/>
          <w:szCs w:val="19"/>
        </w:rPr>
      </w:pPr>
    </w:p>
    <w:p>
      <w:pPr>
        <w:pStyle w:val="Heading3"/>
        <w:spacing w:line="240" w:lineRule="auto" w:before="38"/>
        <w:ind w:left="154" w:right="113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right="1273" w:firstLine="480"/>
        <w:jc w:val="left"/>
      </w:pPr>
      <w:r>
        <w:rPr/>
        <w:t>报告期内，公司通过内生增长与外延整合双轨式发展，进一步优化在研发技术、产业链延伸等方面的核心竞争力。 报告期内，公司通过内生增长与外延整合双轨式发展，进一步优化在研发技术、产业链延伸等方面的核心竞争力。</w:t>
      </w:r>
    </w:p>
    <w:p>
      <w:pPr>
        <w:pStyle w:val="BodyText"/>
        <w:spacing w:line="316" w:lineRule="auto" w:before="19"/>
        <w:ind w:left="604" w:right="1122" w:hanging="90"/>
        <w:jc w:val="left"/>
      </w:pPr>
      <w:r>
        <w:rPr/>
        <w:t>（</w:t>
      </w:r>
      <w:r>
        <w:rPr>
          <w:rFonts w:ascii="宋体" w:hAnsi="宋体" w:cs="宋体" w:eastAsia="宋体" w:hint="default"/>
        </w:rPr>
        <w:t>1</w:t>
      </w:r>
      <w:r>
        <w:rPr/>
        <w:t>）业内领先的技术研发能力 茂硕电源及子公司茂硕电子、茂硕电气、茂硕新能源均是国家级高新技术企业，公司自创立以来，秉承“科技创新、</w:t>
      </w:r>
    </w:p>
    <w:p>
      <w:pPr>
        <w:pStyle w:val="BodyText"/>
        <w:spacing w:line="316" w:lineRule="auto" w:before="19"/>
        <w:ind w:left="154" w:right="1131"/>
        <w:jc w:val="both"/>
      </w:pPr>
      <w:r>
        <w:rPr>
          <w:spacing w:val="-2"/>
        </w:rPr>
        <w:t>驱动未来”的理念，十分重视产品的研发及创新，公司聘请了资深电源专家和国内知名大学共同主导研发，着重加强了产品</w:t>
      </w:r>
      <w:r>
        <w:rPr>
          <w:spacing w:val="-66"/>
        </w:rPr>
        <w:t> </w:t>
      </w:r>
      <w:r>
        <w:rPr>
          <w:spacing w:val="-66"/>
        </w:rPr>
      </w:r>
      <w:r>
        <w:rPr>
          <w:spacing w:val="-2"/>
        </w:rPr>
        <w:t>研发的过程管控，开发设计与客户及供应商紧密配合，使得产品直通率有效提升，缩减了产品开发周期和开发成本，使得产</w:t>
      </w:r>
      <w:r>
        <w:rPr>
          <w:spacing w:val="-66"/>
        </w:rPr>
        <w:t> </w:t>
      </w:r>
      <w:r>
        <w:rPr>
          <w:spacing w:val="-66"/>
        </w:rPr>
      </w:r>
      <w:r>
        <w:rPr/>
        <w:t>品市场竞争力进一步增强。</w:t>
      </w:r>
    </w:p>
    <w:p>
      <w:pPr>
        <w:pStyle w:val="BodyText"/>
        <w:spacing w:line="316" w:lineRule="auto" w:before="19"/>
        <w:ind w:left="154" w:right="1130" w:firstLine="360"/>
        <w:jc w:val="left"/>
      </w:pPr>
      <w:r>
        <w:rPr>
          <w:spacing w:val="-2"/>
        </w:rPr>
        <w:t>报告期内增设西安研发中心、聘用高端技术人才，不仅攻克目前产品技术难点，且对公司的市场战略、产品战略确立了</w:t>
      </w:r>
      <w:r>
        <w:rPr/>
        <w:t> 中长期发展规划，为公司的持续成长打下坚实的基础。</w:t>
      </w:r>
    </w:p>
    <w:p>
      <w:pPr>
        <w:pStyle w:val="BodyText"/>
        <w:spacing w:line="316" w:lineRule="auto" w:before="19"/>
        <w:ind w:left="513" w:right="1130"/>
        <w:jc w:val="left"/>
      </w:pPr>
      <w:r>
        <w:rPr/>
        <w:t>经过多年的技术攻关和生产实践；公司在研发方面取得较大的进步： </w:t>
      </w:r>
      <w:r>
        <w:rPr>
          <w:spacing w:val="-2"/>
        </w:rPr>
        <w:t>报告期内，公司</w:t>
      </w:r>
      <w:r>
        <w:rPr>
          <w:rFonts w:ascii="宋体" w:hAnsi="宋体" w:cs="宋体" w:eastAsia="宋体" w:hint="default"/>
          <w:spacing w:val="-2"/>
        </w:rPr>
        <w:t>SPS</w:t>
      </w:r>
      <w:r>
        <w:rPr>
          <w:spacing w:val="-2"/>
        </w:rPr>
        <w:t>消费类电源方面，研发技术骨干开发完成开关电源</w:t>
      </w:r>
      <w:r>
        <w:rPr>
          <w:rFonts w:ascii="宋体" w:hAnsi="宋体" w:cs="宋体" w:eastAsia="宋体" w:hint="default"/>
          <w:spacing w:val="-2"/>
        </w:rPr>
        <w:t>18W/24W/36W/40W/65W</w:t>
      </w:r>
      <w:r>
        <w:rPr>
          <w:spacing w:val="-2"/>
        </w:rPr>
        <w:t>等系列，共完成新产品开发</w:t>
      </w:r>
    </w:p>
    <w:p>
      <w:pPr>
        <w:pStyle w:val="BodyText"/>
        <w:spacing w:line="316" w:lineRule="auto" w:before="19"/>
        <w:ind w:right="1030"/>
        <w:jc w:val="left"/>
      </w:pPr>
      <w:r>
        <w:rPr>
          <w:spacing w:val="-3"/>
        </w:rPr>
        <w:t>共</w:t>
      </w:r>
      <w:r>
        <w:rPr>
          <w:rFonts w:ascii="宋体" w:hAnsi="宋体" w:cs="宋体" w:eastAsia="宋体" w:hint="default"/>
          <w:spacing w:val="-3"/>
        </w:rPr>
        <w:t>96</w:t>
      </w:r>
      <w:r>
        <w:rPr>
          <w:spacing w:val="-3"/>
        </w:rPr>
        <w:t>个系列型号；</w:t>
      </w:r>
      <w:r>
        <w:rPr>
          <w:rFonts w:ascii="宋体" w:hAnsi="宋体" w:cs="宋体" w:eastAsia="宋体" w:hint="default"/>
          <w:spacing w:val="-3"/>
        </w:rPr>
        <w:t>SPS</w:t>
      </w:r>
      <w:r>
        <w:rPr>
          <w:spacing w:val="-3"/>
        </w:rPr>
        <w:t>开关电源完成安规认证取证共</w:t>
      </w:r>
      <w:r>
        <w:rPr>
          <w:rFonts w:ascii="宋体" w:hAnsi="宋体" w:cs="宋体" w:eastAsia="宋体" w:hint="default"/>
          <w:spacing w:val="-3"/>
        </w:rPr>
        <w:t>168</w:t>
      </w:r>
      <w:r>
        <w:rPr>
          <w:spacing w:val="-3"/>
        </w:rPr>
        <w:t>个系列，完成多款定制产品的开发设计、多系列标准产品定义及开发。</w:t>
      </w:r>
      <w:r>
        <w:rPr>
          <w:spacing w:val="-87"/>
        </w:rPr>
        <w:t> </w:t>
      </w:r>
      <w:r>
        <w:rPr>
          <w:spacing w:val="-87"/>
        </w:rPr>
      </w:r>
      <w:r>
        <w:rPr>
          <w:rFonts w:ascii="宋体" w:hAnsi="宋体" w:cs="宋体" w:eastAsia="宋体" w:hint="default"/>
        </w:rPr>
        <w:t>2017</w:t>
      </w:r>
      <w:r>
        <w:rPr/>
        <w:t>年公司还拓宽了开关电源产品应用方面新的领域</w:t>
      </w:r>
      <w:r>
        <w:rPr>
          <w:rFonts w:ascii="宋体" w:hAnsi="宋体" w:cs="宋体" w:eastAsia="宋体" w:hint="default"/>
        </w:rPr>
        <w:t>:</w:t>
      </w:r>
      <w:r>
        <w:rPr/>
        <w:t>组织开发了①</w:t>
      </w:r>
      <w:r>
        <w:rPr>
          <w:rFonts w:ascii="宋体" w:hAnsi="宋体" w:cs="宋体" w:eastAsia="宋体" w:hint="default"/>
        </w:rPr>
        <w:t>2.5KW</w:t>
      </w:r>
      <w:r>
        <w:rPr/>
        <w:t>激光电源项目</w:t>
      </w:r>
      <w:r>
        <w:rPr>
          <w:rFonts w:ascii="宋体" w:hAnsi="宋体" w:cs="宋体" w:eastAsia="宋体" w:hint="default"/>
        </w:rPr>
        <w:t>;</w:t>
      </w:r>
      <w:r>
        <w:rPr/>
        <w:t>②激光打印机电源方面项目</w:t>
      </w:r>
      <w:r>
        <w:rPr>
          <w:rFonts w:ascii="宋体" w:hAnsi="宋体" w:cs="宋体" w:eastAsia="宋体" w:hint="default"/>
        </w:rPr>
        <w:t>;</w:t>
      </w:r>
      <w:r>
        <w:rPr/>
        <w:t>③电 动工具电源项目等，逐步完善了公司单个功能电源到智能系统的多元化产品。</w:t>
      </w:r>
    </w:p>
    <w:p>
      <w:pPr>
        <w:pStyle w:val="BodyText"/>
        <w:spacing w:line="316" w:lineRule="auto" w:before="19"/>
        <w:ind w:right="1132" w:firstLine="450"/>
        <w:jc w:val="both"/>
      </w:pPr>
      <w:r>
        <w:rPr>
          <w:rFonts w:ascii="宋体" w:hAnsi="宋体" w:cs="宋体" w:eastAsia="宋体" w:hint="default"/>
          <w:spacing w:val="-3"/>
        </w:rPr>
        <w:t>LED</w:t>
      </w:r>
      <w:r>
        <w:rPr>
          <w:spacing w:val="-3"/>
        </w:rPr>
        <w:t>驱动电源方面，</w:t>
      </w:r>
      <w:r>
        <w:rPr>
          <w:rFonts w:ascii="宋体" w:hAnsi="宋体" w:cs="宋体" w:eastAsia="宋体" w:hint="default"/>
          <w:spacing w:val="-3"/>
        </w:rPr>
        <w:t>2017</w:t>
      </w:r>
      <w:r>
        <w:rPr>
          <w:spacing w:val="-3"/>
        </w:rPr>
        <w:t>年上半年研发推出自主研发智能电源，主要包括集中供电智能系统和</w:t>
      </w:r>
      <w:r>
        <w:rPr>
          <w:rFonts w:ascii="宋体" w:hAnsi="宋体" w:cs="宋体" w:eastAsia="宋体" w:hint="default"/>
          <w:spacing w:val="-3"/>
        </w:rPr>
        <w:t>DALI</w:t>
      </w:r>
      <w:r>
        <w:rPr>
          <w:spacing w:val="-3"/>
        </w:rPr>
        <w:t>控制智能电源。</w:t>
      </w:r>
      <w:r>
        <w:rPr>
          <w:rFonts w:ascii="宋体" w:hAnsi="宋体" w:cs="宋体" w:eastAsia="宋体" w:hint="default"/>
          <w:spacing w:val="-3"/>
        </w:rPr>
        <w:t>2.4KW</w:t>
      </w:r>
      <w:r>
        <w:rPr>
          <w:rFonts w:ascii="宋体" w:hAnsi="宋体" w:cs="宋体" w:eastAsia="宋体" w:hint="default"/>
        </w:rPr>
        <w:t> </w:t>
      </w:r>
      <w:r>
        <w:rPr/>
        <w:t>级集中供电智能系统主要面向隧道、球场等区域性照明，无需线路改造，可直接升级老产品，与传统</w:t>
      </w:r>
      <w:r>
        <w:rPr>
          <w:rFonts w:ascii="宋体" w:hAnsi="宋体" w:cs="宋体" w:eastAsia="宋体" w:hint="default"/>
        </w:rPr>
        <w:t>LED</w:t>
      </w:r>
      <w:r>
        <w:rPr/>
        <w:t>电源相比具有更高 </w:t>
      </w:r>
      <w:r>
        <w:rPr>
          <w:spacing w:val="-2"/>
        </w:rPr>
        <w:t>的可靠性、易用性和性价比。集中供电系统与摄像机、传感器等组成物联网，可实现智慧城市的互联互通协同共享。功率等</w:t>
      </w:r>
      <w:r>
        <w:rPr>
          <w:spacing w:val="-66"/>
        </w:rPr>
        <w:t> </w:t>
      </w:r>
      <w:r>
        <w:rPr>
          <w:spacing w:val="-66"/>
        </w:rPr>
      </w:r>
      <w:r>
        <w:rPr/>
        <w:t>级从</w:t>
      </w:r>
      <w:r>
        <w:rPr>
          <w:rFonts w:ascii="宋体" w:hAnsi="宋体" w:cs="宋体" w:eastAsia="宋体" w:hint="default"/>
        </w:rPr>
        <w:t>25W</w:t>
      </w:r>
      <w:r>
        <w:rPr/>
        <w:t>到</w:t>
      </w:r>
      <w:r>
        <w:rPr>
          <w:rFonts w:ascii="宋体" w:hAnsi="宋体" w:cs="宋体" w:eastAsia="宋体" w:hint="default"/>
        </w:rPr>
        <w:t>240W</w:t>
      </w:r>
      <w:r>
        <w:rPr/>
        <w:t>的全系列</w:t>
      </w:r>
      <w:r>
        <w:rPr>
          <w:rFonts w:ascii="宋体" w:hAnsi="宋体" w:cs="宋体" w:eastAsia="宋体" w:hint="default"/>
        </w:rPr>
        <w:t>dali</w:t>
      </w:r>
      <w:r>
        <w:rPr/>
        <w:t>电源主要应用于地铁、智慧城市照明等场景，并已获得</w:t>
      </w:r>
      <w:r>
        <w:rPr>
          <w:rFonts w:ascii="宋体" w:hAnsi="宋体" w:cs="宋体" w:eastAsia="宋体" w:hint="default"/>
        </w:rPr>
        <w:t>DALI</w:t>
      </w:r>
      <w:r>
        <w:rPr/>
        <w:t>会员认证。同时，研发推出新一代 </w:t>
      </w:r>
      <w:r>
        <w:rPr>
          <w:spacing w:val="-2"/>
        </w:rPr>
        <w:t>大功率非隔离电源</w:t>
      </w:r>
      <w:r>
        <w:rPr>
          <w:rFonts w:ascii="宋体" w:hAnsi="宋体" w:cs="宋体" w:eastAsia="宋体" w:hint="default"/>
          <w:spacing w:val="-2"/>
        </w:rPr>
        <w:t>LNC/LTN/LPN</w:t>
      </w:r>
      <w:r>
        <w:rPr>
          <w:spacing w:val="-2"/>
        </w:rPr>
        <w:t>等系列，产品覆盖多个功率段，多种应用场景，并进行标准化设计。</w:t>
      </w:r>
      <w:r>
        <w:rPr>
          <w:rFonts w:ascii="宋体" w:hAnsi="宋体" w:cs="宋体" w:eastAsia="宋体" w:hint="default"/>
          <w:spacing w:val="-2"/>
        </w:rPr>
        <w:t>2017</w:t>
      </w:r>
      <w:r>
        <w:rPr>
          <w:spacing w:val="-2"/>
        </w:rPr>
        <w:t>年度，</w:t>
      </w:r>
      <w:r>
        <w:rPr>
          <w:rFonts w:ascii="宋体" w:hAnsi="宋体" w:cs="宋体" w:eastAsia="宋体" w:hint="default"/>
          <w:spacing w:val="-2"/>
        </w:rPr>
        <w:t>LED</w:t>
      </w:r>
      <w:r>
        <w:rPr>
          <w:spacing w:val="-2"/>
        </w:rPr>
        <w:t>方面开发</w:t>
      </w:r>
      <w:r>
        <w:rPr>
          <w:spacing w:val="-48"/>
        </w:rPr>
        <w:t> </w:t>
      </w:r>
      <w:r>
        <w:rPr>
          <w:spacing w:val="-2"/>
        </w:rPr>
        <w:t>完成</w:t>
      </w:r>
      <w:r>
        <w:rPr>
          <w:rFonts w:ascii="宋体" w:hAnsi="宋体" w:cs="宋体" w:eastAsia="宋体" w:hint="default"/>
          <w:spacing w:val="-2"/>
        </w:rPr>
        <w:t>LED</w:t>
      </w:r>
      <w:r>
        <w:rPr>
          <w:spacing w:val="-2"/>
        </w:rPr>
        <w:t>驱动电源</w:t>
      </w:r>
      <w:r>
        <w:rPr>
          <w:rFonts w:ascii="宋体" w:hAnsi="宋体" w:cs="宋体" w:eastAsia="宋体" w:hint="default"/>
          <w:spacing w:val="-2"/>
        </w:rPr>
        <w:t>LUP</w:t>
      </w:r>
      <w:r>
        <w:rPr>
          <w:spacing w:val="-2"/>
        </w:rPr>
        <w:t>、</w:t>
      </w:r>
      <w:r>
        <w:rPr>
          <w:rFonts w:ascii="宋体" w:hAnsi="宋体" w:cs="宋体" w:eastAsia="宋体" w:hint="default"/>
          <w:spacing w:val="-2"/>
        </w:rPr>
        <w:t>LTP</w:t>
      </w:r>
      <w:r>
        <w:rPr>
          <w:spacing w:val="-2"/>
        </w:rPr>
        <w:t>（</w:t>
      </w:r>
      <w:r>
        <w:rPr>
          <w:rFonts w:ascii="宋体" w:hAnsi="宋体" w:cs="宋体" w:eastAsia="宋体" w:hint="default"/>
          <w:spacing w:val="-2"/>
        </w:rPr>
        <w:t>DALI</w:t>
      </w:r>
      <w:r>
        <w:rPr>
          <w:spacing w:val="-2"/>
        </w:rPr>
        <w:t>版）、</w:t>
      </w:r>
      <w:r>
        <w:rPr>
          <w:rFonts w:ascii="宋体" w:hAnsi="宋体" w:cs="宋体" w:eastAsia="宋体" w:hint="default"/>
          <w:spacing w:val="-2"/>
        </w:rPr>
        <w:t>EHC</w:t>
      </w:r>
      <w:r>
        <w:rPr>
          <w:spacing w:val="-2"/>
        </w:rPr>
        <w:t>、</w:t>
      </w:r>
      <w:r>
        <w:rPr>
          <w:rFonts w:ascii="宋体" w:hAnsi="宋体" w:cs="宋体" w:eastAsia="宋体" w:hint="default"/>
          <w:spacing w:val="-2"/>
        </w:rPr>
        <w:t>LTN</w:t>
      </w:r>
      <w:r>
        <w:rPr>
          <w:spacing w:val="-2"/>
        </w:rPr>
        <w:t>、</w:t>
      </w:r>
      <w:r>
        <w:rPr>
          <w:rFonts w:ascii="宋体" w:hAnsi="宋体" w:cs="宋体" w:eastAsia="宋体" w:hint="default"/>
          <w:spacing w:val="-2"/>
        </w:rPr>
        <w:t>MEP</w:t>
      </w:r>
      <w:r>
        <w:rPr>
          <w:spacing w:val="-2"/>
        </w:rPr>
        <w:t>等系列标准产品及多款客制品的开发，完成</w:t>
      </w:r>
      <w:r>
        <w:rPr>
          <w:rFonts w:ascii="宋体" w:hAnsi="宋体" w:cs="宋体" w:eastAsia="宋体" w:hint="default"/>
          <w:spacing w:val="-2"/>
        </w:rPr>
        <w:t>A</w:t>
      </w:r>
      <w:r>
        <w:rPr>
          <w:spacing w:val="-2"/>
        </w:rPr>
        <w:t>类</w:t>
      </w:r>
      <w:r>
        <w:rPr>
          <w:rFonts w:ascii="宋体" w:hAnsi="宋体" w:cs="宋体" w:eastAsia="宋体" w:hint="default"/>
          <w:spacing w:val="-2"/>
        </w:rPr>
        <w:t>60</w:t>
      </w:r>
      <w:r>
        <w:rPr>
          <w:spacing w:val="-2"/>
        </w:rPr>
        <w:t>款</w:t>
      </w:r>
      <w:r>
        <w:rPr>
          <w:rFonts w:ascii="宋体" w:hAnsi="宋体" w:cs="宋体" w:eastAsia="宋体" w:hint="default"/>
          <w:spacing w:val="-2"/>
        </w:rPr>
        <w:t>,B</w:t>
      </w:r>
      <w:r>
        <w:rPr>
          <w:spacing w:val="-2"/>
        </w:rPr>
        <w:t>类</w:t>
      </w:r>
      <w:r>
        <w:rPr>
          <w:rFonts w:ascii="宋体" w:hAnsi="宋体" w:cs="宋体" w:eastAsia="宋体" w:hint="default"/>
          <w:spacing w:val="-2"/>
        </w:rPr>
        <w:t>91</w:t>
      </w:r>
      <w:r>
        <w:rPr>
          <w:spacing w:val="-2"/>
        </w:rPr>
        <w:t>款</w:t>
      </w:r>
      <w:r>
        <w:rPr>
          <w:rFonts w:ascii="宋体" w:hAnsi="宋体" w:cs="宋体" w:eastAsia="宋体" w:hint="default"/>
          <w:spacing w:val="-2"/>
        </w:rPr>
        <w:t>;</w:t>
      </w:r>
      <w:r>
        <w:rPr>
          <w:spacing w:val="-2"/>
        </w:rPr>
        <w:t>合计建</w:t>
      </w:r>
      <w:r>
        <w:rPr>
          <w:spacing w:val="-37"/>
        </w:rPr>
        <w:t> </w:t>
      </w:r>
      <w:r>
        <w:rPr/>
        <w:t>立</w:t>
      </w:r>
      <w:r>
        <w:rPr>
          <w:rFonts w:ascii="宋体" w:hAnsi="宋体" w:cs="宋体" w:eastAsia="宋体" w:hint="default"/>
        </w:rPr>
        <w:t>655</w:t>
      </w:r>
      <w:r>
        <w:rPr/>
        <w:t>个成品料号</w:t>
      </w:r>
      <w:r>
        <w:rPr>
          <w:rFonts w:ascii="宋体" w:hAnsi="宋体" w:cs="宋体" w:eastAsia="宋体" w:hint="default"/>
        </w:rPr>
        <w:t>,</w:t>
      </w:r>
      <w:r>
        <w:rPr/>
        <w:t>出样</w:t>
      </w:r>
      <w:r>
        <w:rPr>
          <w:rFonts w:ascii="宋体" w:hAnsi="宋体" w:cs="宋体" w:eastAsia="宋体" w:hint="default"/>
        </w:rPr>
        <w:t>4633pcs</w:t>
      </w:r>
      <w:r>
        <w:rPr/>
        <w:t>样机，丰富了公司产品线，为客户灯具更新换代提供更多选择。同时基于集中控制理念的物 联网智能控制系统也进入了试产阶段。</w:t>
      </w:r>
    </w:p>
    <w:p>
      <w:pPr>
        <w:pStyle w:val="BodyText"/>
        <w:spacing w:line="316" w:lineRule="auto" w:before="19"/>
        <w:ind w:right="1042" w:firstLine="360"/>
        <w:jc w:val="left"/>
      </w:pPr>
      <w:r>
        <w:rPr/>
        <w:t>（</w:t>
      </w:r>
      <w:r>
        <w:rPr>
          <w:rFonts w:ascii="宋体" w:hAnsi="宋体" w:cs="宋体" w:eastAsia="宋体" w:hint="default"/>
        </w:rPr>
        <w:t>2</w:t>
      </w:r>
      <w:r>
        <w:rPr/>
        <w:t>）产品质量优势 </w:t>
      </w:r>
      <w:r>
        <w:rPr>
          <w:spacing w:val="-2"/>
        </w:rPr>
        <w:t>公司始终坚持“卓越设计、稳定可靠；持续改进，客户满意”的质量方针，对产品的质量方面严加把关，成立了专门的品质</w:t>
      </w:r>
      <w:r>
        <w:rPr>
          <w:spacing w:val="-72"/>
        </w:rPr>
        <w:t> </w:t>
      </w:r>
      <w:r>
        <w:rPr>
          <w:spacing w:val="-72"/>
        </w:rPr>
      </w:r>
      <w:r>
        <w:rPr>
          <w:spacing w:val="-2"/>
        </w:rPr>
        <w:t>中心负责实施质量管理体系工作，按照国际质量体系标准，实行涵盖整个公司业务的质量管理控制。公司及子公司先后通过</w:t>
      </w:r>
      <w:r>
        <w:rPr>
          <w:spacing w:val="-66"/>
        </w:rPr>
        <w:t> </w:t>
      </w:r>
      <w:r>
        <w:rPr>
          <w:spacing w:val="-66"/>
        </w:rPr>
      </w:r>
      <w:r>
        <w:rPr>
          <w:rFonts w:ascii="宋体" w:hAnsi="宋体" w:cs="宋体" w:eastAsia="宋体" w:hint="default"/>
        </w:rPr>
        <w:t>ISO9001</w:t>
      </w:r>
      <w:r>
        <w:rPr/>
        <w:t>质量管理体系认证与</w:t>
      </w:r>
      <w:r>
        <w:rPr>
          <w:rFonts w:ascii="宋体" w:hAnsi="宋体" w:cs="宋体" w:eastAsia="宋体" w:hint="default"/>
        </w:rPr>
        <w:t>ISO14001</w:t>
      </w:r>
      <w:r>
        <w:rPr/>
        <w:t>环境管理体系认证，同时，公司已取得世界权威机构颁发的</w:t>
      </w:r>
      <w:r>
        <w:rPr>
          <w:rFonts w:ascii="宋体" w:hAnsi="宋体" w:cs="宋体" w:eastAsia="宋体" w:hint="default"/>
        </w:rPr>
        <w:t>UL</w:t>
      </w:r>
      <w:r>
        <w:rPr/>
        <w:t>、</w:t>
      </w:r>
      <w:r>
        <w:rPr>
          <w:rFonts w:ascii="宋体" w:hAnsi="宋体" w:cs="宋体" w:eastAsia="宋体" w:hint="default"/>
        </w:rPr>
        <w:t>C-UL</w:t>
      </w:r>
      <w:r>
        <w:rPr/>
        <w:t>、</w:t>
      </w:r>
      <w:r>
        <w:rPr>
          <w:rFonts w:ascii="宋体" w:hAnsi="宋体" w:cs="宋体" w:eastAsia="宋体" w:hint="default"/>
        </w:rPr>
        <w:t>GS</w:t>
      </w:r>
      <w:r>
        <w:rPr/>
        <w:t>、</w:t>
      </w:r>
      <w:r>
        <w:rPr>
          <w:rFonts w:ascii="宋体" w:hAnsi="宋体" w:cs="宋体" w:eastAsia="宋体" w:hint="default"/>
        </w:rPr>
        <w:t>BS</w:t>
      </w:r>
      <w:r>
        <w:rPr/>
        <w:t>、</w:t>
      </w:r>
      <w:r>
        <w:rPr>
          <w:rFonts w:ascii="宋体" w:hAnsi="宋体" w:cs="宋体" w:eastAsia="宋体" w:hint="default"/>
        </w:rPr>
        <w:t>CE</w:t>
      </w:r>
      <w:r>
        <w:rPr/>
        <w:t>、 </w:t>
      </w:r>
      <w:r>
        <w:rPr>
          <w:rFonts w:ascii="宋体" w:hAnsi="宋体" w:cs="宋体" w:eastAsia="宋体" w:hint="default"/>
        </w:rPr>
        <w:t>CB</w:t>
      </w:r>
      <w:r>
        <w:rPr/>
        <w:t>、</w:t>
      </w:r>
      <w:r>
        <w:rPr>
          <w:rFonts w:ascii="宋体" w:hAnsi="宋体" w:cs="宋体" w:eastAsia="宋体" w:hint="default"/>
        </w:rPr>
        <w:t>CCC</w:t>
      </w:r>
      <w:r>
        <w:rPr/>
        <w:t>、</w:t>
      </w:r>
      <w:r>
        <w:rPr>
          <w:rFonts w:ascii="宋体" w:hAnsi="宋体" w:cs="宋体" w:eastAsia="宋体" w:hint="default"/>
        </w:rPr>
        <w:t>PSE</w:t>
      </w:r>
      <w:r>
        <w:rPr/>
        <w:t>等多个国家和地区的安全认证。公司所有电源产品完全满足世界最新能效标准和欧盟</w:t>
      </w:r>
      <w:r>
        <w:rPr>
          <w:rFonts w:ascii="宋体" w:hAnsi="宋体" w:cs="宋体" w:eastAsia="宋体" w:hint="default"/>
        </w:rPr>
        <w:t>ROHS</w:t>
      </w:r>
      <w:r>
        <w:rPr/>
        <w:t>环保要求。 </w:t>
      </w:r>
      <w:r>
        <w:rPr>
          <w:spacing w:val="-2"/>
        </w:rPr>
        <w:t>对于品质近乎苛刻的要求是茂硕人坚持不懈的追求，茂硕拥有总占地面积</w:t>
      </w:r>
      <w:r>
        <w:rPr>
          <w:rFonts w:ascii="宋体" w:hAnsi="宋体" w:cs="宋体" w:eastAsia="宋体" w:hint="default"/>
          <w:spacing w:val="-2"/>
        </w:rPr>
        <w:t>1000</w:t>
      </w:r>
      <w:r>
        <w:rPr>
          <w:spacing w:val="-2"/>
        </w:rPr>
        <w:t>多平方米、投资超过</w:t>
      </w:r>
      <w:r>
        <w:rPr>
          <w:rFonts w:ascii="宋体" w:hAnsi="宋体" w:cs="宋体" w:eastAsia="宋体" w:hint="default"/>
          <w:spacing w:val="-2"/>
        </w:rPr>
        <w:t>3000</w:t>
      </w:r>
      <w:r>
        <w:rPr>
          <w:spacing w:val="-2"/>
        </w:rPr>
        <w:t>万元的国家级第三方</w:t>
      </w:r>
      <w:r>
        <w:rPr>
          <w:spacing w:val="-56"/>
        </w:rPr>
        <w:t> </w:t>
      </w:r>
      <w:r>
        <w:rPr>
          <w:spacing w:val="-4"/>
        </w:rPr>
        <w:t>检测中心，全面导入</w:t>
      </w:r>
      <w:r>
        <w:rPr>
          <w:rFonts w:ascii="宋体" w:hAnsi="宋体" w:cs="宋体" w:eastAsia="宋体" w:hint="default"/>
          <w:spacing w:val="-4"/>
        </w:rPr>
        <w:t>CNAS</w:t>
      </w:r>
      <w:r>
        <w:rPr>
          <w:spacing w:val="-4"/>
        </w:rPr>
        <w:t>实验室管理体系。该检测中心被认定为深圳市企业技术中心，承担了多个省市级重大技术攻关项目。</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130"/>
        <w:jc w:val="left"/>
      </w:pPr>
      <w:r>
        <w:rPr/>
        <w:t>（</w:t>
      </w:r>
      <w:r>
        <w:rPr>
          <w:rFonts w:ascii="宋体" w:hAnsi="宋体" w:cs="宋体" w:eastAsia="宋体" w:hint="default"/>
        </w:rPr>
        <w:t>3</w:t>
      </w:r>
      <w:r>
        <w:rPr/>
        <w:t>）品牌影响力 </w:t>
      </w:r>
      <w:r>
        <w:rPr>
          <w:spacing w:val="-2"/>
        </w:rPr>
        <w:t>品牌是企业的软实力，更是企业的核心竞争力。公司一直把建立和完善企业的品牌形象做为长期发展战略的重要组成部</w:t>
      </w:r>
    </w:p>
    <w:p>
      <w:pPr>
        <w:pStyle w:val="BodyText"/>
        <w:spacing w:line="319" w:lineRule="auto" w:before="19"/>
        <w:ind w:left="154" w:right="1133"/>
        <w:jc w:val="both"/>
      </w:pPr>
      <w:r>
        <w:rPr>
          <w:spacing w:val="-2"/>
        </w:rPr>
        <w:t>分，公司以“品牌电源、诚信共赢”为基调，紧紧围绕品牌定位、品牌差异化、品牌可持续、品牌文化等四大方面，整合内</w:t>
      </w:r>
      <w:r>
        <w:rPr>
          <w:spacing w:val="-69"/>
        </w:rPr>
        <w:t> </w:t>
      </w:r>
      <w:r>
        <w:rPr>
          <w:spacing w:val="-69"/>
        </w:rPr>
      </w:r>
      <w:r>
        <w:rPr>
          <w:spacing w:val="-2"/>
        </w:rPr>
        <w:t>外资源，结合国内外市场分析，加强对新材料、新方案、新工艺等技术研发的力度，加大对公司、产品、客户等多元化宣传</w:t>
      </w:r>
      <w:r>
        <w:rPr>
          <w:spacing w:val="-72"/>
        </w:rPr>
        <w:t> </w:t>
      </w:r>
      <w:r>
        <w:rPr>
          <w:spacing w:val="-72"/>
        </w:rPr>
      </w:r>
      <w:r>
        <w:rPr/>
        <w:t>的力度，形成了有效的品牌壁垒。</w:t>
      </w:r>
    </w:p>
    <w:p>
      <w:pPr>
        <w:pStyle w:val="BodyText"/>
        <w:spacing w:line="316" w:lineRule="auto" w:before="17"/>
        <w:ind w:right="1130" w:firstLine="360"/>
        <w:jc w:val="both"/>
      </w:pPr>
      <w:r>
        <w:rPr>
          <w:rFonts w:ascii="宋体" w:hAnsi="宋体" w:cs="宋体" w:eastAsia="宋体" w:hint="default"/>
        </w:rPr>
        <w:t>2017</w:t>
      </w:r>
      <w:r>
        <w:rPr/>
        <w:t>年</w:t>
      </w:r>
      <w:r>
        <w:rPr>
          <w:rFonts w:ascii="宋体" w:hAnsi="宋体" w:cs="宋体" w:eastAsia="宋体" w:hint="default"/>
        </w:rPr>
        <w:t>5</w:t>
      </w:r>
      <w:r>
        <w:rPr/>
        <w:t>月，茂硕电源入选“</w:t>
      </w:r>
      <w:r>
        <w:rPr>
          <w:rFonts w:ascii="宋体" w:hAnsi="宋体" w:cs="宋体" w:eastAsia="宋体" w:hint="default"/>
        </w:rPr>
        <w:t>2017</w:t>
      </w:r>
      <w:r>
        <w:rPr/>
        <w:t>中国品牌</w:t>
      </w:r>
      <w:r>
        <w:rPr>
          <w:rFonts w:ascii="宋体" w:hAnsi="宋体" w:cs="宋体" w:eastAsia="宋体" w:hint="default"/>
        </w:rPr>
        <w:t>500</w:t>
      </w:r>
      <w:r>
        <w:rPr/>
        <w:t>强”榜单，同时被评为“</w:t>
      </w:r>
      <w:r>
        <w:rPr>
          <w:rFonts w:ascii="宋体" w:hAnsi="宋体" w:cs="宋体" w:eastAsia="宋体" w:hint="default"/>
        </w:rPr>
        <w:t>2017</w:t>
      </w:r>
      <w:r>
        <w:rPr/>
        <w:t>中国十大影响力品牌”；</w:t>
      </w:r>
      <w:r>
        <w:rPr>
          <w:rFonts w:ascii="宋体" w:hAnsi="宋体" w:cs="宋体" w:eastAsia="宋体" w:hint="default"/>
        </w:rPr>
        <w:t>2017</w:t>
      </w:r>
      <w:r>
        <w:rPr/>
        <w:t>年</w:t>
      </w:r>
      <w:r>
        <w:rPr>
          <w:rFonts w:ascii="宋体" w:hAnsi="宋体" w:cs="宋体" w:eastAsia="宋体" w:hint="default"/>
        </w:rPr>
        <w:t>6</w:t>
      </w:r>
      <w:r>
        <w:rPr/>
        <w:t>月，“茂 </w:t>
      </w:r>
      <w:r>
        <w:rPr>
          <w:spacing w:val="-3"/>
        </w:rPr>
        <w:t>硕”及“</w:t>
      </w:r>
      <w:r>
        <w:rPr>
          <w:rFonts w:ascii="宋体" w:hAnsi="宋体" w:cs="宋体" w:eastAsia="宋体" w:hint="default"/>
          <w:spacing w:val="-3"/>
        </w:rPr>
        <w:t>MOSO</w:t>
      </w:r>
      <w:r>
        <w:rPr>
          <w:spacing w:val="-3"/>
        </w:rPr>
        <w:t>”商标被国家工商行政管理总局商标评审委员会认定为『中国驰名商标』；</w:t>
      </w:r>
      <w:r>
        <w:rPr>
          <w:rFonts w:ascii="宋体" w:hAnsi="宋体" w:cs="宋体" w:eastAsia="宋体" w:hint="default"/>
          <w:spacing w:val="-3"/>
        </w:rPr>
        <w:t>2017</w:t>
      </w:r>
      <w:r>
        <w:rPr>
          <w:spacing w:val="-3"/>
        </w:rPr>
        <w:t>年</w:t>
      </w:r>
      <w:r>
        <w:rPr>
          <w:rFonts w:ascii="宋体" w:hAnsi="宋体" w:cs="宋体" w:eastAsia="宋体" w:hint="default"/>
          <w:spacing w:val="-3"/>
        </w:rPr>
        <w:t>7</w:t>
      </w:r>
      <w:r>
        <w:rPr>
          <w:spacing w:val="-3"/>
        </w:rPr>
        <w:t>月，“茂硕”商标通过『广</w:t>
      </w:r>
      <w:r>
        <w:rPr>
          <w:spacing w:val="-88"/>
        </w:rPr>
        <w:t> </w:t>
      </w:r>
      <w:r>
        <w:rPr>
          <w:spacing w:val="-88"/>
        </w:rPr>
      </w:r>
      <w:r>
        <w:rPr/>
        <w:t>东省著名商标』延续认定，实现自</w:t>
      </w:r>
      <w:r>
        <w:rPr>
          <w:rFonts w:ascii="宋体" w:hAnsi="宋体" w:cs="宋体" w:eastAsia="宋体" w:hint="default"/>
        </w:rPr>
        <w:t>2014</w:t>
      </w:r>
      <w:r>
        <w:rPr/>
        <w:t>年起连续两届获得认定；</w:t>
      </w:r>
      <w:r>
        <w:rPr>
          <w:rFonts w:ascii="宋体" w:hAnsi="宋体" w:cs="宋体" w:eastAsia="宋体" w:hint="default"/>
        </w:rPr>
        <w:t>2017 </w:t>
      </w:r>
      <w:r>
        <w:rPr/>
        <w:t>年</w:t>
      </w:r>
      <w:r>
        <w:rPr>
          <w:rFonts w:ascii="宋体" w:hAnsi="宋体" w:cs="宋体" w:eastAsia="宋体" w:hint="default"/>
        </w:rPr>
        <w:t>9 </w:t>
      </w:r>
      <w:r>
        <w:rPr/>
        <w:t>月，茂硕电源凭借强劲的综合实力荣登“粤港澳 </w:t>
      </w:r>
      <w:r>
        <w:rPr>
          <w:spacing w:val="-2"/>
        </w:rPr>
        <w:t>大湾区品牌</w:t>
      </w:r>
      <w:r>
        <w:rPr>
          <w:rFonts w:ascii="宋体" w:hAnsi="宋体" w:cs="宋体" w:eastAsia="宋体" w:hint="default"/>
          <w:spacing w:val="-2"/>
        </w:rPr>
        <w:t>100</w:t>
      </w:r>
      <w:r>
        <w:rPr>
          <w:spacing w:val="-2"/>
        </w:rPr>
        <w:t>强”榜单；</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月，入选“深圳市南山区高层次创新型人才实训基地”挂牌企业名单；</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月，茂硕</w:t>
      </w:r>
      <w:r>
        <w:rPr>
          <w:spacing w:val="-56"/>
        </w:rPr>
        <w:t> </w:t>
      </w:r>
      <w:r>
        <w:rPr>
          <w:spacing w:val="-56"/>
        </w:rPr>
      </w:r>
      <w:r>
        <w:rPr/>
        <w:t>电源获“</w:t>
      </w:r>
      <w:r>
        <w:rPr>
          <w:rFonts w:ascii="宋体" w:hAnsi="宋体" w:cs="宋体" w:eastAsia="宋体" w:hint="default"/>
        </w:rPr>
        <w:t>2017</w:t>
      </w:r>
      <w:r>
        <w:rPr/>
        <w:t>年度十大优秀高新技术企业之最具影响力品牌奖”。</w:t>
      </w:r>
    </w:p>
    <w:p>
      <w:pPr>
        <w:pStyle w:val="BodyText"/>
        <w:spacing w:line="240" w:lineRule="auto" w:before="19"/>
        <w:ind w:left="604" w:right="1130"/>
        <w:jc w:val="left"/>
      </w:pPr>
      <w:r>
        <w:rPr/>
        <w:t>“茂硕电源”已成为行业知名品牌，已经得到市场和客户的广泛认可，在同行中已经享有较高的知名度和美誉度。</w:t>
      </w:r>
    </w:p>
    <w:p>
      <w:pPr>
        <w:spacing w:line="240" w:lineRule="auto" w:before="0"/>
        <w:rPr>
          <w:rFonts w:ascii="宋体" w:hAnsi="宋体" w:cs="宋体" w:eastAsia="宋体" w:hint="default"/>
          <w:sz w:val="18"/>
          <w:szCs w:val="18"/>
        </w:rPr>
      </w:pPr>
    </w:p>
    <w:p>
      <w:pPr>
        <w:pStyle w:val="BodyText"/>
        <w:spacing w:line="316" w:lineRule="auto" w:before="153"/>
        <w:ind w:left="514" w:right="1130"/>
        <w:jc w:val="left"/>
      </w:pPr>
      <w:r>
        <w:rPr/>
        <w:t>（</w:t>
      </w:r>
      <w:r>
        <w:rPr>
          <w:rFonts w:ascii="宋体" w:hAnsi="宋体" w:cs="宋体" w:eastAsia="宋体" w:hint="default"/>
        </w:rPr>
        <w:t>4</w:t>
      </w:r>
      <w:r>
        <w:rPr/>
        <w:t>）团队及公司治理优势 </w:t>
      </w:r>
      <w:r>
        <w:rPr>
          <w:spacing w:val="-2"/>
        </w:rPr>
        <w:t>公司大力引进研发、销售、制造、品质等方面的专业人才，扩招的管理人才基本是在行业的资深人士；管理骨干综合素</w:t>
      </w:r>
    </w:p>
    <w:p>
      <w:pPr>
        <w:pStyle w:val="BodyText"/>
        <w:spacing w:line="316" w:lineRule="auto" w:before="19"/>
        <w:ind w:right="1033"/>
        <w:jc w:val="left"/>
      </w:pPr>
      <w:r>
        <w:rPr/>
        <w:t>质高，能对公司的规划制度提出有效的建议，并高效实施公司的发展战略，维持公司的健康运营。 </w:t>
      </w:r>
      <w:r>
        <w:rPr>
          <w:spacing w:val="-4"/>
        </w:rPr>
        <w:t>公司治理结构规范，形成了一套规范化、标准化、流程化生产管理制度。公司重视团队文化建设，打造“责任、激情、行动、</w:t>
      </w:r>
      <w:r>
        <w:rPr>
          <w:spacing w:val="-46"/>
        </w:rPr>
        <w:t> </w:t>
      </w:r>
      <w:r>
        <w:rPr>
          <w:spacing w:val="-46"/>
        </w:rPr>
      </w:r>
      <w:r>
        <w:rPr/>
        <w:t>共赢”的企业文化，结合公司实际情况，在管理上采用传统模式加阿米巴相结合的管理模式，充分激励员工的主观能动性，</w:t>
      </w:r>
      <w:r>
        <w:rPr/>
        <w:t> 为公司的可持续发展奠定了稳定、坚实的基础。</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13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3" w:firstLine="360"/>
        <w:jc w:val="left"/>
      </w:pPr>
      <w:r>
        <w:rPr>
          <w:rFonts w:ascii="Times New Roman" w:hAnsi="Times New Roman" w:cs="Times New Roman" w:eastAsia="Times New Roman" w:hint="default"/>
        </w:rPr>
        <w:t>2017</w:t>
      </w:r>
      <w:r>
        <w:rPr/>
        <w:t>年，是公司业绩平稳增长的一年。管理团队带领全员创新、务实，扎扎实实改良内部管理、大力引进高优秀人才、 提升产品供应能力。</w:t>
      </w:r>
    </w:p>
    <w:p>
      <w:pPr>
        <w:pStyle w:val="BodyText"/>
        <w:spacing w:line="316" w:lineRule="auto" w:before="31"/>
        <w:ind w:right="1025" w:firstLine="300"/>
        <w:jc w:val="left"/>
      </w:pPr>
      <w:r>
        <w:rPr/>
        <w:t>报告期内，公司业务在产能及效率上稳步提升，销售业绩保持较大幅度增长，主要源自公司重新构建销售团队架构，突 </w:t>
      </w:r>
      <w:r>
        <w:rPr>
          <w:spacing w:val="-1"/>
        </w:rPr>
        <w:t>出以客户为中心，针对满足客户需求构建销售团队和市场支持团队。增设西安研发中心、聘用高端技术人才，</w:t>
      </w:r>
      <w:r>
        <w:rPr>
          <w:spacing w:val="-34"/>
        </w:rPr>
        <w:t> </w:t>
      </w:r>
      <w:r>
        <w:rPr/>
        <w:t>并整合研发、</w:t>
      </w:r>
      <w:r>
        <w:rPr/>
        <w:t> </w:t>
      </w:r>
      <w:r>
        <w:rPr>
          <w:spacing w:val="-2"/>
        </w:rPr>
        <w:t>销售资源，让研发人员更多的参与市场活动，从而更准确的把握客户需求，力求实现客户需求、产品研发、市场开拓无缝衔</w:t>
      </w:r>
      <w:r>
        <w:rPr>
          <w:spacing w:val="-66"/>
        </w:rPr>
        <w:t> </w:t>
      </w:r>
      <w:r>
        <w:rPr>
          <w:spacing w:val="-66"/>
        </w:rPr>
      </w:r>
      <w:r>
        <w:rPr>
          <w:spacing w:val="-2"/>
        </w:rPr>
        <w:t>接。重点梳理产品交付流程，力求缩短交付时间，提高客户满意度。提升供应链服务销售的能力，将品质经理纳入到客户服</w:t>
      </w:r>
      <w:r>
        <w:rPr>
          <w:spacing w:val="-66"/>
        </w:rPr>
        <w:t> </w:t>
      </w:r>
      <w:r>
        <w:rPr>
          <w:spacing w:val="-66"/>
        </w:rPr>
      </w:r>
      <w:r>
        <w:rPr/>
        <w:t>务团队，重点紧盯产品品质，团队协作为客户提供</w:t>
      </w:r>
      <w:r>
        <w:rPr>
          <w:rFonts w:ascii="Times New Roman" w:hAnsi="Times New Roman" w:cs="Times New Roman" w:eastAsia="Times New Roman" w:hint="default"/>
        </w:rPr>
        <w:t>“</w:t>
      </w:r>
      <w:r>
        <w:rPr/>
        <w:t>价格公道、品质优良</w:t>
      </w:r>
      <w:r>
        <w:rPr>
          <w:rFonts w:ascii="Times New Roman" w:hAnsi="Times New Roman" w:cs="Times New Roman" w:eastAsia="Times New Roman" w:hint="default"/>
        </w:rPr>
        <w:t>”</w:t>
      </w:r>
      <w:r>
        <w:rPr/>
        <w:t>的产品。</w:t>
      </w:r>
    </w:p>
    <w:p>
      <w:pPr>
        <w:pStyle w:val="BodyText"/>
        <w:spacing w:line="307" w:lineRule="auto"/>
        <w:ind w:left="154" w:right="1128" w:firstLine="300"/>
        <w:jc w:val="both"/>
      </w:pPr>
      <w:r>
        <w:rPr>
          <w:spacing w:val="-1"/>
        </w:rPr>
        <w:t>在荣耀的背后，我们也看到危机，</w:t>
      </w:r>
      <w:r>
        <w:rPr>
          <w:rFonts w:ascii="Times New Roman" w:hAnsi="Times New Roman" w:cs="Times New Roman" w:eastAsia="Times New Roman" w:hint="default"/>
          <w:spacing w:val="-1"/>
        </w:rPr>
        <w:t>2017</w:t>
      </w:r>
      <w:r>
        <w:rPr>
          <w:spacing w:val="-1"/>
        </w:rPr>
        <w:t>年虽然在销售业绩上有显著增长，但利润增长相对平缓，主要原因是较大程度让</w:t>
      </w:r>
      <w:r>
        <w:rPr/>
        <w:t> </w:t>
      </w:r>
      <w:r>
        <w:rPr>
          <w:spacing w:val="-2"/>
        </w:rPr>
        <w:t>利给了客户（包括渠道商）、原材料的持续上涨及市场价格整体下扬，同时为了保障产品质量付出较大管理成本，后续我们</w:t>
      </w:r>
      <w:r>
        <w:rPr>
          <w:spacing w:val="-65"/>
        </w:rPr>
        <w:t> </w:t>
      </w:r>
      <w:r>
        <w:rPr>
          <w:spacing w:val="-65"/>
        </w:rPr>
      </w:r>
      <w:r>
        <w:rPr/>
        <w:t>在稳固的质量体系下持续为客户提供有品牌价值的服务，取得合理的利润，更好地留住老客户、引入新的大客户，使</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年及后期可预见持续增长。</w:t>
      </w:r>
    </w:p>
    <w:p>
      <w:pPr>
        <w:pStyle w:val="BodyText"/>
        <w:spacing w:line="309" w:lineRule="auto" w:before="26"/>
        <w:ind w:right="1130" w:firstLine="300"/>
        <w:jc w:val="left"/>
      </w:pPr>
      <w:r>
        <w:rPr>
          <w:spacing w:val="-1"/>
        </w:rPr>
        <w:t>为促进公司战略实施与管理提升，充分发挥全面预算管理的资源整合功能，提高公司运营效率、质量和竞争能力，加强</w:t>
      </w:r>
      <w:r>
        <w:rPr/>
        <w:t> </w:t>
      </w:r>
      <w:r>
        <w:rPr>
          <w:spacing w:val="-1"/>
        </w:rPr>
        <w:t>风险管控，公司与重要子公司签订</w:t>
      </w:r>
      <w:r>
        <w:rPr>
          <w:rFonts w:ascii="Times New Roman" w:hAnsi="Times New Roman" w:cs="Times New Roman" w:eastAsia="Times New Roman" w:hint="default"/>
          <w:spacing w:val="-1"/>
        </w:rPr>
        <w:t>2018</w:t>
      </w:r>
      <w:r>
        <w:rPr>
          <w:spacing w:val="-1"/>
        </w:rPr>
        <w:t>年度预算管理及</w:t>
      </w:r>
      <w:r>
        <w:rPr>
          <w:rFonts w:ascii="Times New Roman" w:hAnsi="Times New Roman" w:cs="Times New Roman" w:eastAsia="Times New Roman" w:hint="default"/>
          <w:spacing w:val="-1"/>
        </w:rPr>
        <w:t>KPI</w:t>
      </w:r>
      <w:r>
        <w:rPr>
          <w:spacing w:val="-1"/>
        </w:rPr>
        <w:t>，在联合行动和运营的方式下，以减少浪费为主题，降低成本费</w:t>
      </w:r>
      <w:r>
        <w:rPr>
          <w:spacing w:val="-50"/>
        </w:rPr>
        <w:t> </w:t>
      </w:r>
      <w:r>
        <w:rPr>
          <w:spacing w:val="-50"/>
        </w:rPr>
      </w:r>
      <w:r>
        <w:rPr/>
        <w:t>用、优化资源配置，强化内部控制为手段，来提高公司整体的经济效益。 </w:t>
      </w:r>
      <w:r>
        <w:rPr>
          <w:spacing w:val="-2"/>
        </w:rPr>
        <w:t>信息化方面，</w:t>
      </w:r>
      <w:r>
        <w:rPr>
          <w:rFonts w:ascii="Times New Roman" w:hAnsi="Times New Roman" w:cs="Times New Roman" w:eastAsia="Times New Roman" w:hint="default"/>
          <w:spacing w:val="-2"/>
        </w:rPr>
        <w:t>SAP</w:t>
      </w:r>
      <w:r>
        <w:rPr>
          <w:spacing w:val="-2"/>
        </w:rPr>
        <w:t>系统第五期项目成功上线；自主开发并实施上线</w:t>
      </w:r>
      <w:r>
        <w:rPr>
          <w:rFonts w:ascii="Times New Roman" w:hAnsi="Times New Roman" w:cs="Times New Roman" w:eastAsia="Times New Roman" w:hint="default"/>
          <w:spacing w:val="-2"/>
        </w:rPr>
        <w:t>SRM</w:t>
      </w:r>
      <w:r>
        <w:rPr>
          <w:spacing w:val="-2"/>
        </w:rPr>
        <w:t>系统。实现采购招标管理，采购订单管理等信息化平</w:t>
      </w:r>
      <w:r>
        <w:rPr>
          <w:spacing w:val="-54"/>
        </w:rPr>
        <w:t> </w:t>
      </w:r>
      <w:r>
        <w:rPr>
          <w:spacing w:val="-54"/>
        </w:rPr>
      </w:r>
      <w:r>
        <w:rPr/>
        <w:t>台，为进一步降低采购成本奠定了基础。</w:t>
      </w:r>
    </w:p>
    <w:p>
      <w:pPr>
        <w:pStyle w:val="BodyText"/>
        <w:spacing w:line="309" w:lineRule="auto" w:before="24"/>
        <w:ind w:right="1131" w:firstLine="360"/>
        <w:jc w:val="both"/>
      </w:pPr>
      <w:r>
        <w:rPr>
          <w:spacing w:val="-2"/>
        </w:rPr>
        <w:t>公司在稳固现有客户的同时持续推进公司品牌推广与渠道建设，经全面认真的市场调研制定精准的广告投放策略及量身</w:t>
      </w:r>
      <w:r>
        <w:rPr/>
        <w:t> 制定活动推广方案，通过参加国内外知名展会与召开新产品发布会</w:t>
      </w:r>
      <w:r>
        <w:rPr>
          <w:rFonts w:ascii="Times New Roman" w:hAnsi="Times New Roman" w:cs="Times New Roman" w:eastAsia="Times New Roman" w:hint="default"/>
        </w:rPr>
        <w:t>/</w:t>
      </w:r>
      <w:r>
        <w:rPr/>
        <w:t>推介会全面地展示公司产品与形象，进一步扩大品牌影</w:t>
      </w:r>
      <w:r>
        <w:rPr>
          <w:spacing w:val="-47"/>
        </w:rPr>
        <w:t> </w:t>
      </w:r>
      <w:r>
        <w:rPr>
          <w:spacing w:val="-47"/>
        </w:rPr>
      </w:r>
      <w:r>
        <w:rPr/>
        <w:t>响力。</w:t>
      </w:r>
    </w:p>
    <w:p>
      <w:pPr>
        <w:pStyle w:val="BodyText"/>
        <w:spacing w:line="297" w:lineRule="auto" w:before="24"/>
        <w:ind w:right="1025" w:firstLine="420"/>
        <w:jc w:val="left"/>
        <w:rPr>
          <w:sz w:val="21"/>
          <w:szCs w:val="21"/>
        </w:rPr>
      </w:pPr>
      <w:r>
        <w:rPr>
          <w:spacing w:val="-1"/>
        </w:rPr>
        <w:t>报告期，公司在努力做好主业的同时，根据市场情况和自身发展的实际需要充分利用好资本市场平台，优化资本结构，</w:t>
      </w:r>
      <w:r>
        <w:rPr/>
        <w:t> </w:t>
      </w:r>
      <w:r>
        <w:rPr>
          <w:spacing w:val="-2"/>
        </w:rPr>
        <w:t>促进公司可持续发展。</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日，公司收到深圳证券交易所出具的《关于茂硕电源科技股份有限公司</w:t>
      </w:r>
      <w:r>
        <w:rPr>
          <w:rFonts w:ascii="Times New Roman" w:hAnsi="Times New Roman" w:cs="Times New Roman" w:eastAsia="Times New Roman" w:hint="default"/>
          <w:spacing w:val="-2"/>
        </w:rPr>
        <w:t>2017</w:t>
      </w:r>
      <w:r>
        <w:rPr>
          <w:spacing w:val="-2"/>
        </w:rPr>
        <w:t>年非公开发</w:t>
      </w:r>
      <w:r>
        <w:rPr>
          <w:spacing w:val="-54"/>
        </w:rPr>
        <w:t> </w:t>
      </w:r>
      <w:r>
        <w:rPr>
          <w:spacing w:val="-2"/>
        </w:rPr>
        <w:t>行公司债券符合深交所转让条件的无异议函》（深证函（</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455</w:t>
      </w:r>
      <w:r>
        <w:rPr>
          <w:spacing w:val="-2"/>
        </w:rPr>
        <w:t>号，对公司申请确认发行面值不超过</w:t>
      </w:r>
      <w:r>
        <w:rPr>
          <w:rFonts w:ascii="Times New Roman" w:hAnsi="Times New Roman" w:cs="Times New Roman" w:eastAsia="Times New Roman" w:hint="default"/>
          <w:spacing w:val="-2"/>
        </w:rPr>
        <w:t>3</w:t>
      </w:r>
      <w:r>
        <w:rPr>
          <w:spacing w:val="-2"/>
        </w:rPr>
        <w:t>亿元人民币的</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7"/>
        </w:rPr>
        <w:t> </w:t>
      </w:r>
      <w:r>
        <w:rPr/>
        <w:t>年非公开发行公司债券无异议。</w:t>
      </w:r>
      <w:r>
        <w:rPr>
          <w:sz w:val="21"/>
          <w:szCs w:val="21"/>
        </w:rPr>
        <w:t>目前，该事项正在进行中。</w:t>
      </w:r>
    </w:p>
    <w:p>
      <w:pPr>
        <w:pStyle w:val="BodyText"/>
        <w:spacing w:line="316" w:lineRule="auto" w:before="12"/>
        <w:ind w:right="1130" w:firstLine="360"/>
        <w:jc w:val="both"/>
      </w:pPr>
      <w:r>
        <w:rPr>
          <w:spacing w:val="-2"/>
        </w:rPr>
        <w:t>报告期内，公司与前海九派共同设立基金，根据公司战略布局调整，通过基金平台，紧跟市场形势，围绕投资热点，寻</w:t>
      </w:r>
      <w:r>
        <w:rPr/>
        <w:t> </w:t>
      </w:r>
      <w:r>
        <w:rPr>
          <w:spacing w:val="-2"/>
        </w:rPr>
        <w:t>找盈利性强、成长性高的投资标的，通过增资或股权转让的方式持有投资标的股权，待时机成熟后推进产业并购工作，为公</w:t>
      </w:r>
      <w:r>
        <w:rPr>
          <w:spacing w:val="-66"/>
        </w:rPr>
        <w:t> </w:t>
      </w:r>
      <w:r>
        <w:rPr>
          <w:spacing w:val="-66"/>
        </w:rPr>
      </w:r>
      <w:r>
        <w:rPr>
          <w:spacing w:val="-2"/>
        </w:rPr>
        <w:t>司可持续发展寻求新的发展方向，有利于公司分散经营风险，培育新的持续增长的利润来源，增强公司盈利能力和综合竞争</w:t>
      </w:r>
      <w:r>
        <w:rPr>
          <w:spacing w:val="-66"/>
        </w:rPr>
        <w:t> </w:t>
      </w:r>
      <w:r>
        <w:rPr>
          <w:spacing w:val="-66"/>
        </w:rPr>
      </w:r>
      <w:r>
        <w:rPr/>
        <w:t>实力。</w:t>
      </w:r>
    </w:p>
    <w:p>
      <w:pPr>
        <w:pStyle w:val="BodyText"/>
        <w:spacing w:line="300" w:lineRule="auto" w:before="19"/>
        <w:ind w:left="154" w:right="1139" w:firstLine="290"/>
        <w:jc w:val="both"/>
      </w:pPr>
      <w:r>
        <w:rPr>
          <w:spacing w:val="-1"/>
        </w:rPr>
        <w:t>本报告期实现营业总收入</w:t>
      </w:r>
      <w:r>
        <w:rPr>
          <w:rFonts w:ascii="Times New Roman" w:hAnsi="Times New Roman" w:cs="Times New Roman" w:eastAsia="Times New Roman" w:hint="default"/>
          <w:spacing w:val="-1"/>
        </w:rPr>
        <w:t>1,652,076,282.01</w:t>
      </w:r>
      <w:r>
        <w:rPr>
          <w:spacing w:val="-1"/>
        </w:rPr>
        <w:t>元，同比增长</w:t>
      </w:r>
      <w:r>
        <w:rPr>
          <w:rFonts w:ascii="Times New Roman" w:hAnsi="Times New Roman" w:cs="Times New Roman" w:eastAsia="Times New Roman" w:hint="default"/>
          <w:spacing w:val="-1"/>
        </w:rPr>
        <w:t>27.77%</w:t>
      </w:r>
      <w:r>
        <w:rPr>
          <w:spacing w:val="-1"/>
        </w:rPr>
        <w:t>；营业利润</w:t>
      </w:r>
      <w:r>
        <w:rPr>
          <w:rFonts w:ascii="Times New Roman" w:hAnsi="Times New Roman" w:cs="Times New Roman" w:eastAsia="Times New Roman" w:hint="default"/>
          <w:spacing w:val="-1"/>
        </w:rPr>
        <w:t>22,304,758.01</w:t>
      </w:r>
      <w:r>
        <w:rPr>
          <w:spacing w:val="-1"/>
        </w:rPr>
        <w:t>元，同比增长</w:t>
      </w:r>
      <w:r>
        <w:rPr>
          <w:rFonts w:ascii="Times New Roman" w:hAnsi="Times New Roman" w:cs="Times New Roman" w:eastAsia="Times New Roman" w:hint="default"/>
          <w:spacing w:val="-1"/>
        </w:rPr>
        <w:t>3042.89%</w:t>
      </w:r>
      <w:r>
        <w:rPr>
          <w:spacing w:val="-1"/>
        </w:rPr>
        <w:t>；利润总</w:t>
      </w:r>
      <w:r>
        <w:rPr/>
        <w:t> 额</w:t>
      </w:r>
      <w:r>
        <w:rPr>
          <w:rFonts w:ascii="Times New Roman" w:hAnsi="Times New Roman" w:cs="Times New Roman" w:eastAsia="Times New Roman" w:hint="default"/>
        </w:rPr>
        <w:t>27,407,883.52</w:t>
      </w:r>
      <w:r>
        <w:rPr/>
        <w:t>元，同比下降</w:t>
      </w:r>
      <w:r>
        <w:rPr>
          <w:rFonts w:ascii="Times New Roman" w:hAnsi="Times New Roman" w:cs="Times New Roman" w:eastAsia="Times New Roman" w:hint="default"/>
        </w:rPr>
        <w:t>1.15%</w:t>
      </w:r>
      <w:r>
        <w:rPr/>
        <w:t>；归属于上市公司股东的净利润为</w:t>
      </w:r>
      <w:r>
        <w:rPr>
          <w:rFonts w:ascii="Times New Roman" w:hAnsi="Times New Roman" w:cs="Times New Roman" w:eastAsia="Times New Roman" w:hint="default"/>
        </w:rPr>
        <w:t>13,065,004.57</w:t>
      </w:r>
      <w:r>
        <w:rPr/>
        <w:t>元，同比增长</w:t>
      </w:r>
      <w:r>
        <w:rPr>
          <w:rFonts w:ascii="Times New Roman" w:hAnsi="Times New Roman" w:cs="Times New Roman" w:eastAsia="Times New Roman" w:hint="default"/>
        </w:rPr>
        <w:t>830.65%</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2"/>
        <w:spacing w:line="240" w:lineRule="auto"/>
        <w:ind w:right="1130"/>
        <w:jc w:val="left"/>
        <w:rPr>
          <w:b w:val="0"/>
          <w:bCs w:val="0"/>
        </w:rPr>
      </w:pPr>
      <w:bookmarkStart w:name="二、主营业务分析" w:id="26"/>
      <w:bookmarkEnd w:id="26"/>
      <w:r>
        <w:rPr>
          <w:b w:val="0"/>
          <w:bCs w:val="0"/>
        </w:rPr>
      </w:r>
      <w:r>
        <w:rPr/>
        <w:t>二、主营业务分析</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1,652,076,282.01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1,292,958,187.22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27.77%</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计算机通信行业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1,456,649,550.86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1,203,684,688.78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93.10%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光伏电站运营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158,300,339.74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68,280,087.49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37,126,391.41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20,993,410.95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775,710,995.95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580,104,211.97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44.87%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370,619,769.67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259,294,914.38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2,455,904.72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102,155,243.00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44,468,815.53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56,145,096.74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22,539,446.51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310,318,785.24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361,829,657.71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27.98%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37,126,391.41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22,265,236.40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66.75%</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1,061,962,791.25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935,969,989.75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72.39%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590,113,490.76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356,988,197.47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27.61%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65.30%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计算机、通信和 其他电子设备制 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1,456,649,550.86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1,201,794,863.21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26.95%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4" w:right="0"/>
              <w:jc w:val="left"/>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775,710,995.95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670,992,430.10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370,619,769.67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275,631,697.62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310,318,785.24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255,170,735.49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1,061,962,791.25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831,276,951.44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590,113,490.76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496,344,538.24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r>
    </w:tbl>
    <w:p>
      <w:pPr>
        <w:pStyle w:val="BodyText"/>
        <w:spacing w:line="240" w:lineRule="auto" w:before="51"/>
        <w:ind w:left="154" w:right="113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46,847,613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39,028,027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20.04%</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48,647,293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38,413,358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26.64%</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2,824,219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1,024,539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175.66%</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4,402,671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3,550,971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4,452,134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3,577,517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334,251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182.92%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212.49%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869.57%</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4,970,951.74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4,281,085.18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4,950,215.33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4,336,074.64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平米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174,786.51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195,522.92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-10.61%</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44,744,953.2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14,944,716.6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199.40%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44,744,953.2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14,944,716.6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199.40%</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SPS</w:t>
      </w:r>
      <w:r>
        <w:rPr/>
        <w:t>开关电源因销售规模增长，库存需求增加，导致库存量同比增长较大；</w:t>
      </w:r>
    </w:p>
    <w:p>
      <w:pPr>
        <w:pStyle w:val="BodyText"/>
        <w:spacing w:line="240" w:lineRule="auto" w:before="63"/>
        <w:ind w:right="1130"/>
        <w:jc w:val="left"/>
      </w:pPr>
      <w:r>
        <w:rPr/>
        <w:t>（</w:t>
      </w:r>
      <w:r>
        <w:rPr>
          <w:rFonts w:ascii="Times New Roman" w:hAnsi="Times New Roman" w:cs="Times New Roman" w:eastAsia="Times New Roman" w:hint="default"/>
        </w:rPr>
        <w:t>2</w:t>
      </w:r>
      <w:r>
        <w:rPr/>
        <w:t>）因逆变器市场销售分布加大销售订单增长，导致生产量与销售量同比均有较大增长；</w:t>
      </w:r>
    </w:p>
    <w:p>
      <w:pPr>
        <w:pStyle w:val="BodyText"/>
        <w:spacing w:line="300" w:lineRule="auto" w:before="63"/>
        <w:ind w:right="1169"/>
        <w:jc w:val="left"/>
      </w:pPr>
      <w:r>
        <w:rPr/>
        <w:t>（</w:t>
      </w:r>
      <w:r>
        <w:rPr>
          <w:rFonts w:ascii="Times New Roman" w:hAnsi="Times New Roman" w:cs="Times New Roman" w:eastAsia="Times New Roman" w:hint="default"/>
        </w:rPr>
        <w:t>3</w:t>
      </w:r>
      <w:r>
        <w:rPr/>
        <w:t>）电路板业务产品结构变化，单面生产价低量多，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1-9</w:t>
      </w:r>
      <w:r>
        <w:rPr/>
        <w:t>月生产量与销售量较</w:t>
      </w:r>
      <w:r>
        <w:rPr>
          <w:rFonts w:ascii="Times New Roman" w:hAnsi="Times New Roman" w:cs="Times New Roman" w:eastAsia="Times New Roman" w:hint="default"/>
        </w:rPr>
        <w:t>2016</w:t>
      </w:r>
      <w:r>
        <w:rPr/>
        <w:t>年全年有所增长；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 出售持有方正达</w:t>
      </w:r>
      <w:r>
        <w:rPr>
          <w:rFonts w:ascii="Times New Roman" w:hAnsi="Times New Roman" w:cs="Times New Roman" w:eastAsia="Times New Roman" w:hint="default"/>
        </w:rPr>
        <w:t>34%</w:t>
      </w:r>
      <w:r>
        <w:rPr/>
        <w:t>股权，电路板的销售、生产及库存量仅统计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1-9</w:t>
      </w:r>
      <w:r>
        <w:rPr/>
        <w:t>月。</w:t>
      </w:r>
    </w:p>
    <w:p>
      <w:pPr>
        <w:pStyle w:val="BodyText"/>
        <w:spacing w:line="240" w:lineRule="auto" w:before="13"/>
        <w:ind w:right="1130"/>
        <w:jc w:val="left"/>
      </w:pPr>
      <w:r>
        <w:rPr/>
        <w:t>（</w:t>
      </w:r>
      <w:r>
        <w:rPr>
          <w:rFonts w:ascii="Times New Roman" w:hAnsi="Times New Roman" w:cs="Times New Roman" w:eastAsia="Times New Roman" w:hint="default"/>
        </w:rPr>
        <w:t>4</w:t>
      </w:r>
      <w:r>
        <w:rPr/>
        <w:t>）光伏发电业务由于江西两个集中式电站于</w:t>
      </w:r>
      <w:r>
        <w:rPr>
          <w:rFonts w:ascii="Times New Roman" w:hAnsi="Times New Roman" w:cs="Times New Roman" w:eastAsia="Times New Roman" w:hint="default"/>
        </w:rPr>
        <w:t>2016</w:t>
      </w:r>
      <w:r>
        <w:rPr/>
        <w:t>年底并网，发电量增长较大。</w:t>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开关电源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521,294,018.94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379,892,238.86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238,697,050.14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163,869,091.50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173,840,261.17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175,363,492.12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光伏逆变器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69,106,051.78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27,671,839.19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16,981,171.65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6,247,467.50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r>
    </w:tbl>
    <w:p>
      <w:pPr>
        <w:pStyle w:val="BodyText"/>
        <w:spacing w:line="240" w:lineRule="auto" w:before="51"/>
        <w:ind w:left="154" w:right="1130"/>
        <w:jc w:val="left"/>
      </w:pPr>
      <w:r>
        <w:rPr/>
        <w:t>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before="61"/>
        <w:ind w:left="153" w:right="1130" w:firstLine="0"/>
        <w:jc w:val="left"/>
        <w:rPr>
          <w:rFonts w:ascii="宋体" w:hAnsi="宋体" w:cs="宋体" w:eastAsia="宋体" w:hint="default"/>
          <w:sz w:val="23"/>
          <w:szCs w:val="23"/>
        </w:rPr>
      </w:pPr>
      <w:r>
        <w:rPr>
          <w:rFonts w:ascii="宋体" w:hAnsi="宋体" w:cs="宋体" w:eastAsia="宋体" w:hint="default"/>
          <w:sz w:val="23"/>
          <w:szCs w:val="23"/>
        </w:rPr>
        <w:t>本公司本年度合并范围较上年度的变化详见本报告第十一节、八</w:t>
      </w:r>
      <w:r>
        <w:rPr>
          <w:rFonts w:ascii="Times New Roman" w:hAnsi="Times New Roman" w:cs="Times New Roman" w:eastAsia="Times New Roman" w:hint="default"/>
          <w:b/>
          <w:bCs/>
          <w:sz w:val="23"/>
          <w:szCs w:val="23"/>
        </w:rPr>
        <w:t>“</w:t>
      </w:r>
      <w:r>
        <w:rPr>
          <w:rFonts w:ascii="宋体" w:hAnsi="宋体" w:cs="宋体" w:eastAsia="宋体" w:hint="default"/>
          <w:sz w:val="23"/>
          <w:szCs w:val="23"/>
        </w:rPr>
        <w:t>合并范围的变更</w:t>
      </w:r>
      <w:r>
        <w:rPr>
          <w:rFonts w:ascii="Times New Roman" w:hAnsi="Times New Roman" w:cs="Times New Roman" w:eastAsia="Times New Roman" w:hint="default"/>
          <w:b/>
          <w:bCs/>
          <w:sz w:val="23"/>
          <w:szCs w:val="23"/>
        </w:rPr>
        <w:t>”</w:t>
      </w:r>
      <w:r>
        <w:rPr>
          <w:rFonts w:ascii="宋体" w:hAnsi="宋体" w:cs="宋体" w:eastAsia="宋体" w:hint="default"/>
          <w:sz w:val="23"/>
          <w:szCs w:val="23"/>
        </w:rPr>
        <w:t>。</w:t>
      </w:r>
    </w:p>
    <w:p>
      <w:pPr>
        <w:spacing w:line="240" w:lineRule="auto" w:before="5"/>
        <w:rPr>
          <w:rFonts w:ascii="宋体" w:hAnsi="宋体" w:cs="宋体" w:eastAsia="宋体" w:hint="default"/>
          <w:sz w:val="24"/>
          <w:szCs w:val="24"/>
        </w:rPr>
      </w:pPr>
    </w:p>
    <w:p>
      <w:pPr>
        <w:pStyle w:val="Heading3"/>
        <w:spacing w:line="240" w:lineRule="auto"/>
        <w:ind w:right="113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347,401,759.72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92,395,486.36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90,535,995.05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61,450,941.61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58,385,410.23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44,633,926.47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347,401,759.72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r>
    </w:tbl>
    <w:p>
      <w:pPr>
        <w:pStyle w:val="BodyText"/>
        <w:spacing w:line="240" w:lineRule="auto" w:before="51"/>
        <w:ind w:left="154" w:right="113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156,854,281.80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53,910,242.23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28,755,017.61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27,869,189.82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24,100,063.60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22,219,768.54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156,854,281.80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r>
    </w:tbl>
    <w:p>
      <w:pPr>
        <w:pStyle w:val="BodyText"/>
        <w:spacing w:line="240" w:lineRule="auto" w:before="51"/>
        <w:ind w:left="154" w:right="1130"/>
        <w:jc w:val="left"/>
      </w:pPr>
      <w:r>
        <w:rPr/>
        <w:t>主要供应商其他情况说明</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87,378,862.28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70,484,509.49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23.97%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主要系本期营业收入增加相应销售 </w:t>
            </w:r>
            <w:r>
              <w:rPr>
                <w:rFonts w:ascii="宋体" w:hAnsi="宋体" w:cs="宋体" w:eastAsia="宋体" w:hint="default"/>
                <w:spacing w:val="-2"/>
                <w:sz w:val="18"/>
                <w:szCs w:val="18"/>
              </w:rPr>
              <w:t>费用增加，其中人员工资、运输费及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销售服务费增幅较大。</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150,930,913.31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126,068,888.24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19.72%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主要系人员工资及研发投入增加</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33,052,398.23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6,530,490.46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406.12%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主要系汇率变动导致汇兑损失增加 及流贷成本上升所致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3"/>
        <w:rPr>
          <w:rFonts w:ascii="宋体" w:hAnsi="宋体" w:cs="宋体" w:eastAsia="宋体" w:hint="default"/>
          <w:b/>
          <w:bCs/>
          <w:sz w:val="26"/>
          <w:szCs w:val="26"/>
        </w:rPr>
      </w:pPr>
    </w:p>
    <w:p>
      <w:pPr>
        <w:pStyle w:val="BodyText"/>
        <w:spacing w:line="324"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公司一直以完善核心技术体系建设为发展动力，高度重视新产品和新技术的开发研究工作。不断加大研发投入力度，以确保</w:t>
      </w:r>
      <w:r>
        <w:rPr>
          <w:spacing w:val="-66"/>
        </w:rPr>
        <w:t> </w:t>
      </w:r>
      <w:r>
        <w:rPr>
          <w:spacing w:val="-66"/>
        </w:rPr>
      </w:r>
      <w:r>
        <w:rPr>
          <w:spacing w:val="-2"/>
        </w:rPr>
        <w:t>技术研究和成果推广应用工作顺利进行。公司依托现有的研发资源和平台，深入整合公司内外部资源，充分利用科研人才和</w:t>
      </w:r>
      <w:r>
        <w:rPr>
          <w:spacing w:val="-66"/>
        </w:rPr>
        <w:t> </w:t>
      </w:r>
      <w:r>
        <w:rPr>
          <w:spacing w:val="-66"/>
        </w:rPr>
      </w:r>
      <w:r>
        <w:rPr>
          <w:spacing w:val="-2"/>
        </w:rPr>
        <w:t>硬件设备进行新产品新工艺研发及前瞻性研究，开展了一系列科研项目，以进一步完善技术和专利布局，优化产品体系，提</w:t>
      </w:r>
    </w:p>
    <w:p>
      <w:pPr>
        <w:spacing w:after="0" w:line="32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right="6793"/>
        <w:jc w:val="left"/>
      </w:pPr>
      <w:r>
        <w:rPr/>
        <w:t>升创新实力，延续在行业中长期保持的技术优势。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62,328,089.01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49,357,130.61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left="154" w:right="113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1,553,252,769.48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1,158,751,323.10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1,357,013,595.85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1,156,570,017.34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196,239,173.63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2,181,305.76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8,896.41%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178,666,513.55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34,496,620.41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129,318,908.17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201,928,179.73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49,347,605.38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-167,431,559.32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402,520,169.20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698,732,141.95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635,740,903.90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598,088,532.40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-233,220,734.70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100,643,609.55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-331.73%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8,367,474.16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-58,145,510.37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114.39%</w:t>
            </w:r>
          </w:p>
        </w:tc>
      </w:tr>
    </w:tbl>
    <w:p>
      <w:pPr>
        <w:pStyle w:val="BodyText"/>
        <w:spacing w:line="240" w:lineRule="auto" w:before="51"/>
        <w:ind w:left="154" w:right="1130"/>
        <w:jc w:val="left"/>
      </w:pPr>
      <w:r>
        <w:rPr/>
        <w:t>相关数据同比发生重大变动的主要影响因素说明</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66" w:lineRule="auto" w:before="76"/>
        <w:ind w:left="154" w:right="1122"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、经营活动现金流入增加主要原因系报告期内</w:t>
      </w:r>
      <w:r>
        <w:rPr>
          <w:rFonts w:ascii="宋体" w:hAnsi="宋体" w:cs="宋体" w:eastAsia="宋体" w:hint="default"/>
          <w:sz w:val="21"/>
          <w:szCs w:val="21"/>
        </w:rPr>
        <w:t>改善应收账款的结算账期、结算方式及报告期内销售增加，回款</w:t>
      </w:r>
      <w:r>
        <w:rPr>
          <w:rFonts w:ascii="宋体" w:hAnsi="宋体" w:cs="宋体" w:eastAsia="宋体" w:hint="default"/>
          <w:sz w:val="21"/>
          <w:szCs w:val="21"/>
        </w:rPr>
        <w:t> 增加导致； </w:t>
      </w:r>
      <w:r>
        <w:rPr>
          <w:rFonts w:ascii="Times New Roman" w:hAnsi="Times New Roman" w:cs="Times New Roman" w:eastAsia="Times New Roman" w:hint="default"/>
          <w:sz w:val="18"/>
          <w:szCs w:val="18"/>
        </w:rPr>
        <w:t>2</w:t>
      </w:r>
      <w:r>
        <w:rPr>
          <w:rFonts w:ascii="宋体" w:hAnsi="宋体" w:cs="宋体" w:eastAsia="宋体" w:hint="default"/>
          <w:sz w:val="18"/>
          <w:szCs w:val="18"/>
        </w:rPr>
        <w:t>、经营活动产生的现金流量净额增加主要原因系报告期内</w:t>
      </w:r>
      <w:r>
        <w:rPr>
          <w:rFonts w:ascii="宋体" w:hAnsi="宋体" w:cs="宋体" w:eastAsia="宋体" w:hint="default"/>
          <w:sz w:val="21"/>
          <w:szCs w:val="21"/>
        </w:rPr>
        <w:t>改善应收、应付账款的结算账期、结算方式及报告期内</w:t>
      </w:r>
      <w:r>
        <w:rPr>
          <w:rFonts w:ascii="宋体" w:hAnsi="宋体" w:cs="宋体" w:eastAsia="宋体" w:hint="default"/>
          <w:sz w:val="21"/>
          <w:szCs w:val="21"/>
        </w:rPr>
        <w:t> 销售增加，回款增加导致；</w:t>
      </w:r>
    </w:p>
    <w:p>
      <w:pPr>
        <w:spacing w:after="0" w:line="26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rFonts w:ascii="Times New Roman" w:hAnsi="Times New Roman" w:cs="Times New Roman" w:eastAsia="Times New Roman" w:hint="default"/>
        </w:rPr>
        <w:t>3</w:t>
      </w:r>
      <w:r>
        <w:rPr/>
        <w:t>、投资活动现金流入增加主要原因系处置方正达</w:t>
      </w:r>
      <w:r>
        <w:rPr>
          <w:rFonts w:ascii="Times New Roman" w:hAnsi="Times New Roman" w:cs="Times New Roman" w:eastAsia="Times New Roman" w:hint="default"/>
        </w:rPr>
        <w:t>34%</w:t>
      </w:r>
      <w:r>
        <w:rPr/>
        <w:t>股权，收到股权转让款导致；</w:t>
      </w:r>
    </w:p>
    <w:p>
      <w:pPr>
        <w:pStyle w:val="BodyText"/>
        <w:spacing w:line="300" w:lineRule="auto" w:before="63"/>
        <w:ind w:right="1153"/>
        <w:jc w:val="left"/>
      </w:pPr>
      <w:r>
        <w:rPr>
          <w:rFonts w:ascii="Times New Roman" w:hAnsi="Times New Roman" w:cs="Times New Roman" w:eastAsia="Times New Roman" w:hint="default"/>
        </w:rPr>
        <w:t>4</w:t>
      </w:r>
      <w:r>
        <w:rPr/>
        <w:t>、投资活动产生的现金流量净额增加主要原因系处置方正达</w:t>
      </w:r>
      <w:r>
        <w:rPr>
          <w:rFonts w:ascii="Times New Roman" w:hAnsi="Times New Roman" w:cs="Times New Roman" w:eastAsia="Times New Roman" w:hint="default"/>
        </w:rPr>
        <w:t>34%</w:t>
      </w:r>
      <w:r>
        <w:rPr/>
        <w:t>股权，收到股权转让款，及与</w:t>
      </w:r>
      <w:r>
        <w:rPr>
          <w:rFonts w:ascii="Times New Roman" w:hAnsi="Times New Roman" w:cs="Times New Roman" w:eastAsia="Times New Roman" w:hint="default"/>
        </w:rPr>
        <w:t>2016</w:t>
      </w:r>
      <w:r>
        <w:rPr/>
        <w:t>年相比报告期对光伏电 站项目的投入减少导致；</w:t>
      </w:r>
    </w:p>
    <w:p>
      <w:pPr>
        <w:pStyle w:val="BodyText"/>
        <w:spacing w:line="340" w:lineRule="auto" w:before="31"/>
        <w:ind w:right="4003"/>
        <w:jc w:val="left"/>
      </w:pPr>
      <w:r>
        <w:rPr>
          <w:rFonts w:ascii="Times New Roman" w:hAnsi="Times New Roman" w:cs="Times New Roman" w:eastAsia="Times New Roman" w:hint="default"/>
        </w:rPr>
        <w:t>5</w:t>
      </w:r>
      <w:r>
        <w:rPr/>
        <w:t>、筹资活动产生的现金流量净额减少主要原因系借款减少及收到的投资款减少导致。 报告期内公司经营活动产生的现金净流量与本年度净利润存在重大差异的原因说明</w:t>
      </w:r>
    </w:p>
    <w:p>
      <w:pPr>
        <w:pStyle w:val="BodyText"/>
        <w:spacing w:line="240" w:lineRule="auto" w:before="41"/>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16,069,288.91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58.63%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主要系出售方正达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股权</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44,903,451.81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163.83%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主要系计提的应收账款坏账 准备及存货跌价准备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7,029,325.28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25.65%</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主要是方正达业绩承诺未达 成支付的补偿款</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1,926,199.77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7.03%</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2"/>
              <w:ind w:left="23" w:right="58"/>
              <w:jc w:val="both"/>
              <w:rPr>
                <w:rFonts w:ascii="宋体" w:hAnsi="宋体" w:cs="宋体" w:eastAsia="宋体" w:hint="default"/>
                <w:sz w:val="18"/>
                <w:szCs w:val="18"/>
              </w:rPr>
            </w:pPr>
            <w:r>
              <w:rPr>
                <w:rFonts w:ascii="宋体" w:hAnsi="宋体" w:cs="宋体" w:eastAsia="宋体" w:hint="default"/>
                <w:sz w:val="18"/>
                <w:szCs w:val="18"/>
              </w:rPr>
              <w:t>主要是软件著作权纠纷确认 的预计负债及非流动资产毁 损报废损失</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9,424,289.54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
              <w:jc w:val="center"/>
              <w:rPr>
                <w:rFonts w:ascii="宋体" w:hAnsi="宋体" w:cs="宋体" w:eastAsia="宋体" w:hint="default"/>
                <w:sz w:val="18"/>
                <w:szCs w:val="18"/>
              </w:rPr>
            </w:pPr>
            <w:r>
              <w:rPr>
                <w:rFonts w:ascii="宋体" w:hAnsi="宋体" w:cs="宋体" w:eastAsia="宋体" w:hint="default"/>
                <w:sz w:val="18"/>
                <w:szCs w:val="18"/>
              </w:rPr>
              <w:t>主要是收到的各项政府补助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256"/>
        <w:gridCol w:w="1063"/>
        <w:gridCol w:w="1196"/>
        <w:gridCol w:w="1063"/>
        <w:gridCol w:w="798"/>
        <w:gridCol w:w="2918"/>
      </w:tblGrid>
      <w:tr>
        <w:trPr>
          <w:trHeight w:val="380" w:hRule="exact"/>
        </w:trPr>
        <w:tc>
          <w:tcPr>
            <w:tcW w:w="1265"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20"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265" w:type="dxa"/>
            <w:vMerge w:val="restart"/>
            <w:tcBorders>
              <w:top w:val="single" w:sz="14" w:space="0" w:color="FFFFFF"/>
              <w:left w:val="single" w:sz="4" w:space="0" w:color="000000"/>
              <w:right w:val="single" w:sz="4" w:space="0" w:color="000000"/>
            </w:tcBorders>
            <w:shd w:val="clear" w:color="auto" w:fill="D2D2D2"/>
          </w:tcPr>
          <w:p>
            <w:pPr/>
          </w:p>
        </w:tc>
        <w:tc>
          <w:tcPr>
            <w:tcW w:w="125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318,161,764.45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15.54%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274,739,490.29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3.46%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主要是加强应收账款管理及处置方 正达股权收回现金导致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479,781,809.01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588,888,514.16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-2.47%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主要系处置方正达股权，其应收账款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不再并表导致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203,103,287.66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213,641,418.59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9.40%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主要原因是销售额增加，成品及原材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料备库增加及处置方正达股权，其存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货不再并表导致</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145,805,355.11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19,117,589.52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主要系处置方正达部分股权，长投转</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56"/>
        <w:gridCol w:w="1063"/>
        <w:gridCol w:w="1196"/>
        <w:gridCol w:w="1063"/>
        <w:gridCol w:w="798"/>
        <w:gridCol w:w="2918"/>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为权益法核算</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573,473,388.15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657,858,738.87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主要系处置方正达股权，其固定资产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不再并表导致</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16,877,519.80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63,685,790.85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主要系新余何家边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20MWP </w:t>
            </w:r>
            <w:r>
              <w:rPr>
                <w:rFonts w:ascii="宋体" w:hAnsi="宋体" w:cs="宋体" w:eastAsia="宋体" w:hint="default"/>
                <w:sz w:val="18"/>
                <w:szCs w:val="18"/>
              </w:rPr>
              <w:t>光伏发电 </w:t>
            </w:r>
            <w:r>
              <w:rPr>
                <w:rFonts w:ascii="宋体" w:hAnsi="宋体" w:cs="宋体" w:eastAsia="宋体" w:hint="default"/>
                <w:spacing w:val="-18"/>
                <w:sz w:val="18"/>
                <w:szCs w:val="18"/>
              </w:rPr>
              <w:t>项目，其中</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6MWP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报告期内并网转固</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244,551,780.00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主要系短期借款减少</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25"/>
        <w:gridCol w:w="1069"/>
        <w:gridCol w:w="121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5" w:type="dxa"/>
            <w:vMerge w:val="restart"/>
            <w:tcBorders>
              <w:top w:val="single" w:sz="4" w:space="0" w:color="000000"/>
              <w:left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25" w:type="dxa"/>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8" w:right="78"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21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069" w:type="dxa"/>
            <w:vMerge/>
            <w:tcBorders>
              <w:left w:val="single" w:sz="4" w:space="0" w:color="000000"/>
              <w:right w:val="single" w:sz="4" w:space="0" w:color="000000"/>
            </w:tcBorders>
            <w:shd w:val="clear" w:color="auto" w:fill="D2D2D2"/>
          </w:tcPr>
          <w:p>
            <w:pP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25" w:type="dxa"/>
            <w:vMerge w:val="restart"/>
            <w:tcBorders>
              <w:top w:val="nil" w:sz="6" w:space="0" w:color="auto"/>
              <w:left w:val="single" w:sz="4" w:space="0" w:color="000000"/>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121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5"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3"/>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3" w:space="0" w:color="D2D2D2"/>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3,911,787.40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3,911,787.40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40,523,683.21</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7,395,400.00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5,519,000.00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38,647,283.21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40,523,683.21</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3,911,787.40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7,395,400.00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5,519,000.00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42,559,070.61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40,523,683.21</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3,911,787.40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7,395,400.00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5,519,000.00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42,559,070.61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报告期内公司主要资产计量属性是否发生重大变化</w:t>
      </w:r>
    </w:p>
    <w:p>
      <w:pPr>
        <w:pStyle w:val="BodyText"/>
        <w:spacing w:line="240" w:lineRule="auto" w:before="117"/>
        <w:ind w:left="154"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305"/>
        <w:gridCol w:w="2644"/>
        <w:gridCol w:w="2420"/>
      </w:tblGrid>
      <w:tr>
        <w:trPr>
          <w:trHeight w:val="355" w:hRule="exact"/>
        </w:trPr>
        <w:tc>
          <w:tcPr>
            <w:tcW w:w="33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24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52"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其他货币资金</w:t>
            </w:r>
          </w:p>
        </w:tc>
        <w:tc>
          <w:tcPr>
            <w:tcW w:w="2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123,237,749.77</w:t>
            </w:r>
          </w:p>
        </w:tc>
        <w:tc>
          <w:tcPr>
            <w:tcW w:w="24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53"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29,963,829.65</w:t>
            </w:r>
          </w:p>
        </w:tc>
        <w:tc>
          <w:tcPr>
            <w:tcW w:w="24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票据质押</w:t>
            </w:r>
          </w:p>
        </w:tc>
      </w:tr>
      <w:tr>
        <w:trPr>
          <w:trHeight w:val="352"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r>
              <w:rPr>
                <w:rFonts w:ascii="Times New Roman" w:hAnsi="Times New Roman" w:cs="Times New Roman" w:eastAsia="Times New Roman" w:hint="default"/>
                <w:sz w:val="18"/>
                <w:szCs w:val="18"/>
              </w:rPr>
              <w:t>22.5%</w:t>
            </w:r>
            <w:r>
              <w:rPr>
                <w:rFonts w:ascii="宋体" w:hAnsi="宋体" w:cs="宋体" w:eastAsia="宋体" w:hint="default"/>
                <w:sz w:val="18"/>
                <w:szCs w:val="18"/>
              </w:rPr>
              <w:t>股权</w:t>
            </w:r>
          </w:p>
        </w:tc>
        <w:tc>
          <w:tcPr>
            <w:tcW w:w="2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72,503,370.84</w:t>
            </w:r>
          </w:p>
        </w:tc>
        <w:tc>
          <w:tcPr>
            <w:tcW w:w="24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惠州茂硕增资合同项下质押</w:t>
            </w:r>
          </w:p>
        </w:tc>
      </w:tr>
      <w:tr>
        <w:trPr>
          <w:trHeight w:val="352"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15,605,413.10</w:t>
            </w:r>
          </w:p>
        </w:tc>
        <w:tc>
          <w:tcPr>
            <w:tcW w:w="242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融资租赁方式租入的设备</w:t>
            </w:r>
          </w:p>
        </w:tc>
      </w:tr>
      <w:tr>
        <w:trPr>
          <w:trHeight w:val="353" w:hRule="exact"/>
        </w:trPr>
        <w:tc>
          <w:tcPr>
            <w:tcW w:w="33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241,310,363.36</w:t>
            </w:r>
          </w:p>
        </w:tc>
        <w:tc>
          <w:tcPr>
            <w:tcW w:w="2420"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30"/>
        <w:jc w:val="left"/>
        <w:rPr>
          <w:b w:val="0"/>
          <w:bCs w:val="0"/>
        </w:rPr>
      </w:pPr>
      <w:bookmarkStart w:name="五、投资状况分析" w:id="45"/>
      <w:bookmarkEnd w:id="45"/>
      <w:r>
        <w:rPr>
          <w:b w:val="0"/>
          <w:bCs w:val="0"/>
        </w:rPr>
      </w:r>
      <w:r>
        <w:rPr/>
        <w:t>五、投资状况分析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44,739,000.00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81,956,967.00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-45.41%</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41,418.55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42,770.47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1,254.95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4,947.57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4,947.57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46,366.12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47,718.04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1,254.95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（一）首次公开发行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股茂硕电源科技股份有限公司经中国证券监督管理委员会（证监许可</w:t>
            </w:r>
            <w:r>
              <w:rPr>
                <w:rFonts w:ascii="Times New Roman" w:hAnsi="Times New Roman" w:cs="Times New Roman" w:eastAsia="Times New Roman" w:hint="default"/>
                <w:sz w:val="18"/>
                <w:szCs w:val="18"/>
              </w:rPr>
              <w:t>[2012]186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号文）核准，由主 承销商民生证券有限责任公司采用网下询价配售与网上资金申购定价发行相结合的方式发行人民币普通股（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 </w:t>
            </w:r>
            <w:r>
              <w:rPr>
                <w:rFonts w:ascii="Times New Roman" w:hAnsi="Times New Roman" w:cs="Times New Roman" w:eastAsia="Times New Roman" w:hint="default"/>
                <w:sz w:val="18"/>
                <w:szCs w:val="18"/>
              </w:rPr>
              <w:t>24,280,000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股，发行价格为每股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元。本次发行募集资金总额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44,918.00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3,499.45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3794" w:lineRule="exact"/>
        <w:ind w:left="154" w:right="0" w:firstLine="0"/>
        <w:rPr>
          <w:rFonts w:ascii="宋体" w:hAnsi="宋体" w:cs="宋体" w:eastAsia="宋体" w:hint="default"/>
          <w:sz w:val="20"/>
          <w:szCs w:val="20"/>
        </w:rPr>
      </w:pPr>
      <w:r>
        <w:rPr>
          <w:rFonts w:ascii="宋体" w:hAnsi="宋体" w:cs="宋体" w:eastAsia="宋体" w:hint="default"/>
          <w:position w:val="-75"/>
          <w:sz w:val="20"/>
          <w:szCs w:val="20"/>
        </w:rPr>
        <w:pict>
          <v:shape style="width:478.3pt;height:189.75pt;mso-position-horizontal-relative:char;mso-position-vertical-relative:line" type="#_x0000_t202" filled="false" stroked="true" strokeweight=".48pt" strokecolor="#000000">
            <w10:anchorlock/>
            <v:textbox inset="0,0,0,0">
              <w:txbxContent>
                <w:p>
                  <w:pPr>
                    <w:pStyle w:val="BodyText"/>
                    <w:spacing w:line="300" w:lineRule="auto" w:before="10"/>
                    <w:ind w:left="22" w:right="23"/>
                    <w:jc w:val="both"/>
                  </w:pPr>
                  <w:r>
                    <w:rPr/>
                    <w:t>公司募集资金净额为人民币</w:t>
                  </w:r>
                  <w:r>
                    <w:rPr>
                      <w:spacing w:val="-47"/>
                    </w:rPr>
                    <w:t> </w:t>
                  </w:r>
                  <w:r>
                    <w:rPr>
                      <w:rFonts w:ascii="Times New Roman" w:hAnsi="Times New Roman" w:cs="Times New Roman" w:eastAsia="Times New Roman" w:hint="default"/>
                    </w:rPr>
                    <w:t>41,418.55</w:t>
                  </w:r>
                  <w:r>
                    <w:rPr>
                      <w:rFonts w:ascii="Times New Roman" w:hAnsi="Times New Roman" w:cs="Times New Roman" w:eastAsia="Times New Roman" w:hint="default"/>
                      <w:spacing w:val="-2"/>
                    </w:rPr>
                    <w:t> </w:t>
                  </w:r>
                  <w:r>
                    <w:rPr/>
                    <w:t>万元。上述资金到位情况经深圳市鹏城会计师事务所有限公司于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出 具的深鹏所验字</w:t>
                  </w:r>
                  <w:r>
                    <w:rPr>
                      <w:rFonts w:ascii="Times New Roman" w:hAnsi="Times New Roman" w:cs="Times New Roman" w:eastAsia="Times New Roman" w:hint="default"/>
                    </w:rPr>
                    <w:t>[2012]0051</w:t>
                  </w:r>
                  <w:r>
                    <w:rPr>
                      <w:rFonts w:ascii="Times New Roman" w:hAnsi="Times New Roman" w:cs="Times New Roman" w:eastAsia="Times New Roman" w:hint="default"/>
                      <w:spacing w:val="-1"/>
                    </w:rPr>
                    <w:t> </w:t>
                  </w:r>
                  <w:r>
                    <w:rPr/>
                    <w:t>号验资报告验证确认。根据公司的招股说明书，公司将运用本次募集资金投资</w:t>
                  </w:r>
                  <w:r>
                    <w:rPr>
                      <w:rFonts w:ascii="Times New Roman" w:hAnsi="Times New Roman" w:cs="Times New Roman" w:eastAsia="Times New Roman" w:hint="default"/>
                    </w:rPr>
                    <w:t>“</w:t>
                  </w:r>
                  <w:r>
                    <w:rPr/>
                    <w:t>惠州茂硕能源 科技有限公司电源驱动生产项目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惠州茂硕能源科技有限公司研发中心建设项目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惠州茂硕能源科技有限公司信息化 系统建设项目</w:t>
                  </w:r>
                  <w:r>
                    <w:rPr>
                      <w:rFonts w:ascii="Times New Roman" w:hAnsi="Times New Roman" w:cs="Times New Roman" w:eastAsia="Times New Roman" w:hint="default"/>
                    </w:rPr>
                    <w:t>”</w:t>
                  </w:r>
                  <w:r>
                    <w:rPr/>
                    <w:t>三个项目，计划使用募集资金</w:t>
                  </w:r>
                  <w:r>
                    <w:rPr>
                      <w:spacing w:val="-70"/>
                    </w:rPr>
                    <w:t> </w:t>
                  </w:r>
                  <w:r>
                    <w:rPr>
                      <w:rFonts w:ascii="Times New Roman" w:hAnsi="Times New Roman" w:cs="Times New Roman" w:eastAsia="Times New Roman" w:hint="default"/>
                    </w:rPr>
                    <w:t>27,317.00</w:t>
                  </w:r>
                  <w:r>
                    <w:rPr>
                      <w:rFonts w:ascii="Times New Roman" w:hAnsi="Times New Roman" w:cs="Times New Roman" w:eastAsia="Times New Roman" w:hint="default"/>
                      <w:spacing w:val="-3"/>
                    </w:rPr>
                    <w:t> </w:t>
                  </w:r>
                  <w:r>
                    <w:rPr/>
                    <w:t>万元；扣除上述募投项目资金需求总额外，公司此次超额募集资金</w:t>
                  </w:r>
                </w:p>
                <w:p>
                  <w:pPr>
                    <w:pStyle w:val="BodyText"/>
                    <w:spacing w:line="309" w:lineRule="auto" w:before="13"/>
                    <w:ind w:left="22" w:right="23"/>
                    <w:jc w:val="both"/>
                  </w:pPr>
                  <w:r>
                    <w:rPr/>
                    <w:t>净额部分为</w:t>
                  </w:r>
                  <w:r>
                    <w:rPr>
                      <w:spacing w:val="-47"/>
                    </w:rPr>
                    <w:t> </w:t>
                  </w:r>
                  <w:r>
                    <w:rPr>
                      <w:rFonts w:ascii="Times New Roman" w:hAnsi="Times New Roman" w:cs="Times New Roman" w:eastAsia="Times New Roman" w:hint="default"/>
                    </w:rPr>
                    <w:t>14,101.55</w:t>
                  </w:r>
                  <w:r>
                    <w:rPr>
                      <w:rFonts w:ascii="Times New Roman" w:hAnsi="Times New Roman" w:cs="Times New Roman" w:eastAsia="Times New Roman" w:hint="default"/>
                      <w:spacing w:val="-2"/>
                    </w:rPr>
                    <w:t> </w:t>
                  </w:r>
                  <w:r>
                    <w:rPr/>
                    <w:t>万元。（二）发行股票购买资产（湖南方正达）项目经中国证券监督管理委员会证监许可</w:t>
                  </w:r>
                  <w:r>
                    <w:rPr>
                      <w:rFonts w:ascii="Times New Roman" w:hAnsi="Times New Roman" w:cs="Times New Roman" w:eastAsia="Times New Roman" w:hint="default"/>
                    </w:rPr>
                    <w:t>[2015]233 </w:t>
                  </w:r>
                  <w:r>
                    <w:rPr>
                      <w:spacing w:val="-1"/>
                    </w:rPr>
                    <w:t>号文件《关于核准茂硕电源科技股份有限公司向方笑求等发行股份购买资产并募集配套资金的批复》核准：公司向方笑求</w:t>
                  </w:r>
                  <w:r>
                    <w:rPr>
                      <w:spacing w:val="-70"/>
                    </w:rPr>
                    <w:t> </w:t>
                  </w:r>
                  <w:r>
                    <w:rPr>
                      <w:spacing w:val="-70"/>
                    </w:rPr>
                  </w:r>
                  <w:r>
                    <w:rPr/>
                    <w:t>发行</w:t>
                  </w:r>
                  <w:r>
                    <w:rPr>
                      <w:spacing w:val="-52"/>
                    </w:rPr>
                    <w:t> </w:t>
                  </w:r>
                  <w:r>
                    <w:rPr>
                      <w:rFonts w:ascii="Times New Roman" w:hAnsi="Times New Roman" w:cs="Times New Roman" w:eastAsia="Times New Roman" w:hint="default"/>
                    </w:rPr>
                    <w:t>935</w:t>
                  </w:r>
                  <w:r>
                    <w:rPr>
                      <w:rFonts w:ascii="Times New Roman" w:hAnsi="Times New Roman" w:cs="Times New Roman" w:eastAsia="Times New Roman" w:hint="default"/>
                      <w:spacing w:val="-7"/>
                    </w:rPr>
                    <w:t> </w:t>
                  </w:r>
                  <w:r>
                    <w:rPr>
                      <w:spacing w:val="-4"/>
                    </w:rPr>
                    <w:t>万股股份、向蓝顺明发行</w:t>
                  </w:r>
                  <w:r>
                    <w:rPr>
                      <w:spacing w:val="-52"/>
                    </w:rPr>
                    <w:t> </w:t>
                  </w:r>
                  <w:r>
                    <w:rPr>
                      <w:rFonts w:ascii="Times New Roman" w:hAnsi="Times New Roman" w:cs="Times New Roman" w:eastAsia="Times New Roman" w:hint="default"/>
                    </w:rPr>
                    <w:t>935</w:t>
                  </w:r>
                  <w:r>
                    <w:rPr>
                      <w:rFonts w:ascii="Times New Roman" w:hAnsi="Times New Roman" w:cs="Times New Roman" w:eastAsia="Times New Roman" w:hint="default"/>
                      <w:spacing w:val="-7"/>
                    </w:rPr>
                    <w:t> </w:t>
                  </w:r>
                  <w:r>
                    <w:rPr/>
                    <w:t>万股份购买相关资产；公司非公开发行不超过</w:t>
                  </w:r>
                  <w:r>
                    <w:rPr>
                      <w:spacing w:val="-52"/>
                    </w:rPr>
                    <w:t> </w:t>
                  </w:r>
                  <w:r>
                    <w:rPr>
                      <w:rFonts w:ascii="Times New Roman" w:hAnsi="Times New Roman" w:cs="Times New Roman" w:eastAsia="Times New Roman" w:hint="default"/>
                    </w:rPr>
                    <w:t>623.33</w:t>
                  </w:r>
                  <w:r>
                    <w:rPr>
                      <w:rFonts w:ascii="Times New Roman" w:hAnsi="Times New Roman" w:cs="Times New Roman" w:eastAsia="Times New Roman" w:hint="default"/>
                      <w:spacing w:val="-6"/>
                    </w:rPr>
                    <w:t> </w:t>
                  </w:r>
                  <w:r>
                    <w:rPr/>
                    <w:t>万股新股募集本次发行股份购</w:t>
                  </w:r>
                </w:p>
                <w:p>
                  <w:pPr>
                    <w:pStyle w:val="BodyText"/>
                    <w:spacing w:line="240" w:lineRule="auto" w:before="5"/>
                    <w:ind w:left="22" w:right="0"/>
                    <w:jc w:val="both"/>
                  </w:pPr>
                  <w:r>
                    <w:rPr/>
                    <w:t>买资产的配套资金。本公司非公开发行股份</w:t>
                  </w:r>
                  <w:r>
                    <w:rPr>
                      <w:spacing w:val="-55"/>
                    </w:rPr>
                    <w:t> </w:t>
                  </w:r>
                  <w:r>
                    <w:rPr>
                      <w:rFonts w:ascii="Times New Roman" w:hAnsi="Times New Roman" w:cs="Times New Roman" w:eastAsia="Times New Roman" w:hint="default"/>
                    </w:rPr>
                    <w:t>623.33</w:t>
                  </w:r>
                  <w:r>
                    <w:rPr>
                      <w:rFonts w:ascii="Times New Roman" w:hAnsi="Times New Roman" w:cs="Times New Roman" w:eastAsia="Times New Roman" w:hint="default"/>
                      <w:spacing w:val="-9"/>
                    </w:rPr>
                    <w:t> </w:t>
                  </w:r>
                  <w:r>
                    <w:rPr/>
                    <w:t>万股，由自然人宗佩民、曹国熊各认购</w:t>
                  </w:r>
                  <w:r>
                    <w:rPr>
                      <w:spacing w:val="-55"/>
                    </w:rPr>
                    <w:t> </w:t>
                  </w:r>
                  <w:r>
                    <w:rPr>
                      <w:rFonts w:ascii="Times New Roman" w:hAnsi="Times New Roman" w:cs="Times New Roman" w:eastAsia="Times New Roman" w:hint="default"/>
                    </w:rPr>
                    <w:t>311.665</w:t>
                  </w:r>
                  <w:r>
                    <w:rPr>
                      <w:rFonts w:ascii="Times New Roman" w:hAnsi="Times New Roman" w:cs="Times New Roman" w:eastAsia="Times New Roman" w:hint="default"/>
                      <w:spacing w:val="-10"/>
                    </w:rPr>
                    <w:t> </w:t>
                  </w:r>
                  <w:r>
                    <w:rPr/>
                    <w:t>万股，每股面值人民币</w:t>
                  </w:r>
                </w:p>
                <w:p>
                  <w:pPr>
                    <w:pStyle w:val="BodyText"/>
                    <w:spacing w:line="240" w:lineRule="auto" w:before="63"/>
                    <w:ind w:left="22"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元，每股价格人民币</w:t>
                  </w:r>
                  <w:r>
                    <w:rPr>
                      <w:spacing w:val="-51"/>
                    </w:rPr>
                    <w:t> </w:t>
                  </w:r>
                  <w:r>
                    <w:rPr>
                      <w:rFonts w:ascii="Times New Roman" w:hAnsi="Times New Roman" w:cs="Times New Roman" w:eastAsia="Times New Roman" w:hint="default"/>
                    </w:rPr>
                    <w:t>8.64</w:t>
                  </w:r>
                  <w:r>
                    <w:rPr>
                      <w:rFonts w:ascii="Times New Roman" w:hAnsi="Times New Roman" w:cs="Times New Roman" w:eastAsia="Times New Roman" w:hint="default"/>
                      <w:spacing w:val="-6"/>
                    </w:rPr>
                    <w:t> </w:t>
                  </w:r>
                  <w:r>
                    <w:rPr/>
                    <w:t>元，总价值人民币</w:t>
                  </w:r>
                  <w:r>
                    <w:rPr>
                      <w:spacing w:val="-51"/>
                    </w:rPr>
                    <w:t> </w:t>
                  </w:r>
                  <w:r>
                    <w:rPr>
                      <w:rFonts w:ascii="Times New Roman" w:hAnsi="Times New Roman" w:cs="Times New Roman" w:eastAsia="Times New Roman" w:hint="default"/>
                    </w:rPr>
                    <w:t>5,385.5712</w:t>
                  </w:r>
                  <w:r>
                    <w:rPr>
                      <w:rFonts w:ascii="Times New Roman" w:hAnsi="Times New Roman" w:cs="Times New Roman" w:eastAsia="Times New Roman" w:hint="default"/>
                      <w:spacing w:val="-5"/>
                    </w:rPr>
                    <w:t> </w:t>
                  </w:r>
                  <w:r>
                    <w:rPr/>
                    <w:t>万元，扣除发生的券商承销佣金</w:t>
                  </w:r>
                  <w:r>
                    <w:rPr>
                      <w:spacing w:val="-51"/>
                    </w:rPr>
                    <w:t> </w:t>
                  </w:r>
                  <w:r>
                    <w:rPr>
                      <w:rFonts w:ascii="Times New Roman" w:hAnsi="Times New Roman" w:cs="Times New Roman" w:eastAsia="Times New Roman" w:hint="default"/>
                    </w:rPr>
                    <w:t>438</w:t>
                  </w:r>
                  <w:r>
                    <w:rPr>
                      <w:rFonts w:ascii="Times New Roman" w:hAnsi="Times New Roman" w:cs="Times New Roman" w:eastAsia="Times New Roman" w:hint="default"/>
                      <w:spacing w:val="-6"/>
                    </w:rPr>
                    <w:t> </w:t>
                  </w:r>
                  <w:r>
                    <w:rPr/>
                    <w:t>万元，实际净筹得募集资金</w:t>
                  </w:r>
                </w:p>
                <w:p>
                  <w:pPr>
                    <w:pStyle w:val="BodyText"/>
                    <w:spacing w:line="240" w:lineRule="auto" w:before="63"/>
                    <w:ind w:left="22" w:right="0"/>
                    <w:jc w:val="both"/>
                  </w:pPr>
                  <w:r>
                    <w:rPr/>
                    <w:t>人民币</w:t>
                  </w:r>
                  <w:r>
                    <w:rPr>
                      <w:spacing w:val="-46"/>
                    </w:rPr>
                    <w:t> </w:t>
                  </w:r>
                  <w:r>
                    <w:rPr>
                      <w:rFonts w:ascii="Times New Roman" w:hAnsi="Times New Roman" w:cs="Times New Roman" w:eastAsia="Times New Roman" w:hint="default"/>
                    </w:rPr>
                    <w:t>4,947.5712</w:t>
                  </w:r>
                  <w:r>
                    <w:rPr>
                      <w:rFonts w:ascii="Times New Roman" w:hAnsi="Times New Roman" w:cs="Times New Roman" w:eastAsia="Times New Roman" w:hint="default"/>
                      <w:spacing w:val="-1"/>
                    </w:rPr>
                    <w:t> </w:t>
                  </w:r>
                  <w:r>
                    <w:rPr>
                      <w:spacing w:val="-3"/>
                    </w:rPr>
                    <w:t>万元。经瑞华会计师事务所（特殊普通合伙）于</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日出具的瑞华验字</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rFonts w:ascii="Times New Roman" w:hAnsi="Times New Roman" w:cs="Times New Roman" w:eastAsia="Times New Roman" w:hint="default"/>
                    </w:rPr>
                    <w:t>48060005</w:t>
                  </w:r>
                  <w:r>
                    <w:rPr>
                      <w:rFonts w:ascii="Times New Roman" w:hAnsi="Times New Roman" w:cs="Times New Roman" w:eastAsia="Times New Roman" w:hint="default"/>
                      <w:spacing w:val="-1"/>
                    </w:rPr>
                    <w:t> </w:t>
                  </w:r>
                  <w:r>
                    <w:rPr/>
                    <w:t>号验</w:t>
                  </w:r>
                </w:p>
                <w:p>
                  <w:pPr>
                    <w:pStyle w:val="BodyText"/>
                    <w:spacing w:line="240" w:lineRule="auto" w:before="63"/>
                    <w:ind w:left="22" w:right="0"/>
                    <w:jc w:val="both"/>
                    <w:rPr>
                      <w:rFonts w:ascii="Times New Roman" w:hAnsi="Times New Roman" w:cs="Times New Roman" w:eastAsia="Times New Roman" w:hint="default"/>
                    </w:rPr>
                  </w:pPr>
                  <w:r>
                    <w:rPr>
                      <w:spacing w:val="-3"/>
                    </w:rPr>
                    <w:t>资报告验证，上述募集资金</w:t>
                  </w:r>
                  <w:r>
                    <w:rPr>
                      <w:spacing w:val="-49"/>
                    </w:rPr>
                    <w:t> </w:t>
                  </w:r>
                  <w:r>
                    <w:rPr>
                      <w:rFonts w:ascii="Times New Roman" w:hAnsi="Times New Roman" w:cs="Times New Roman" w:eastAsia="Times New Roman" w:hint="default"/>
                    </w:rPr>
                    <w:t>44,975,712.00</w:t>
                  </w:r>
                  <w:r>
                    <w:rPr>
                      <w:rFonts w:ascii="Times New Roman" w:hAnsi="Times New Roman" w:cs="Times New Roman" w:eastAsia="Times New Roman" w:hint="default"/>
                      <w:spacing w:val="-3"/>
                    </w:rPr>
                    <w:t> </w:t>
                  </w:r>
                  <w:r>
                    <w:rPr/>
                    <w:t>元（扣除支付西南证券股份有限公司财务顾问费</w:t>
                  </w:r>
                  <w:r>
                    <w:rPr>
                      <w:spacing w:val="-48"/>
                    </w:rPr>
                    <w:t> </w:t>
                  </w:r>
                  <w:r>
                    <w:rPr>
                      <w:rFonts w:ascii="Times New Roman" w:hAnsi="Times New Roman" w:cs="Times New Roman" w:eastAsia="Times New Roman" w:hint="default"/>
                    </w:rPr>
                    <w:t>4,500,000.00</w:t>
                  </w:r>
                  <w:r>
                    <w:rPr>
                      <w:rFonts w:ascii="Times New Roman" w:hAnsi="Times New Roman" w:cs="Times New Roman" w:eastAsia="Times New Roman" w:hint="default"/>
                      <w:spacing w:val="-4"/>
                    </w:rPr>
                    <w:t> </w:t>
                  </w:r>
                  <w:r>
                    <w:rPr>
                      <w:spacing w:val="-7"/>
                    </w:rPr>
                    <w:t>元）已于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3</w:t>
                  </w:r>
                </w:p>
                <w:p>
                  <w:pPr>
                    <w:pStyle w:val="BodyText"/>
                    <w:spacing w:line="240" w:lineRule="auto" w:before="64"/>
                    <w:ind w:left="22" w:right="0"/>
                    <w:jc w:val="both"/>
                  </w:pP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日汇入本公司华夏银行深圳高新支行的账户</w:t>
                  </w:r>
                  <w:r>
                    <w:rPr>
                      <w:spacing w:val="-45"/>
                    </w:rPr>
                    <w:t> </w:t>
                  </w:r>
                  <w:r>
                    <w:rPr>
                      <w:rFonts w:ascii="Times New Roman" w:hAnsi="Times New Roman" w:cs="Times New Roman" w:eastAsia="Times New Roman" w:hint="default"/>
                    </w:rPr>
                    <w:t>10860000000309257</w:t>
                  </w:r>
                  <w:r>
                    <w:rPr>
                      <w:rFonts w:ascii="Times New Roman" w:hAnsi="Times New Roman" w:cs="Times New Roman" w:eastAsia="Times New Roman" w:hint="default"/>
                      <w:spacing w:val="-1"/>
                    </w:rPr>
                    <w:t> </w:t>
                  </w:r>
                  <w:r>
                    <w:rPr/>
                    <w:t>内。</w:t>
                  </w:r>
                </w:p>
              </w:txbxContent>
            </v:textbox>
          </v:shape>
        </w:pict>
      </w:r>
      <w:r>
        <w:rPr>
          <w:rFonts w:ascii="宋体" w:hAnsi="宋体" w:cs="宋体" w:eastAsia="宋体" w:hint="default"/>
          <w:position w:val="-75"/>
          <w:sz w:val="20"/>
          <w:szCs w:val="20"/>
        </w:rPr>
      </w:r>
    </w:p>
    <w:p>
      <w:pPr>
        <w:spacing w:line="240" w:lineRule="auto" w:before="1"/>
        <w:rPr>
          <w:rFonts w:ascii="宋体" w:hAnsi="宋体" w:cs="宋体" w:eastAsia="宋体" w:hint="default"/>
          <w:sz w:val="20"/>
          <w:szCs w:val="20"/>
        </w:rPr>
      </w:pPr>
    </w:p>
    <w:p>
      <w:pPr>
        <w:pStyle w:val="Heading3"/>
        <w:spacing w:line="240" w:lineRule="auto" w:before="38"/>
        <w:ind w:left="154" w:right="113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4"/>
        <w:gridCol w:w="773"/>
        <w:gridCol w:w="788"/>
        <w:gridCol w:w="77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7"/>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限公司电源驱动生产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26,065.67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108.25%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-1,224.81</w:t>
            </w:r>
            <w:r>
              <w:rPr>
                <w:rFonts w:ascii="Times New Roman"/>
                <w:sz w:val="18"/>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限公司研发中心建设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68.46%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惠州茂硕能源科技有 限公司信息化系统建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874.19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55.33%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重大资产重组（湖南方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4,947.57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4,947.57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2,784.7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32,264.57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33,022.43</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1,559.89</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9,695.61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9,695.61</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14,695.61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14,695.61</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48"/>
        <w:gridCol w:w="779"/>
        <w:gridCol w:w="791"/>
        <w:gridCol w:w="780"/>
        <w:gridCol w:w="779"/>
        <w:gridCol w:w="780"/>
        <w:gridCol w:w="780"/>
        <w:gridCol w:w="780"/>
        <w:gridCol w:w="780"/>
        <w:gridCol w:w="780"/>
        <w:gridCol w:w="780"/>
      </w:tblGrid>
      <w:tr>
        <w:trPr>
          <w:trHeight w:val="402"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46,960.18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46,960.18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572.9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47,718.04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1,559.89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85"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tcPr>
          <w:p>
            <w:pPr>
              <w:pStyle w:val="TableParagraph"/>
              <w:spacing w:line="304" w:lineRule="auto" w:before="51"/>
              <w:ind w:left="27" w:right="2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、惠州茂硕能源科技有限公司电源驱动生产项目：工厂落成投产，产能已经逐步释放，但是由于行</w:t>
            </w:r>
            <w:r>
              <w:rPr>
                <w:rFonts w:ascii="宋体" w:hAnsi="宋体" w:cs="宋体" w:eastAsia="宋体" w:hint="default"/>
                <w:sz w:val="18"/>
                <w:szCs w:val="18"/>
              </w:rPr>
              <w:t> </w:t>
            </w:r>
            <w:r>
              <w:rPr>
                <w:rFonts w:ascii="宋体" w:hAnsi="宋体" w:cs="宋体" w:eastAsia="宋体" w:hint="default"/>
                <w:spacing w:val="-3"/>
                <w:sz w:val="18"/>
                <w:szCs w:val="18"/>
              </w:rPr>
              <w:t>业竞争加剧，盈利能力未达到预期；</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、惠州茂硕能源科技有限公司研发中心建设项目：研发设备的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购置需根据惠州茂硕产能增加逐步提升，且部分新产品处于预研、研发期或客户认定阶段，基于谨 慎性的考虑，研发中心建设项目整体投资分批付款进度滞后于预期投资进度，公司研发中心建设项 </w:t>
            </w:r>
            <w:r>
              <w:rPr>
                <w:rFonts w:ascii="宋体" w:hAnsi="宋体" w:cs="宋体" w:eastAsia="宋体" w:hint="default"/>
                <w:spacing w:val="-3"/>
                <w:sz w:val="18"/>
                <w:szCs w:val="18"/>
              </w:rPr>
              <w:t>目的建设按新计划进度有序进行；</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、惠州茂硕能源科技有限公司信息化系统建设项目：该项目主要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是服务于</w:t>
            </w:r>
            <w:r>
              <w:rPr>
                <w:rFonts w:ascii="Times New Roman" w:hAnsi="Times New Roman" w:cs="Times New Roman" w:eastAsia="Times New Roman" w:hint="default"/>
                <w:sz w:val="18"/>
                <w:szCs w:val="18"/>
              </w:rPr>
              <w:t>“</w:t>
            </w:r>
            <w:r>
              <w:rPr>
                <w:rFonts w:ascii="宋体" w:hAnsi="宋体" w:cs="宋体" w:eastAsia="宋体" w:hint="default"/>
                <w:sz w:val="18"/>
                <w:szCs w:val="18"/>
              </w:rPr>
              <w:t>电源驱动生产项目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投入使用以及公司产能扩张后的配套项目，为建设智慧工厂，完成工 </w:t>
            </w:r>
            <w:r>
              <w:rPr>
                <w:rFonts w:ascii="宋体" w:hAnsi="宋体" w:cs="宋体" w:eastAsia="宋体" w:hint="default"/>
                <w:spacing w:val="-2"/>
                <w:sz w:val="18"/>
                <w:szCs w:val="18"/>
              </w:rPr>
              <w:t>厂智能自动化目标，信息化系统建设项目将进行配套升级，为保证项目实施质量，</w:t>
            </w:r>
            <w:r>
              <w:rPr>
                <w:rFonts w:ascii="Times New Roman" w:hAnsi="Times New Roman" w:cs="Times New Roman" w:eastAsia="Times New Roman" w:hint="default"/>
                <w:spacing w:val="-2"/>
                <w:sz w:val="18"/>
                <w:szCs w:val="18"/>
              </w:rPr>
              <w:t>SRM</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系统、</w:t>
            </w:r>
            <w:r>
              <w:rPr>
                <w:rFonts w:ascii="Times New Roman" w:hAnsi="Times New Roman" w:cs="Times New Roman" w:eastAsia="Times New Roman" w:hint="default"/>
                <w:spacing w:val="-3"/>
                <w:sz w:val="18"/>
                <w:szCs w:val="18"/>
              </w:rPr>
              <w:t>MES</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系统、信息化安全异地备份等信息化建设项目已签订合同，并开始启动，但新签合同尚未付款。</w:t>
            </w:r>
          </w:p>
        </w:tc>
      </w:tr>
      <w:tr>
        <w:trPr>
          <w:trHeight w:val="1017"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4"/>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0" w:type="dxa"/>
            <w:gridSpan w:val="10"/>
            <w:vMerge/>
            <w:tcBorders>
              <w:left w:val="single" w:sz="9" w:space="0" w:color="D2D2D2"/>
              <w:right w:val="single" w:sz="4" w:space="0" w:color="000000"/>
            </w:tcBorders>
          </w:tcPr>
          <w:p>
            <w:pPr/>
          </w:p>
        </w:tc>
      </w:tr>
      <w:tr>
        <w:trPr>
          <w:trHeight w:val="785"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0" w:type="dxa"/>
            <w:gridSpan w:val="10"/>
            <w:vMerge/>
            <w:tcBorders>
              <w:left w:val="single" w:sz="9" w:space="0" w:color="D2D2D2"/>
              <w:bottom w:val="single" w:sz="4" w:space="0" w:color="000000"/>
              <w:right w:val="single" w:sz="4" w:space="0" w:color="000000"/>
            </w:tcBorders>
          </w:tcPr>
          <w:p>
            <w:pPr/>
          </w:p>
        </w:tc>
      </w:tr>
      <w:tr>
        <w:trPr>
          <w:trHeight w:val="714"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4"/>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11" w:right="1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0"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27" w:right="21"/>
              <w:jc w:val="both"/>
              <w:rPr>
                <w:rFonts w:ascii="宋体" w:hAnsi="宋体" w:cs="宋体" w:eastAsia="宋体" w:hint="default"/>
                <w:sz w:val="18"/>
                <w:szCs w:val="18"/>
              </w:rPr>
            </w:pPr>
            <w:r>
              <w:rPr>
                <w:rFonts w:ascii="宋体" w:hAnsi="宋体" w:cs="宋体" w:eastAsia="宋体" w:hint="default"/>
                <w:sz w:val="18"/>
                <w:szCs w:val="18"/>
              </w:rPr>
              <w:t>超额募集资金部分为</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14,101.55</w:t>
            </w:r>
            <w:r>
              <w:rPr>
                <w:rFonts w:ascii="Times New Roman" w:hAnsi="Times New Roman" w:cs="Times New Roman" w:eastAsia="Times New Roman" w:hint="default"/>
                <w:spacing w:val="-14"/>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万元和归还银行贷款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4,112.96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日，超募资金余额为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62"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0" w:type="dxa"/>
            <w:gridSpan w:val="10"/>
            <w:vMerge/>
            <w:tcBorders>
              <w:left w:val="single" w:sz="9" w:space="0" w:color="D2D2D2"/>
              <w:bottom w:val="single" w:sz="4" w:space="0" w:color="000000"/>
              <w:right w:val="single" w:sz="4" w:space="0" w:color="000000"/>
            </w:tcBorders>
          </w:tcPr>
          <w:p>
            <w:pPr/>
          </w:p>
        </w:tc>
      </w:tr>
      <w:tr>
        <w:trPr>
          <w:trHeight w:val="251"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04"/>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0"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8" w:type="dxa"/>
            <w:vMerge/>
            <w:tcBorders>
              <w:left w:val="single" w:sz="4" w:space="0" w:color="000000"/>
              <w:right w:val="single" w:sz="4" w:space="0" w:color="000000"/>
            </w:tcBorders>
            <w:shd w:val="clear" w:color="auto" w:fill="D2D2D2"/>
          </w:tcPr>
          <w:p>
            <w:pPr/>
          </w:p>
        </w:tc>
        <w:tc>
          <w:tcPr>
            <w:tcW w:w="7810"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0" w:type="dxa"/>
            <w:gridSpan w:val="10"/>
            <w:vMerge/>
            <w:tcBorders>
              <w:left w:val="single" w:sz="9" w:space="0" w:color="D2D2D2"/>
              <w:bottom w:val="single" w:sz="4" w:space="0" w:color="000000"/>
              <w:right w:val="single" w:sz="4" w:space="0" w:color="000000"/>
            </w:tcBorders>
          </w:tcPr>
          <w:p>
            <w:pPr/>
          </w:p>
        </w:tc>
      </w:tr>
      <w:tr>
        <w:trPr>
          <w:trHeight w:val="251" w:hRule="exact"/>
        </w:trPr>
        <w:tc>
          <w:tcPr>
            <w:tcW w:w="1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04"/>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0"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8" w:type="dxa"/>
            <w:vMerge/>
            <w:tcBorders>
              <w:left w:val="single" w:sz="4" w:space="0" w:color="000000"/>
              <w:right w:val="single" w:sz="4" w:space="0" w:color="000000"/>
            </w:tcBorders>
            <w:shd w:val="clear" w:color="auto" w:fill="D2D2D2"/>
          </w:tcPr>
          <w:p>
            <w:pPr/>
          </w:p>
        </w:tc>
        <w:tc>
          <w:tcPr>
            <w:tcW w:w="7810"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0"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8" w:type="dxa"/>
            <w:vMerge w:val="restart"/>
            <w:tcBorders>
              <w:top w:val="single" w:sz="4" w:space="0" w:color="000000"/>
              <w:left w:val="single" w:sz="4" w:space="0" w:color="000000"/>
              <w:right w:val="single" w:sz="4" w:space="0" w:color="000000"/>
            </w:tcBorders>
            <w:shd w:val="clear" w:color="auto" w:fill="D2D2D2"/>
          </w:tcPr>
          <w:p>
            <w:pPr/>
          </w:p>
        </w:tc>
        <w:tc>
          <w:tcPr>
            <w:tcW w:w="78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0" w:hRule="exact"/>
        </w:trPr>
        <w:tc>
          <w:tcPr>
            <w:tcW w:w="1748" w:type="dxa"/>
            <w:vMerge/>
            <w:tcBorders>
              <w:left w:val="single" w:sz="4" w:space="0" w:color="000000"/>
              <w:bottom w:val="nil" w:sz="6" w:space="0" w:color="auto"/>
              <w:right w:val="single" w:sz="4" w:space="0" w:color="000000"/>
            </w:tcBorders>
            <w:shd w:val="clear" w:color="auto" w:fill="D2D2D2"/>
          </w:tcPr>
          <w:p>
            <w:pPr/>
          </w:p>
        </w:tc>
        <w:tc>
          <w:tcPr>
            <w:tcW w:w="7810"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27"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、惠州茂硕能源科技有限公司电源驱动生产项目：截至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日，公司以自筹资金预先投</w:t>
            </w:r>
          </w:p>
          <w:p>
            <w:pPr>
              <w:pStyle w:val="TableParagraph"/>
              <w:spacing w:line="300" w:lineRule="auto" w:before="63"/>
              <w:ind w:left="27" w:right="20"/>
              <w:jc w:val="both"/>
              <w:rPr>
                <w:rFonts w:ascii="宋体" w:hAnsi="宋体" w:cs="宋体" w:eastAsia="宋体" w:hint="default"/>
                <w:sz w:val="18"/>
                <w:szCs w:val="18"/>
              </w:rPr>
            </w:pPr>
            <w:r>
              <w:rPr>
                <w:rFonts w:ascii="宋体" w:hAnsi="宋体" w:cs="宋体" w:eastAsia="宋体" w:hint="default"/>
                <w:sz w:val="18"/>
                <w:szCs w:val="18"/>
              </w:rPr>
              <w:t>入募集资金投资项目的实际投资额为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 </w:t>
            </w:r>
            <w:r>
              <w:rPr>
                <w:rFonts w:ascii="宋体" w:hAnsi="宋体" w:cs="宋体" w:eastAsia="宋体" w:hint="default"/>
                <w:spacing w:val="-1"/>
                <w:sz w:val="18"/>
                <w:szCs w:val="18"/>
              </w:rPr>
              <w:t>专字</w:t>
            </w:r>
            <w:r>
              <w:rPr>
                <w:rFonts w:ascii="Times New Roman" w:hAnsi="Times New Roman" w:cs="Times New Roman" w:eastAsia="Times New Roman" w:hint="default"/>
                <w:spacing w:val="-1"/>
                <w:sz w:val="18"/>
                <w:szCs w:val="18"/>
              </w:rPr>
              <w:t>[2012]0478</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专项鉴证报告确认。经公司董事会审议通过，保荐机构发表明确同意意见后，公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司以募集资金置换预先已投入募集资金投资项目的自筹资金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205.33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、惠州茂硕能源科技有</w:t>
            </w:r>
          </w:p>
          <w:p>
            <w:pPr>
              <w:pStyle w:val="TableParagraph"/>
              <w:spacing w:line="307" w:lineRule="auto" w:before="13"/>
              <w:ind w:left="27" w:right="20"/>
              <w:jc w:val="both"/>
              <w:rPr>
                <w:rFonts w:ascii="宋体" w:hAnsi="宋体" w:cs="宋体" w:eastAsia="宋体" w:hint="default"/>
                <w:sz w:val="18"/>
                <w:szCs w:val="18"/>
              </w:rPr>
            </w:pPr>
            <w:r>
              <w:rPr>
                <w:rFonts w:ascii="宋体" w:hAnsi="宋体" w:cs="宋体" w:eastAsia="宋体" w:hint="default"/>
                <w:sz w:val="18"/>
                <w:szCs w:val="18"/>
              </w:rPr>
              <w:t>限公司研发中心建设项目：截至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日，公司以自筹资金预先投入募集资金投资项目的 实际投资额为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[2012]0478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 鉴证报告确认。经公司董事会审议通过，保荐机构发表明确同意意见后，公司以募集资金置换预先 已投入募集资金投资项目的自筹资金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03" w:hRule="exact"/>
        </w:trPr>
        <w:tc>
          <w:tcPr>
            <w:tcW w:w="1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4"/>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0" w:type="dxa"/>
            <w:gridSpan w:val="10"/>
            <w:vMerge/>
            <w:tcBorders>
              <w:left w:val="single" w:sz="9" w:space="0" w:color="D2D2D2"/>
              <w:right w:val="single" w:sz="4" w:space="0" w:color="000000"/>
            </w:tcBorders>
          </w:tcPr>
          <w:p>
            <w:pPr/>
          </w:p>
        </w:tc>
      </w:tr>
      <w:tr>
        <w:trPr>
          <w:trHeight w:val="1142" w:hRule="exact"/>
        </w:trPr>
        <w:tc>
          <w:tcPr>
            <w:tcW w:w="1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0" w:type="dxa"/>
            <w:gridSpan w:val="10"/>
            <w:vMerge/>
            <w:tcBorders>
              <w:left w:val="single" w:sz="9" w:space="0" w:color="D2D2D2"/>
              <w:bottom w:val="single" w:sz="4" w:space="0" w:color="000000"/>
              <w:right w:val="single" w:sz="4" w:space="0" w:color="000000"/>
            </w:tcBorders>
          </w:tcPr>
          <w:p>
            <w:pPr/>
          </w:p>
        </w:tc>
      </w:tr>
      <w:tr>
        <w:trPr>
          <w:trHeight w:val="402" w:hRule="exact"/>
        </w:trPr>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 w:right="104"/>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48" w:type="dxa"/>
            <w:vMerge/>
            <w:tcBorders>
              <w:left w:val="single" w:sz="4" w:space="0" w:color="000000"/>
              <w:bottom w:val="single" w:sz="4" w:space="0" w:color="000000"/>
              <w:right w:val="single" w:sz="4" w:space="0" w:color="000000"/>
            </w:tcBorders>
            <w:shd w:val="clear" w:color="auto" w:fill="D2D2D2"/>
          </w:tcPr>
          <w:p>
            <w:pPr/>
          </w:p>
        </w:tc>
        <w:tc>
          <w:tcPr>
            <w:tcW w:w="7810"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 w:right="104"/>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48" w:type="dxa"/>
            <w:vMerge/>
            <w:tcBorders>
              <w:left w:val="single" w:sz="4" w:space="0" w:color="000000"/>
              <w:bottom w:val="single" w:sz="4" w:space="0" w:color="000000"/>
              <w:right w:val="single" w:sz="4" w:space="0" w:color="000000"/>
            </w:tcBorders>
            <w:shd w:val="clear" w:color="auto" w:fill="D2D2D2"/>
          </w:tcPr>
          <w:p>
            <w:pP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项目尚未完结</w:t>
            </w:r>
          </w:p>
        </w:tc>
      </w:tr>
      <w:tr>
        <w:trPr>
          <w:trHeight w:val="714"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4"/>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款项存放于募集资金专户中</w:t>
            </w:r>
          </w:p>
        </w:tc>
      </w:tr>
      <w:tr>
        <w:trPr>
          <w:trHeight w:val="1026" w:hRule="exact"/>
        </w:trPr>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4"/>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1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Times New Roman" w:hAnsi="Times New Roman" w:cs="Times New Roman" w:eastAsia="Times New Roman" w:hint="default"/>
          <w:sz w:val="28"/>
          <w:szCs w:val="28"/>
        </w:rPr>
      </w:pPr>
    </w:p>
    <w:p>
      <w:pPr>
        <w:pStyle w:val="Heading3"/>
        <w:spacing w:line="240" w:lineRule="auto" w:before="38"/>
        <w:ind w:right="113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13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0"/>
        <w:rPr>
          <w:rFonts w:ascii="宋体" w:hAnsi="宋体" w:cs="宋体" w:eastAsia="宋体" w:hint="default"/>
          <w:sz w:val="21"/>
          <w:szCs w:val="21"/>
        </w:rPr>
      </w:pPr>
    </w:p>
    <w:p>
      <w:pPr>
        <w:pStyle w:val="Heading3"/>
        <w:spacing w:line="240" w:lineRule="auto"/>
        <w:ind w:right="113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35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深圳市 前海合 祁壹号 投资企 业（有 限合 伙）， 深圳市 万川资 产管理 有限公 司，方 笑求、 蓝顺民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15,300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本次股 权转让 完成 后，将 导致公 司合并 报表范 围发生 变更， 湖南方 正达将 不再 纳入公 司合并 报表范 围内。 本次交</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评估定 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交易对 方中方 笑求先 生为公 司董 事，且 方笑求 先生与 蓝顺明 女士为 配偶关 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w:t>
              </w:r>
            </w:hyperlink>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z w:val="18"/>
                <w:szCs w:val="18"/>
              </w:rPr>
              <w:t> om.cn</w:t>
            </w:r>
            <w:r>
              <w:rPr>
                <w:rFonts w:ascii="宋体" w:hAnsi="宋体" w:cs="宋体" w:eastAsia="宋体" w:hint="default"/>
                <w:sz w:val="18"/>
                <w:szCs w:val="18"/>
              </w:rPr>
              <w:t>） 的《关 于方正 达股权 转让暨 关联交 易的公 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易公司</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6"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15,300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让价</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款，增</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加公司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的营运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有利于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公司优</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化资产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符合公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司的长</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期发展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战略和</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全体股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益。同</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日和</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司与方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笑求、</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预测补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偿协</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其补充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协议承</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诺事项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依然有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22"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月，公</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0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司与方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笑求、</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及前海</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合祁壹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号、万</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川资产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签订了</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预测补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偿补充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权转让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笑求、</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如根据</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预测补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偿协</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其补充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生业绩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务，则</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前海合</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祁壹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号、万</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川资产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受让公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司转让</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后按受</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让股权</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比例享</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有相应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的获得</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业绩补</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偿的权</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次事项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营状况</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和财务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利影</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损害公</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体股东</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情形。</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113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pict>
          <v:group style="position:absolute;margin-left:56.459999pt;margin-top:16.771727pt;width:478.95pt;height:340.1pt;mso-position-horizontal-relative:page;mso-position-vertical-relative:paragraph;z-index:-1318720" coordorigin="1129,335" coordsize="9579,6802">
            <v:group style="position:absolute;left:1150;top:350;width:2;height:393" coordorigin="1150,350" coordsize="2,393">
              <v:shape style="position:absolute;left:1150;top:350;width:2;height:393" coordorigin="1150,350" coordsize="0,393" path="m1150,350l1150,742e" filled="false" stroked="true" strokeweight="1.140pt" strokecolor="#d2d2d2">
                <v:path arrowok="t"/>
              </v:shape>
            </v:group>
            <v:group style="position:absolute;left:2172;top:350;width:2;height:393" coordorigin="2172,350" coordsize="2,393">
              <v:shape style="position:absolute;left:2172;top:350;width:2;height:393" coordorigin="2172,350" coordsize="0,393" path="m2172,350l2172,742e" filled="false" stroked="true" strokeweight="1.140pt" strokecolor="#d2d2d2">
                <v:path arrowok="t"/>
              </v:shape>
            </v:group>
            <v:group style="position:absolute;left:1162;top:350;width:999;height:393" coordorigin="1162,350" coordsize="999,393">
              <v:shape style="position:absolute;left:1162;top:350;width:999;height:393" coordorigin="1162,350" coordsize="999,393" path="m1162,742l2160,742,2160,350,1162,350,1162,742xe" filled="true" fillcolor="#d2d2d2" stroked="false">
                <v:path arrowok="t"/>
                <v:fill type="solid"/>
              </v:shape>
            </v:group>
            <v:group style="position:absolute;left:2205;top:350;width:2;height:393" coordorigin="2205,350" coordsize="2,393">
              <v:shape style="position:absolute;left:2205;top:350;width:2;height:393" coordorigin="2205,350" coordsize="0,393" path="m2205,350l2205,742e" filled="false" stroked="true" strokeweight="1.2pt" strokecolor="#d2d2d2">
                <v:path arrowok="t"/>
              </v:shape>
            </v:group>
            <v:group style="position:absolute;left:3103;top:350;width:2;height:393" coordorigin="3103,350" coordsize="2,393">
              <v:shape style="position:absolute;left:3103;top:350;width:2;height:393" coordorigin="3103,350" coordsize="0,393" path="m3103,350l3103,742e" filled="false" stroked="true" strokeweight="1.140pt" strokecolor="#d2d2d2">
                <v:path arrowok="t"/>
              </v:shape>
            </v:group>
            <v:group style="position:absolute;left:2217;top:350;width:875;height:393" coordorigin="2217,350" coordsize="875,393">
              <v:shape style="position:absolute;left:2217;top:350;width:875;height:393" coordorigin="2217,350" coordsize="875,393" path="m2217,742l3092,742,3092,350,2217,350,2217,742xe" filled="true" fillcolor="#d2d2d2" stroked="false">
                <v:path arrowok="t"/>
                <v:fill type="solid"/>
              </v:shape>
            </v:group>
            <v:group style="position:absolute;left:3135;top:350;width:2;height:393" coordorigin="3135,350" coordsize="2,393">
              <v:shape style="position:absolute;left:3135;top:350;width:2;height:393" coordorigin="3135,350" coordsize="0,393" path="m3135,350l3135,742e" filled="false" stroked="true" strokeweight="1.140pt" strokecolor="#d2d2d2">
                <v:path arrowok="t"/>
              </v:shape>
            </v:group>
            <v:group style="position:absolute;left:4520;top:350;width:2;height:393" coordorigin="4520,350" coordsize="2,393">
              <v:shape style="position:absolute;left:4520;top:350;width:2;height:393" coordorigin="4520,350" coordsize="0,393" path="m4520,350l4520,742e" filled="false" stroked="true" strokeweight="1.140pt" strokecolor="#d2d2d2">
                <v:path arrowok="t"/>
              </v:shape>
            </v:group>
            <v:group style="position:absolute;left:3147;top:350;width:1362;height:393" coordorigin="3147,350" coordsize="1362,393">
              <v:shape style="position:absolute;left:3147;top:350;width:1362;height:393" coordorigin="3147,350" coordsize="1362,393" path="m3147,742l4509,742,4509,350,3147,350,3147,742xe" filled="true" fillcolor="#d2d2d2" stroked="false">
                <v:path arrowok="t"/>
                <v:fill type="solid"/>
              </v:shape>
            </v:group>
            <v:group style="position:absolute;left:4553;top:350;width:2;height:393" coordorigin="4553,350" coordsize="2,393">
              <v:shape style="position:absolute;left:4553;top:350;width:2;height:393" coordorigin="4553,350" coordsize="0,393" path="m4553,350l4553,742e" filled="false" stroked="true" strokeweight="1.140pt" strokecolor="#d2d2d2">
                <v:path arrowok="t"/>
              </v:shape>
            </v:group>
            <v:group style="position:absolute;left:5458;top:350;width:2;height:393" coordorigin="5458,350" coordsize="2,393">
              <v:shape style="position:absolute;left:5458;top:350;width:2;height:393" coordorigin="5458,350" coordsize="0,393" path="m5458,350l5458,742e" filled="false" stroked="true" strokeweight="1.140pt" strokecolor="#d2d2d2">
                <v:path arrowok="t"/>
              </v:shape>
            </v:group>
            <v:group style="position:absolute;left:4564;top:350;width:883;height:393" coordorigin="4564,350" coordsize="883,393">
              <v:shape style="position:absolute;left:4564;top:350;width:883;height:393" coordorigin="4564,350" coordsize="883,393" path="m4564,742l5446,742,5446,350,4564,350,4564,742xe" filled="true" fillcolor="#d2d2d2" stroked="false">
                <v:path arrowok="t"/>
                <v:fill type="solid"/>
              </v:shape>
            </v:group>
            <v:group style="position:absolute;left:5491;top:350;width:2;height:393" coordorigin="5491,350" coordsize="2,393">
              <v:shape style="position:absolute;left:5491;top:350;width:2;height:393" coordorigin="5491,350" coordsize="0,393" path="m5491,350l5491,742e" filled="false" stroked="true" strokeweight="1.140pt" strokecolor="#d2d2d2">
                <v:path arrowok="t"/>
              </v:shape>
            </v:group>
            <v:group style="position:absolute;left:6504;top:350;width:2;height:393" coordorigin="6504,350" coordsize="2,393">
              <v:shape style="position:absolute;left:6504;top:350;width:2;height:393" coordorigin="6504,350" coordsize="0,393" path="m6504,350l6504,742e" filled="false" stroked="true" strokeweight="1.140pt" strokecolor="#d2d2d2">
                <v:path arrowok="t"/>
              </v:shape>
            </v:group>
            <v:group style="position:absolute;left:5503;top:350;width:990;height:393" coordorigin="5503,350" coordsize="990,393">
              <v:shape style="position:absolute;left:5503;top:350;width:990;height:393" coordorigin="5503,350" coordsize="990,393" path="m5503,742l6493,742,6493,350,5503,350,5503,742xe" filled="true" fillcolor="#d2d2d2" stroked="false">
                <v:path arrowok="t"/>
                <v:fill type="solid"/>
              </v:shape>
            </v:group>
            <v:group style="position:absolute;left:6538;top:350;width:2;height:393" coordorigin="6538,350" coordsize="2,393">
              <v:shape style="position:absolute;left:6538;top:350;width:2;height:393" coordorigin="6538,350" coordsize="0,393" path="m6538,350l6538,742e" filled="false" stroked="true" strokeweight="1.140pt" strokecolor="#d2d2d2">
                <v:path arrowok="t"/>
              </v:shape>
            </v:group>
            <v:group style="position:absolute;left:7549;top:350;width:2;height:393" coordorigin="7549,350" coordsize="2,393">
              <v:shape style="position:absolute;left:7549;top:350;width:2;height:393" coordorigin="7549,350" coordsize="0,393" path="m7549,350l7549,742e" filled="false" stroked="true" strokeweight="1.140pt" strokecolor="#d2d2d2">
                <v:path arrowok="t"/>
              </v:shape>
            </v:group>
            <v:group style="position:absolute;left:6549;top:350;width:989;height:393" coordorigin="6549,350" coordsize="989,393">
              <v:shape style="position:absolute;left:6549;top:350;width:989;height:393" coordorigin="6549,350" coordsize="989,393" path="m6549,742l7538,742,7538,350,6549,350,6549,742xe" filled="true" fillcolor="#d2d2d2" stroked="false">
                <v:path arrowok="t"/>
                <v:fill type="solid"/>
              </v:shape>
            </v:group>
            <v:group style="position:absolute;left:7582;top:350;width:2;height:393" coordorigin="7582,350" coordsize="2,393">
              <v:shape style="position:absolute;left:7582;top:350;width:2;height:393" coordorigin="7582,350" coordsize="0,393" path="m7582,350l7582,742e" filled="false" stroked="true" strokeweight="1.140pt" strokecolor="#d2d2d2">
                <v:path arrowok="t"/>
              </v:shape>
            </v:group>
            <v:group style="position:absolute;left:8595;top:350;width:2;height:393" coordorigin="8595,350" coordsize="2,393">
              <v:shape style="position:absolute;left:8595;top:350;width:2;height:393" coordorigin="8595,350" coordsize="0,393" path="m8595,350l8595,742e" filled="false" stroked="true" strokeweight="1.140pt" strokecolor="#d2d2d2">
                <v:path arrowok="t"/>
              </v:shape>
            </v:group>
            <v:group style="position:absolute;left:7593;top:350;width:991;height:393" coordorigin="7593,350" coordsize="991,393">
              <v:shape style="position:absolute;left:7593;top:350;width:991;height:393" coordorigin="7593,350" coordsize="991,393" path="m7593,742l8584,742,8584,350,7593,350,7593,742xe" filled="true" fillcolor="#d2d2d2" stroked="false">
                <v:path arrowok="t"/>
                <v:fill type="solid"/>
              </v:shape>
            </v:group>
            <v:group style="position:absolute;left:8627;top:350;width:2;height:393" coordorigin="8627,350" coordsize="2,393">
              <v:shape style="position:absolute;left:8627;top:350;width:2;height:393" coordorigin="8627,350" coordsize="0,393" path="m8627,350l8627,742e" filled="false" stroked="true" strokeweight="1.140pt" strokecolor="#d2d2d2">
                <v:path arrowok="t"/>
              </v:shape>
            </v:group>
            <v:group style="position:absolute;left:9640;top:350;width:2;height:393" coordorigin="9640,350" coordsize="2,393">
              <v:shape style="position:absolute;left:9640;top:350;width:2;height:393" coordorigin="9640,350" coordsize="0,393" path="m9640,350l9640,742e" filled="false" stroked="true" strokeweight="1.2pt" strokecolor="#d2d2d2">
                <v:path arrowok="t"/>
              </v:shape>
            </v:group>
            <v:group style="position:absolute;left:8639;top:350;width:989;height:393" coordorigin="8639,350" coordsize="989,393">
              <v:shape style="position:absolute;left:8639;top:350;width:989;height:393" coordorigin="8639,350" coordsize="989,393" path="m8639,742l9628,742,9628,350,8639,350,8639,742xe" filled="true" fillcolor="#d2d2d2" stroked="false">
                <v:path arrowok="t"/>
                <v:fill type="solid"/>
              </v:shape>
            </v:group>
            <v:group style="position:absolute;left:9673;top:350;width:2;height:393" coordorigin="9673,350" coordsize="2,393">
              <v:shape style="position:absolute;left:9673;top:350;width:2;height:393" coordorigin="9673,350" coordsize="0,393" path="m9673,350l9673,742e" filled="false" stroked="true" strokeweight="1.140pt" strokecolor="#d2d2d2">
                <v:path arrowok="t"/>
              </v:shape>
            </v:group>
            <v:group style="position:absolute;left:10685;top:350;width:2;height:393" coordorigin="10685,350" coordsize="2,393">
              <v:shape style="position:absolute;left:10685;top:350;width:2;height:393" coordorigin="10685,350" coordsize="0,393" path="m10685,350l10685,742e" filled="false" stroked="true" strokeweight="1.140pt" strokecolor="#d2d2d2">
                <v:path arrowok="t"/>
              </v:shape>
            </v:group>
            <v:group style="position:absolute;left:9684;top:350;width:990;height:393" coordorigin="9684,350" coordsize="990,393">
              <v:shape style="position:absolute;left:9684;top:350;width:990;height:393" coordorigin="9684,350" coordsize="990,393" path="m9684,742l10674,742,10674,350,9684,350,9684,742xe" filled="true" fillcolor="#d2d2d2" stroked="false">
                <v:path arrowok="t"/>
                <v:fill type="solid"/>
              </v:shape>
            </v:group>
            <v:group style="position:absolute;left:1139;top:345;width:1045;height:2" coordorigin="1139,345" coordsize="1045,2">
              <v:shape style="position:absolute;left:1139;top:345;width:1045;height:2" coordorigin="1139,345" coordsize="1045,0" path="m1139,345l2183,345e" filled="false" stroked="true" strokeweight=".48pt" strokecolor="#000000">
                <v:path arrowok="t"/>
              </v:shape>
            </v:group>
            <v:group style="position:absolute;left:2193;top:345;width:922;height:2" coordorigin="2193,345" coordsize="922,2">
              <v:shape style="position:absolute;left:2193;top:345;width:922;height:2" coordorigin="2193,345" coordsize="922,0" path="m2193,345l3114,345e" filled="false" stroked="true" strokeweight=".48pt" strokecolor="#000000">
                <v:path arrowok="t"/>
              </v:shape>
            </v:group>
            <v:group style="position:absolute;left:3124;top:345;width:1408;height:2" coordorigin="3124,345" coordsize="1408,2">
              <v:shape style="position:absolute;left:3124;top:345;width:1408;height:2" coordorigin="3124,345" coordsize="1408,0" path="m3124,345l4532,345e" filled="false" stroked="true" strokeweight=".48pt" strokecolor="#000000">
                <v:path arrowok="t"/>
              </v:shape>
            </v:group>
            <v:group style="position:absolute;left:4541;top:345;width:930;height:2" coordorigin="4541,345" coordsize="930,2">
              <v:shape style="position:absolute;left:4541;top:345;width:930;height:2" coordorigin="4541,345" coordsize="930,0" path="m4541,345l5470,345e" filled="false" stroked="true" strokeweight=".48pt" strokecolor="#000000">
                <v:path arrowok="t"/>
              </v:shape>
            </v:group>
            <v:group style="position:absolute;left:5480;top:345;width:1036;height:2" coordorigin="5480,345" coordsize="1036,2">
              <v:shape style="position:absolute;left:5480;top:345;width:1036;height:2" coordorigin="5480,345" coordsize="1036,0" path="m5480,345l6516,345e" filled="false" stroked="true" strokeweight=".48pt" strokecolor="#000000">
                <v:path arrowok="t"/>
              </v:shape>
            </v:group>
            <v:group style="position:absolute;left:6525;top:345;width:1036;height:2" coordorigin="6525,345" coordsize="1036,2">
              <v:shape style="position:absolute;left:6525;top:345;width:1036;height:2" coordorigin="6525,345" coordsize="1036,0" path="m6525,345l7561,345e" filled="false" stroked="true" strokeweight=".48pt" strokecolor="#000000">
                <v:path arrowok="t"/>
              </v:shape>
            </v:group>
            <v:group style="position:absolute;left:7570;top:345;width:1036;height:2" coordorigin="7570,345" coordsize="1036,2">
              <v:shape style="position:absolute;left:7570;top:345;width:1036;height:2" coordorigin="7570,345" coordsize="1036,0" path="m7570,345l8606,345e" filled="false" stroked="true" strokeweight=".48pt" strokecolor="#000000">
                <v:path arrowok="t"/>
              </v:shape>
            </v:group>
            <v:group style="position:absolute;left:8616;top:345;width:1036;height:2" coordorigin="8616,345" coordsize="1036,2">
              <v:shape style="position:absolute;left:8616;top:345;width:1036;height:2" coordorigin="8616,345" coordsize="1036,0" path="m8616,345l9652,345e" filled="false" stroked="true" strokeweight=".48pt" strokecolor="#000000">
                <v:path arrowok="t"/>
              </v:shape>
            </v:group>
            <v:group style="position:absolute;left:9661;top:345;width:1037;height:2" coordorigin="9661,345" coordsize="1037,2">
              <v:shape style="position:absolute;left:9661;top:345;width:1037;height:2" coordorigin="9661,345" coordsize="1037,0" path="m9661,345l10698,345e" filled="false" stroked="true" strokeweight=".48pt" strokecolor="#000000">
                <v:path arrowok="t"/>
              </v:shape>
            </v:group>
            <v:group style="position:absolute;left:4541;top:752;width:928;height:1560" coordorigin="4541,752" coordsize="928,1560">
              <v:shape style="position:absolute;left:4541;top:752;width:928;height:1560" coordorigin="4541,752" coordsize="928,1560" path="m4541,2312l5469,2312,5469,752,4541,752,4541,2312xe" filled="true" fillcolor="#ffffff" stroked="false">
                <v:path arrowok="t"/>
                <v:fill type="solid"/>
              </v:shape>
            </v:group>
            <v:group style="position:absolute;left:1139;top:747;width:1045;height:2" coordorigin="1139,747" coordsize="1045,2">
              <v:shape style="position:absolute;left:1139;top:747;width:1045;height:2" coordorigin="1139,747" coordsize="1045,0" path="m1139,747l2183,747e" filled="false" stroked="true" strokeweight=".48pt" strokecolor="#000000">
                <v:path arrowok="t"/>
              </v:shape>
            </v:group>
            <v:group style="position:absolute;left:2193;top:747;width:922;height:2" coordorigin="2193,747" coordsize="922,2">
              <v:shape style="position:absolute;left:2193;top:747;width:922;height:2" coordorigin="2193,747" coordsize="922,0" path="m2193,747l3114,747e" filled="false" stroked="true" strokeweight=".48pt" strokecolor="#000000">
                <v:path arrowok="t"/>
              </v:shape>
            </v:group>
            <v:group style="position:absolute;left:3124;top:747;width:1408;height:2" coordorigin="3124,747" coordsize="1408,2">
              <v:shape style="position:absolute;left:3124;top:747;width:1408;height:2" coordorigin="3124,747" coordsize="1408,0" path="m3124,747l4532,747e" filled="false" stroked="true" strokeweight=".48pt" strokecolor="#000000">
                <v:path arrowok="t"/>
              </v:shape>
            </v:group>
            <v:group style="position:absolute;left:4541;top:747;width:930;height:2" coordorigin="4541,747" coordsize="930,2">
              <v:shape style="position:absolute;left:4541;top:747;width:930;height:2" coordorigin="4541,747" coordsize="930,0" path="m4541,747l5470,747e" filled="false" stroked="true" strokeweight=".48pt" strokecolor="#000000">
                <v:path arrowok="t"/>
              </v:shape>
            </v:group>
            <v:group style="position:absolute;left:5480;top:747;width:1036;height:2" coordorigin="5480,747" coordsize="1036,2">
              <v:shape style="position:absolute;left:5480;top:747;width:1036;height:2" coordorigin="5480,747" coordsize="1036,0" path="m5480,747l6516,747e" filled="false" stroked="true" strokeweight=".48pt" strokecolor="#000000">
                <v:path arrowok="t"/>
              </v:shape>
            </v:group>
            <v:group style="position:absolute;left:6525;top:747;width:1036;height:2" coordorigin="6525,747" coordsize="1036,2">
              <v:shape style="position:absolute;left:6525;top:747;width:1036;height:2" coordorigin="6525,747" coordsize="1036,0" path="m6525,747l7561,747e" filled="false" stroked="true" strokeweight=".48pt" strokecolor="#000000">
                <v:path arrowok="t"/>
              </v:shape>
            </v:group>
            <v:group style="position:absolute;left:7570;top:747;width:1036;height:2" coordorigin="7570,747" coordsize="1036,2">
              <v:shape style="position:absolute;left:7570;top:747;width:1036;height:2" coordorigin="7570,747" coordsize="1036,0" path="m7570,747l8606,747e" filled="false" stroked="true" strokeweight=".48pt" strokecolor="#000000">
                <v:path arrowok="t"/>
              </v:shape>
            </v:group>
            <v:group style="position:absolute;left:8616;top:747;width:1036;height:2" coordorigin="8616,747" coordsize="1036,2">
              <v:shape style="position:absolute;left:8616;top:747;width:1036;height:2" coordorigin="8616,747" coordsize="1036,0" path="m8616,747l9652,747e" filled="false" stroked="true" strokeweight=".48pt" strokecolor="#000000">
                <v:path arrowok="t"/>
              </v:shape>
            </v:group>
            <v:group style="position:absolute;left:9661;top:747;width:1037;height:2" coordorigin="9661,747" coordsize="1037,2">
              <v:shape style="position:absolute;left:9661;top:747;width:1037;height:2" coordorigin="9661,747" coordsize="1037,0" path="m9661,747l10698,747e" filled="false" stroked="true" strokeweight=".48pt" strokecolor="#000000">
                <v:path arrowok="t"/>
              </v:shape>
            </v:group>
            <v:group style="position:absolute;left:4541;top:3016;width:928;height:1560" coordorigin="4541,3016" coordsize="928,1560">
              <v:shape style="position:absolute;left:4541;top:3016;width:928;height:1560" coordorigin="4541,3016" coordsize="928,1560" path="m4541,4576l5469,4576,5469,3016,4541,3016,4541,4576xe" filled="true" fillcolor="#ffffff" stroked="false">
                <v:path arrowok="t"/>
                <v:fill type="solid"/>
              </v:shape>
            </v:group>
            <v:group style="position:absolute;left:4541;top:4586;width:928;height:917" coordorigin="4541,4586" coordsize="928,917">
              <v:shape style="position:absolute;left:4541;top:4586;width:928;height:917" coordorigin="4541,4586" coordsize="928,917" path="m4541,5503l5469,5503,5469,4586,4541,4586,4541,5503xe" filled="true" fillcolor="#ffffff" stroked="false">
                <v:path arrowok="t"/>
                <v:fill type="solid"/>
              </v:shape>
            </v:group>
            <v:group style="position:absolute;left:1139;top:4581;width:1045;height:2" coordorigin="1139,4581" coordsize="1045,2">
              <v:shape style="position:absolute;left:1139;top:4581;width:1045;height:2" coordorigin="1139,4581" coordsize="1045,0" path="m1139,4581l2183,4581e" filled="false" stroked="true" strokeweight=".48pt" strokecolor="#000000">
                <v:path arrowok="t"/>
              </v:shape>
            </v:group>
            <v:group style="position:absolute;left:2193;top:4581;width:922;height:2" coordorigin="2193,4581" coordsize="922,2">
              <v:shape style="position:absolute;left:2193;top:4581;width:922;height:2" coordorigin="2193,4581" coordsize="922,0" path="m2193,4581l3114,4581e" filled="false" stroked="true" strokeweight=".48pt" strokecolor="#000000">
                <v:path arrowok="t"/>
              </v:shape>
            </v:group>
            <v:group style="position:absolute;left:3124;top:4581;width:1408;height:2" coordorigin="3124,4581" coordsize="1408,2">
              <v:shape style="position:absolute;left:3124;top:4581;width:1408;height:2" coordorigin="3124,4581" coordsize="1408,0" path="m3124,4581l4532,4581e" filled="false" stroked="true" strokeweight=".48pt" strokecolor="#000000">
                <v:path arrowok="t"/>
              </v:shape>
            </v:group>
            <v:group style="position:absolute;left:4541;top:4581;width:930;height:2" coordorigin="4541,4581" coordsize="930,2">
              <v:shape style="position:absolute;left:4541;top:4581;width:930;height:2" coordorigin="4541,4581" coordsize="930,0" path="m4541,4581l5470,4581e" filled="false" stroked="true" strokeweight=".48pt" strokecolor="#000000">
                <v:path arrowok="t"/>
              </v:shape>
            </v:group>
            <v:group style="position:absolute;left:5480;top:4581;width:1036;height:2" coordorigin="5480,4581" coordsize="1036,2">
              <v:shape style="position:absolute;left:5480;top:4581;width:1036;height:2" coordorigin="5480,4581" coordsize="1036,0" path="m5480,4581l6516,4581e" filled="false" stroked="true" strokeweight=".48pt" strokecolor="#000000">
                <v:path arrowok="t"/>
              </v:shape>
            </v:group>
            <v:group style="position:absolute;left:6525;top:4581;width:1036;height:2" coordorigin="6525,4581" coordsize="1036,2">
              <v:shape style="position:absolute;left:6525;top:4581;width:1036;height:2" coordorigin="6525,4581" coordsize="1036,0" path="m6525,4581l7561,4581e" filled="false" stroked="true" strokeweight=".48pt" strokecolor="#000000">
                <v:path arrowok="t"/>
              </v:shape>
            </v:group>
            <v:group style="position:absolute;left:7570;top:4581;width:1036;height:2" coordorigin="7570,4581" coordsize="1036,2">
              <v:shape style="position:absolute;left:7570;top:4581;width:1036;height:2" coordorigin="7570,4581" coordsize="1036,0" path="m7570,4581l8606,4581e" filled="false" stroked="true" strokeweight=".48pt" strokecolor="#000000">
                <v:path arrowok="t"/>
              </v:shape>
            </v:group>
            <v:group style="position:absolute;left:8616;top:4581;width:1036;height:2" coordorigin="8616,4581" coordsize="1036,2">
              <v:shape style="position:absolute;left:8616;top:4581;width:1036;height:2" coordorigin="8616,4581" coordsize="1036,0" path="m8616,4581l9652,4581e" filled="false" stroked="true" strokeweight=".48pt" strokecolor="#000000">
                <v:path arrowok="t"/>
              </v:shape>
            </v:group>
            <v:group style="position:absolute;left:9661;top:4581;width:1037;height:2" coordorigin="9661,4581" coordsize="1037,2">
              <v:shape style="position:absolute;left:9661;top:4581;width:1037;height:2" coordorigin="9661,4581" coordsize="1037,0" path="m9661,4581l10698,4581e" filled="false" stroked="true" strokeweight=".48pt" strokecolor="#000000">
                <v:path arrowok="t"/>
              </v:shape>
            </v:group>
            <v:group style="position:absolute;left:1134;top:340;width:2;height:6793" coordorigin="1134,340" coordsize="2,6793">
              <v:shape style="position:absolute;left:1134;top:340;width:2;height:6793" coordorigin="1134,340" coordsize="0,6793" path="m1134,340l1134,7133e" filled="false" stroked="true" strokeweight=".48pt" strokecolor="#000000">
                <v:path arrowok="t"/>
              </v:shape>
            </v:group>
            <v:group style="position:absolute;left:1139;top:7128;width:1045;height:2" coordorigin="1139,7128" coordsize="1045,2">
              <v:shape style="position:absolute;left:1139;top:7128;width:1045;height:2" coordorigin="1139,7128" coordsize="1045,0" path="m1139,7128l2183,7128e" filled="false" stroked="true" strokeweight=".48pt" strokecolor="#000000">
                <v:path arrowok="t"/>
              </v:shape>
            </v:group>
            <v:group style="position:absolute;left:2188;top:340;width:2;height:6793" coordorigin="2188,340" coordsize="2,6793">
              <v:shape style="position:absolute;left:2188;top:340;width:2;height:6793" coordorigin="2188,340" coordsize="0,6793" path="m2188,340l2188,7133e" filled="false" stroked="true" strokeweight=".48pt" strokecolor="#000000">
                <v:path arrowok="t"/>
              </v:shape>
            </v:group>
            <v:group style="position:absolute;left:2193;top:7128;width:922;height:2" coordorigin="2193,7128" coordsize="922,2">
              <v:shape style="position:absolute;left:2193;top:7128;width:922;height:2" coordorigin="2193,7128" coordsize="922,0" path="m2193,7128l3114,7128e" filled="false" stroked="true" strokeweight=".48pt" strokecolor="#000000">
                <v:path arrowok="t"/>
              </v:shape>
            </v:group>
            <v:group style="position:absolute;left:3119;top:340;width:2;height:6793" coordorigin="3119,340" coordsize="2,6793">
              <v:shape style="position:absolute;left:3119;top:340;width:2;height:6793" coordorigin="3119,340" coordsize="0,6793" path="m3119,340l3119,7133e" filled="false" stroked="true" strokeweight=".48pt" strokecolor="#000000">
                <v:path arrowok="t"/>
              </v:shape>
            </v:group>
            <v:group style="position:absolute;left:3124;top:7128;width:1408;height:2" coordorigin="3124,7128" coordsize="1408,2">
              <v:shape style="position:absolute;left:3124;top:7128;width:1408;height:2" coordorigin="3124,7128" coordsize="1408,0" path="m3124,7128l4532,7128e" filled="false" stroked="true" strokeweight=".48pt" strokecolor="#000000">
                <v:path arrowok="t"/>
              </v:shape>
            </v:group>
            <v:group style="position:absolute;left:4536;top:340;width:2;height:6793" coordorigin="4536,340" coordsize="2,6793">
              <v:shape style="position:absolute;left:4536;top:340;width:2;height:6793" coordorigin="4536,340" coordsize="0,6793" path="m4536,340l4536,7133e" filled="false" stroked="true" strokeweight=".48pt" strokecolor="#000000">
                <v:path arrowok="t"/>
              </v:shape>
            </v:group>
            <v:group style="position:absolute;left:4541;top:7128;width:930;height:2" coordorigin="4541,7128" coordsize="930,2">
              <v:shape style="position:absolute;left:4541;top:7128;width:930;height:2" coordorigin="4541,7128" coordsize="930,0" path="m4541,7128l5470,7128e" filled="false" stroked="true" strokeweight=".48pt" strokecolor="#000000">
                <v:path arrowok="t"/>
              </v:shape>
            </v:group>
            <v:group style="position:absolute;left:5480;top:7128;width:1036;height:2" coordorigin="5480,7128" coordsize="1036,2">
              <v:shape style="position:absolute;left:5480;top:7128;width:1036;height:2" coordorigin="5480,7128" coordsize="1036,0" path="m5480,7128l6516,7128e" filled="false" stroked="true" strokeweight=".48pt" strokecolor="#000000">
                <v:path arrowok="t"/>
              </v:shape>
            </v:group>
            <v:group style="position:absolute;left:6525;top:7128;width:1036;height:2" coordorigin="6525,7128" coordsize="1036,2">
              <v:shape style="position:absolute;left:6525;top:7128;width:1036;height:2" coordorigin="6525,7128" coordsize="1036,0" path="m6525,7128l7561,7128e" filled="false" stroked="true" strokeweight=".48pt" strokecolor="#000000">
                <v:path arrowok="t"/>
              </v:shape>
            </v:group>
            <v:group style="position:absolute;left:7570;top:7128;width:1036;height:2" coordorigin="7570,7128" coordsize="1036,2">
              <v:shape style="position:absolute;left:7570;top:7128;width:1036;height:2" coordorigin="7570,7128" coordsize="1036,0" path="m7570,7128l8606,7128e" filled="false" stroked="true" strokeweight=".48pt" strokecolor="#000000">
                <v:path arrowok="t"/>
              </v:shape>
            </v:group>
            <v:group style="position:absolute;left:8616;top:7128;width:1036;height:2" coordorigin="8616,7128" coordsize="1036,2">
              <v:shape style="position:absolute;left:8616;top:7128;width:1036;height:2" coordorigin="8616,7128" coordsize="1036,0" path="m8616,7128l9652,7128e" filled="false" stroked="true" strokeweight=".48pt" strokecolor="#000000">
                <v:path arrowok="t"/>
              </v:shape>
            </v:group>
            <v:group style="position:absolute;left:9661;top:7128;width:1037;height:2" coordorigin="9661,7128" coordsize="1037,2">
              <v:shape style="position:absolute;left:9661;top:7128;width:1037;height:2" coordorigin="9661,7128" coordsize="1037,0" path="m9661,7128l10698,7128e" filled="false" stroked="true" strokeweight=".48pt" strokecolor="#000000">
                <v:path arrowok="t"/>
              </v:shape>
            </v:group>
            <v:group style="position:absolute;left:10703;top:340;width:2;height:6793" coordorigin="10703,340" coordsize="2,6793">
              <v:shape style="position:absolute;left:10703;top:340;width:2;height:6793" coordorigin="10703,340" coordsize="0,6793" path="m10703,340l10703,7133e" filled="false" stroked="true" strokeweight=".48pt" strokecolor="#000000">
                <v:path arrowok="t"/>
              </v:shape>
              <v:shape style="position:absolute;left:1301;top:457;width:1713;height:180" type="#_x0000_t202" filled="false" stroked="false">
                <v:textbox inset="0,0,0,0">
                  <w:txbxContent>
                    <w:p>
                      <w:pPr>
                        <w:tabs>
                          <w:tab w:pos="992"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公司名称</w:t>
                        <w:tab/>
                        <w:t>公司类型</w:t>
                      </w:r>
                    </w:p>
                  </w:txbxContent>
                </v:textbox>
                <w10:wrap type="none"/>
              </v:shape>
              <v:shape style="position:absolute;left:3467;top:45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主要业务</w:t>
                      </w:r>
                    </w:p>
                  </w:txbxContent>
                </v:textbox>
                <w10:wrap type="none"/>
              </v:shape>
              <v:shape style="position:absolute;left:4644;top:45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1162;top:859;width:4257;height:4336" type="#_x0000_t202" filled="false" stroked="false">
                <v:textbox inset="0,0,0,0">
                  <w:txbxContent>
                    <w:p>
                      <w:pPr>
                        <w:spacing w:line="180" w:lineRule="exact" w:before="0"/>
                        <w:ind w:left="1985" w:right="0" w:firstLine="0"/>
                        <w:jc w:val="left"/>
                        <w:rPr>
                          <w:rFonts w:ascii="宋体" w:hAnsi="宋体" w:cs="宋体" w:eastAsia="宋体" w:hint="default"/>
                          <w:sz w:val="18"/>
                          <w:szCs w:val="18"/>
                        </w:rPr>
                      </w:pPr>
                      <w:r>
                        <w:rPr>
                          <w:rFonts w:ascii="宋体" w:hAnsi="宋体" w:cs="宋体" w:eastAsia="宋体" w:hint="default"/>
                          <w:sz w:val="18"/>
                          <w:szCs w:val="18"/>
                        </w:rPr>
                        <w:t>计算机软件开发、</w:t>
                      </w:r>
                    </w:p>
                    <w:p>
                      <w:pPr>
                        <w:spacing w:line="310" w:lineRule="atLeast" w:before="2"/>
                        <w:ind w:left="1985" w:right="829" w:firstLine="0"/>
                        <w:jc w:val="left"/>
                        <w:rPr>
                          <w:rFonts w:ascii="宋体" w:hAnsi="宋体" w:cs="宋体" w:eastAsia="宋体" w:hint="default"/>
                          <w:sz w:val="18"/>
                          <w:szCs w:val="18"/>
                        </w:rPr>
                      </w:pPr>
                      <w:r>
                        <w:rPr>
                          <w:rFonts w:ascii="宋体" w:hAnsi="宋体" w:cs="宋体" w:eastAsia="宋体" w:hint="default"/>
                          <w:spacing w:val="-10"/>
                          <w:sz w:val="18"/>
                          <w:szCs w:val="18"/>
                        </w:rPr>
                        <w:t>系统集成、技术服</w:t>
                      </w:r>
                      <w:r>
                        <w:rPr>
                          <w:rFonts w:ascii="宋体" w:hAnsi="宋体" w:cs="宋体" w:eastAsia="宋体" w:hint="default"/>
                          <w:sz w:val="18"/>
                          <w:szCs w:val="18"/>
                        </w:rPr>
                        <w:t> </w:t>
                      </w:r>
                      <w:r>
                        <w:rPr>
                          <w:rFonts w:ascii="宋体" w:hAnsi="宋体" w:cs="宋体" w:eastAsia="宋体" w:hint="default"/>
                          <w:spacing w:val="-10"/>
                          <w:sz w:val="18"/>
                          <w:szCs w:val="18"/>
                        </w:rPr>
                        <w:t>务和销售；经营进</w:t>
                      </w:r>
                      <w:r>
                        <w:rPr>
                          <w:rFonts w:ascii="宋体" w:hAnsi="宋体" w:cs="宋体" w:eastAsia="宋体" w:hint="default"/>
                          <w:sz w:val="18"/>
                          <w:szCs w:val="18"/>
                        </w:rPr>
                        <w:t> 出口业务（法律、 行政法规、 国务</w:t>
                      </w:r>
                    </w:p>
                    <w:p>
                      <w:pPr>
                        <w:spacing w:line="11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深圳茂硕电</w:t>
                      </w:r>
                    </w:p>
                    <w:p>
                      <w:pPr>
                        <w:spacing w:line="163" w:lineRule="exact" w:before="0"/>
                        <w:ind w:left="198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院决定禁止的项</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30,000,000.</w:t>
                      </w:r>
                    </w:p>
                    <w:p>
                      <w:pPr>
                        <w:spacing w:line="14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子科技有限</w:t>
                      </w:r>
                      <w:r>
                        <w:rPr>
                          <w:rFonts w:ascii="宋体" w:hAnsi="宋体" w:cs="宋体" w:eastAsia="宋体" w:hint="default"/>
                          <w:spacing w:val="65"/>
                          <w:sz w:val="18"/>
                          <w:szCs w:val="18"/>
                        </w:rPr>
                        <w:t> </w:t>
                      </w:r>
                      <w:r>
                        <w:rPr>
                          <w:rFonts w:ascii="宋体" w:hAnsi="宋体" w:cs="宋体" w:eastAsia="宋体" w:hint="default"/>
                          <w:sz w:val="18"/>
                          <w:szCs w:val="18"/>
                        </w:rPr>
                        <w:t>子公司</w:t>
                      </w:r>
                    </w:p>
                    <w:p>
                      <w:pPr>
                        <w:spacing w:line="163" w:lineRule="exact" w:before="0"/>
                        <w:ind w:left="198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目除外</w:t>
                      </w:r>
                      <w:r>
                        <w:rPr>
                          <w:rFonts w:ascii="宋体" w:hAnsi="宋体" w:cs="宋体" w:eastAsia="宋体" w:hint="default"/>
                          <w:spacing w:val="-80"/>
                          <w:sz w:val="18"/>
                          <w:szCs w:val="18"/>
                        </w:rPr>
                        <w:t>，</w:t>
                      </w:r>
                      <w:r>
                        <w:rPr>
                          <w:rFonts w:ascii="宋体" w:hAnsi="宋体" w:cs="宋体" w:eastAsia="宋体" w:hint="default"/>
                          <w:sz w:val="18"/>
                          <w:szCs w:val="18"/>
                        </w:rPr>
                        <w:t>限制的项</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00</w:t>
                      </w:r>
                    </w:p>
                    <w:p>
                      <w:pPr>
                        <w:spacing w:line="149"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195" w:lineRule="exact" w:before="0"/>
                        <w:ind w:left="1985" w:right="0" w:firstLine="0"/>
                        <w:jc w:val="left"/>
                        <w:rPr>
                          <w:rFonts w:ascii="宋体" w:hAnsi="宋体" w:cs="宋体" w:eastAsia="宋体" w:hint="default"/>
                          <w:sz w:val="18"/>
                          <w:szCs w:val="18"/>
                        </w:rPr>
                      </w:pPr>
                      <w:r>
                        <w:rPr>
                          <w:rFonts w:ascii="宋体" w:hAnsi="宋体" w:cs="宋体" w:eastAsia="宋体" w:hint="default"/>
                          <w:sz w:val="18"/>
                          <w:szCs w:val="18"/>
                        </w:rPr>
                        <w:t>目须取得许可后</w:t>
                      </w:r>
                    </w:p>
                    <w:p>
                      <w:pPr>
                        <w:spacing w:line="319" w:lineRule="auto" w:before="76"/>
                        <w:ind w:left="1985" w:right="829" w:firstLine="0"/>
                        <w:jc w:val="both"/>
                        <w:rPr>
                          <w:rFonts w:ascii="宋体" w:hAnsi="宋体" w:cs="宋体" w:eastAsia="宋体" w:hint="default"/>
                          <w:sz w:val="18"/>
                          <w:szCs w:val="18"/>
                        </w:rPr>
                      </w:pPr>
                      <w:r>
                        <w:rPr>
                          <w:rFonts w:ascii="宋体" w:hAnsi="宋体" w:cs="宋体" w:eastAsia="宋体" w:hint="default"/>
                          <w:spacing w:val="-10"/>
                          <w:sz w:val="18"/>
                          <w:szCs w:val="18"/>
                        </w:rPr>
                        <w:t>方可经营）。开关</w:t>
                      </w:r>
                      <w:r>
                        <w:rPr>
                          <w:rFonts w:ascii="宋体" w:hAnsi="宋体" w:cs="宋体" w:eastAsia="宋体" w:hint="default"/>
                          <w:sz w:val="18"/>
                          <w:szCs w:val="18"/>
                        </w:rPr>
                        <w:t> </w:t>
                      </w:r>
                      <w:r>
                        <w:rPr>
                          <w:rFonts w:ascii="宋体" w:hAnsi="宋体" w:cs="宋体" w:eastAsia="宋体" w:hint="default"/>
                          <w:spacing w:val="-10"/>
                          <w:sz w:val="18"/>
                          <w:szCs w:val="18"/>
                        </w:rPr>
                        <w:t>电源、变压器、电</w:t>
                      </w:r>
                      <w:r>
                        <w:rPr>
                          <w:rFonts w:ascii="宋体" w:hAnsi="宋体" w:cs="宋体" w:eastAsia="宋体" w:hint="default"/>
                          <w:sz w:val="18"/>
                          <w:szCs w:val="18"/>
                        </w:rPr>
                        <w:t> </w:t>
                      </w:r>
                      <w:r>
                        <w:rPr>
                          <w:rFonts w:ascii="宋体" w:hAnsi="宋体" w:cs="宋体" w:eastAsia="宋体" w:hint="default"/>
                          <w:spacing w:val="-10"/>
                          <w:sz w:val="18"/>
                          <w:szCs w:val="18"/>
                        </w:rPr>
                        <w:t>感的设计、技术开</w:t>
                      </w:r>
                      <w:r>
                        <w:rPr>
                          <w:rFonts w:ascii="宋体" w:hAnsi="宋体" w:cs="宋体" w:eastAsia="宋体" w:hint="default"/>
                          <w:sz w:val="18"/>
                          <w:szCs w:val="18"/>
                        </w:rPr>
                        <w:t> 发、生产和销售。</w:t>
                      </w:r>
                    </w:p>
                    <w:p>
                      <w:pPr>
                        <w:spacing w:line="320" w:lineRule="atLeast" w:before="21"/>
                        <w:ind w:left="1985" w:right="908" w:firstLine="0"/>
                        <w:jc w:val="left"/>
                        <w:rPr>
                          <w:rFonts w:ascii="宋体" w:hAnsi="宋体" w:cs="宋体" w:eastAsia="宋体" w:hint="default"/>
                          <w:sz w:val="18"/>
                          <w:szCs w:val="18"/>
                        </w:rPr>
                      </w:pPr>
                      <w:r>
                        <w:rPr>
                          <w:rFonts w:ascii="宋体" w:hAnsi="宋体" w:cs="宋体" w:eastAsia="宋体" w:hint="default"/>
                          <w:spacing w:val="-10"/>
                          <w:sz w:val="18"/>
                          <w:szCs w:val="18"/>
                        </w:rPr>
                        <w:t>生产、销售：大功</w:t>
                      </w:r>
                      <w:r>
                        <w:rPr>
                          <w:rFonts w:ascii="宋体" w:hAnsi="宋体" w:cs="宋体" w:eastAsia="宋体" w:hint="default"/>
                          <w:sz w:val="18"/>
                          <w:szCs w:val="18"/>
                        </w:rPr>
                        <w:t> 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路灯电</w:t>
                      </w:r>
                    </w:p>
                  </w:txbxContent>
                </v:textbox>
                <w10:wrap type="none"/>
              </v:shape>
              <v:shape style="position:absolute;left:1162;top:5454;width:900;height:80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惠州茂硕能</w:t>
                      </w:r>
                    </w:p>
                    <w:p>
                      <w:pPr>
                        <w:spacing w:line="314"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源科技有限 公司</w:t>
                      </w:r>
                    </w:p>
                  </w:txbxContent>
                </v:textbox>
                <w10:wrap type="none"/>
              </v:shape>
              <v:shape style="position:absolute;left:3147;top:5317;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源、隧道灯电源、</w:t>
                      </w:r>
                    </w:p>
                  </w:txbxContent>
                </v:textbox>
                <w10:wrap type="none"/>
              </v:shape>
              <v:shape style="position:absolute;left:2217;top:5617;width:3158;height:1441" type="#_x0000_t202" filled="false" stroked="false">
                <v:textbox inset="0,0,0,0">
                  <w:txbxContent>
                    <w:p>
                      <w:pPr>
                        <w:spacing w:line="142" w:lineRule="exact" w:before="0"/>
                        <w:ind w:left="930" w:right="0" w:firstLine="0"/>
                        <w:jc w:val="both"/>
                        <w:rPr>
                          <w:rFonts w:ascii="Times New Roman" w:hAnsi="Times New Roman" w:cs="Times New Roman" w:eastAsia="Times New Roman" w:hint="default"/>
                          <w:sz w:val="18"/>
                          <w:szCs w:val="18"/>
                        </w:rPr>
                      </w:pPr>
                      <w:r>
                        <w:rPr>
                          <w:rFonts w:ascii="宋体" w:hAnsi="宋体" w:cs="宋体" w:eastAsia="宋体" w:hint="default"/>
                          <w:position w:val="-1"/>
                          <w:sz w:val="18"/>
                          <w:szCs w:val="18"/>
                        </w:rPr>
                        <w:t>汽车充电器</w:t>
                      </w:r>
                      <w:r>
                        <w:rPr>
                          <w:rFonts w:ascii="宋体" w:hAnsi="宋体" w:cs="宋体" w:eastAsia="宋体" w:hint="default"/>
                          <w:spacing w:val="-80"/>
                          <w:position w:val="-1"/>
                          <w:sz w:val="18"/>
                          <w:szCs w:val="18"/>
                        </w:rPr>
                        <w:t>、</w:t>
                      </w:r>
                      <w:r>
                        <w:rPr>
                          <w:rFonts w:ascii="宋体" w:hAnsi="宋体" w:cs="宋体" w:eastAsia="宋体" w:hint="default"/>
                          <w:position w:val="-1"/>
                          <w:sz w:val="18"/>
                          <w:szCs w:val="18"/>
                        </w:rPr>
                        <w:t>光伏</w:t>
                      </w:r>
                      <w:r>
                        <w:rPr>
                          <w:rFonts w:ascii="宋体" w:hAnsi="宋体" w:cs="宋体" w:eastAsia="宋体" w:hint="default"/>
                          <w:spacing w:val="-34"/>
                          <w:position w:val="-1"/>
                          <w:sz w:val="18"/>
                          <w:szCs w:val="18"/>
                        </w:rPr>
                        <w:t> </w:t>
                      </w:r>
                      <w:r>
                        <w:rPr>
                          <w:rFonts w:ascii="Times New Roman" w:hAnsi="Times New Roman" w:cs="Times New Roman" w:eastAsia="Times New Roman" w:hint="default"/>
                          <w:sz w:val="18"/>
                          <w:szCs w:val="18"/>
                        </w:rPr>
                        <w:t>111,111,11</w:t>
                      </w:r>
                    </w:p>
                    <w:p>
                      <w:pPr>
                        <w:spacing w:line="15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p>
                      <w:pPr>
                        <w:spacing w:line="205" w:lineRule="exact" w:before="0"/>
                        <w:ind w:left="930"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并网逆变器</w:t>
                      </w:r>
                      <w:r>
                        <w:rPr>
                          <w:rFonts w:ascii="宋体" w:hAnsi="宋体" w:cs="宋体" w:eastAsia="宋体" w:hint="default"/>
                          <w:spacing w:val="-80"/>
                          <w:sz w:val="18"/>
                          <w:szCs w:val="18"/>
                        </w:rPr>
                        <w:t>、</w:t>
                      </w:r>
                      <w:r>
                        <w:rPr>
                          <w:rFonts w:ascii="宋体" w:hAnsi="宋体" w:cs="宋体" w:eastAsia="宋体" w:hint="default"/>
                          <w:sz w:val="18"/>
                          <w:szCs w:val="18"/>
                        </w:rPr>
                        <w:t>开关</w:t>
                      </w:r>
                      <w:r>
                        <w:rPr>
                          <w:rFonts w:ascii="宋体" w:hAnsi="宋体" w:cs="宋体" w:eastAsia="宋体" w:hint="default"/>
                          <w:spacing w:val="-34"/>
                          <w:sz w:val="18"/>
                          <w:szCs w:val="18"/>
                        </w:rPr>
                        <w:t> </w:t>
                      </w:r>
                      <w:r>
                        <w:rPr>
                          <w:rFonts w:ascii="Times New Roman" w:hAnsi="Times New Roman" w:cs="Times New Roman" w:eastAsia="Times New Roman" w:hint="default"/>
                          <w:position w:val="2"/>
                          <w:sz w:val="18"/>
                          <w:szCs w:val="18"/>
                        </w:rPr>
                        <w:t>1.11</w:t>
                      </w:r>
                      <w:r>
                        <w:rPr>
                          <w:rFonts w:ascii="Times New Roman" w:hAnsi="Times New Roman" w:cs="Times New Roman" w:eastAsia="Times New Roman" w:hint="default"/>
                          <w:sz w:val="18"/>
                          <w:szCs w:val="18"/>
                        </w:rPr>
                      </w:r>
                    </w:p>
                    <w:p>
                      <w:pPr>
                        <w:spacing w:line="310" w:lineRule="atLeast" w:before="2"/>
                        <w:ind w:left="930" w:right="865" w:firstLine="0"/>
                        <w:jc w:val="both"/>
                        <w:rPr>
                          <w:rFonts w:ascii="宋体" w:hAnsi="宋体" w:cs="宋体" w:eastAsia="宋体" w:hint="default"/>
                          <w:sz w:val="18"/>
                          <w:szCs w:val="18"/>
                        </w:rPr>
                      </w:pPr>
                      <w:r>
                        <w:rPr>
                          <w:rFonts w:ascii="宋体" w:hAnsi="宋体" w:cs="宋体" w:eastAsia="宋体" w:hint="default"/>
                          <w:spacing w:val="-10"/>
                          <w:sz w:val="18"/>
                          <w:szCs w:val="18"/>
                        </w:rPr>
                        <w:t>电源、变压器、电</w:t>
                      </w:r>
                      <w:r>
                        <w:rPr>
                          <w:rFonts w:ascii="宋体" w:hAnsi="宋体" w:cs="宋体" w:eastAsia="宋体" w:hint="default"/>
                          <w:sz w:val="18"/>
                          <w:szCs w:val="18"/>
                        </w:rPr>
                        <w:t> </w:t>
                      </w:r>
                      <w:r>
                        <w:rPr>
                          <w:rFonts w:ascii="宋体" w:hAnsi="宋体" w:cs="宋体" w:eastAsia="宋体" w:hint="default"/>
                          <w:spacing w:val="-10"/>
                          <w:sz w:val="18"/>
                          <w:szCs w:val="18"/>
                        </w:rPr>
                        <w:t>子元器件、五金塑</w:t>
                      </w:r>
                      <w:r>
                        <w:rPr>
                          <w:rFonts w:ascii="宋体" w:hAnsi="宋体" w:cs="宋体" w:eastAsia="宋体" w:hint="default"/>
                          <w:sz w:val="18"/>
                          <w:szCs w:val="18"/>
                        </w:rPr>
                        <w:t> </w:t>
                      </w:r>
                      <w:r>
                        <w:rPr>
                          <w:rFonts w:ascii="宋体" w:hAnsi="宋体" w:cs="宋体" w:eastAsia="宋体" w:hint="default"/>
                          <w:spacing w:val="-10"/>
                          <w:sz w:val="18"/>
                          <w:szCs w:val="18"/>
                        </w:rPr>
                        <w:t>胶配件；货物进出</w:t>
                      </w:r>
                    </w:p>
                  </w:txbxContent>
                </v:textbox>
                <w10:wrap type="none"/>
              </v:shape>
            </v:group>
            <w10:wrap type="none"/>
          </v:group>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5"/>
        <w:rPr>
          <w:rFonts w:ascii="宋体" w:hAnsi="宋体" w:cs="宋体" w:eastAsia="宋体" w:hint="default"/>
          <w:sz w:val="8"/>
          <w:szCs w:val="8"/>
        </w:rPr>
      </w:pPr>
    </w:p>
    <w:tbl>
      <w:tblPr>
        <w:tblW w:w="0" w:type="auto"/>
        <w:jc w:val="left"/>
        <w:tblInd w:w="4490" w:type="dxa"/>
        <w:tblLayout w:type="fixed"/>
        <w:tblCellMar>
          <w:top w:w="0" w:type="dxa"/>
          <w:left w:w="0" w:type="dxa"/>
          <w:bottom w:w="0" w:type="dxa"/>
          <w:right w:w="0" w:type="dxa"/>
        </w:tblCellMar>
        <w:tblLook w:val="01E0"/>
      </w:tblPr>
      <w:tblGrid>
        <w:gridCol w:w="1045"/>
        <w:gridCol w:w="1045"/>
        <w:gridCol w:w="1046"/>
        <w:gridCol w:w="1045"/>
        <w:gridCol w:w="1046"/>
      </w:tblGrid>
      <w:tr>
        <w:trPr>
          <w:trHeight w:val="2328" w:hRule="exact"/>
        </w:trPr>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402,624,256.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44,453,159.6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67" w:right="0" w:firstLine="9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392,215,001.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67" w:right="0" w:firstLine="90"/>
              <w:jc w:val="left"/>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13,151,216.9</w:t>
            </w:r>
          </w:p>
        </w:tc>
        <w:tc>
          <w:tcPr>
            <w:tcW w:w="1046"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12,787,554.3</w:t>
            </w:r>
          </w:p>
        </w:tc>
      </w:tr>
      <w:tr>
        <w:trPr>
          <w:trHeight w:val="247" w:hRule="exact"/>
        </w:trPr>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40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47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9</w:t>
            </w:r>
          </w:p>
        </w:tc>
      </w:tr>
      <w:tr>
        <w:trPr>
          <w:trHeight w:val="4208" w:hRule="exact"/>
        </w:trPr>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605,397,991.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322,237,203.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695,583,338.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-16,830,602.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-12,248,058.</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1.871002pt;margin-top:664.23999pt;width:61.6pt;height:92.6pt;mso-position-horizontal-relative:page;mso-position-vertical-relative:page;z-index:-1318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0"/>
                    <w:jc w:val="left"/>
                  </w:pPr>
                  <w:r>
                    <w:rPr/>
                    <w:t>电、</w:t>
                  </w:r>
                </w:p>
              </w:txbxContent>
            </v:textbox>
            <w10:wrap type="none"/>
          </v:shape>
        </w:pict>
      </w:r>
      <w:r>
        <w:rPr/>
        <w:pict>
          <v:group style="position:absolute;margin-left:227.059998pt;margin-top:204.319977pt;width:46.4pt;height:148.2pt;mso-position-horizontal-relative:page;mso-position-vertical-relative:page;z-index:-1318648" coordorigin="4541,4086" coordsize="928,2964">
            <v:shape style="position:absolute;left:4541;top:4086;width:928;height:2964" coordorigin="4541,4086" coordsize="928,2964" path="m4541,7050l5469,7050,5469,4086,4541,4086,4541,70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1417"/>
        <w:gridCol w:w="939"/>
        <w:gridCol w:w="1045"/>
        <w:gridCol w:w="1045"/>
        <w:gridCol w:w="1046"/>
        <w:gridCol w:w="1045"/>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10"/>
                <w:sz w:val="18"/>
                <w:szCs w:val="18"/>
              </w:rPr>
              <w:t>口（法律、行政法</w:t>
            </w:r>
            <w:r>
              <w:rPr>
                <w:rFonts w:ascii="宋体" w:hAnsi="宋体" w:cs="宋体" w:eastAsia="宋体" w:hint="default"/>
                <w:sz w:val="18"/>
                <w:szCs w:val="18"/>
              </w:rPr>
              <w:t> </w:t>
            </w:r>
            <w:r>
              <w:rPr>
                <w:rFonts w:ascii="宋体" w:hAnsi="宋体" w:cs="宋体" w:eastAsia="宋体" w:hint="default"/>
                <w:spacing w:val="-10"/>
                <w:sz w:val="18"/>
                <w:szCs w:val="18"/>
              </w:rPr>
              <w:t>规禁止的、限制的</w:t>
            </w:r>
            <w:r>
              <w:rPr>
                <w:rFonts w:ascii="宋体" w:hAnsi="宋体" w:cs="宋体" w:eastAsia="宋体" w:hint="default"/>
                <w:sz w:val="18"/>
                <w:szCs w:val="18"/>
              </w:rPr>
              <w:t> 项目除外）。</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海宁茂硕诺 华能源有限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太阳能电站信息 咨询、工程施工</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10"/>
                <w:sz w:val="18"/>
                <w:szCs w:val="18"/>
              </w:rPr>
              <w:t>（涉及资质的，凭</w:t>
            </w:r>
            <w:r>
              <w:rPr>
                <w:rFonts w:ascii="宋体" w:hAnsi="宋体" w:cs="宋体" w:eastAsia="宋体" w:hint="default"/>
                <w:sz w:val="18"/>
                <w:szCs w:val="18"/>
              </w:rPr>
              <w:t> 有效资质证书经 营）及实业投资</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104,310,577.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57,817,084.4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19,440,228.5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6,551,743.69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6,574,337.73</w:t>
            </w:r>
          </w:p>
        </w:tc>
      </w:tr>
      <w:tr>
        <w:trPr>
          <w:trHeight w:val="664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119"/>
              <w:jc w:val="left"/>
              <w:rPr>
                <w:rFonts w:ascii="宋体" w:hAnsi="宋体" w:cs="宋体" w:eastAsia="宋体" w:hint="default"/>
                <w:sz w:val="18"/>
                <w:szCs w:val="18"/>
              </w:rPr>
            </w:pPr>
            <w:r>
              <w:rPr>
                <w:rFonts w:ascii="宋体" w:hAnsi="宋体" w:cs="宋体" w:eastAsia="宋体" w:hint="default"/>
                <w:sz w:val="18"/>
                <w:szCs w:val="18"/>
              </w:rPr>
              <w:t>深圳茂硕电 气有限公司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新能源汽车智能 充电桩及充电柜 有线及无线充电 </w:t>
            </w:r>
            <w:r>
              <w:rPr>
                <w:rFonts w:ascii="宋体" w:hAnsi="宋体" w:cs="宋体" w:eastAsia="宋体" w:hint="default"/>
                <w:spacing w:val="-10"/>
                <w:sz w:val="18"/>
                <w:szCs w:val="18"/>
              </w:rPr>
              <w:t>机、智能电力电子</w:t>
            </w:r>
            <w:r>
              <w:rPr>
                <w:rFonts w:ascii="宋体" w:hAnsi="宋体" w:cs="宋体" w:eastAsia="宋体" w:hint="default"/>
                <w:sz w:val="18"/>
                <w:szCs w:val="18"/>
              </w:rPr>
              <w:t> </w:t>
            </w:r>
            <w:r>
              <w:rPr>
                <w:rFonts w:ascii="宋体" w:hAnsi="宋体" w:cs="宋体" w:eastAsia="宋体" w:hint="default"/>
                <w:spacing w:val="-10"/>
                <w:sz w:val="18"/>
                <w:szCs w:val="18"/>
              </w:rPr>
              <w:t>变换装置、智能监</w:t>
            </w:r>
            <w:r>
              <w:rPr>
                <w:rFonts w:ascii="宋体" w:hAnsi="宋体" w:cs="宋体" w:eastAsia="宋体" w:hint="default"/>
                <w:sz w:val="18"/>
                <w:szCs w:val="18"/>
              </w:rPr>
              <w:t> 控与网络管理及 </w:t>
            </w:r>
            <w:r>
              <w:rPr>
                <w:rFonts w:ascii="宋体" w:hAnsi="宋体" w:cs="宋体" w:eastAsia="宋体" w:hint="default"/>
                <w:spacing w:val="-10"/>
                <w:sz w:val="18"/>
                <w:szCs w:val="18"/>
              </w:rPr>
              <w:t>装置、电气控制设</w:t>
            </w:r>
            <w:r>
              <w:rPr>
                <w:rFonts w:ascii="宋体" w:hAnsi="宋体" w:cs="宋体" w:eastAsia="宋体" w:hint="default"/>
                <w:sz w:val="18"/>
                <w:szCs w:val="18"/>
              </w:rPr>
              <w:t> 备的研发和销售 计算机及其周边 </w:t>
            </w:r>
            <w:r>
              <w:rPr>
                <w:rFonts w:ascii="宋体" w:hAnsi="宋体" w:cs="宋体" w:eastAsia="宋体" w:hint="default"/>
                <w:spacing w:val="-10"/>
                <w:sz w:val="18"/>
                <w:szCs w:val="18"/>
              </w:rPr>
              <w:t>设备、软件产品的</w:t>
            </w:r>
            <w:r>
              <w:rPr>
                <w:rFonts w:ascii="宋体" w:hAnsi="宋体" w:cs="宋体" w:eastAsia="宋体" w:hint="default"/>
                <w:sz w:val="18"/>
                <w:szCs w:val="18"/>
              </w:rPr>
              <w:t> </w:t>
            </w:r>
            <w:r>
              <w:rPr>
                <w:rFonts w:ascii="宋体" w:hAnsi="宋体" w:cs="宋体" w:eastAsia="宋体" w:hint="default"/>
                <w:spacing w:val="-10"/>
                <w:sz w:val="18"/>
                <w:szCs w:val="18"/>
              </w:rPr>
              <w:t>研发、销售及相关</w:t>
            </w:r>
            <w:r>
              <w:rPr>
                <w:rFonts w:ascii="宋体" w:hAnsi="宋体" w:cs="宋体" w:eastAsia="宋体" w:hint="default"/>
                <w:sz w:val="18"/>
                <w:szCs w:val="18"/>
              </w:rPr>
              <w:t> </w:t>
            </w:r>
            <w:r>
              <w:rPr>
                <w:rFonts w:ascii="宋体" w:hAnsi="宋体" w:cs="宋体" w:eastAsia="宋体" w:hint="default"/>
                <w:spacing w:val="-10"/>
                <w:sz w:val="18"/>
                <w:szCs w:val="18"/>
              </w:rPr>
              <w:t>配套业务；经营进</w:t>
            </w:r>
            <w:r>
              <w:rPr>
                <w:rFonts w:ascii="宋体" w:hAnsi="宋体" w:cs="宋体" w:eastAsia="宋体" w:hint="default"/>
                <w:sz w:val="18"/>
                <w:szCs w:val="18"/>
              </w:rPr>
              <w:t> </w:t>
            </w:r>
            <w:r>
              <w:rPr>
                <w:rFonts w:ascii="宋体" w:hAnsi="宋体" w:cs="宋体" w:eastAsia="宋体" w:hint="default"/>
                <w:spacing w:val="-10"/>
                <w:sz w:val="18"/>
                <w:szCs w:val="18"/>
              </w:rPr>
              <w:t>出口业务。新能源</w:t>
            </w:r>
            <w:r>
              <w:rPr>
                <w:rFonts w:ascii="宋体" w:hAnsi="宋体" w:cs="宋体" w:eastAsia="宋体" w:hint="default"/>
                <w:sz w:val="18"/>
                <w:szCs w:val="18"/>
              </w:rPr>
              <w:t> 汽车智能充电桩 </w:t>
            </w:r>
            <w:r>
              <w:rPr>
                <w:rFonts w:ascii="宋体" w:hAnsi="宋体" w:cs="宋体" w:eastAsia="宋体" w:hint="default"/>
                <w:spacing w:val="-10"/>
                <w:sz w:val="18"/>
                <w:szCs w:val="18"/>
              </w:rPr>
              <w:t>及充电柜、有线及</w:t>
            </w:r>
            <w:r>
              <w:rPr>
                <w:rFonts w:ascii="宋体" w:hAnsi="宋体" w:cs="宋体" w:eastAsia="宋体" w:hint="default"/>
                <w:sz w:val="18"/>
                <w:szCs w:val="18"/>
              </w:rPr>
              <w:t> </w:t>
            </w:r>
            <w:r>
              <w:rPr>
                <w:rFonts w:ascii="宋体" w:hAnsi="宋体" w:cs="宋体" w:eastAsia="宋体" w:hint="default"/>
                <w:spacing w:val="-10"/>
                <w:sz w:val="18"/>
                <w:szCs w:val="18"/>
              </w:rPr>
              <w:t>无线充电机、智能</w:t>
            </w:r>
            <w:r>
              <w:rPr>
                <w:rFonts w:ascii="宋体" w:hAnsi="宋体" w:cs="宋体" w:eastAsia="宋体" w:hint="default"/>
                <w:sz w:val="18"/>
                <w:szCs w:val="18"/>
              </w:rPr>
              <w:t> 电力电子变换装 </w:t>
            </w:r>
            <w:r>
              <w:rPr>
                <w:rFonts w:ascii="宋体" w:hAnsi="宋体" w:cs="宋体" w:eastAsia="宋体" w:hint="default"/>
                <w:spacing w:val="-10"/>
                <w:sz w:val="18"/>
                <w:szCs w:val="18"/>
              </w:rPr>
              <w:t>置、智能监控与网</w:t>
            </w:r>
            <w:r>
              <w:rPr>
                <w:rFonts w:ascii="宋体" w:hAnsi="宋体" w:cs="宋体" w:eastAsia="宋体" w:hint="default"/>
                <w:sz w:val="18"/>
                <w:szCs w:val="18"/>
              </w:rPr>
              <w:t> </w:t>
            </w:r>
            <w:r>
              <w:rPr>
                <w:rFonts w:ascii="宋体" w:hAnsi="宋体" w:cs="宋体" w:eastAsia="宋体" w:hint="default"/>
                <w:spacing w:val="-10"/>
                <w:sz w:val="18"/>
                <w:szCs w:val="18"/>
              </w:rPr>
              <w:t>络管理及装置、电</w:t>
            </w:r>
            <w:r>
              <w:rPr>
                <w:rFonts w:ascii="宋体" w:hAnsi="宋体" w:cs="宋体" w:eastAsia="宋体" w:hint="default"/>
                <w:sz w:val="18"/>
                <w:szCs w:val="18"/>
              </w:rPr>
              <w:t> 气控制设备的生 产。</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12,222,222.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122,625,427.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8" w:right="0"/>
              <w:jc w:val="left"/>
              <w:rPr>
                <w:rFonts w:ascii="Times New Roman" w:hAnsi="Times New Roman" w:cs="Times New Roman" w:eastAsia="Times New Roman" w:hint="default"/>
                <w:sz w:val="18"/>
                <w:szCs w:val="18"/>
              </w:rPr>
            </w:pPr>
            <w:r>
              <w:rPr>
                <w:rFonts w:ascii="Times New Roman"/>
                <w:sz w:val="18"/>
              </w:rPr>
              <w:t>8,591,885.49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111,867,123.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-3,063,062.2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-2,211,755.5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441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深圳茂硕新 能源科技有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工业控制设备、工</w:t>
            </w:r>
            <w:r>
              <w:rPr>
                <w:rFonts w:ascii="宋体" w:hAnsi="宋体" w:cs="宋体" w:eastAsia="宋体" w:hint="default"/>
                <w:sz w:val="18"/>
                <w:szCs w:val="18"/>
              </w:rPr>
              <w:t> </w:t>
            </w:r>
            <w:r>
              <w:rPr>
                <w:rFonts w:ascii="宋体" w:hAnsi="宋体" w:cs="宋体" w:eastAsia="宋体" w:hint="default"/>
                <w:spacing w:val="-10"/>
                <w:sz w:val="18"/>
                <w:szCs w:val="18"/>
              </w:rPr>
              <w:t>业自动化软件、太</w:t>
            </w:r>
            <w:r>
              <w:rPr>
                <w:rFonts w:ascii="宋体" w:hAnsi="宋体" w:cs="宋体" w:eastAsia="宋体" w:hint="default"/>
                <w:sz w:val="18"/>
                <w:szCs w:val="18"/>
              </w:rPr>
              <w:t> 阳能光伏逆变器 的技术开发与销 </w:t>
            </w:r>
            <w:r>
              <w:rPr>
                <w:rFonts w:ascii="宋体" w:hAnsi="宋体" w:cs="宋体" w:eastAsia="宋体" w:hint="default"/>
                <w:spacing w:val="-10"/>
                <w:sz w:val="18"/>
                <w:szCs w:val="18"/>
              </w:rPr>
              <w:t>售；电子电力器材</w:t>
            </w:r>
            <w:r>
              <w:rPr>
                <w:rFonts w:ascii="宋体" w:hAnsi="宋体" w:cs="宋体" w:eastAsia="宋体" w:hint="default"/>
                <w:sz w:val="18"/>
                <w:szCs w:val="18"/>
              </w:rPr>
              <w:t> 的销售；国内贸 </w:t>
            </w:r>
            <w:r>
              <w:rPr>
                <w:rFonts w:ascii="宋体" w:hAnsi="宋体" w:cs="宋体" w:eastAsia="宋体" w:hint="default"/>
                <w:spacing w:val="-10"/>
                <w:sz w:val="18"/>
                <w:szCs w:val="18"/>
              </w:rPr>
              <w:t>易；经营进出口业</w:t>
            </w:r>
            <w:r>
              <w:rPr>
                <w:rFonts w:ascii="宋体" w:hAnsi="宋体" w:cs="宋体" w:eastAsia="宋体" w:hint="default"/>
                <w:sz w:val="18"/>
                <w:szCs w:val="18"/>
              </w:rPr>
              <w:t> </w:t>
            </w:r>
            <w:r>
              <w:rPr>
                <w:rFonts w:ascii="宋体" w:hAnsi="宋体" w:cs="宋体" w:eastAsia="宋体" w:hint="default"/>
                <w:spacing w:val="-10"/>
                <w:sz w:val="18"/>
                <w:szCs w:val="18"/>
              </w:rPr>
              <w:t>务（法律、行政法</w:t>
            </w:r>
            <w:r>
              <w:rPr>
                <w:rFonts w:ascii="宋体" w:hAnsi="宋体" w:cs="宋体" w:eastAsia="宋体" w:hint="default"/>
                <w:sz w:val="18"/>
                <w:szCs w:val="18"/>
              </w:rPr>
              <w:t> </w:t>
            </w:r>
            <w:r>
              <w:rPr>
                <w:rFonts w:ascii="宋体" w:hAnsi="宋体" w:cs="宋体" w:eastAsia="宋体" w:hint="default"/>
                <w:spacing w:val="-10"/>
                <w:sz w:val="18"/>
                <w:szCs w:val="18"/>
              </w:rPr>
              <w:t>规、国务院决定禁</w:t>
            </w:r>
            <w:r>
              <w:rPr>
                <w:rFonts w:ascii="宋体" w:hAnsi="宋体" w:cs="宋体" w:eastAsia="宋体" w:hint="default"/>
                <w:sz w:val="18"/>
                <w:szCs w:val="18"/>
              </w:rPr>
              <w:t> </w:t>
            </w:r>
            <w:r>
              <w:rPr>
                <w:rFonts w:ascii="宋体" w:hAnsi="宋体" w:cs="宋体" w:eastAsia="宋体" w:hint="default"/>
                <w:spacing w:val="-10"/>
                <w:sz w:val="18"/>
                <w:szCs w:val="18"/>
              </w:rPr>
              <w:t>止的项目除外，限</w:t>
            </w:r>
            <w:r>
              <w:rPr>
                <w:rFonts w:ascii="宋体" w:hAnsi="宋体" w:cs="宋体" w:eastAsia="宋体" w:hint="default"/>
                <w:sz w:val="18"/>
                <w:szCs w:val="18"/>
              </w:rPr>
              <w:t> 制的项目须取得 许可后方可经 </w:t>
            </w:r>
            <w:r>
              <w:rPr>
                <w:rFonts w:ascii="宋体" w:hAnsi="宋体" w:cs="宋体" w:eastAsia="宋体" w:hint="default"/>
                <w:spacing w:val="-25"/>
                <w:sz w:val="18"/>
                <w:szCs w:val="18"/>
              </w:rPr>
              <w:t>营）；太阳能发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电动汽车充电设</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1852"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46.4pt;height:92.6pt;mso-position-horizontal-relative:char;mso-position-vertical-relative:line" coordorigin="0,0" coordsize="928,1852">
                  <v:group style="position:absolute;left:0;top:0;width:928;height:1852" coordorigin="0,0" coordsize="928,1852">
                    <v:shape style="position:absolute;left:0;top:0;width:928;height:1852" coordorigin="0,0" coordsize="928,1852" path="m0,1852l928,1852,928,0,0,0,0,1852xe" filled="true" fillcolor="#ffffff" stroked="false">
                      <v:path arrowok="t"/>
                      <v:fill type="solid"/>
                    </v:shape>
                  </v:group>
                </v:group>
              </w:pict>
            </w:r>
            <w:r>
              <w:rPr>
                <w:rFonts w:ascii="Times New Roman" w:hAnsi="Times New Roman" w:cs="Times New Roman" w:eastAsia="Times New Roman" w:hint="default"/>
                <w:position w:val="-36"/>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281,789,775.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14,450,865.3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28,039,367.9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-5,455,196.7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-4,442,481.5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26.580002pt;margin-top:71.759979pt;width:46.9pt;height:685.9pt;mso-position-horizontal-relative:page;mso-position-vertical-relative:page;z-index:-1318624" coordorigin="4532,1435" coordsize="938,13718">
            <v:group style="position:absolute;left:4541;top:1450;width:928;height:4410" coordorigin="4541,1450" coordsize="928,4410">
              <v:shape style="position:absolute;left:4541;top:1450;width:928;height:4410" coordorigin="4541,1450" coordsize="928,4410" path="m4541,5859l5469,5859,5469,1450,4541,1450,4541,5859xe" filled="true" fillcolor="#ffffff" stroked="false">
                <v:path arrowok="t"/>
                <v:fill type="solid"/>
              </v:shape>
            </v:group>
            <v:group style="position:absolute;left:4541;top:10407;width:928;height:936" coordorigin="4541,10407" coordsize="928,936">
              <v:shape style="position:absolute;left:4541;top:10407;width:928;height:936" coordorigin="4541,10407" coordsize="928,936" path="m4541,11343l5469,11343,5469,10407,4541,10407,4541,11343xe" filled="true" fillcolor="#ffffff" stroked="false">
                <v:path arrowok="t"/>
                <v:fill type="solid"/>
              </v:shape>
            </v:group>
            <v:group style="position:absolute;left:4541;top:11353;width:928;height:1540" coordorigin="4541,11353" coordsize="928,1540">
              <v:shape style="position:absolute;left:4541;top:11353;width:928;height:1540" coordorigin="4541,11353" coordsize="928,1540" path="m4541,12892l5469,12892,5469,11353,4541,11353,4541,12892xe" filled="true" fillcolor="#ffffff" stroked="false">
                <v:path arrowok="t"/>
                <v:fill type="solid"/>
              </v:shape>
            </v:group>
            <v:group style="position:absolute;left:4553;top:12892;width:2;height:705" coordorigin="4553,12892" coordsize="2,705">
              <v:shape style="position:absolute;left:4553;top:12892;width:2;height:705" coordorigin="4553,12892" coordsize="0,705" path="m4553,12892l4553,13597e" filled="false" stroked="true" strokeweight="1.140pt" strokecolor="#ffffff">
                <v:path arrowok="t"/>
              </v:shape>
            </v:group>
            <v:group style="position:absolute;left:4564;top:12892;width:883;height:353" coordorigin="4564,12892" coordsize="883,353">
              <v:shape style="position:absolute;left:4564;top:12892;width:883;height:353" coordorigin="4564,12892" coordsize="883,353" path="m4564,13245l5446,13245,5446,12892,4564,12892,4564,13245xe" filled="true" fillcolor="#ffffff" stroked="false">
                <v:path arrowok="t"/>
                <v:fill type="solid"/>
              </v:shape>
            </v:group>
            <v:group style="position:absolute;left:4536;top:1440;width:2;height:13708" coordorigin="4536,1440" coordsize="2,13708">
              <v:shape style="position:absolute;left:4536;top:1440;width:2;height:13708" coordorigin="4536,1440" coordsize="0,13708" path="m4536,1440l4536,15148e" filled="false" stroked="true" strokeweight=".48pt" strokecolor="#000000">
                <v:path arrowok="t"/>
              </v:shape>
            </v:group>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2356"/>
        <w:gridCol w:w="1045"/>
        <w:gridCol w:w="1045"/>
        <w:gridCol w:w="1046"/>
        <w:gridCol w:w="1045"/>
        <w:gridCol w:w="1046"/>
      </w:tblGrid>
      <w:tr>
        <w:trPr>
          <w:trHeight w:val="4419" w:hRule="exact"/>
        </w:trPr>
        <w:tc>
          <w:tcPr>
            <w:tcW w:w="1985" w:type="dxa"/>
            <w:gridSpan w:val="2"/>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881"/>
              <w:jc w:val="left"/>
              <w:rPr>
                <w:rFonts w:ascii="宋体" w:hAnsi="宋体" w:cs="宋体" w:eastAsia="宋体" w:hint="default"/>
                <w:sz w:val="18"/>
                <w:szCs w:val="18"/>
              </w:rPr>
            </w:pPr>
            <w:r>
              <w:rPr>
                <w:rFonts w:ascii="宋体" w:hAnsi="宋体" w:cs="宋体" w:eastAsia="宋体" w:hint="default"/>
                <w:sz w:val="18"/>
                <w:szCs w:val="18"/>
              </w:rPr>
              <w:t>备和储能系统产 品等新能源系统 </w:t>
            </w:r>
            <w:r>
              <w:rPr>
                <w:rFonts w:ascii="宋体" w:hAnsi="宋体" w:cs="宋体" w:eastAsia="宋体" w:hint="default"/>
                <w:spacing w:val="-10"/>
                <w:sz w:val="18"/>
                <w:szCs w:val="18"/>
              </w:rPr>
              <w:t>的设计、开发、采</w:t>
            </w:r>
            <w:r>
              <w:rPr>
                <w:rFonts w:ascii="宋体" w:hAnsi="宋体" w:cs="宋体" w:eastAsia="宋体" w:hint="default"/>
                <w:sz w:val="18"/>
                <w:szCs w:val="18"/>
              </w:rPr>
              <w:t> 购、施工、运营、 监理以及工程项 </w:t>
            </w:r>
            <w:r>
              <w:rPr>
                <w:rFonts w:ascii="宋体" w:hAnsi="宋体" w:cs="宋体" w:eastAsia="宋体" w:hint="default"/>
                <w:spacing w:val="-10"/>
                <w:sz w:val="18"/>
                <w:szCs w:val="18"/>
              </w:rPr>
              <w:t>目总承包；汽车租</w:t>
            </w:r>
            <w:r>
              <w:rPr>
                <w:rFonts w:ascii="宋体" w:hAnsi="宋体" w:cs="宋体" w:eastAsia="宋体" w:hint="default"/>
                <w:sz w:val="18"/>
                <w:szCs w:val="18"/>
              </w:rPr>
              <w:t> </w:t>
            </w:r>
            <w:r>
              <w:rPr>
                <w:rFonts w:ascii="宋体" w:hAnsi="宋体" w:cs="宋体" w:eastAsia="宋体" w:hint="default"/>
                <w:spacing w:val="-10"/>
                <w:sz w:val="18"/>
                <w:szCs w:val="18"/>
              </w:rPr>
              <w:t>赁（不包括带操作</w:t>
            </w:r>
            <w:r>
              <w:rPr>
                <w:rFonts w:ascii="宋体" w:hAnsi="宋体" w:cs="宋体" w:eastAsia="宋体" w:hint="default"/>
                <w:sz w:val="18"/>
                <w:szCs w:val="18"/>
              </w:rPr>
              <w:t> 人员的汽车出 租）。</w:t>
            </w:r>
            <w:r>
              <w:rPr>
                <w:rFonts w:ascii="Times New Roman" w:hAnsi="Times New Roman" w:cs="Times New Roman" w:eastAsia="Times New Roman" w:hint="default"/>
                <w:sz w:val="18"/>
                <w:szCs w:val="18"/>
              </w:rPr>
              <w:t>^</w:t>
            </w:r>
            <w:r>
              <w:rPr>
                <w:rFonts w:ascii="宋体" w:hAnsi="宋体" w:cs="宋体" w:eastAsia="宋体" w:hint="default"/>
                <w:sz w:val="18"/>
                <w:szCs w:val="18"/>
              </w:rPr>
              <w:t>生产并网 </w:t>
            </w:r>
            <w:r>
              <w:rPr>
                <w:rFonts w:ascii="宋体" w:hAnsi="宋体" w:cs="宋体" w:eastAsia="宋体" w:hint="default"/>
                <w:spacing w:val="-10"/>
                <w:sz w:val="18"/>
                <w:szCs w:val="18"/>
              </w:rPr>
              <w:t>光伏逆变器、离并</w:t>
            </w:r>
            <w:r>
              <w:rPr>
                <w:rFonts w:ascii="宋体" w:hAnsi="宋体" w:cs="宋体" w:eastAsia="宋体" w:hint="default"/>
                <w:sz w:val="18"/>
                <w:szCs w:val="18"/>
              </w:rPr>
              <w:t> 网一体光伏逆变 </w:t>
            </w:r>
            <w:r>
              <w:rPr>
                <w:rFonts w:ascii="宋体" w:hAnsi="宋体" w:cs="宋体" w:eastAsia="宋体" w:hint="default"/>
                <w:spacing w:val="-10"/>
                <w:sz w:val="18"/>
                <w:szCs w:val="18"/>
              </w:rPr>
              <w:t>器、光伏水泵逆变</w:t>
            </w:r>
            <w:r>
              <w:rPr>
                <w:rFonts w:ascii="宋体" w:hAnsi="宋体" w:cs="宋体" w:eastAsia="宋体" w:hint="default"/>
                <w:sz w:val="18"/>
                <w:szCs w:val="18"/>
              </w:rPr>
              <w:t> </w:t>
            </w:r>
            <w:r>
              <w:rPr>
                <w:rFonts w:ascii="宋体" w:hAnsi="宋体" w:cs="宋体" w:eastAsia="宋体" w:hint="default"/>
                <w:spacing w:val="-10"/>
                <w:sz w:val="18"/>
                <w:szCs w:val="18"/>
              </w:rPr>
              <w:t>器、优化器（凭有</w:t>
            </w:r>
            <w:r>
              <w:rPr>
                <w:rFonts w:ascii="宋体" w:hAnsi="宋体" w:cs="宋体" w:eastAsia="宋体" w:hint="default"/>
                <w:sz w:val="18"/>
                <w:szCs w:val="18"/>
              </w:rPr>
              <w:t> 效许可证经营）。</w:t>
            </w:r>
          </w:p>
        </w:tc>
        <w:tc>
          <w:tcPr>
            <w:tcW w:w="5228" w:type="dxa"/>
            <w:gridSpan w:val="5"/>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1"/>
              <w:jc w:val="both"/>
              <w:rPr>
                <w:rFonts w:ascii="宋体" w:hAnsi="宋体" w:cs="宋体" w:eastAsia="宋体" w:hint="default"/>
                <w:sz w:val="18"/>
                <w:szCs w:val="18"/>
              </w:rPr>
            </w:pPr>
            <w:r>
              <w:rPr>
                <w:rFonts w:ascii="宋体" w:hAnsi="宋体" w:cs="宋体" w:eastAsia="宋体" w:hint="default"/>
                <w:sz w:val="18"/>
                <w:szCs w:val="18"/>
              </w:rPr>
              <w:t>瑞盈茂硕融 资租赁（深 </w:t>
            </w:r>
            <w:r>
              <w:rPr>
                <w:rFonts w:ascii="宋体" w:hAnsi="宋体" w:cs="宋体" w:eastAsia="宋体" w:hint="default"/>
                <w:spacing w:val="-14"/>
                <w:sz w:val="18"/>
                <w:szCs w:val="18"/>
              </w:rPr>
              <w:t>圳）有限公司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0"/>
              <w:jc w:val="both"/>
              <w:rPr>
                <w:rFonts w:ascii="宋体" w:hAnsi="宋体" w:cs="宋体" w:eastAsia="宋体" w:hint="default"/>
                <w:sz w:val="18"/>
                <w:szCs w:val="18"/>
              </w:rPr>
            </w:pPr>
            <w:r>
              <w:rPr>
                <w:rFonts w:ascii="宋体" w:hAnsi="宋体" w:cs="宋体" w:eastAsia="宋体" w:hint="default"/>
                <w:sz w:val="18"/>
                <w:szCs w:val="18"/>
              </w:rPr>
              <w:t>融资租赁业务</w:t>
            </w:r>
            <w:r>
              <w:rPr>
                <w:rFonts w:ascii="宋体" w:hAnsi="宋体" w:cs="宋体" w:eastAsia="宋体" w:hint="default"/>
                <w:spacing w:val="-80"/>
                <w:sz w:val="18"/>
                <w:szCs w:val="18"/>
              </w:rPr>
              <w:t>；</w:t>
            </w:r>
            <w:r>
              <w:rPr>
                <w:rFonts w:ascii="宋体" w:hAnsi="宋体" w:cs="宋体" w:eastAsia="宋体" w:hint="default"/>
                <w:sz w:val="18"/>
                <w:szCs w:val="18"/>
              </w:rPr>
              <w:t>租</w:t>
            </w:r>
            <w:r>
              <w:rPr>
                <w:rFonts w:ascii="宋体" w:hAnsi="宋体" w:cs="宋体" w:eastAsia="宋体" w:hint="default"/>
                <w:sz w:val="18"/>
                <w:szCs w:val="18"/>
              </w:rPr>
              <w:t> 赁业务</w:t>
            </w:r>
            <w:r>
              <w:rPr>
                <w:rFonts w:ascii="宋体" w:hAnsi="宋体" w:cs="宋体" w:eastAsia="宋体" w:hint="default"/>
                <w:spacing w:val="-80"/>
                <w:sz w:val="18"/>
                <w:szCs w:val="18"/>
              </w:rPr>
              <w:t>；</w:t>
            </w:r>
            <w:r>
              <w:rPr>
                <w:rFonts w:ascii="宋体" w:hAnsi="宋体" w:cs="宋体" w:eastAsia="宋体" w:hint="default"/>
                <w:sz w:val="18"/>
                <w:szCs w:val="18"/>
              </w:rPr>
              <w:t>向境内外</w:t>
            </w:r>
            <w:r>
              <w:rPr>
                <w:rFonts w:ascii="宋体" w:hAnsi="宋体" w:cs="宋体" w:eastAsia="宋体" w:hint="default"/>
                <w:sz w:val="18"/>
                <w:szCs w:val="18"/>
              </w:rPr>
              <w:t> 购买租赁财产</w:t>
            </w:r>
            <w:r>
              <w:rPr>
                <w:rFonts w:ascii="宋体" w:hAnsi="宋体" w:cs="宋体" w:eastAsia="宋体" w:hint="default"/>
                <w:spacing w:val="-80"/>
                <w:sz w:val="18"/>
                <w:szCs w:val="18"/>
              </w:rPr>
              <w:t>；</w:t>
            </w:r>
            <w:r>
              <w:rPr>
                <w:rFonts w:ascii="宋体" w:hAnsi="宋体" w:cs="宋体" w:eastAsia="宋体" w:hint="default"/>
                <w:sz w:val="18"/>
                <w:szCs w:val="18"/>
              </w:rPr>
              <w:t>租</w:t>
            </w:r>
          </w:p>
          <w:p>
            <w:pPr>
              <w:pStyle w:val="TableParagraph"/>
              <w:spacing w:line="216" w:lineRule="exact" w:before="19"/>
              <w:ind w:left="22" w:right="0"/>
              <w:jc w:val="left"/>
              <w:rPr>
                <w:rFonts w:ascii="宋体" w:hAnsi="宋体" w:cs="宋体" w:eastAsia="宋体" w:hint="default"/>
                <w:sz w:val="18"/>
                <w:szCs w:val="18"/>
              </w:rPr>
            </w:pPr>
            <w:r>
              <w:rPr>
                <w:rFonts w:ascii="宋体" w:hAnsi="宋体" w:cs="宋体" w:eastAsia="宋体" w:hint="default"/>
                <w:sz w:val="18"/>
                <w:szCs w:val="18"/>
              </w:rPr>
              <w:t>赁财产的残值处</w:t>
            </w:r>
          </w:p>
          <w:p>
            <w:pPr>
              <w:pStyle w:val="TableParagraph"/>
              <w:spacing w:line="142" w:lineRule="exact"/>
              <w:ind w:left="1440"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170" w:lineRule="exact"/>
              <w:ind w:left="22" w:right="0"/>
              <w:jc w:val="left"/>
              <w:rPr>
                <w:rFonts w:ascii="宋体" w:hAnsi="宋体" w:cs="宋体" w:eastAsia="宋体" w:hint="default"/>
                <w:sz w:val="18"/>
                <w:szCs w:val="18"/>
              </w:rPr>
            </w:pPr>
            <w:r>
              <w:rPr>
                <w:rFonts w:ascii="宋体" w:hAnsi="宋体" w:cs="宋体" w:eastAsia="宋体" w:hint="default"/>
                <w:sz w:val="18"/>
                <w:szCs w:val="18"/>
              </w:rPr>
              <w:t>理及维修</w:t>
            </w:r>
            <w:r>
              <w:rPr>
                <w:rFonts w:ascii="宋体" w:hAnsi="宋体" w:cs="宋体" w:eastAsia="宋体" w:hint="default"/>
                <w:spacing w:val="-80"/>
                <w:sz w:val="18"/>
                <w:szCs w:val="18"/>
              </w:rPr>
              <w:t>；</w:t>
            </w:r>
            <w:r>
              <w:rPr>
                <w:rFonts w:ascii="宋体" w:hAnsi="宋体" w:cs="宋体" w:eastAsia="宋体" w:hint="default"/>
                <w:sz w:val="18"/>
                <w:szCs w:val="18"/>
              </w:rPr>
              <w:t>租赁交</w:t>
            </w:r>
          </w:p>
          <w:p>
            <w:pPr>
              <w:pStyle w:val="TableParagraph"/>
              <w:spacing w:line="142" w:lineRule="exact"/>
              <w:ind w:left="1440"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190" w:lineRule="exact"/>
              <w:ind w:left="22" w:right="0"/>
              <w:jc w:val="left"/>
              <w:rPr>
                <w:rFonts w:ascii="宋体" w:hAnsi="宋体" w:cs="宋体" w:eastAsia="宋体" w:hint="default"/>
                <w:sz w:val="18"/>
                <w:szCs w:val="18"/>
              </w:rPr>
            </w:pPr>
            <w:r>
              <w:rPr>
                <w:rFonts w:ascii="宋体" w:hAnsi="宋体" w:cs="宋体" w:eastAsia="宋体" w:hint="default"/>
                <w:sz w:val="18"/>
                <w:szCs w:val="18"/>
              </w:rPr>
              <w:t>易咨询</w:t>
            </w:r>
            <w:r>
              <w:rPr>
                <w:rFonts w:ascii="宋体" w:hAnsi="宋体" w:cs="宋体" w:eastAsia="宋体" w:hint="default"/>
                <w:spacing w:val="-80"/>
                <w:sz w:val="18"/>
                <w:szCs w:val="18"/>
              </w:rPr>
              <w:t>，</w:t>
            </w:r>
            <w:r>
              <w:rPr>
                <w:rFonts w:ascii="宋体" w:hAnsi="宋体" w:cs="宋体" w:eastAsia="宋体" w:hint="default"/>
                <w:sz w:val="18"/>
                <w:szCs w:val="18"/>
              </w:rPr>
              <w:t>兼营与主</w:t>
            </w:r>
          </w:p>
          <w:p>
            <w:pPr>
              <w:pStyle w:val="TableParagraph"/>
              <w:spacing w:line="319" w:lineRule="auto" w:before="76"/>
              <w:ind w:left="22" w:right="960"/>
              <w:jc w:val="left"/>
              <w:rPr>
                <w:rFonts w:ascii="宋体" w:hAnsi="宋体" w:cs="宋体" w:eastAsia="宋体" w:hint="default"/>
                <w:sz w:val="18"/>
                <w:szCs w:val="18"/>
              </w:rPr>
            </w:pPr>
            <w:r>
              <w:rPr>
                <w:rFonts w:ascii="宋体" w:hAnsi="宋体" w:cs="宋体" w:eastAsia="宋体" w:hint="default"/>
                <w:sz w:val="18"/>
                <w:szCs w:val="18"/>
              </w:rPr>
              <w:t>营业务相关的保 </w:t>
            </w:r>
            <w:r>
              <w:rPr>
                <w:rFonts w:ascii="宋体" w:hAnsi="宋体" w:cs="宋体" w:eastAsia="宋体" w:hint="default"/>
                <w:spacing w:val="-10"/>
                <w:sz w:val="18"/>
                <w:szCs w:val="18"/>
              </w:rPr>
              <w:t>理业务（非银行融</w:t>
            </w:r>
            <w:r>
              <w:rPr>
                <w:rFonts w:ascii="宋体" w:hAnsi="宋体" w:cs="宋体" w:eastAsia="宋体" w:hint="default"/>
                <w:sz w:val="18"/>
                <w:szCs w:val="18"/>
              </w:rPr>
              <w:t> 资类）。</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66,648,300.9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63,597,752.2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3,481,037.92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3,159,553.81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2,369,962.27</w:t>
            </w:r>
          </w:p>
        </w:tc>
      </w:tr>
      <w:tr>
        <w:trPr>
          <w:trHeight w:val="191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茂硕能源科 </w:t>
            </w:r>
            <w:r>
              <w:rPr>
                <w:rFonts w:ascii="宋体" w:hAnsi="宋体" w:cs="宋体" w:eastAsia="宋体" w:hint="default"/>
                <w:spacing w:val="-14"/>
                <w:sz w:val="18"/>
                <w:szCs w:val="18"/>
              </w:rPr>
              <w:t>技（香港）国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际有限公司</w:t>
            </w:r>
          </w:p>
        </w:tc>
        <w:tc>
          <w:tcPr>
            <w:tcW w:w="93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356" w:type="dxa"/>
            <w:tcBorders>
              <w:top w:val="single" w:sz="4" w:space="0" w:color="000000"/>
              <w:left w:val="single" w:sz="4" w:space="0" w:color="000000"/>
              <w:bottom w:val="nil" w:sz="6" w:space="0" w:color="auto"/>
              <w:right w:val="single" w:sz="4" w:space="0" w:color="000000"/>
            </w:tcBorders>
          </w:tcPr>
          <w:p>
            <w:pPr>
              <w:pStyle w:val="TableParagraph"/>
              <w:spacing w:line="307"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大功率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路灯</w:t>
            </w:r>
            <w:r>
              <w:rPr>
                <w:rFonts w:ascii="宋体" w:hAnsi="宋体" w:cs="宋体" w:eastAsia="宋体" w:hint="default"/>
                <w:spacing w:val="1"/>
                <w:sz w:val="18"/>
                <w:szCs w:val="18"/>
              </w:rPr>
              <w:t> </w:t>
            </w:r>
            <w:r>
              <w:rPr>
                <w:rFonts w:ascii="宋体" w:hAnsi="宋体" w:cs="宋体" w:eastAsia="宋体" w:hint="default"/>
                <w:sz w:val="18"/>
                <w:szCs w:val="18"/>
              </w:rPr>
              <w:t>电源、汽车充电</w:t>
            </w:r>
            <w:r>
              <w:rPr>
                <w:rFonts w:ascii="宋体" w:hAnsi="宋体" w:cs="宋体" w:eastAsia="宋体" w:hint="default"/>
                <w:sz w:val="18"/>
                <w:szCs w:val="18"/>
              </w:rPr>
              <w:t> 器、太阳能逆变 </w:t>
            </w:r>
            <w:r>
              <w:rPr>
                <w:rFonts w:ascii="宋体" w:hAnsi="宋体" w:cs="宋体" w:eastAsia="宋体" w:hint="default"/>
                <w:spacing w:val="-10"/>
                <w:sz w:val="18"/>
                <w:szCs w:val="18"/>
              </w:rPr>
              <w:t>器、开关电源、变</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HKD57,00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压器的采购和销</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0,000.00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售；电子元器件、</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16,268,818.2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9,793,322.91</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2,810,328.26</w:t>
            </w: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-12,000,119.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五金塑胶配件的</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23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采购和销售等</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23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0"/>
                <w:sz w:val="18"/>
                <w:szCs w:val="18"/>
              </w:rPr>
              <w:t>研发、生产、销售</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电子用挠性材料、</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绝缘材料</w:t>
            </w:r>
            <w:r>
              <w:rPr>
                <w:rFonts w:ascii="宋体" w:hAnsi="宋体" w:cs="宋体" w:eastAsia="宋体" w:hint="default"/>
                <w:spacing w:val="-80"/>
                <w:sz w:val="18"/>
                <w:szCs w:val="18"/>
              </w:rPr>
              <w:t>、</w:t>
            </w:r>
            <w:r>
              <w:rPr>
                <w:rFonts w:ascii="宋体" w:hAnsi="宋体" w:cs="宋体" w:eastAsia="宋体" w:hint="default"/>
                <w:sz w:val="18"/>
                <w:szCs w:val="18"/>
              </w:rPr>
              <w:t>覆铜板</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材料、铜箔，电子</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2" w:right="119"/>
              <w:jc w:val="left"/>
              <w:rPr>
                <w:rFonts w:ascii="宋体" w:hAnsi="宋体" w:cs="宋体" w:eastAsia="宋体" w:hint="default"/>
                <w:sz w:val="18"/>
                <w:szCs w:val="18"/>
              </w:rPr>
            </w:pPr>
            <w:r>
              <w:rPr>
                <w:rFonts w:ascii="宋体" w:hAnsi="宋体" w:cs="宋体" w:eastAsia="宋体" w:hint="default"/>
                <w:sz w:val="18"/>
                <w:szCs w:val="18"/>
              </w:rPr>
              <w:t>湖南省方正 达电子科技</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产品及线路板的 </w:t>
            </w:r>
            <w:r>
              <w:rPr>
                <w:rFonts w:ascii="宋体" w:hAnsi="宋体" w:cs="宋体" w:eastAsia="宋体" w:hint="default"/>
                <w:spacing w:val="-2"/>
                <w:position w:val="-1"/>
                <w:sz w:val="18"/>
                <w:szCs w:val="18"/>
              </w:rPr>
              <w:t>技术开发、生产、</w:t>
            </w:r>
            <w:r>
              <w:rPr>
                <w:rFonts w:ascii="Times New Roman" w:hAnsi="Times New Roman" w:cs="Times New Roman" w:eastAsia="Times New Roman" w:hint="default"/>
                <w:spacing w:val="-2"/>
                <w:sz w:val="18"/>
                <w:szCs w:val="18"/>
              </w:rPr>
              <w:t>30,851,885.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480,567,883.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244,113,632.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469,456,966.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53,928,647.8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45,828,261.9</w:t>
            </w: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04" w:lineRule="exact" w:before="153"/>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w:t>
            </w:r>
            <w:r>
              <w:rPr>
                <w:rFonts w:ascii="宋体" w:hAnsi="宋体" w:cs="宋体" w:eastAsia="宋体" w:hint="default"/>
                <w:spacing w:val="-80"/>
                <w:sz w:val="18"/>
                <w:szCs w:val="18"/>
              </w:rPr>
              <w:t>，</w:t>
            </w:r>
            <w:r>
              <w:rPr>
                <w:rFonts w:ascii="宋体" w:hAnsi="宋体" w:cs="宋体" w:eastAsia="宋体" w:hint="default"/>
                <w:sz w:val="18"/>
                <w:szCs w:val="18"/>
              </w:rPr>
              <w:t>货物及技术</w:t>
            </w:r>
            <w:r>
              <w:rPr>
                <w:rFonts w:ascii="宋体" w:hAnsi="宋体" w:cs="宋体" w:eastAsia="宋体" w:hint="default"/>
                <w:spacing w:val="-34"/>
                <w:sz w:val="18"/>
                <w:szCs w:val="18"/>
              </w:rPr>
              <w:t> </w:t>
            </w:r>
            <w:r>
              <w:rPr>
                <w:rFonts w:ascii="Times New Roman" w:hAnsi="Times New Roman" w:cs="Times New Roman" w:eastAsia="Times New Roman" w:hint="default"/>
                <w:position w:val="2"/>
                <w:sz w:val="18"/>
                <w:szCs w:val="18"/>
              </w:rPr>
              <w:t>00</w:t>
            </w:r>
            <w:r>
              <w:rPr>
                <w:rFonts w:ascii="Times New Roman" w:hAnsi="Times New Roman" w:cs="Times New Roman" w:eastAsia="Times New Roman" w:hint="default"/>
                <w:sz w:val="18"/>
                <w:szCs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z w:val="18"/>
              </w:rPr>
              <w:t>34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3"/>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23"/>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进出口（不含法</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律、行政法规，国</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务院规定禁止及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2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决定需前置审批</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23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的项目），普通货</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1417"/>
        <w:gridCol w:w="939"/>
        <w:gridCol w:w="1045"/>
        <w:gridCol w:w="1045"/>
        <w:gridCol w:w="1046"/>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0"/>
                <w:sz w:val="18"/>
                <w:szCs w:val="18"/>
              </w:rPr>
              <w:t>运。（依法须经批</w:t>
            </w:r>
            <w:r>
              <w:rPr>
                <w:rFonts w:ascii="宋体" w:hAnsi="宋体" w:cs="宋体" w:eastAsia="宋体" w:hint="default"/>
                <w:sz w:val="18"/>
                <w:szCs w:val="18"/>
              </w:rPr>
              <w:t> </w:t>
            </w:r>
            <w:r>
              <w:rPr>
                <w:rFonts w:ascii="宋体" w:hAnsi="宋体" w:cs="宋体" w:eastAsia="宋体" w:hint="default"/>
                <w:spacing w:val="-10"/>
                <w:sz w:val="18"/>
                <w:szCs w:val="18"/>
              </w:rPr>
              <w:t>准的项目，经相关</w:t>
            </w:r>
            <w:r>
              <w:rPr>
                <w:rFonts w:ascii="宋体" w:hAnsi="宋体" w:cs="宋体" w:eastAsia="宋体" w:hint="default"/>
                <w:sz w:val="18"/>
                <w:szCs w:val="18"/>
              </w:rPr>
              <w:t> 部门批准后方可 开展经营活动）</w:t>
            </w:r>
          </w:p>
        </w:tc>
        <w:tc>
          <w:tcPr>
            <w:tcW w:w="939"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0"/>
        <w:jc w:val="left"/>
      </w:pPr>
      <w:r>
        <w:rPr/>
        <w:t>报告期内取得和处置子公司的情况</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633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公司合并报表范围发生变更，湖南方正 达将不再纳入公司合并报表范围内。本 次交易公司获得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万元人民币的股 权转让价款，增加公司的营运资金，有 利于公司优化资产结构，符合公司的长 期发展战略和全体股东的根本利益。同 时，</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日，公司与方笑求、蓝顺明签署的《盈</w:t>
            </w:r>
            <w:r>
              <w:rPr>
                <w:rFonts w:ascii="宋体" w:hAnsi="宋体" w:cs="宋体" w:eastAsia="宋体" w:hint="default"/>
                <w:sz w:val="18"/>
                <w:szCs w:val="18"/>
              </w:rPr>
              <w:t> 利预测补偿协议》及其补充协议承诺事 项依然有效；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月，公司与方笑 求、蓝顺明及前海合祁壹号、万川资产 签订了《盈利预测补偿补充协议二》， 本次股权转让完成后，方笑求、蓝顺明 如根据《盈利预测补偿协议》及其补充 协议对公司发生业绩补偿义务，则前海 合祁壹号、万川资产受让公司转让的股 权后按受让股权比例享有相应的获得业 绩补偿的权利。本次事项不会对公司经 营状况和财务产生不利影响，也不存在 损害公司及全体股东利益的情形。</w:t>
            </w:r>
          </w:p>
        </w:tc>
      </w:tr>
    </w:tbl>
    <w:p>
      <w:pPr>
        <w:pStyle w:val="BodyText"/>
        <w:spacing w:line="240" w:lineRule="auto" w:before="51"/>
        <w:ind w:left="154" w:right="113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54" w:right="113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130"/>
        <w:jc w:val="left"/>
      </w:pPr>
      <w:r>
        <w:rPr/>
        <w:t>（一）行业竞争格局</w:t>
      </w:r>
    </w:p>
    <w:p>
      <w:pPr>
        <w:pStyle w:val="BodyText"/>
        <w:spacing w:line="300" w:lineRule="auto" w:before="76"/>
        <w:ind w:left="573" w:right="1130"/>
        <w:jc w:val="left"/>
      </w:pPr>
      <w:r>
        <w:rPr/>
        <w:t>（</w:t>
      </w:r>
      <w:r>
        <w:rPr>
          <w:rFonts w:ascii="Times New Roman" w:hAnsi="Times New Roman" w:cs="Times New Roman" w:eastAsia="Times New Roman" w:hint="default"/>
        </w:rPr>
        <w:t>1</w:t>
      </w:r>
      <w:r>
        <w:rPr/>
        <w:t>）、消费电子类电源市场现状 消费电子类产品是指围绕着消费者应用而设计的与生活、工作、娱乐息息相关的电子类产品，是电子产品中技术发展</w:t>
      </w:r>
    </w:p>
    <w:p>
      <w:pPr>
        <w:pStyle w:val="BodyText"/>
        <w:spacing w:line="312" w:lineRule="auto" w:before="31"/>
        <w:ind w:right="0"/>
        <w:jc w:val="left"/>
      </w:pPr>
      <w:r>
        <w:rPr/>
        <w:t>最快、技术应用最广的领域，譬如应运而生的产品领域无人机、智能音响、激光电视、激光投影仪、</w:t>
      </w:r>
      <w:r>
        <w:rPr>
          <w:rFonts w:ascii="Times New Roman" w:hAnsi="Times New Roman" w:cs="Times New Roman" w:eastAsia="Times New Roman" w:hint="default"/>
        </w:rPr>
        <w:t>3D</w:t>
      </w:r>
      <w:r>
        <w:rPr/>
        <w:t>打印机、</w:t>
      </w:r>
      <w:r>
        <w:rPr>
          <w:rFonts w:ascii="Times New Roman" w:hAnsi="Times New Roman" w:cs="Times New Roman" w:eastAsia="Times New Roman" w:hint="default"/>
        </w:rPr>
        <w:t>POS</w:t>
      </w:r>
      <w:r>
        <w:rPr/>
        <w:t>机、</w:t>
      </w:r>
      <w:r>
        <w:rPr>
          <w:spacing w:val="-9"/>
        </w:rPr>
        <w:t> </w:t>
      </w:r>
      <w:r>
        <w:rPr>
          <w:spacing w:val="-4"/>
        </w:rPr>
        <w:t>电动工具等大势兴起。消费电子产业发展获得了政府、社会的广泛支持，国内国际都一直保持较快增长。在新技术的推动下，</w:t>
      </w:r>
      <w:r>
        <w:rPr>
          <w:spacing w:val="-46"/>
        </w:rPr>
        <w:t> </w:t>
      </w:r>
      <w:r>
        <w:rPr>
          <w:spacing w:val="-46"/>
        </w:rPr>
      </w:r>
      <w:r>
        <w:rPr>
          <w:spacing w:val="-2"/>
        </w:rPr>
        <w:t>消费电子产品的深度与广度持续扩展，不断满足人们娱乐、休闲、办公等方面的需求，随着人们生活水平的提高，各种消费</w:t>
      </w:r>
      <w:r>
        <w:rPr>
          <w:spacing w:val="-66"/>
        </w:rPr>
        <w:t> </w:t>
      </w:r>
      <w:r>
        <w:rPr>
          <w:spacing w:val="-66"/>
        </w:rPr>
      </w:r>
      <w:r>
        <w:rPr/>
        <w:t>电子产品进入千家万户，成为居民生活必需品，与人们生活密切相关。</w:t>
      </w:r>
    </w:p>
    <w:p>
      <w:pPr>
        <w:pStyle w:val="BodyText"/>
        <w:spacing w:line="240" w:lineRule="auto" w:before="22"/>
        <w:ind w:left="573" w:right="1130"/>
        <w:jc w:val="left"/>
      </w:pPr>
      <w:r>
        <w:rPr/>
        <w:t>（</w:t>
      </w:r>
      <w:r>
        <w:rPr>
          <w:rFonts w:ascii="Times New Roman" w:hAnsi="Times New Roman" w:cs="Times New Roman" w:eastAsia="Times New Roman" w:hint="default"/>
        </w:rPr>
        <w:t>2</w:t>
      </w:r>
      <w:r>
        <w:rPr/>
        <w:t>）、大功率</w:t>
      </w:r>
      <w:r>
        <w:rPr>
          <w:rFonts w:ascii="Times New Roman" w:hAnsi="Times New Roman" w:cs="Times New Roman" w:eastAsia="Times New Roman" w:hint="default"/>
        </w:rPr>
        <w:t>LED</w:t>
      </w:r>
      <w:r>
        <w:rPr/>
        <w:t>驱动电源行业市场现状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420"/>
        <w:jc w:val="both"/>
      </w:pPr>
      <w:r>
        <w:rPr>
          <w:spacing w:val="-2"/>
        </w:rPr>
        <w:t>集邦咨询</w:t>
      </w:r>
      <w:r>
        <w:rPr>
          <w:rFonts w:ascii="Times New Roman" w:hAnsi="Times New Roman" w:cs="Times New Roman" w:eastAsia="Times New Roman" w:hint="default"/>
          <w:spacing w:val="-2"/>
        </w:rPr>
        <w:t>LED</w:t>
      </w:r>
      <w:r>
        <w:rPr>
          <w:spacing w:val="-2"/>
        </w:rPr>
        <w:t>研究中心（</w:t>
      </w:r>
      <w:r>
        <w:rPr>
          <w:rFonts w:ascii="Times New Roman" w:hAnsi="Times New Roman" w:cs="Times New Roman" w:eastAsia="Times New Roman" w:hint="default"/>
          <w:spacing w:val="-2"/>
        </w:rPr>
        <w:t>LEDinside</w:t>
      </w:r>
      <w:r>
        <w:rPr>
          <w:spacing w:val="-2"/>
        </w:rPr>
        <w:t>）最新《</w:t>
      </w:r>
      <w:r>
        <w:rPr>
          <w:rFonts w:ascii="Times New Roman" w:hAnsi="Times New Roman" w:cs="Times New Roman" w:eastAsia="Times New Roman" w:hint="default"/>
          <w:spacing w:val="-2"/>
        </w:rPr>
        <w:t>2018</w:t>
      </w:r>
      <w:r>
        <w:rPr>
          <w:spacing w:val="-2"/>
        </w:rPr>
        <w:t>照明级封装与</w:t>
      </w:r>
      <w:r>
        <w:rPr>
          <w:rFonts w:ascii="Times New Roman" w:hAnsi="Times New Roman" w:cs="Times New Roman" w:eastAsia="Times New Roman" w:hint="default"/>
          <w:spacing w:val="-2"/>
        </w:rPr>
        <w:t>LED</w:t>
      </w:r>
      <w:r>
        <w:rPr>
          <w:spacing w:val="-2"/>
        </w:rPr>
        <w:t>照明市场展望》显示，</w:t>
      </w:r>
      <w:r>
        <w:rPr>
          <w:rFonts w:ascii="Times New Roman" w:hAnsi="Times New Roman" w:cs="Times New Roman" w:eastAsia="Times New Roman" w:hint="default"/>
          <w:spacing w:val="-2"/>
        </w:rPr>
        <w:t>2016~2019</w:t>
      </w:r>
      <w:r>
        <w:rPr>
          <w:spacing w:val="-2"/>
        </w:rPr>
        <w:t>年</w:t>
      </w:r>
      <w:r>
        <w:rPr>
          <w:rFonts w:ascii="Times New Roman" w:hAnsi="Times New Roman" w:cs="Times New Roman" w:eastAsia="Times New Roman" w:hint="default"/>
          <w:spacing w:val="-2"/>
        </w:rPr>
        <w:t>LED</w:t>
      </w:r>
      <w:r>
        <w:rPr>
          <w:spacing w:val="-2"/>
        </w:rPr>
        <w:t>照明市场规</w:t>
      </w:r>
      <w:r>
        <w:rPr/>
        <w:t> 模逐步提升，</w:t>
      </w:r>
      <w:r>
        <w:rPr>
          <w:rFonts w:ascii="Times New Roman" w:hAnsi="Times New Roman" w:cs="Times New Roman" w:eastAsia="Times New Roman" w:hint="default"/>
        </w:rPr>
        <w:t>LED</w:t>
      </w:r>
      <w:r>
        <w:rPr/>
        <w:t>照明市场规模于</w:t>
      </w:r>
      <w:r>
        <w:rPr>
          <w:rFonts w:ascii="Times New Roman" w:hAnsi="Times New Roman" w:cs="Times New Roman" w:eastAsia="Times New Roman" w:hint="default"/>
        </w:rPr>
        <w:t>2018</w:t>
      </w:r>
      <w:r>
        <w:rPr/>
        <w:t>年达到</w:t>
      </w:r>
      <w:r>
        <w:rPr>
          <w:rFonts w:ascii="Times New Roman" w:hAnsi="Times New Roman" w:cs="Times New Roman" w:eastAsia="Times New Roman" w:hint="default"/>
        </w:rPr>
        <w:t>327.17</w:t>
      </w:r>
      <w:r>
        <w:rPr/>
        <w:t>亿美金，</w:t>
      </w:r>
      <w:r>
        <w:rPr>
          <w:rFonts w:ascii="Times New Roman" w:hAnsi="Times New Roman" w:cs="Times New Roman" w:eastAsia="Times New Roman" w:hint="default"/>
        </w:rPr>
        <w:t>2019</w:t>
      </w:r>
      <w:r>
        <w:rPr/>
        <w:t>年达到</w:t>
      </w:r>
      <w:r>
        <w:rPr>
          <w:rFonts w:ascii="Times New Roman" w:hAnsi="Times New Roman" w:cs="Times New Roman" w:eastAsia="Times New Roman" w:hint="default"/>
        </w:rPr>
        <w:t>333</w:t>
      </w:r>
      <w:r>
        <w:rPr/>
        <w:t>亿美金，替换式照明已进入饱和期；工业、景</w:t>
      </w:r>
      <w:r>
        <w:rPr>
          <w:spacing w:val="-38"/>
        </w:rPr>
        <w:t> </w:t>
      </w:r>
      <w:r>
        <w:rPr>
          <w:spacing w:val="-38"/>
        </w:rPr>
      </w:r>
      <w:r>
        <w:rPr/>
        <w:t>观户外、特殊商业照明接续发展。</w:t>
      </w:r>
    </w:p>
    <w:p>
      <w:pPr>
        <w:pStyle w:val="BodyText"/>
        <w:spacing w:line="240" w:lineRule="auto" w:before="31"/>
        <w:ind w:left="574" w:right="0"/>
        <w:jc w:val="left"/>
      </w:pPr>
      <w:r>
        <w:rPr/>
        <w:t>根据</w:t>
      </w:r>
      <w:r>
        <w:rPr>
          <w:rFonts w:ascii="Times New Roman" w:hAnsi="Times New Roman" w:cs="Times New Roman" w:eastAsia="Times New Roman" w:hint="default"/>
        </w:rPr>
        <w:t>LEDinside</w:t>
      </w:r>
      <w:r>
        <w:rPr/>
        <w:t>调查全球已安装照明产品存量，</w:t>
      </w:r>
      <w:r>
        <w:rPr>
          <w:rFonts w:ascii="Times New Roman" w:hAnsi="Times New Roman" w:cs="Times New Roman" w:eastAsia="Times New Roman" w:hint="default"/>
        </w:rPr>
        <w:t>LED</w:t>
      </w:r>
      <w:r>
        <w:rPr/>
        <w:t>照明产品对传统照明的替换快速增长，</w:t>
      </w:r>
      <w:r>
        <w:rPr>
          <w:rFonts w:ascii="Times New Roman" w:hAnsi="Times New Roman" w:cs="Times New Roman" w:eastAsia="Times New Roman" w:hint="default"/>
        </w:rPr>
        <w:t>2017</w:t>
      </w:r>
      <w:r>
        <w:rPr/>
        <w:t>年渗透率为</w:t>
      </w:r>
      <w:r>
        <w:rPr>
          <w:rFonts w:ascii="Times New Roman" w:hAnsi="Times New Roman" w:cs="Times New Roman" w:eastAsia="Times New Roman" w:hint="default"/>
        </w:rPr>
        <w:t>22%</w:t>
      </w:r>
      <w:r>
        <w:rPr/>
        <w:t>，预估</w:t>
      </w:r>
    </w:p>
    <w:p>
      <w:pPr>
        <w:pStyle w:val="BodyText"/>
        <w:spacing w:line="300" w:lineRule="auto" w:before="63"/>
        <w:ind w:left="634" w:right="1122" w:hanging="480"/>
        <w:jc w:val="left"/>
      </w:pPr>
      <w:r>
        <w:rPr>
          <w:rFonts w:ascii="Times New Roman" w:hAnsi="Times New Roman" w:cs="Times New Roman" w:eastAsia="Times New Roman" w:hint="default"/>
        </w:rPr>
        <w:t>2022</w:t>
      </w:r>
      <w:r>
        <w:rPr/>
        <w:t>年将达</w:t>
      </w:r>
      <w:r>
        <w:rPr>
          <w:rFonts w:ascii="Times New Roman" w:hAnsi="Times New Roman" w:cs="Times New Roman" w:eastAsia="Times New Roman" w:hint="default"/>
        </w:rPr>
        <w:t>63%</w:t>
      </w:r>
      <w:r>
        <w:rPr/>
        <w:t>，</w:t>
      </w:r>
      <w:r>
        <w:rPr>
          <w:rFonts w:ascii="Times New Roman" w:hAnsi="Times New Roman" w:cs="Times New Roman" w:eastAsia="Times New Roman" w:hint="default"/>
        </w:rPr>
        <w:t>2017~2022</w:t>
      </w:r>
      <w:r>
        <w:rPr/>
        <w:t>年</w:t>
      </w:r>
      <w:r>
        <w:rPr>
          <w:rFonts w:ascii="Times New Roman" w:hAnsi="Times New Roman" w:cs="Times New Roman" w:eastAsia="Times New Roman" w:hint="default"/>
        </w:rPr>
        <w:t>LED</w:t>
      </w:r>
      <w:r>
        <w:rPr/>
        <w:t>照明产品存量</w:t>
      </w:r>
      <w:r>
        <w:rPr>
          <w:rFonts w:ascii="Times New Roman" w:hAnsi="Times New Roman" w:cs="Times New Roman" w:eastAsia="Times New Roman" w:hint="default"/>
        </w:rPr>
        <w:t>CAGR</w:t>
      </w:r>
      <w:r>
        <w:rPr/>
        <w:t>达</w:t>
      </w:r>
      <w:r>
        <w:rPr>
          <w:rFonts w:ascii="Times New Roman" w:hAnsi="Times New Roman" w:cs="Times New Roman" w:eastAsia="Times New Roman" w:hint="default"/>
        </w:rPr>
        <w:t>26%</w:t>
      </w:r>
      <w:r>
        <w:rPr/>
        <w:t>。 国内市场由于政府的</w:t>
      </w:r>
      <w:r>
        <w:rPr>
          <w:rFonts w:ascii="Times New Roman" w:hAnsi="Times New Roman" w:cs="Times New Roman" w:eastAsia="Times New Roman" w:hint="default"/>
        </w:rPr>
        <w:t>“</w:t>
      </w:r>
      <w:r>
        <w:rPr/>
        <w:t>顶层设计</w:t>
      </w:r>
      <w:r>
        <w:rPr>
          <w:rFonts w:ascii="Times New Roman" w:hAnsi="Times New Roman" w:cs="Times New Roman" w:eastAsia="Times New Roman" w:hint="default"/>
        </w:rPr>
        <w:t>”</w:t>
      </w:r>
      <w:r>
        <w:rPr/>
        <w:t>与推动，</w:t>
      </w:r>
      <w:r>
        <w:rPr>
          <w:rFonts w:ascii="Times New Roman" w:hAnsi="Times New Roman" w:cs="Times New Roman" w:eastAsia="Times New Roman" w:hint="default"/>
        </w:rPr>
        <w:t>LED</w:t>
      </w:r>
      <w:r>
        <w:rPr/>
        <w:t>照明发展的非常快，己基本全面渗透到我们所能想象的任何应用领域。</w:t>
      </w:r>
    </w:p>
    <w:p>
      <w:pPr>
        <w:pStyle w:val="BodyText"/>
        <w:spacing w:line="300" w:lineRule="auto" w:before="13"/>
        <w:ind w:left="154" w:right="1132"/>
        <w:jc w:val="both"/>
      </w:pPr>
      <w:r>
        <w:rPr>
          <w:spacing w:val="-1"/>
        </w:rPr>
        <w:t>近几年，由于</w:t>
      </w:r>
      <w:r>
        <w:rPr>
          <w:rFonts w:ascii="Times New Roman" w:hAnsi="Times New Roman" w:cs="Times New Roman" w:eastAsia="Times New Roman" w:hint="default"/>
          <w:spacing w:val="-1"/>
        </w:rPr>
        <w:t>LED</w:t>
      </w:r>
      <w:r>
        <w:rPr>
          <w:spacing w:val="-1"/>
        </w:rPr>
        <w:t>照明在杭州</w:t>
      </w:r>
      <w:r>
        <w:rPr>
          <w:rFonts w:ascii="Times New Roman" w:hAnsi="Times New Roman" w:cs="Times New Roman" w:eastAsia="Times New Roman" w:hint="default"/>
          <w:spacing w:val="-1"/>
        </w:rPr>
        <w:t>G20</w:t>
      </w:r>
      <w:r>
        <w:rPr>
          <w:spacing w:val="-1"/>
        </w:rPr>
        <w:t>峰会、厦门金砖国家会议等重大场合优异的表现，景观照明呈暴发式增长，而道路照明需</w:t>
      </w:r>
      <w:r>
        <w:rPr>
          <w:spacing w:val="-59"/>
        </w:rPr>
        <w:t> </w:t>
      </w:r>
      <w:r>
        <w:rPr>
          <w:spacing w:val="-59"/>
        </w:rPr>
      </w:r>
      <w:r>
        <w:rPr>
          <w:spacing w:val="-2"/>
        </w:rPr>
        <w:t>求则比较偏向于理性。从</w:t>
      </w:r>
      <w:r>
        <w:rPr>
          <w:rFonts w:ascii="Times New Roman" w:hAnsi="Times New Roman" w:cs="Times New Roman" w:eastAsia="Times New Roman" w:hint="default"/>
          <w:spacing w:val="-2"/>
        </w:rPr>
        <w:t>2017</w:t>
      </w:r>
      <w:r>
        <w:rPr>
          <w:spacing w:val="-2"/>
        </w:rPr>
        <w:t>年年初开始，多地地方政府提出夜游经济，城市夜景提升工程增多（如广州、厦门、青岛、上</w:t>
      </w:r>
      <w:r>
        <w:rPr>
          <w:spacing w:val="-67"/>
        </w:rPr>
        <w:t> </w:t>
      </w:r>
      <w:r>
        <w:rPr>
          <w:spacing w:val="-67"/>
        </w:rPr>
      </w:r>
      <w:r>
        <w:rPr/>
        <w:t>海等城市），加上全国遍地开花的特色小镇及文化创意灯光秀，景观照明将带来新一轮的发展潮。</w:t>
      </w:r>
    </w:p>
    <w:p>
      <w:pPr>
        <w:pStyle w:val="BodyText"/>
        <w:spacing w:line="309" w:lineRule="auto" w:before="31"/>
        <w:ind w:left="154" w:right="1032" w:firstLine="480"/>
        <w:jc w:val="left"/>
      </w:pPr>
      <w:r>
        <w:rPr/>
        <w:t>同时，由于国内市场的竞争趋于白热化，企业纷纷拓展海外市场。</w:t>
      </w:r>
      <w:r>
        <w:rPr>
          <w:rFonts w:ascii="Times New Roman" w:hAnsi="Times New Roman" w:cs="Times New Roman" w:eastAsia="Times New Roman" w:hint="default"/>
        </w:rPr>
        <w:t>LED</w:t>
      </w:r>
      <w:r>
        <w:rPr/>
        <w:t>驱动经过多年的发展其技术己经非常成熟，通 用型照明驱动的利润己进入薄利，为谋求新的发展，企业必须要走差异化竞争、走细分领域、提供增值服务（如智能照明） 才能可持续发展。</w:t>
      </w:r>
    </w:p>
    <w:p>
      <w:pPr>
        <w:pStyle w:val="BodyText"/>
        <w:spacing w:line="316" w:lineRule="auto" w:before="24"/>
        <w:ind w:left="634" w:right="1130"/>
        <w:jc w:val="left"/>
      </w:pPr>
      <w:r>
        <w:rPr/>
        <w:t>（３）、逆变器行业市场现状 </w:t>
      </w:r>
      <w:r>
        <w:rPr>
          <w:spacing w:val="-1"/>
        </w:rPr>
        <w:t>据国家能源局统计，受上网电价调整等多重因素影响，</w:t>
      </w:r>
      <w:r>
        <w:rPr>
          <w:rFonts w:ascii="Times New Roman" w:hAnsi="Times New Roman" w:cs="Times New Roman" w:eastAsia="Times New Roman" w:hint="default"/>
          <w:spacing w:val="-1"/>
        </w:rPr>
        <w:t>2017</w:t>
      </w:r>
      <w:r>
        <w:rPr>
          <w:spacing w:val="-1"/>
        </w:rPr>
        <w:t>年光伏发电市场规模快速扩大，新增装机</w:t>
      </w:r>
      <w:r>
        <w:rPr>
          <w:rFonts w:ascii="Times New Roman" w:hAnsi="Times New Roman" w:cs="Times New Roman" w:eastAsia="Times New Roman" w:hint="default"/>
          <w:spacing w:val="-1"/>
        </w:rPr>
        <w:t>5306</w:t>
      </w:r>
      <w:r>
        <w:rPr>
          <w:spacing w:val="-1"/>
        </w:rPr>
        <w:t>万千瓦，其</w:t>
      </w:r>
    </w:p>
    <w:p>
      <w:pPr>
        <w:pStyle w:val="BodyText"/>
        <w:spacing w:line="300" w:lineRule="auto"/>
        <w:ind w:left="154" w:right="1152"/>
        <w:jc w:val="left"/>
      </w:pPr>
      <w:r>
        <w:rPr/>
        <w:t>中，光伏电站</w:t>
      </w:r>
      <w:r>
        <w:rPr>
          <w:rFonts w:ascii="Times New Roman" w:hAnsi="Times New Roman" w:cs="Times New Roman" w:eastAsia="Times New Roman" w:hint="default"/>
        </w:rPr>
        <w:t>3362</w:t>
      </w:r>
      <w:r>
        <w:rPr/>
        <w:t>万千瓦，同比增加</w:t>
      </w:r>
      <w:r>
        <w:rPr>
          <w:rFonts w:ascii="Times New Roman" w:hAnsi="Times New Roman" w:cs="Times New Roman" w:eastAsia="Times New Roman" w:hint="default"/>
        </w:rPr>
        <w:t>11%</w:t>
      </w:r>
      <w:r>
        <w:rPr/>
        <w:t>；分布式光伏</w:t>
      </w:r>
      <w:r>
        <w:rPr>
          <w:rFonts w:ascii="Times New Roman" w:hAnsi="Times New Roman" w:cs="Times New Roman" w:eastAsia="Times New Roman" w:hint="default"/>
        </w:rPr>
        <w:t>1944</w:t>
      </w:r>
      <w:r>
        <w:rPr/>
        <w:t>万千瓦，同比增长</w:t>
      </w:r>
      <w:r>
        <w:rPr>
          <w:rFonts w:ascii="Times New Roman" w:hAnsi="Times New Roman" w:cs="Times New Roman" w:eastAsia="Times New Roman" w:hint="default"/>
        </w:rPr>
        <w:t>3.7</w:t>
      </w:r>
      <w:r>
        <w:rPr/>
        <w:t>倍。到</w:t>
      </w:r>
      <w:r>
        <w:rPr>
          <w:rFonts w:ascii="Times New Roman" w:hAnsi="Times New Roman" w:cs="Times New Roman" w:eastAsia="Times New Roman" w:hint="default"/>
        </w:rPr>
        <w:t>12</w:t>
      </w:r>
      <w:r>
        <w:rPr/>
        <w:t>月底，全国光伏发电装机达到</w:t>
      </w:r>
      <w:r>
        <w:rPr>
          <w:rFonts w:ascii="Times New Roman" w:hAnsi="Times New Roman" w:cs="Times New Roman" w:eastAsia="Times New Roman" w:hint="default"/>
        </w:rPr>
        <w:t>1.3 </w:t>
      </w:r>
      <w:r>
        <w:rPr/>
        <w:t>亿千瓦，其中，光伏电站</w:t>
      </w:r>
      <w:r>
        <w:rPr>
          <w:rFonts w:ascii="Times New Roman" w:hAnsi="Times New Roman" w:cs="Times New Roman" w:eastAsia="Times New Roman" w:hint="default"/>
        </w:rPr>
        <w:t>10059</w:t>
      </w:r>
      <w:r>
        <w:rPr/>
        <w:t>万千瓦，分布式光伏</w:t>
      </w:r>
      <w:r>
        <w:rPr>
          <w:rFonts w:ascii="Times New Roman" w:hAnsi="Times New Roman" w:cs="Times New Roman" w:eastAsia="Times New Roman" w:hint="default"/>
        </w:rPr>
        <w:t>2966</w:t>
      </w:r>
      <w:r>
        <w:rPr/>
        <w:t>万千瓦。</w:t>
      </w:r>
    </w:p>
    <w:p>
      <w:pPr>
        <w:pStyle w:val="BodyText"/>
        <w:spacing w:line="300" w:lineRule="auto" w:before="13"/>
        <w:ind w:left="154" w:right="0" w:firstLine="480"/>
        <w:jc w:val="left"/>
      </w:pPr>
      <w:r>
        <w:rPr>
          <w:spacing w:val="-2"/>
        </w:rPr>
        <w:t>从新增装机布局看，由西北地区向中东部地区转移的趋势明显。华东地区新增装机</w:t>
      </w:r>
      <w:r>
        <w:rPr>
          <w:rFonts w:ascii="Times New Roman" w:hAnsi="Times New Roman" w:cs="Times New Roman" w:eastAsia="Times New Roman" w:hint="default"/>
          <w:spacing w:val="-2"/>
        </w:rPr>
        <w:t>1467</w:t>
      </w:r>
      <w:r>
        <w:rPr>
          <w:spacing w:val="-2"/>
        </w:rPr>
        <w:t>万千瓦，同比增加</w:t>
      </w:r>
      <w:r>
        <w:rPr>
          <w:rFonts w:ascii="Times New Roman" w:hAnsi="Times New Roman" w:cs="Times New Roman" w:eastAsia="Times New Roman" w:hint="default"/>
          <w:spacing w:val="-2"/>
        </w:rPr>
        <w:t>1.7</w:t>
      </w:r>
      <w:r>
        <w:rPr>
          <w:spacing w:val="-2"/>
        </w:rPr>
        <w:t>倍，占全</w:t>
      </w:r>
      <w:r>
        <w:rPr/>
        <w:t> </w:t>
      </w:r>
      <w:r>
        <w:rPr>
          <w:spacing w:val="-2"/>
        </w:rPr>
        <w:t>国的</w:t>
      </w:r>
      <w:r>
        <w:rPr>
          <w:rFonts w:ascii="Times New Roman" w:hAnsi="Times New Roman" w:cs="Times New Roman" w:eastAsia="Times New Roman" w:hint="default"/>
          <w:spacing w:val="-2"/>
        </w:rPr>
        <w:t>27.7%</w:t>
      </w:r>
      <w:r>
        <w:rPr>
          <w:spacing w:val="-2"/>
        </w:rPr>
        <w:t>。华中地区新增装机为</w:t>
      </w:r>
      <w:r>
        <w:rPr>
          <w:rFonts w:ascii="Times New Roman" w:hAnsi="Times New Roman" w:cs="Times New Roman" w:eastAsia="Times New Roman" w:hint="default"/>
          <w:spacing w:val="-2"/>
        </w:rPr>
        <w:t>1064</w:t>
      </w:r>
      <w:r>
        <w:rPr>
          <w:spacing w:val="-2"/>
        </w:rPr>
        <w:t>万千瓦，同比增长</w:t>
      </w:r>
      <w:r>
        <w:rPr>
          <w:rFonts w:ascii="Times New Roman" w:hAnsi="Times New Roman" w:cs="Times New Roman" w:eastAsia="Times New Roman" w:hint="default"/>
          <w:spacing w:val="-2"/>
        </w:rPr>
        <w:t>70%</w:t>
      </w:r>
      <w:r>
        <w:rPr>
          <w:spacing w:val="-2"/>
        </w:rPr>
        <w:t>，占全国的</w:t>
      </w:r>
      <w:r>
        <w:rPr>
          <w:rFonts w:ascii="Times New Roman" w:hAnsi="Times New Roman" w:cs="Times New Roman" w:eastAsia="Times New Roman" w:hint="default"/>
          <w:spacing w:val="-2"/>
        </w:rPr>
        <w:t>20%</w:t>
      </w:r>
      <w:r>
        <w:rPr>
          <w:spacing w:val="-2"/>
        </w:rPr>
        <w:t>。西北地区新增装机</w:t>
      </w:r>
      <w:r>
        <w:rPr>
          <w:rFonts w:ascii="Times New Roman" w:hAnsi="Times New Roman" w:cs="Times New Roman" w:eastAsia="Times New Roman" w:hint="default"/>
          <w:spacing w:val="-2"/>
        </w:rPr>
        <w:t>622</w:t>
      </w:r>
      <w:r>
        <w:rPr>
          <w:spacing w:val="-2"/>
        </w:rPr>
        <w:t>万千瓦，同比下降</w:t>
      </w:r>
      <w:r>
        <w:rPr>
          <w:rFonts w:ascii="Times New Roman" w:hAnsi="Times New Roman" w:cs="Times New Roman" w:eastAsia="Times New Roman" w:hint="default"/>
          <w:spacing w:val="-2"/>
        </w:rPr>
        <w:t>36%</w:t>
      </w:r>
      <w:r>
        <w:rPr>
          <w:spacing w:val="-2"/>
        </w:rPr>
        <w:t>。</w:t>
      </w:r>
      <w:r>
        <w:rPr>
          <w:spacing w:val="-64"/>
        </w:rPr>
        <w:t> </w:t>
      </w:r>
      <w:r>
        <w:rPr/>
        <w:t>分布式光伏发展继续提速，浙江、山东、安徽三省分布式光伏新增装机占全国的</w:t>
      </w:r>
      <w:r>
        <w:rPr>
          <w:rFonts w:ascii="Times New Roman" w:hAnsi="Times New Roman" w:cs="Times New Roman" w:eastAsia="Times New Roman" w:hint="default"/>
        </w:rPr>
        <w:t>45.7%</w:t>
      </w:r>
      <w:r>
        <w:rPr/>
        <w:t>。</w:t>
      </w:r>
      <w:r>
        <w:rPr>
          <w:rFonts w:ascii="Times New Roman" w:hAnsi="Times New Roman" w:cs="Times New Roman" w:eastAsia="Times New Roman" w:hint="default"/>
        </w:rPr>
        <w:t>2017</w:t>
      </w:r>
      <w:r>
        <w:rPr/>
        <w:t>年，全国光伏发电量</w:t>
      </w:r>
      <w:r>
        <w:rPr>
          <w:rFonts w:ascii="Times New Roman" w:hAnsi="Times New Roman" w:cs="Times New Roman" w:eastAsia="Times New Roman" w:hint="default"/>
        </w:rPr>
        <w:t>1182</w:t>
      </w:r>
      <w:r>
        <w:rPr/>
        <w:t>亿千 瓦时，同比增长</w:t>
      </w:r>
      <w:r>
        <w:rPr>
          <w:rFonts w:ascii="Times New Roman" w:hAnsi="Times New Roman" w:cs="Times New Roman" w:eastAsia="Times New Roman" w:hint="default"/>
        </w:rPr>
        <w:t>78.6%</w:t>
      </w:r>
      <w:r>
        <w:rPr/>
        <w:t>。全国弃光电量</w:t>
      </w:r>
      <w:r>
        <w:rPr>
          <w:rFonts w:ascii="Times New Roman" w:hAnsi="Times New Roman" w:cs="Times New Roman" w:eastAsia="Times New Roman" w:hint="default"/>
        </w:rPr>
        <w:t>73</w:t>
      </w:r>
      <w:r>
        <w:rPr/>
        <w:t>亿千瓦时，弃光率同比下降</w:t>
      </w:r>
      <w:r>
        <w:rPr>
          <w:rFonts w:ascii="Times New Roman" w:hAnsi="Times New Roman" w:cs="Times New Roman" w:eastAsia="Times New Roman" w:hint="default"/>
        </w:rPr>
        <w:t>4.3</w:t>
      </w:r>
      <w:r>
        <w:rPr/>
        <w:t>个百分点，弃光主要集中在新疆和甘肃，其中，新疆</w:t>
      </w:r>
    </w:p>
    <w:p>
      <w:pPr>
        <w:pStyle w:val="BodyText"/>
        <w:spacing w:line="300" w:lineRule="auto" w:before="13"/>
        <w:ind w:left="154" w:right="1113"/>
        <w:jc w:val="left"/>
      </w:pPr>
      <w:r>
        <w:rPr/>
        <w:t>（不含兵团）弃光电量</w:t>
      </w:r>
      <w:r>
        <w:rPr>
          <w:rFonts w:ascii="Times New Roman" w:hAnsi="Times New Roman" w:cs="Times New Roman" w:eastAsia="Times New Roman" w:hint="default"/>
        </w:rPr>
        <w:t>28.2</w:t>
      </w:r>
      <w:r>
        <w:rPr/>
        <w:t>亿</w:t>
      </w:r>
      <w:r>
        <w:rPr>
          <w:spacing w:val="-66"/>
        </w:rPr>
        <w:t> </w:t>
      </w:r>
      <w:r>
        <w:rPr/>
        <w:t>千瓦时，弃光率</w:t>
      </w:r>
      <w:r>
        <w:rPr>
          <w:rFonts w:ascii="Times New Roman" w:hAnsi="Times New Roman" w:cs="Times New Roman" w:eastAsia="Times New Roman" w:hint="default"/>
        </w:rPr>
        <w:t>22%</w:t>
      </w:r>
      <w:r>
        <w:rPr/>
        <w:t>，同比下降</w:t>
      </w:r>
      <w:r>
        <w:rPr>
          <w:rFonts w:ascii="Times New Roman" w:hAnsi="Times New Roman" w:cs="Times New Roman" w:eastAsia="Times New Roman" w:hint="default"/>
        </w:rPr>
        <w:t>9.3</w:t>
      </w:r>
      <w:r>
        <w:rPr/>
        <w:t>个百分点；甘肃弃光电量</w:t>
      </w:r>
      <w:r>
        <w:rPr>
          <w:rFonts w:ascii="Times New Roman" w:hAnsi="Times New Roman" w:cs="Times New Roman" w:eastAsia="Times New Roman" w:hint="default"/>
        </w:rPr>
        <w:t>18.5</w:t>
      </w:r>
      <w:r>
        <w:rPr/>
        <w:t>亿千瓦时，弃光率</w:t>
      </w:r>
      <w:r>
        <w:rPr>
          <w:rFonts w:ascii="Times New Roman" w:hAnsi="Times New Roman" w:cs="Times New Roman" w:eastAsia="Times New Roman" w:hint="default"/>
        </w:rPr>
        <w:t>20%</w:t>
      </w:r>
      <w:r>
        <w:rPr/>
        <w:t>，同比 下降</w:t>
      </w:r>
      <w:r>
        <w:rPr>
          <w:rFonts w:ascii="Times New Roman" w:hAnsi="Times New Roman" w:cs="Times New Roman" w:eastAsia="Times New Roman" w:hint="default"/>
        </w:rPr>
        <w:t>9.8</w:t>
      </w:r>
      <w:r>
        <w:rPr/>
        <w:t>个百分点。</w:t>
      </w:r>
    </w:p>
    <w:p>
      <w:pPr>
        <w:pStyle w:val="BodyText"/>
        <w:spacing w:line="312" w:lineRule="auto" w:before="13"/>
        <w:ind w:right="1132" w:firstLine="420"/>
        <w:jc w:val="both"/>
      </w:pPr>
      <w:r>
        <w:rPr/>
        <w:t>光伏逆变器发展受光伏大行业发展影响，</w:t>
      </w:r>
      <w:r>
        <w:rPr>
          <w:rFonts w:ascii="Times New Roman" w:hAnsi="Times New Roman" w:cs="Times New Roman" w:eastAsia="Times New Roman" w:hint="default"/>
        </w:rPr>
        <w:t>2017</w:t>
      </w:r>
      <w:r>
        <w:rPr/>
        <w:t>年主要呈现三大发展现状：第一，以集中型逆变器为主导的企业开始噤 </w:t>
      </w:r>
      <w:r>
        <w:rPr>
          <w:spacing w:val="-2"/>
        </w:rPr>
        <w:t>声，以组串型逆变器为主导的新兴企业大范围成长，且竞争越来越激烈；第二，逆变器产品技术更新速度加快，产品同质化</w:t>
      </w:r>
      <w:r>
        <w:rPr>
          <w:spacing w:val="-66"/>
        </w:rPr>
        <w:t> </w:t>
      </w:r>
      <w:r>
        <w:rPr>
          <w:spacing w:val="-66"/>
        </w:rPr>
      </w:r>
      <w:r>
        <w:rPr>
          <w:spacing w:val="-2"/>
        </w:rPr>
        <w:t>情况开始好转，各家逆变器微创新意识增强；第三，分布式逆变器市场在华北、华东地区率先爆发，同时有着向华中华南地</w:t>
      </w:r>
      <w:r>
        <w:rPr>
          <w:spacing w:val="-66"/>
        </w:rPr>
        <w:t> </w:t>
      </w:r>
      <w:r>
        <w:rPr>
          <w:spacing w:val="-66"/>
        </w:rPr>
      </w:r>
      <w:r>
        <w:rPr/>
        <w:t>区延伸的趋势。</w:t>
      </w:r>
    </w:p>
    <w:p>
      <w:pPr>
        <w:pStyle w:val="BodyText"/>
        <w:spacing w:line="240" w:lineRule="auto" w:before="22"/>
        <w:ind w:left="573" w:right="1130"/>
        <w:jc w:val="left"/>
      </w:pPr>
      <w:r>
        <w:rPr/>
        <w:t>（</w:t>
      </w:r>
      <w:r>
        <w:rPr>
          <w:rFonts w:ascii="Times New Roman" w:hAnsi="Times New Roman" w:cs="Times New Roman" w:eastAsia="Times New Roman" w:hint="default"/>
        </w:rPr>
        <w:t>4</w:t>
      </w:r>
      <w:r>
        <w:rPr/>
        <w:t>）太阳能光伏发电行业市场现状</w:t>
      </w:r>
    </w:p>
    <w:p>
      <w:pPr>
        <w:pStyle w:val="BodyText"/>
        <w:spacing w:line="304" w:lineRule="auto" w:before="63"/>
        <w:ind w:right="1032" w:firstLine="420"/>
        <w:jc w:val="left"/>
      </w:pPr>
      <w:r>
        <w:rPr/>
        <w:t>从分布式光伏、领跑者光伏项目的角度分析，乐观的预测 </w:t>
      </w:r>
      <w:r>
        <w:rPr>
          <w:rFonts w:ascii="Times New Roman" w:hAnsi="Times New Roman" w:cs="Times New Roman" w:eastAsia="Times New Roman" w:hint="default"/>
        </w:rPr>
        <w:t>2017 </w:t>
      </w:r>
      <w:r>
        <w:rPr/>
        <w:t>年全年光伏装机将超过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34GW</w:t>
      </w:r>
      <w:r>
        <w:rPr>
          <w:rFonts w:ascii="Times New Roman" w:hAnsi="Times New Roman" w:cs="Times New Roman" w:eastAsia="Times New Roman" w:hint="default"/>
          <w:spacing w:val="4"/>
        </w:rPr>
        <w:t> </w:t>
      </w:r>
      <w:r>
        <w:rPr/>
        <w:t>的装机量，冲 击 </w:t>
      </w:r>
      <w:r>
        <w:rPr>
          <w:rFonts w:ascii="Times New Roman" w:hAnsi="Times New Roman" w:cs="Times New Roman" w:eastAsia="Times New Roman" w:hint="default"/>
        </w:rPr>
        <w:t>40GW </w:t>
      </w:r>
      <w:r>
        <w:rPr/>
        <w:t>新高度。现在看来，乐观预测依然过于保守，截止</w:t>
      </w:r>
      <w:r>
        <w:rPr>
          <w:rFonts w:ascii="Times New Roman" w:hAnsi="Times New Roman" w:cs="Times New Roman" w:eastAsia="Times New Roman" w:hint="default"/>
        </w:rPr>
        <w:t>2017</w:t>
      </w:r>
      <w:r>
        <w:rPr/>
        <w:t>年三季度末，国内光伏新增装机量已经超过</w:t>
      </w:r>
      <w:r>
        <w:rPr>
          <w:spacing w:val="-56"/>
        </w:rPr>
        <w:t> </w:t>
      </w:r>
      <w:r>
        <w:rPr>
          <w:rFonts w:ascii="Times New Roman" w:hAnsi="Times New Roman" w:cs="Times New Roman" w:eastAsia="Times New Roman" w:hint="default"/>
        </w:rPr>
        <w:t>43GW</w:t>
      </w:r>
      <w:r>
        <w:rPr/>
        <w:t>，其中 地面电站装机 </w:t>
      </w:r>
      <w:r>
        <w:rPr>
          <w:rFonts w:ascii="Times New Roman" w:hAnsi="Times New Roman" w:cs="Times New Roman" w:eastAsia="Times New Roman" w:hint="default"/>
          <w:spacing w:val="-5"/>
        </w:rPr>
        <w:t>27.2GW</w:t>
      </w:r>
      <w:r>
        <w:rPr>
          <w:spacing w:val="-5"/>
        </w:rPr>
        <w:t>，分布式装机 </w:t>
      </w:r>
      <w:r>
        <w:rPr>
          <w:rFonts w:ascii="Times New Roman" w:hAnsi="Times New Roman" w:cs="Times New Roman" w:eastAsia="Times New Roman" w:hint="default"/>
          <w:spacing w:val="-5"/>
        </w:rPr>
        <w:t>15.3GW</w:t>
      </w:r>
      <w:r>
        <w:rPr>
          <w:spacing w:val="-5"/>
        </w:rPr>
        <w:t>，累计光伏装机达到 </w:t>
      </w:r>
      <w:r>
        <w:rPr>
          <w:rFonts w:ascii="Times New Roman" w:hAnsi="Times New Roman" w:cs="Times New Roman" w:eastAsia="Times New Roman" w:hint="default"/>
        </w:rPr>
        <w:t>120GW </w:t>
      </w:r>
      <w:r>
        <w:rPr/>
        <w:t>规模。</w:t>
      </w:r>
      <w:r>
        <w:rPr>
          <w:spacing w:val="-79"/>
        </w:rPr>
        <w:t> </w:t>
      </w:r>
      <w:r>
        <w:rPr/>
        <w:t>其中分布式光伏装机的增速大超行业预期，</w:t>
      </w:r>
      <w:r>
        <w:rPr/>
        <w:t> </w:t>
      </w:r>
      <w:r>
        <w:rPr>
          <w:spacing w:val="-2"/>
        </w:rPr>
        <w:t>以扶贫推动的户用分布式光伏项目更远超行业预期。分布式、领跑者、光伏扶贫已经形成支撑国内光伏需求的三驾马车，截</w:t>
      </w:r>
      <w:r>
        <w:rPr>
          <w:spacing w:val="-66"/>
        </w:rPr>
        <w:t> </w:t>
      </w:r>
      <w:r>
        <w:rPr>
          <w:spacing w:val="-66"/>
        </w:rPr>
      </w:r>
      <w:r>
        <w:rPr/>
        <w:t>至到</w:t>
      </w:r>
      <w:r>
        <w:rPr>
          <w:rFonts w:ascii="Times New Roman" w:hAnsi="Times New Roman" w:cs="Times New Roman" w:eastAsia="Times New Roman" w:hint="default"/>
        </w:rPr>
        <w:t>2017</w:t>
      </w:r>
      <w:r>
        <w:rPr/>
        <w:t>年底，中国以累计光伏发电并网量</w:t>
      </w:r>
      <w:r>
        <w:rPr>
          <w:rFonts w:ascii="Times New Roman" w:hAnsi="Times New Roman" w:cs="Times New Roman" w:eastAsia="Times New Roman" w:hint="default"/>
        </w:rPr>
        <w:t>10.25GW</w:t>
      </w:r>
      <w:r>
        <w:rPr/>
        <w:t>，同比增长</w:t>
      </w:r>
      <w:r>
        <w:rPr>
          <w:rFonts w:ascii="Times New Roman" w:hAnsi="Times New Roman" w:cs="Times New Roman" w:eastAsia="Times New Roman" w:hint="default"/>
        </w:rPr>
        <w:t>68.7%</w:t>
      </w:r>
      <w:r>
        <w:rPr/>
        <w:t>。</w:t>
      </w:r>
    </w:p>
    <w:p>
      <w:pPr>
        <w:pStyle w:val="BodyText"/>
        <w:spacing w:line="316" w:lineRule="auto" w:before="9"/>
        <w:ind w:left="154" w:right="1130" w:firstLine="420"/>
        <w:jc w:val="left"/>
      </w:pPr>
      <w:r>
        <w:rPr/>
        <w:t>目前我国</w:t>
      </w:r>
      <w:r>
        <w:rPr>
          <w:color w:val="6C6C6C"/>
        </w:rPr>
      </w:r>
      <w:hyperlink r:id="rId14">
        <w:r>
          <w:rPr>
            <w:color w:val="6C6C6C"/>
            <w:u w:val="single" w:color="6C6C6C"/>
          </w:rPr>
          <w:t>光伏</w:t>
        </w:r>
        <w:r>
          <w:rPr>
            <w:color w:val="6C6C6C"/>
          </w:rPr>
        </w:r>
      </w:hyperlink>
      <w:r>
        <w:rPr/>
        <w:t>产业规模持续扩大，行业发展总体趋好。伴随着我国光伏行业的进一步发展，预计未来几年，光伏行业</w:t>
      </w:r>
      <w:r>
        <w:rPr/>
        <w:t> 市场容量将呈现出逐年增长态势。据预测，到</w:t>
      </w:r>
      <w:r>
        <w:rPr>
          <w:rFonts w:ascii="Times New Roman" w:hAnsi="Times New Roman" w:cs="Times New Roman" w:eastAsia="Times New Roman" w:hint="default"/>
        </w:rPr>
        <w:t>2022</w:t>
      </w:r>
      <w:r>
        <w:rPr/>
        <w:t>年我国光伏累计装机容量将达</w:t>
      </w:r>
      <w:r>
        <w:rPr>
          <w:rFonts w:ascii="Times New Roman" w:hAnsi="Times New Roman" w:cs="Times New Roman" w:eastAsia="Times New Roman" w:hint="default"/>
        </w:rPr>
        <w:t>141GW</w:t>
      </w:r>
      <w:r>
        <w:rPr/>
        <w:t>。</w:t>
      </w:r>
    </w:p>
    <w:p>
      <w:pPr>
        <w:pStyle w:val="BodyText"/>
        <w:spacing w:line="235" w:lineRule="exact"/>
        <w:ind w:left="573" w:right="1130"/>
        <w:jc w:val="left"/>
      </w:pPr>
      <w:r>
        <w:rPr/>
        <w:t>（二）行业发展趋势</w:t>
      </w:r>
    </w:p>
    <w:p>
      <w:pPr>
        <w:pStyle w:val="BodyText"/>
        <w:spacing w:line="240" w:lineRule="auto" w:before="76"/>
        <w:ind w:left="573" w:right="1130"/>
        <w:jc w:val="left"/>
      </w:pPr>
      <w:r>
        <w:rPr/>
        <w:t>（</w:t>
      </w:r>
      <w:r>
        <w:rPr>
          <w:rFonts w:ascii="Times New Roman" w:hAnsi="Times New Roman" w:cs="Times New Roman" w:eastAsia="Times New Roman" w:hint="default"/>
        </w:rPr>
        <w:t>1</w:t>
      </w:r>
      <w:r>
        <w:rPr/>
        <w:t>）、消费电子类电源行业发展趋势</w:t>
      </w:r>
    </w:p>
    <w:p>
      <w:pPr>
        <w:pStyle w:val="BodyText"/>
        <w:spacing w:line="316" w:lineRule="auto" w:before="63"/>
        <w:ind w:left="573" w:right="1130"/>
        <w:jc w:val="left"/>
      </w:pPr>
      <w:r>
        <w:rPr/>
        <w:t>①客户集中化 全球消费电子行业已经进入相对稳定的成熟期，国际政策也出现不确定性、增加交易风险的预防成本，中国市场物料</w:t>
      </w:r>
    </w:p>
    <w:p>
      <w:pPr>
        <w:pStyle w:val="BodyText"/>
        <w:spacing w:line="319" w:lineRule="auto" w:before="19"/>
        <w:ind w:right="1033"/>
        <w:jc w:val="left"/>
      </w:pPr>
      <w:r>
        <w:rPr>
          <w:spacing w:val="-2"/>
        </w:rPr>
        <w:t>及人工持续上涨，总体评估盈利空间大幅下降，而市场竞争日趋激烈。在这一背景下，主要的消费电子企业纷纷通过规模扩</w:t>
      </w:r>
      <w:r>
        <w:rPr>
          <w:spacing w:val="-66"/>
        </w:rPr>
        <w:t> </w:t>
      </w:r>
      <w:r>
        <w:rPr>
          <w:spacing w:val="-66"/>
        </w:rPr>
      </w:r>
      <w:r>
        <w:rPr/>
        <w:t>张来强化其竞争力。因此，品牌整合、收购和兼并司空见惯，并且成为大公司保持领先地位的重要手段。随着客户的整合， 做强，消费电子类电源产品销售将逐步向大客户集中。</w:t>
      </w:r>
    </w:p>
    <w:p>
      <w:pPr>
        <w:pStyle w:val="BodyText"/>
        <w:spacing w:line="316" w:lineRule="auto" w:before="17"/>
        <w:ind w:left="574" w:right="1130"/>
        <w:jc w:val="left"/>
      </w:pPr>
      <w:r>
        <w:rPr/>
        <w:t>②产品品质、管理效率、创新将更加重要 随着竞争激烈，传统产品线盈利空间下降，只有保持良好的性价比，不断优化管理效率，能够为客户提适配的电源解</w:t>
      </w:r>
    </w:p>
    <w:p>
      <w:pPr>
        <w:pStyle w:val="BodyText"/>
        <w:spacing w:line="240" w:lineRule="auto" w:before="19"/>
        <w:ind w:left="154" w:right="0"/>
        <w:jc w:val="left"/>
      </w:pPr>
      <w:r>
        <w:rPr/>
        <w:t>决方案，才能够保持客户份额；对于新产品线则需要不断创新，譬如微波电源大功率段产品、无线充产品等，需要做到引领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7556"/>
        <w:jc w:val="center"/>
      </w:pPr>
      <w:r>
        <w:rPr/>
        <w:t>市场需求，才可实现盈利并逐步增长。</w:t>
      </w:r>
    </w:p>
    <w:p>
      <w:pPr>
        <w:pStyle w:val="BodyText"/>
        <w:spacing w:line="316" w:lineRule="auto" w:before="76"/>
        <w:ind w:left="573" w:right="1130"/>
        <w:jc w:val="left"/>
      </w:pPr>
      <w:r>
        <w:rPr/>
        <w:t>③绿色、低碳成为主流 近年来，绿色和低碳经济成为具有社会责任的消费电子企业的共识，绿色、低碳技术和产品为这些企业带来了新的增</w:t>
      </w:r>
    </w:p>
    <w:p>
      <w:pPr>
        <w:pStyle w:val="BodyText"/>
        <w:spacing w:line="300" w:lineRule="auto" w:before="19"/>
        <w:ind w:right="1028"/>
        <w:jc w:val="left"/>
      </w:pPr>
      <w:r>
        <w:rPr>
          <w:spacing w:val="-1"/>
        </w:rPr>
        <w:t>长点。通用电气、惠普、三星、苹果、</w:t>
      </w:r>
      <w:r>
        <w:rPr>
          <w:rFonts w:ascii="Times New Roman" w:hAnsi="Times New Roman" w:cs="Times New Roman" w:eastAsia="Times New Roman" w:hint="default"/>
          <w:spacing w:val="-1"/>
        </w:rPr>
        <w:t>LG</w:t>
      </w:r>
      <w:r>
        <w:rPr>
          <w:spacing w:val="-1"/>
        </w:rPr>
        <w:t>等知名企业是推动绿色与低碳技术的典型。这些大公司纷纷提早布局，培育市场，</w:t>
      </w:r>
      <w:r>
        <w:rPr/>
        <w:t> 将技术创新与品牌建设融合，为可持续增长奠定基础。消费电子类电源作为配套产品，也必将向绿色、低碳方向发展。</w:t>
      </w:r>
    </w:p>
    <w:p>
      <w:pPr>
        <w:pStyle w:val="BodyText"/>
        <w:spacing w:line="240" w:lineRule="auto" w:before="31"/>
        <w:ind w:left="573" w:right="1130"/>
        <w:jc w:val="left"/>
      </w:pPr>
      <w:r>
        <w:rPr/>
        <w:t>（</w:t>
      </w:r>
      <w:r>
        <w:rPr>
          <w:rFonts w:ascii="Times New Roman" w:hAnsi="Times New Roman" w:cs="Times New Roman" w:eastAsia="Times New Roman" w:hint="default"/>
        </w:rPr>
        <w:t>2</w:t>
      </w:r>
      <w:r>
        <w:rPr/>
        <w:t>）、大功率</w:t>
      </w:r>
      <w:r>
        <w:rPr>
          <w:rFonts w:ascii="Times New Roman" w:hAnsi="Times New Roman" w:cs="Times New Roman" w:eastAsia="Times New Roman" w:hint="default"/>
        </w:rPr>
        <w:t>LED</w:t>
      </w:r>
      <w:r>
        <w:rPr/>
        <w:t>驱动电源行业发展趋势</w:t>
      </w:r>
    </w:p>
    <w:p>
      <w:pPr>
        <w:pStyle w:val="BodyText"/>
        <w:spacing w:line="309" w:lineRule="auto" w:before="63"/>
        <w:ind w:right="1130" w:firstLine="420"/>
        <w:jc w:val="both"/>
      </w:pPr>
      <w:r>
        <w:rPr>
          <w:rFonts w:ascii="Times New Roman" w:hAnsi="Times New Roman" w:cs="Times New Roman" w:eastAsia="Times New Roman" w:hint="default"/>
        </w:rPr>
        <w:t>LED</w:t>
      </w:r>
      <w:r>
        <w:rPr/>
        <w:t>在经过几年的高速成长以后，</w:t>
      </w:r>
      <w:r>
        <w:rPr>
          <w:rFonts w:ascii="Times New Roman" w:hAnsi="Times New Roman" w:cs="Times New Roman" w:eastAsia="Times New Roman" w:hint="default"/>
        </w:rPr>
        <w:t>LED</w:t>
      </w:r>
      <w:r>
        <w:rPr/>
        <w:t>行业已经步入成熟期，进入低价时代，企业的优势竞争力也从产品和技术能力</w:t>
      </w:r>
      <w:r>
        <w:rPr>
          <w:spacing w:val="1"/>
          <w:w w:val="99"/>
        </w:rPr>
        <w:t> </w:t>
      </w:r>
      <w:r>
        <w:rPr>
          <w:spacing w:val="-2"/>
        </w:rPr>
        <w:t>转变企业规模和产品成本。为谋取新的发展，厂商纷纷寻求新业务，其中最受瞩目的领域之一就是更高阶的智慧照明，因为</w:t>
      </w:r>
      <w:r>
        <w:rPr>
          <w:spacing w:val="-67"/>
        </w:rPr>
        <w:t> </w:t>
      </w:r>
      <w:r>
        <w:rPr>
          <w:spacing w:val="-67"/>
        </w:rPr>
      </w:r>
      <w:r>
        <w:rPr/>
        <w:t>智慧照明不仅可获得更高的利润率，也是智慧家居和智慧城市的极佳接入点，可以将</w:t>
      </w:r>
      <w:r>
        <w:rPr>
          <w:rFonts w:ascii="Times New Roman" w:hAnsi="Times New Roman" w:cs="Times New Roman" w:eastAsia="Times New Roman" w:hint="default"/>
        </w:rPr>
        <w:t>LED</w:t>
      </w:r>
      <w:r>
        <w:rPr/>
        <w:t>照明带入更广阔的发展空间。</w:t>
      </w:r>
    </w:p>
    <w:p>
      <w:pPr>
        <w:pStyle w:val="BodyText"/>
        <w:spacing w:line="312" w:lineRule="auto" w:before="5"/>
        <w:ind w:right="0" w:firstLine="420"/>
        <w:jc w:val="left"/>
      </w:pPr>
      <w:r>
        <w:rPr>
          <w:spacing w:val="-2"/>
        </w:rPr>
        <w:t>根据集邦咨询</w:t>
      </w:r>
      <w:r>
        <w:rPr>
          <w:rFonts w:ascii="Times New Roman" w:hAnsi="Times New Roman" w:cs="Times New Roman" w:eastAsia="Times New Roman" w:hint="default"/>
          <w:spacing w:val="-2"/>
        </w:rPr>
        <w:t>LED</w:t>
      </w:r>
      <w:r>
        <w:rPr>
          <w:spacing w:val="-2"/>
        </w:rPr>
        <w:t>研究中心（</w:t>
      </w:r>
      <w:r>
        <w:rPr>
          <w:rFonts w:ascii="Times New Roman" w:hAnsi="Times New Roman" w:cs="Times New Roman" w:eastAsia="Times New Roman" w:hint="default"/>
          <w:spacing w:val="-2"/>
        </w:rPr>
        <w:t>LEDinside</w:t>
      </w:r>
      <w:r>
        <w:rPr>
          <w:spacing w:val="-2"/>
        </w:rPr>
        <w:t>）数据显示，</w:t>
      </w:r>
      <w:r>
        <w:rPr>
          <w:rFonts w:ascii="Times New Roman" w:hAnsi="Times New Roman" w:cs="Times New Roman" w:eastAsia="Times New Roman" w:hint="default"/>
          <w:spacing w:val="-2"/>
        </w:rPr>
        <w:t>2017</w:t>
      </w:r>
      <w:r>
        <w:rPr>
          <w:spacing w:val="-2"/>
        </w:rPr>
        <w:t>年全球智慧照明进入高速发展阶段，市场规模接近</w:t>
      </w:r>
      <w:r>
        <w:rPr>
          <w:rFonts w:ascii="Times New Roman" w:hAnsi="Times New Roman" w:cs="Times New Roman" w:eastAsia="Times New Roman" w:hint="default"/>
          <w:spacing w:val="-2"/>
        </w:rPr>
        <w:t>46</w:t>
      </w:r>
      <w:r>
        <w:rPr>
          <w:spacing w:val="-2"/>
        </w:rPr>
        <w:t>亿美元，</w:t>
      </w:r>
      <w:r>
        <w:rPr/>
        <w:t> 同比成长率高达</w:t>
      </w:r>
      <w:r>
        <w:rPr>
          <w:rFonts w:ascii="Times New Roman" w:hAnsi="Times New Roman" w:cs="Times New Roman" w:eastAsia="Times New Roman" w:hint="default"/>
        </w:rPr>
        <w:t>95%</w:t>
      </w:r>
      <w:r>
        <w:rPr/>
        <w:t>，随着技术、产品的成熟和相关概念的普及，预计</w:t>
      </w:r>
      <w:r>
        <w:rPr>
          <w:rFonts w:ascii="Times New Roman" w:hAnsi="Times New Roman" w:cs="Times New Roman" w:eastAsia="Times New Roman" w:hint="default"/>
        </w:rPr>
        <w:t>2020</w:t>
      </w:r>
      <w:r>
        <w:rPr/>
        <w:t>年可达</w:t>
      </w:r>
      <w:r>
        <w:rPr>
          <w:rFonts w:ascii="Times New Roman" w:hAnsi="Times New Roman" w:cs="Times New Roman" w:eastAsia="Times New Roman" w:hint="default"/>
        </w:rPr>
        <w:t>134</w:t>
      </w:r>
      <w:r>
        <w:rPr/>
        <w:t>亿美元。工业及商业为智慧照明最大</w:t>
      </w:r>
      <w:r>
        <w:rPr>
          <w:spacing w:val="-57"/>
        </w:rPr>
        <w:t> </w:t>
      </w:r>
      <w:r>
        <w:rPr>
          <w:spacing w:val="-57"/>
        </w:rPr>
      </w:r>
      <w:r>
        <w:rPr>
          <w:spacing w:val="-2"/>
        </w:rPr>
        <w:t>的应用场域，因为数字化的特征，智慧照明将为这两个领域带来更多新的商业模式和价值增长点。</w:t>
      </w:r>
      <w:r>
        <w:rPr>
          <w:rFonts w:ascii="Times New Roman" w:hAnsi="Times New Roman" w:cs="Times New Roman" w:eastAsia="Times New Roman" w:hint="default"/>
          <w:spacing w:val="-2"/>
        </w:rPr>
        <w:t>LED</w:t>
      </w:r>
      <w:r>
        <w:rPr>
          <w:spacing w:val="-2"/>
        </w:rPr>
        <w:t>照明将步入数字化时</w:t>
      </w:r>
      <w:r>
        <w:rPr>
          <w:spacing w:val="-52"/>
        </w:rPr>
        <w:t> </w:t>
      </w:r>
      <w:r>
        <w:rPr>
          <w:spacing w:val="-2"/>
        </w:rPr>
        <w:t>代，相比传统照明，智能照明拥有更多全新的功能，步入数字化时代。智能照明可以通过各种传感器收集用户、环境和其他</w:t>
      </w:r>
      <w:r>
        <w:rPr>
          <w:spacing w:val="-66"/>
        </w:rPr>
        <w:t> </w:t>
      </w:r>
      <w:r>
        <w:rPr>
          <w:spacing w:val="-66"/>
        </w:rPr>
      </w:r>
      <w:r>
        <w:rPr>
          <w:spacing w:val="-2"/>
        </w:rPr>
        <w:t>的信息，并进行数据分析，再进行设备调节。因此，智能照明可以成为智能家居的接入口，目前智能照明已经在基础功能上</w:t>
      </w:r>
      <w:r>
        <w:rPr>
          <w:spacing w:val="-66"/>
        </w:rPr>
        <w:t> </w:t>
      </w:r>
      <w:r>
        <w:rPr>
          <w:spacing w:val="-66"/>
        </w:rPr>
      </w:r>
      <w:r>
        <w:rPr>
          <w:spacing w:val="-2"/>
        </w:rPr>
        <w:t>衍生出更多全新功能，比如室内定位、监控、医疗、教育等服务，未来可能会涌现出一些更富想象力的应用。同时，灯具一</w:t>
      </w:r>
      <w:r>
        <w:rPr>
          <w:spacing w:val="-70"/>
        </w:rPr>
        <w:t> </w:t>
      </w:r>
      <w:r>
        <w:rPr>
          <w:spacing w:val="-70"/>
        </w:rPr>
      </w:r>
      <w:r>
        <w:rPr>
          <w:spacing w:val="-2"/>
        </w:rPr>
        <w:t>般安装在房顶正中，具有极好的信息接收能力，而且它的日常使用频率也很高，既有较好的信息覆盖，又能全面收集到用户</w:t>
      </w:r>
      <w:r>
        <w:rPr>
          <w:spacing w:val="-66"/>
        </w:rPr>
        <w:t> </w:t>
      </w:r>
      <w:r>
        <w:rPr>
          <w:spacing w:val="-66"/>
        </w:rPr>
      </w:r>
      <w:r>
        <w:rPr>
          <w:spacing w:val="-2"/>
        </w:rPr>
        <w:t>的行为数据。相比冰箱、电视其他的家电，灯具的更换价格较低，用户试新体验成本低。此外，因为光的多元化属性，灯具</w:t>
      </w:r>
      <w:r>
        <w:rPr>
          <w:spacing w:val="-72"/>
        </w:rPr>
        <w:t> </w:t>
      </w:r>
      <w:r>
        <w:rPr>
          <w:spacing w:val="-72"/>
        </w:rPr>
      </w:r>
      <w:r>
        <w:rPr/>
        <w:t>和其他的家电也具有很好的互操作性。</w:t>
      </w:r>
    </w:p>
    <w:p>
      <w:pPr>
        <w:pStyle w:val="BodyText"/>
        <w:spacing w:line="316" w:lineRule="auto" w:before="22"/>
        <w:ind w:right="1116" w:firstLine="637"/>
        <w:jc w:val="left"/>
      </w:pPr>
      <w:r>
        <w:rPr/>
        <w:t>此外，智慧照明将会成为智慧城市的接入口为智慧城市、灯具遍布在城市各个角落，数量庞大、使用频率高，是智 能城市中的信息桥梁，在交通信息、环境监测、城市安全等领域都会能发挥巨大的作用。</w:t>
      </w:r>
    </w:p>
    <w:p>
      <w:pPr>
        <w:pStyle w:val="BodyText"/>
        <w:spacing w:line="240" w:lineRule="auto" w:before="19"/>
        <w:ind w:left="573" w:right="1130"/>
        <w:jc w:val="left"/>
      </w:pPr>
      <w:r>
        <w:rPr/>
        <w:t>（</w:t>
      </w:r>
      <w:r>
        <w:rPr>
          <w:rFonts w:ascii="Times New Roman" w:hAnsi="Times New Roman" w:cs="Times New Roman" w:eastAsia="Times New Roman" w:hint="default"/>
        </w:rPr>
        <w:t>3</w:t>
      </w:r>
      <w:r>
        <w:rPr/>
        <w:t>）、逆变器行业发展趋势</w:t>
      </w:r>
    </w:p>
    <w:p>
      <w:pPr>
        <w:pStyle w:val="BodyText"/>
        <w:spacing w:line="300" w:lineRule="auto" w:before="63"/>
        <w:ind w:left="154" w:right="1130" w:firstLine="420"/>
        <w:jc w:val="both"/>
      </w:pPr>
      <w:r>
        <w:rPr/>
        <w:t>根据</w:t>
      </w:r>
      <w:r>
        <w:rPr>
          <w:rFonts w:ascii="Times New Roman" w:hAnsi="Times New Roman" w:cs="Times New Roman" w:eastAsia="Times New Roman" w:hint="default"/>
        </w:rPr>
        <w:t>IHS</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
        </w:rPr>
        <w:t>Markit</w:t>
      </w:r>
      <w:r>
        <w:rPr>
          <w:spacing w:val="-2"/>
        </w:rPr>
        <w:t>预计，</w:t>
      </w:r>
      <w:r>
        <w:rPr>
          <w:rFonts w:ascii="Times New Roman" w:hAnsi="Times New Roman" w:cs="Times New Roman" w:eastAsia="Times New Roman" w:hint="default"/>
          <w:spacing w:val="-2"/>
        </w:rPr>
        <w:t>2018</w:t>
      </w:r>
      <w:r>
        <w:rPr>
          <w:spacing w:val="-2"/>
        </w:rPr>
        <w:t>年全球太阳能光伏发电装机容量将再增加</w:t>
      </w:r>
      <w:r>
        <w:rPr>
          <w:rFonts w:ascii="Times New Roman" w:hAnsi="Times New Roman" w:cs="Times New Roman" w:eastAsia="Times New Roman" w:hint="default"/>
          <w:spacing w:val="-2"/>
        </w:rPr>
        <w:t>108GW</w:t>
      </w:r>
      <w:r>
        <w:rPr>
          <w:spacing w:val="-2"/>
        </w:rPr>
        <w:t>，其中中国占到该数据的近</w:t>
      </w:r>
      <w:r>
        <w:rPr>
          <w:rFonts w:ascii="Times New Roman" w:hAnsi="Times New Roman" w:cs="Times New Roman" w:eastAsia="Times New Roman" w:hint="default"/>
          <w:spacing w:val="-2"/>
        </w:rPr>
        <w:t>50%</w:t>
      </w:r>
      <w:r>
        <w:rPr>
          <w:spacing w:val="-2"/>
        </w:rPr>
        <w:t>。对逆变器</w:t>
      </w:r>
      <w:r>
        <w:rPr/>
        <w:t> 而言，</w:t>
      </w:r>
      <w:r>
        <w:rPr>
          <w:rFonts w:ascii="Times New Roman" w:hAnsi="Times New Roman" w:cs="Times New Roman" w:eastAsia="Times New Roman" w:hint="default"/>
        </w:rPr>
        <w:t>IHS Markit</w:t>
      </w:r>
      <w:r>
        <w:rPr/>
        <w:t>的高级太阳能分析师</w:t>
      </w:r>
      <w:r>
        <w:rPr>
          <w:rFonts w:ascii="Times New Roman" w:hAnsi="Times New Roman" w:cs="Times New Roman" w:eastAsia="Times New Roman" w:hint="default"/>
        </w:rPr>
        <w:t>Cormac</w:t>
      </w:r>
      <w:r>
        <w:rPr>
          <w:rFonts w:ascii="Times New Roman" w:hAnsi="Times New Roman" w:cs="Times New Roman" w:eastAsia="Times New Roman" w:hint="default"/>
          <w:spacing w:val="13"/>
        </w:rPr>
        <w:t> </w:t>
      </w:r>
      <w:r>
        <w:rPr>
          <w:rFonts w:ascii="Times New Roman" w:hAnsi="Times New Roman" w:cs="Times New Roman" w:eastAsia="Times New Roman" w:hint="default"/>
        </w:rPr>
        <w:t>Gilligan</w:t>
      </w:r>
      <w:r>
        <w:rPr/>
        <w:t>认为，明年将有</w:t>
      </w:r>
      <w:r>
        <w:rPr>
          <w:rFonts w:ascii="Times New Roman" w:hAnsi="Times New Roman" w:cs="Times New Roman" w:eastAsia="Times New Roman" w:hint="default"/>
        </w:rPr>
        <w:t>104GW</w:t>
      </w:r>
      <w:r>
        <w:rPr/>
        <w:t>的电力供应，而中国将再次占到总发货量的不 到一半。</w:t>
      </w:r>
    </w:p>
    <w:p>
      <w:pPr>
        <w:pStyle w:val="BodyText"/>
        <w:spacing w:line="307" w:lineRule="auto" w:before="31"/>
        <w:ind w:right="1130" w:firstLine="420"/>
        <w:jc w:val="both"/>
      </w:pPr>
      <w:r>
        <w:rPr>
          <w:rFonts w:ascii="Times New Roman" w:hAnsi="Times New Roman" w:cs="Times New Roman" w:eastAsia="Times New Roman" w:hint="default"/>
        </w:rPr>
        <w:t>IHS</w:t>
      </w:r>
      <w:r>
        <w:rPr>
          <w:rFonts w:ascii="Times New Roman" w:hAnsi="Times New Roman" w:cs="Times New Roman" w:eastAsia="Times New Roman" w:hint="default"/>
          <w:spacing w:val="20"/>
        </w:rPr>
        <w:t> </w:t>
      </w:r>
      <w:r>
        <w:rPr>
          <w:rFonts w:ascii="Times New Roman" w:hAnsi="Times New Roman" w:cs="Times New Roman" w:eastAsia="Times New Roman" w:hint="default"/>
        </w:rPr>
        <w:t>Markit</w:t>
      </w:r>
      <w:r>
        <w:rPr/>
        <w:t>分析师表示，尽管总体市场规模仍相对较小，但</w:t>
      </w:r>
      <w:r>
        <w:rPr>
          <w:rFonts w:ascii="Times New Roman" w:hAnsi="Times New Roman" w:cs="Times New Roman" w:eastAsia="Times New Roman" w:hint="default"/>
        </w:rPr>
        <w:t>2017</w:t>
      </w:r>
      <w:r>
        <w:rPr/>
        <w:t>年的住宅装机容量达到</w:t>
      </w:r>
      <w:r>
        <w:rPr>
          <w:rFonts w:ascii="Times New Roman" w:hAnsi="Times New Roman" w:cs="Times New Roman" w:eastAsia="Times New Roman" w:hint="default"/>
        </w:rPr>
        <w:t>2GW</w:t>
      </w:r>
      <w:r>
        <w:rPr/>
        <w:t>，高于</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500MW</w:t>
      </w:r>
      <w:r>
        <w:rPr/>
        <w:t>。 展望未来，随着中国开始更加重视分布式发电市场，中国户用市场在</w:t>
      </w:r>
      <w:r>
        <w:rPr>
          <w:rFonts w:ascii="Times New Roman" w:hAnsi="Times New Roman" w:cs="Times New Roman" w:eastAsia="Times New Roman" w:hint="default"/>
        </w:rPr>
        <w:t>2018</w:t>
      </w:r>
      <w:r>
        <w:rPr/>
        <w:t>年将继续稳步增长，超过</w:t>
      </w:r>
      <w:r>
        <w:rPr>
          <w:rFonts w:ascii="Times New Roman" w:hAnsi="Times New Roman" w:cs="Times New Roman" w:eastAsia="Times New Roman" w:hint="default"/>
        </w:rPr>
        <w:t>2GW</w:t>
      </w:r>
      <w:r>
        <w:rPr/>
        <w:t>。这意味着中国分</w:t>
      </w:r>
      <w:r>
        <w:rPr>
          <w:spacing w:val="-28"/>
        </w:rPr>
        <w:t> </w:t>
      </w:r>
      <w:r>
        <w:rPr>
          <w:spacing w:val="-28"/>
        </w:rPr>
      </w:r>
      <w:r>
        <w:rPr>
          <w:spacing w:val="-2"/>
        </w:rPr>
        <w:t>布式光伏尤其是扎根农村的户用光伏在未来一两年时间仍有巨大发展空间，相对应的专注于组串式逆变器研发与生产的企业</w:t>
      </w:r>
      <w:r>
        <w:rPr>
          <w:spacing w:val="-64"/>
        </w:rPr>
        <w:t> </w:t>
      </w:r>
      <w:r>
        <w:rPr>
          <w:spacing w:val="-64"/>
        </w:rPr>
      </w:r>
      <w:r>
        <w:rPr/>
        <w:t>将获得更多发展机会。</w:t>
      </w:r>
    </w:p>
    <w:p>
      <w:pPr>
        <w:pStyle w:val="BodyText"/>
        <w:spacing w:line="309" w:lineRule="auto" w:before="26"/>
        <w:ind w:right="1133" w:firstLine="42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7"/>
        </w:rPr>
        <w:t> </w:t>
      </w:r>
      <w:r>
        <w:rPr/>
        <w:t>根据国内市场发展趋势，集中型逆变器需求逐渐下滑但仍占据绝大部分市场容量；组串型逆变器，往大功率方向继 </w:t>
      </w:r>
      <w:r>
        <w:rPr>
          <w:spacing w:val="-2"/>
        </w:rPr>
        <w:t>续扩展，主要应用于各类村级扶贫电站及工商业屋顶电站；户用型逆变器受到国内补贴下降影响，开始由单相逆变器向三相</w:t>
      </w:r>
      <w:r>
        <w:rPr>
          <w:spacing w:val="-66"/>
        </w:rPr>
        <w:t> </w:t>
      </w:r>
      <w:r>
        <w:rPr>
          <w:spacing w:val="-66"/>
        </w:rPr>
      </w:r>
      <w:r>
        <w:rPr/>
        <w:t>小功率逆变器需求增长。</w:t>
      </w:r>
    </w:p>
    <w:p>
      <w:pPr>
        <w:pStyle w:val="BodyText"/>
        <w:spacing w:line="300" w:lineRule="auto" w:before="24"/>
        <w:ind w:right="1134" w:firstLine="42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从区域看，传统华东、华北市场扶贫工作趋于结束，后续市场主要集中于商业户用屋顶市场；同时，该区域逆变器 市场格局相对稳定，新品牌进入难度较大；</w:t>
      </w:r>
      <w:r>
        <w:rPr>
          <w:rFonts w:ascii="Times New Roman" w:hAnsi="Times New Roman" w:cs="Times New Roman" w:eastAsia="Times New Roman" w:hint="default"/>
        </w:rPr>
        <w:t>2018</w:t>
      </w:r>
      <w:r>
        <w:rPr/>
        <w:t>年着重关注华中及华南光伏扶贫及商业市场。</w:t>
      </w:r>
    </w:p>
    <w:p>
      <w:pPr>
        <w:pStyle w:val="BodyText"/>
        <w:spacing w:line="240" w:lineRule="auto" w:before="13"/>
        <w:ind w:left="573" w:right="113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6"/>
        </w:rPr>
        <w:t> </w:t>
      </w:r>
      <w:r>
        <w:rPr/>
        <w:t>海外市场仍以南美洲及东南亚新兴市场为主，老牌光伏市场容量大但已趋于下滑，新品牌切入难度大。</w:t>
      </w:r>
    </w:p>
    <w:p>
      <w:pPr>
        <w:pStyle w:val="BodyText"/>
        <w:spacing w:line="240" w:lineRule="auto" w:before="63"/>
        <w:ind w:left="573" w:right="1130"/>
        <w:jc w:val="left"/>
      </w:pPr>
      <w:r>
        <w:rPr/>
        <w:t>（</w:t>
      </w:r>
      <w:r>
        <w:rPr>
          <w:rFonts w:ascii="Times New Roman" w:hAnsi="Times New Roman" w:cs="Times New Roman" w:eastAsia="Times New Roman" w:hint="default"/>
        </w:rPr>
        <w:t>4</w:t>
      </w:r>
      <w:r>
        <w:rPr/>
        <w:t>）光伏发电行业发展趋势</w:t>
      </w:r>
    </w:p>
    <w:p>
      <w:pPr>
        <w:pStyle w:val="BodyText"/>
        <w:spacing w:line="300" w:lineRule="auto" w:before="63"/>
        <w:ind w:right="1110" w:firstLine="420"/>
        <w:jc w:val="both"/>
      </w:pPr>
      <w:r>
        <w:rPr>
          <w:rFonts w:ascii="Times New Roman" w:hAnsi="Times New Roman" w:cs="Times New Roman" w:eastAsia="Times New Roman" w:hint="default"/>
        </w:rPr>
        <w:t>2017</w:t>
      </w:r>
      <w:r>
        <w:rPr/>
        <w:t>年，全球光伏市场强劲增长，新增装机容量预计将超过</w:t>
      </w:r>
      <w:r>
        <w:rPr>
          <w:rFonts w:ascii="Times New Roman" w:hAnsi="Times New Roman" w:cs="Times New Roman" w:eastAsia="Times New Roman" w:hint="default"/>
        </w:rPr>
        <w:t>100GW</w:t>
      </w:r>
      <w:r>
        <w:rPr/>
        <w:t>，同比增长</w:t>
      </w:r>
      <w:r>
        <w:rPr>
          <w:rFonts w:ascii="Times New Roman" w:hAnsi="Times New Roman" w:cs="Times New Roman" w:eastAsia="Times New Roman" w:hint="default"/>
        </w:rPr>
        <w:t>37%</w:t>
      </w:r>
      <w:r>
        <w:rPr/>
        <w:t>，累计光伏容量达到</w:t>
      </w:r>
      <w:r>
        <w:rPr>
          <w:rFonts w:ascii="Times New Roman" w:hAnsi="Times New Roman" w:cs="Times New Roman" w:eastAsia="Times New Roman" w:hint="default"/>
        </w:rPr>
        <w:t>403GW</w:t>
      </w:r>
      <w:r>
        <w:rPr/>
        <w:t>。传统 市场如美国、欧洲和日本的新增装机容量将分别达到</w:t>
      </w:r>
      <w:r>
        <w:rPr>
          <w:rFonts w:ascii="Times New Roman" w:hAnsi="Times New Roman" w:cs="Times New Roman" w:eastAsia="Times New Roman" w:hint="default"/>
        </w:rPr>
        <w:t>12.5GW</w:t>
      </w:r>
      <w:r>
        <w:rPr/>
        <w:t>、</w:t>
      </w:r>
      <w:r>
        <w:rPr>
          <w:rFonts w:ascii="Times New Roman" w:hAnsi="Times New Roman" w:cs="Times New Roman" w:eastAsia="Times New Roman" w:hint="default"/>
        </w:rPr>
        <w:t>8.8GW</w:t>
      </w:r>
      <w:r>
        <w:rPr/>
        <w:t>和</w:t>
      </w:r>
      <w:r>
        <w:rPr>
          <w:rFonts w:ascii="Times New Roman" w:hAnsi="Times New Roman" w:cs="Times New Roman" w:eastAsia="Times New Roman" w:hint="default"/>
        </w:rPr>
        <w:t>6.8GW</w:t>
      </w:r>
      <w:r>
        <w:rPr/>
        <w:t>，依然在全球光伏市场中占据重要位置。印</w:t>
      </w:r>
      <w:r>
        <w:rPr>
          <w:spacing w:val="-47"/>
        </w:rPr>
        <w:t> </w:t>
      </w:r>
      <w:r>
        <w:rPr/>
        <w:t>度市场持续发力，</w:t>
      </w:r>
      <w:r>
        <w:rPr>
          <w:rFonts w:ascii="Times New Roman" w:hAnsi="Times New Roman" w:cs="Times New Roman" w:eastAsia="Times New Roman" w:hint="default"/>
        </w:rPr>
        <w:t>2017</w:t>
      </w:r>
      <w:r>
        <w:rPr/>
        <w:t>年新增装机将达到</w:t>
      </w:r>
      <w:r>
        <w:rPr>
          <w:rFonts w:ascii="Times New Roman" w:hAnsi="Times New Roman" w:cs="Times New Roman" w:eastAsia="Times New Roman" w:hint="default"/>
        </w:rPr>
        <w:t>10GW</w:t>
      </w:r>
      <w:r>
        <w:rPr/>
        <w:t>。新兴市场不断涌现，光伏应用在亚洲、拉丁美洲诸国进一步扩大，泰国、 </w:t>
      </w:r>
      <w:r>
        <w:rPr>
          <w:spacing w:val="-1"/>
        </w:rPr>
        <w:t>智利、墨西哥等国装机规模快速提升。我国光伏市场受</w:t>
      </w:r>
      <w:r>
        <w:rPr>
          <w:rFonts w:ascii="Times New Roman" w:hAnsi="Times New Roman" w:cs="Times New Roman" w:eastAsia="Times New Roman" w:hint="default"/>
          <w:spacing w:val="-1"/>
        </w:rPr>
        <w:t>“630”</w:t>
      </w:r>
      <w:r>
        <w:rPr>
          <w:spacing w:val="-1"/>
        </w:rPr>
        <w:t>抢装、</w:t>
      </w:r>
      <w:r>
        <w:rPr>
          <w:rFonts w:ascii="Times New Roman" w:hAnsi="Times New Roman" w:cs="Times New Roman" w:eastAsia="Times New Roman" w:hint="default"/>
          <w:spacing w:val="-1"/>
        </w:rPr>
        <w:t>“930”</w:t>
      </w:r>
      <w:r>
        <w:rPr>
          <w:spacing w:val="-1"/>
        </w:rPr>
        <w:t>抢装、光伏扶贫政策推动、对分布式光伏上网电价</w:t>
      </w:r>
      <w:r>
        <w:rPr>
          <w:spacing w:val="-76"/>
        </w:rPr>
        <w:t> </w:t>
      </w:r>
      <w:r>
        <w:rPr>
          <w:spacing w:val="-76"/>
        </w:rPr>
      </w:r>
      <w:r>
        <w:rPr/>
        <w:t>下调预期而导致的抢装等多种因素的拉动下，光伏新增装机量将超过</w:t>
      </w:r>
      <w:r>
        <w:rPr>
          <w:rFonts w:ascii="Times New Roman" w:hAnsi="Times New Roman" w:cs="Times New Roman" w:eastAsia="Times New Roman" w:hint="default"/>
        </w:rPr>
        <w:t>50GW</w:t>
      </w:r>
      <w:r>
        <w:rPr/>
        <w:t>，同比增长超过</w:t>
      </w:r>
      <w:r>
        <w:rPr>
          <w:rFonts w:ascii="Times New Roman" w:hAnsi="Times New Roman" w:cs="Times New Roman" w:eastAsia="Times New Roman" w:hint="default"/>
        </w:rPr>
        <w:t>45%</w:t>
      </w:r>
      <w:r>
        <w:rPr/>
        <w:t>，继续位居全球首位，累计</w:t>
      </w:r>
      <w:r>
        <w:rPr>
          <w:spacing w:val="-83"/>
        </w:rPr>
        <w:t> </w:t>
      </w:r>
      <w:r>
        <w:rPr>
          <w:spacing w:val="-83"/>
        </w:rPr>
      </w:r>
      <w:r>
        <w:rPr/>
        <w:t>装机有望超过</w:t>
      </w:r>
      <w:r>
        <w:rPr>
          <w:rFonts w:ascii="Times New Roman" w:hAnsi="Times New Roman" w:cs="Times New Roman" w:eastAsia="Times New Roman" w:hint="default"/>
        </w:rPr>
        <w:t>127GW</w:t>
      </w:r>
      <w:r>
        <w:rPr/>
        <w:t>，位居全球首位。</w:t>
      </w:r>
    </w:p>
    <w:p>
      <w:pPr>
        <w:pStyle w:val="BodyText"/>
        <w:spacing w:line="309" w:lineRule="auto" w:before="13"/>
        <w:ind w:right="1130" w:firstLine="420"/>
        <w:jc w:val="both"/>
      </w:pPr>
      <w:r>
        <w:rPr>
          <w:spacing w:val="-1"/>
        </w:rPr>
        <w:t>我国光伏市场方面，</w:t>
      </w:r>
      <w:r>
        <w:rPr>
          <w:rFonts w:ascii="Times New Roman" w:hAnsi="Times New Roman" w:cs="Times New Roman" w:eastAsia="Times New Roman" w:hint="default"/>
          <w:spacing w:val="-1"/>
        </w:rPr>
        <w:t>2017</w:t>
      </w:r>
      <w:r>
        <w:rPr>
          <w:spacing w:val="-1"/>
        </w:rPr>
        <w:t>年下发的普通电站指标和领跑者基地主要在</w:t>
      </w:r>
      <w:r>
        <w:rPr>
          <w:rFonts w:ascii="Times New Roman" w:hAnsi="Times New Roman" w:cs="Times New Roman" w:eastAsia="Times New Roman" w:hint="default"/>
          <w:spacing w:val="-1"/>
        </w:rPr>
        <w:t>2018</w:t>
      </w:r>
      <w:r>
        <w:rPr>
          <w:spacing w:val="-1"/>
        </w:rPr>
        <w:t>年建成投产，总容量达到近</w:t>
      </w:r>
      <w:r>
        <w:rPr>
          <w:rFonts w:ascii="Times New Roman" w:hAnsi="Times New Roman" w:cs="Times New Roman" w:eastAsia="Times New Roman" w:hint="default"/>
          <w:spacing w:val="-1"/>
        </w:rPr>
        <w:t>20.4GW</w:t>
      </w:r>
      <w:r>
        <w:rPr>
          <w:spacing w:val="-1"/>
        </w:rPr>
        <w:t>，</w:t>
      </w:r>
      <w:r>
        <w:rPr>
          <w:rFonts w:ascii="Times New Roman" w:hAnsi="Times New Roman" w:cs="Times New Roman" w:eastAsia="Times New Roman" w:hint="default"/>
          <w:spacing w:val="-1"/>
        </w:rPr>
        <w:t>2018</w:t>
      </w:r>
      <w:r>
        <w:rPr>
          <w:spacing w:val="-1"/>
        </w:rPr>
        <w:t>年</w:t>
      </w:r>
      <w:r>
        <w:rPr/>
        <w:t> </w:t>
      </w:r>
      <w:r>
        <w:rPr>
          <w:spacing w:val="-2"/>
        </w:rPr>
        <w:t>光伏上网电价将会进一步下调，不排除再次发生抢装的可能，尤其是户用光伏市场在光伏系统投资下降、普及推广力度进一</w:t>
      </w:r>
      <w:r>
        <w:rPr>
          <w:spacing w:val="-66"/>
        </w:rPr>
        <w:t> </w:t>
      </w:r>
      <w:r>
        <w:rPr>
          <w:spacing w:val="-66"/>
        </w:rPr>
      </w:r>
      <w:r>
        <w:rPr>
          <w:spacing w:val="-1"/>
        </w:rPr>
        <w:t>步加大的背景下，市场将会加速扩大。此外，光伏扶贫电站指标将会在</w:t>
      </w:r>
      <w:r>
        <w:rPr>
          <w:rFonts w:ascii="Times New Roman" w:hAnsi="Times New Roman" w:cs="Times New Roman" w:eastAsia="Times New Roman" w:hint="default"/>
          <w:spacing w:val="-1"/>
        </w:rPr>
        <w:t>2018</w:t>
      </w:r>
      <w:r>
        <w:rPr>
          <w:spacing w:val="-1"/>
        </w:rPr>
        <w:t>年下发，预计此部分容量可达到</w:t>
      </w:r>
      <w:r>
        <w:rPr>
          <w:rFonts w:ascii="Times New Roman" w:hAnsi="Times New Roman" w:cs="Times New Roman" w:eastAsia="Times New Roman" w:hint="default"/>
          <w:spacing w:val="-1"/>
        </w:rPr>
        <w:t>10GW</w:t>
      </w:r>
      <w:r>
        <w:rPr>
          <w:spacing w:val="-1"/>
        </w:rPr>
        <w:t>量级，进</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2"/>
        <w:jc w:val="both"/>
      </w:pPr>
      <w:r>
        <w:rPr/>
        <w:t>一步支撑国内光伏市场发展。综上，我国</w:t>
      </w:r>
      <w:r>
        <w:rPr>
          <w:rFonts w:ascii="Times New Roman" w:hAnsi="Times New Roman" w:cs="Times New Roman" w:eastAsia="Times New Roman" w:hint="default"/>
        </w:rPr>
        <w:t>2018</w:t>
      </w:r>
      <w:r>
        <w:rPr/>
        <w:t>年新增光伏装机量有望达到</w:t>
      </w:r>
      <w:r>
        <w:rPr>
          <w:rFonts w:ascii="Times New Roman" w:hAnsi="Times New Roman" w:cs="Times New Roman" w:eastAsia="Times New Roman" w:hint="default"/>
        </w:rPr>
        <w:t>40GW</w:t>
      </w:r>
      <w:r>
        <w:rPr/>
        <w:t>。但市场</w:t>
      </w:r>
      <w:r>
        <w:rPr>
          <w:spacing w:val="45"/>
        </w:rPr>
        <w:t> </w:t>
      </w:r>
      <w:r>
        <w:rPr/>
        <w:t>增长也将受到补贴拖欠影响，电</w:t>
      </w:r>
      <w:r>
        <w:rPr>
          <w:spacing w:val="-78"/>
        </w:rPr>
        <w:t> </w:t>
      </w:r>
      <w:r>
        <w:rPr>
          <w:spacing w:val="-78"/>
        </w:rPr>
      </w:r>
      <w:r>
        <w:rPr>
          <w:spacing w:val="-2"/>
        </w:rPr>
        <w:t>站开发商资金压力吃紧，难以继续支撑电站业务大规模开发。国内电站建设规模可获得程度、土地利用以及税费等也增大国</w:t>
      </w:r>
      <w:r>
        <w:rPr>
          <w:spacing w:val="-66"/>
        </w:rPr>
        <w:t> </w:t>
      </w:r>
      <w:r>
        <w:rPr>
          <w:spacing w:val="-66"/>
        </w:rPr>
      </w:r>
      <w:r>
        <w:rPr/>
        <w:t>内电站开发难度。</w:t>
      </w:r>
    </w:p>
    <w:p>
      <w:pPr>
        <w:pStyle w:val="BodyText"/>
        <w:spacing w:line="319" w:lineRule="auto" w:before="24"/>
        <w:ind w:left="573" w:right="7093"/>
        <w:jc w:val="left"/>
      </w:pPr>
      <w:r>
        <w:rPr/>
        <w:t>（三）发展战略 公司未来主要将着眼以下几点进行发展：</w:t>
      </w:r>
    </w:p>
    <w:p>
      <w:pPr>
        <w:pStyle w:val="BodyText"/>
        <w:spacing w:line="312" w:lineRule="auto" w:before="17"/>
        <w:ind w:right="1131" w:firstLine="420"/>
        <w:jc w:val="both"/>
      </w:pPr>
      <w:r>
        <w:rPr>
          <w:spacing w:val="-2"/>
        </w:rPr>
        <w:t>（</w:t>
      </w:r>
      <w:r>
        <w:rPr>
          <w:rFonts w:ascii="Times New Roman" w:hAnsi="Times New Roman" w:cs="Times New Roman" w:eastAsia="Times New Roman" w:hint="default"/>
          <w:spacing w:val="-2"/>
        </w:rPr>
        <w:t>1</w:t>
      </w:r>
      <w:r>
        <w:rPr>
          <w:spacing w:val="-2"/>
        </w:rPr>
        <w:t>）消费电子类电源方面，聚集九大类应用领域的产品线，做专做精，与高标准客户形成战略合作关系；加强营运能</w:t>
      </w:r>
      <w:r>
        <w:rPr/>
        <w:t> </w:t>
      </w:r>
      <w:r>
        <w:rPr>
          <w:spacing w:val="-2"/>
        </w:rPr>
        <w:t>力，使产能稳步提升；控制管理成本、改善供应链策略，使产品价格保持竞争力，满足更多的客户需求。同时，根据发展需</w:t>
      </w:r>
      <w:r>
        <w:rPr>
          <w:spacing w:val="-72"/>
        </w:rPr>
        <w:t> </w:t>
      </w:r>
      <w:r>
        <w:rPr>
          <w:spacing w:val="-72"/>
        </w:rPr>
      </w:r>
      <w:r>
        <w:rPr>
          <w:spacing w:val="-2"/>
        </w:rPr>
        <w:t>求广为招贤纳士，为持续创新及赢得更多市场份额而做好准备、夯实基础。在服务客户的同时，加大对新老客户的新项目开</w:t>
      </w:r>
      <w:r>
        <w:rPr>
          <w:spacing w:val="-66"/>
        </w:rPr>
        <w:t> </w:t>
      </w:r>
      <w:r>
        <w:rPr>
          <w:spacing w:val="-66"/>
        </w:rPr>
      </w:r>
      <w:r>
        <w:rPr/>
        <w:t>发，坚持大客户制订专线服务的理念。</w:t>
      </w:r>
    </w:p>
    <w:p>
      <w:pPr>
        <w:pStyle w:val="BodyText"/>
        <w:spacing w:line="300" w:lineRule="auto" w:before="22"/>
        <w:ind w:right="1132" w:firstLine="420"/>
        <w:jc w:val="both"/>
      </w:pPr>
      <w:r>
        <w:rPr>
          <w:spacing w:val="-1"/>
        </w:rPr>
        <w:t>（</w:t>
      </w:r>
      <w:r>
        <w:rPr>
          <w:rFonts w:ascii="Times New Roman" w:hAnsi="Times New Roman" w:cs="Times New Roman" w:eastAsia="Times New Roman" w:hint="default"/>
          <w:spacing w:val="-1"/>
        </w:rPr>
        <w:t>2</w:t>
      </w:r>
      <w:r>
        <w:rPr>
          <w:spacing w:val="-1"/>
        </w:rPr>
        <w:t>）大功率</w:t>
      </w:r>
      <w:r>
        <w:rPr>
          <w:rFonts w:ascii="Times New Roman" w:hAnsi="Times New Roman" w:cs="Times New Roman" w:eastAsia="Times New Roman" w:hint="default"/>
          <w:spacing w:val="-1"/>
        </w:rPr>
        <w:t>LED</w:t>
      </w:r>
      <w:r>
        <w:rPr>
          <w:spacing w:val="-1"/>
        </w:rPr>
        <w:t>驱动电源方面，继续加大对</w:t>
      </w:r>
      <w:r>
        <w:rPr>
          <w:rFonts w:ascii="Times New Roman" w:hAnsi="Times New Roman" w:cs="Times New Roman" w:eastAsia="Times New Roman" w:hint="default"/>
          <w:spacing w:val="-1"/>
        </w:rPr>
        <w:t>LED</w:t>
      </w:r>
      <w:r>
        <w:rPr>
          <w:spacing w:val="-1"/>
        </w:rPr>
        <w:t>驱动电源业务的技术研发和人员投入力度，稳定现有的技术和管理团</w:t>
      </w:r>
      <w:r>
        <w:rPr/>
        <w:t> 队，以技术创新为企业发展的动力。</w:t>
      </w:r>
    </w:p>
    <w:p>
      <w:pPr>
        <w:pStyle w:val="BodyText"/>
        <w:spacing w:line="300" w:lineRule="auto" w:before="31"/>
        <w:ind w:right="1132" w:firstLine="420"/>
        <w:jc w:val="both"/>
      </w:pPr>
      <w:r>
        <w:rPr>
          <w:spacing w:val="-2"/>
        </w:rPr>
        <w:t>（</w:t>
      </w:r>
      <w:r>
        <w:rPr>
          <w:rFonts w:ascii="Times New Roman" w:hAnsi="Times New Roman" w:cs="Times New Roman" w:eastAsia="Times New Roman" w:hint="default"/>
          <w:spacing w:val="-2"/>
        </w:rPr>
        <w:t>3</w:t>
      </w:r>
      <w:r>
        <w:rPr>
          <w:spacing w:val="-2"/>
        </w:rPr>
        <w:t>）电气方面，逆变器产品方面，继续加大对组串型逆变器的研发投入，不断进行产品创新，争取做到领先行业平局</w:t>
      </w:r>
      <w:r>
        <w:rPr/>
        <w:t> 水平；利用差异化营销手段，抢占终端市场，增强公司盈利能力及水平。</w:t>
      </w:r>
    </w:p>
    <w:p>
      <w:pPr>
        <w:pStyle w:val="BodyText"/>
        <w:spacing w:line="300" w:lineRule="auto" w:before="31"/>
        <w:ind w:right="1130" w:firstLine="420"/>
        <w:jc w:val="both"/>
      </w:pPr>
      <w:r>
        <w:rPr>
          <w:spacing w:val="-2"/>
        </w:rPr>
        <w:t>（</w:t>
      </w:r>
      <w:r>
        <w:rPr>
          <w:rFonts w:ascii="Times New Roman" w:hAnsi="Times New Roman" w:cs="Times New Roman" w:eastAsia="Times New Roman" w:hint="default"/>
          <w:spacing w:val="-2"/>
        </w:rPr>
        <w:t>4</w:t>
      </w:r>
      <w:r>
        <w:rPr>
          <w:spacing w:val="-2"/>
        </w:rPr>
        <w:t>）光伏电站方面，公司将根据国家政策，国家发展改革委在印发的《关于调整光伏电价的通知》中明确提出：分布</w:t>
      </w:r>
      <w:r>
        <w:rPr/>
        <w:t> </w:t>
      </w:r>
      <w:r>
        <w:rPr>
          <w:spacing w:val="-1"/>
        </w:rPr>
        <w:t>式光伏项目度电补贴下调</w:t>
      </w:r>
      <w:r>
        <w:rPr>
          <w:rFonts w:ascii="Times New Roman" w:hAnsi="Times New Roman" w:cs="Times New Roman" w:eastAsia="Times New Roman" w:hint="default"/>
          <w:spacing w:val="-1"/>
        </w:rPr>
        <w:t>0.05</w:t>
      </w:r>
      <w:r>
        <w:rPr>
          <w:spacing w:val="-1"/>
        </w:rPr>
        <w:t>元，由原来的每度电补贴</w:t>
      </w:r>
      <w:r>
        <w:rPr>
          <w:rFonts w:ascii="Times New Roman" w:hAnsi="Times New Roman" w:cs="Times New Roman" w:eastAsia="Times New Roman" w:hint="default"/>
          <w:spacing w:val="-1"/>
        </w:rPr>
        <w:t>0.42</w:t>
      </w:r>
      <w:r>
        <w:rPr>
          <w:spacing w:val="-1"/>
        </w:rPr>
        <w:t>元下调至每度电补贴</w:t>
      </w:r>
      <w:r>
        <w:rPr>
          <w:rFonts w:ascii="Times New Roman" w:hAnsi="Times New Roman" w:cs="Times New Roman" w:eastAsia="Times New Roman" w:hint="default"/>
          <w:spacing w:val="-1"/>
        </w:rPr>
        <w:t>0.37</w:t>
      </w:r>
      <w:r>
        <w:rPr>
          <w:spacing w:val="-1"/>
        </w:rPr>
        <w:t>元。标杆上网电价下调</w:t>
      </w:r>
      <w:r>
        <w:rPr>
          <w:rFonts w:ascii="Times New Roman" w:hAnsi="Times New Roman" w:cs="Times New Roman" w:eastAsia="Times New Roman" w:hint="default"/>
          <w:spacing w:val="-1"/>
        </w:rPr>
        <w:t>0.1</w:t>
      </w:r>
      <w:r>
        <w:rPr>
          <w:spacing w:val="-1"/>
        </w:rPr>
        <w:t>元，光伏电站</w:t>
      </w:r>
      <w:r>
        <w:rPr>
          <w:rFonts w:ascii="Times New Roman" w:hAnsi="Times New Roman" w:cs="Times New Roman" w:eastAsia="Times New Roman" w:hint="default"/>
          <w:spacing w:val="-1"/>
        </w:rPr>
        <w:t>I</w:t>
      </w:r>
      <w:r>
        <w:rPr>
          <w:rFonts w:ascii="Times New Roman" w:hAnsi="Times New Roman" w:cs="Times New Roman" w:eastAsia="Times New Roman" w:hint="default"/>
          <w:spacing w:val="-38"/>
        </w:rPr>
        <w:t> </w:t>
      </w:r>
      <w:r>
        <w:rPr/>
        <w:t>类、</w:t>
      </w:r>
      <w:r>
        <w:rPr>
          <w:rFonts w:ascii="Times New Roman" w:hAnsi="Times New Roman" w:cs="Times New Roman" w:eastAsia="Times New Roman" w:hint="default"/>
        </w:rPr>
        <w:t>II</w:t>
      </w:r>
      <w:r>
        <w:rPr/>
        <w:t>类、</w:t>
      </w:r>
      <w:r>
        <w:rPr>
          <w:rFonts w:ascii="Times New Roman" w:hAnsi="Times New Roman" w:cs="Times New Roman" w:eastAsia="Times New Roman" w:hint="default"/>
        </w:rPr>
        <w:t>III</w:t>
      </w:r>
      <w:r>
        <w:rPr/>
        <w:t>类资源区光伏上网电价由原来的</w:t>
      </w:r>
      <w:r>
        <w:rPr>
          <w:rFonts w:ascii="Times New Roman" w:hAnsi="Times New Roman" w:cs="Times New Roman" w:eastAsia="Times New Roman" w:hint="default"/>
        </w:rPr>
        <w:t>0.65</w:t>
      </w:r>
      <w:r>
        <w:rPr/>
        <w:t>元、</w:t>
      </w:r>
      <w:r>
        <w:rPr>
          <w:rFonts w:ascii="Times New Roman" w:hAnsi="Times New Roman" w:cs="Times New Roman" w:eastAsia="Times New Roman" w:hint="default"/>
        </w:rPr>
        <w:t>0.75</w:t>
      </w:r>
      <w:r>
        <w:rPr/>
        <w:t>元、</w:t>
      </w:r>
      <w:r>
        <w:rPr>
          <w:rFonts w:ascii="Times New Roman" w:hAnsi="Times New Roman" w:cs="Times New Roman" w:eastAsia="Times New Roman" w:hint="default"/>
        </w:rPr>
        <w:t>0.85</w:t>
      </w:r>
      <w:r>
        <w:rPr/>
        <w:t>元下调至</w:t>
      </w:r>
      <w:r>
        <w:rPr>
          <w:rFonts w:ascii="Times New Roman" w:hAnsi="Times New Roman" w:cs="Times New Roman" w:eastAsia="Times New Roman" w:hint="default"/>
        </w:rPr>
        <w:t>0.55</w:t>
      </w:r>
      <w:r>
        <w:rPr/>
        <w:t>元、</w:t>
      </w:r>
      <w:r>
        <w:rPr>
          <w:rFonts w:ascii="Times New Roman" w:hAnsi="Times New Roman" w:cs="Times New Roman" w:eastAsia="Times New Roman" w:hint="default"/>
        </w:rPr>
        <w:t>0.65</w:t>
      </w:r>
      <w:r>
        <w:rPr/>
        <w:t>元、</w:t>
      </w:r>
      <w:r>
        <w:rPr>
          <w:rFonts w:ascii="Times New Roman" w:hAnsi="Times New Roman" w:cs="Times New Roman" w:eastAsia="Times New Roman" w:hint="default"/>
        </w:rPr>
        <w:t>0.75</w:t>
      </w:r>
      <w:r>
        <w:rPr/>
        <w:t>元。基于此原因公司将削</w:t>
      </w:r>
      <w:r>
        <w:rPr>
          <w:spacing w:val="-35"/>
        </w:rPr>
        <w:t> </w:t>
      </w:r>
      <w:r>
        <w:rPr>
          <w:spacing w:val="-35"/>
        </w:rPr>
      </w:r>
      <w:r>
        <w:rPr/>
        <w:t>减投资分布式光伏电站项目的力度，提前做好项目规划。</w:t>
      </w:r>
    </w:p>
    <w:p>
      <w:pPr>
        <w:pStyle w:val="BodyText"/>
        <w:spacing w:line="300" w:lineRule="auto" w:before="31"/>
        <w:ind w:right="1132" w:firstLine="420"/>
        <w:jc w:val="both"/>
      </w:pPr>
      <w:r>
        <w:rPr/>
        <w:t>在光伏电站</w:t>
      </w:r>
      <w:r>
        <w:rPr>
          <w:rFonts w:ascii="Times New Roman" w:hAnsi="Times New Roman" w:cs="Times New Roman" w:eastAsia="Times New Roman" w:hint="default"/>
        </w:rPr>
        <w:t>EPC</w:t>
      </w:r>
      <w:r>
        <w:rPr/>
        <w:t>总包业务方面</w:t>
      </w:r>
      <w:r>
        <w:rPr>
          <w:rFonts w:ascii="Times New Roman" w:hAnsi="Times New Roman" w:cs="Times New Roman" w:eastAsia="Times New Roman" w:hint="default"/>
        </w:rPr>
        <w:t>,</w:t>
      </w:r>
      <w:r>
        <w:rPr/>
        <w:t>以浙江台州污水处理厂分布式光伏项目为例，大力推广及应用以柔性光伏支架技术为核 心的节能环保、景观效应的产业项目，并依托公司的多项工程资质，积极争取承接分布式光伏</w:t>
      </w:r>
      <w:r>
        <w:rPr>
          <w:rFonts w:ascii="Times New Roman" w:hAnsi="Times New Roman" w:cs="Times New Roman" w:eastAsia="Times New Roman" w:hint="default"/>
        </w:rPr>
        <w:t>EPC</w:t>
      </w:r>
      <w:r>
        <w:rPr/>
        <w:t>项目。</w:t>
      </w:r>
    </w:p>
    <w:p>
      <w:pPr>
        <w:pStyle w:val="BodyText"/>
        <w:spacing w:line="307" w:lineRule="auto" w:before="13"/>
        <w:ind w:right="0" w:firstLine="420"/>
        <w:jc w:val="left"/>
      </w:pPr>
      <w:r>
        <w:rPr>
          <w:rFonts w:ascii="Times New Roman" w:hAnsi="Times New Roman" w:cs="Times New Roman" w:eastAsia="Times New Roman" w:hint="default"/>
          <w:spacing w:val="-2"/>
        </w:rPr>
        <w:t>(5)</w:t>
      </w:r>
      <w:r>
        <w:rPr>
          <w:spacing w:val="-2"/>
        </w:rPr>
        <w:t>开拓充电桩市场，积极储备人才及技术团队力量，争取与大客户实现战略合作，加大市场拓展力度。对于城市公交、</w:t>
      </w:r>
      <w:r>
        <w:rPr>
          <w:w w:val="99"/>
        </w:rPr>
        <w:t> </w:t>
      </w:r>
      <w:r>
        <w:rPr>
          <w:spacing w:val="-2"/>
        </w:rPr>
        <w:t>出租、物流、交通枢纽、大型商场等城市公共服务区域电动汽车，开展其内部停车场站公共充电基础设施建设，同步构建充</w:t>
      </w:r>
      <w:r>
        <w:rPr>
          <w:spacing w:val="-67"/>
        </w:rPr>
        <w:t> </w:t>
      </w:r>
      <w:r>
        <w:rPr>
          <w:spacing w:val="-67"/>
        </w:rPr>
      </w:r>
      <w:r>
        <w:rPr/>
        <w:t>电运营服务平台，通过</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充电基础设施</w:t>
      </w:r>
      <w:r>
        <w:rPr>
          <w:rFonts w:ascii="Times New Roman" w:hAnsi="Times New Roman" w:cs="Times New Roman" w:eastAsia="Times New Roman" w:hint="default"/>
        </w:rPr>
        <w:t>”</w:t>
      </w:r>
      <w:r>
        <w:rPr/>
        <w:t>，积极推进电动汽车与智能电网间的信息互动，为用户提供充电导航、状态</w:t>
      </w:r>
      <w:r>
        <w:rPr>
          <w:spacing w:val="-78"/>
        </w:rPr>
        <w:t> </w:t>
      </w:r>
      <w:r>
        <w:rPr>
          <w:spacing w:val="-78"/>
        </w:rPr>
      </w:r>
      <w:r>
        <w:rPr/>
        <w:t>查询、充电预约、费用结算等服务，提升用户体验和运营效率。</w:t>
      </w:r>
    </w:p>
    <w:p>
      <w:pPr>
        <w:pStyle w:val="BodyText"/>
        <w:spacing w:line="309" w:lineRule="auto" w:before="26"/>
        <w:ind w:left="154" w:right="1131" w:firstLine="420"/>
        <w:jc w:val="both"/>
      </w:pPr>
      <w:r>
        <w:rPr>
          <w:rFonts w:ascii="Times New Roman" w:hAnsi="Times New Roman" w:cs="Times New Roman" w:eastAsia="Times New Roman" w:hint="default"/>
        </w:rPr>
        <w:t>(6)</w:t>
      </w:r>
      <w:r>
        <w:rPr/>
        <w:t>在充电站</w:t>
      </w:r>
      <w:r>
        <w:rPr>
          <w:rFonts w:ascii="Times New Roman" w:hAnsi="Times New Roman" w:cs="Times New Roman" w:eastAsia="Times New Roman" w:hint="default"/>
        </w:rPr>
        <w:t>EPC</w:t>
      </w:r>
      <w:r>
        <w:rPr/>
        <w:t>总包业务方面，茂硕新能源利用自身承建光伏电站的优势和经验，顺利过渡承建新能源电动汽车充电 </w:t>
      </w:r>
      <w:r>
        <w:rPr>
          <w:spacing w:val="-2"/>
        </w:rPr>
        <w:t>站，不但成功中标九江北汽充电桩采购项目，还顺利完成该项目建设，并获得业主认可。目前茂硕新能源已具备投资建设能</w:t>
      </w:r>
      <w:r>
        <w:rPr>
          <w:spacing w:val="-66"/>
        </w:rPr>
        <w:t> </w:t>
      </w:r>
      <w:r>
        <w:rPr>
          <w:spacing w:val="-66"/>
        </w:rPr>
      </w:r>
      <w:r>
        <w:rPr/>
        <w:t>力，逐步开始在全国各地投建新能源汽车充电站，为后续立足深圳、向全国扩散充电设施奠定了基础力量。</w:t>
      </w:r>
    </w:p>
    <w:p>
      <w:pPr>
        <w:pStyle w:val="BodyText"/>
        <w:spacing w:line="300" w:lineRule="auto" w:before="24"/>
        <w:ind w:right="1132" w:firstLine="420"/>
        <w:jc w:val="both"/>
      </w:pPr>
      <w:r>
        <w:rPr>
          <w:spacing w:val="-2"/>
        </w:rPr>
        <w:t>（</w:t>
      </w:r>
      <w:r>
        <w:rPr>
          <w:rFonts w:ascii="Times New Roman" w:hAnsi="Times New Roman" w:cs="Times New Roman" w:eastAsia="Times New Roman" w:hint="default"/>
          <w:spacing w:val="-2"/>
        </w:rPr>
        <w:t>7</w:t>
      </w:r>
      <w:r>
        <w:rPr>
          <w:spacing w:val="-2"/>
        </w:rPr>
        <w:t>）资本运作方面，围绕投资热点及上市公司产业需求，寻找盈利性强、成长性高的投资标的，通过增资或股权转让</w:t>
      </w:r>
      <w:r>
        <w:rPr/>
        <w:t> 的方式持有投资标的股权，待时机成熟后推进产业并购工作，从而提升公司盈利能力，增强上市公司行业影响力。</w:t>
      </w:r>
    </w:p>
    <w:p>
      <w:pPr>
        <w:pStyle w:val="BodyText"/>
        <w:spacing w:line="240" w:lineRule="auto" w:before="31"/>
        <w:ind w:left="573" w:right="1130"/>
        <w:jc w:val="left"/>
      </w:pPr>
      <w:r>
        <w:rPr/>
        <w:t>（四）</w:t>
      </w:r>
      <w:r>
        <w:rPr>
          <w:rFonts w:ascii="Times New Roman" w:hAnsi="Times New Roman" w:cs="Times New Roman" w:eastAsia="Times New Roman" w:hint="default"/>
        </w:rPr>
        <w:t>2018</w:t>
      </w:r>
      <w:r>
        <w:rPr/>
        <w:t>年年度经营计划</w:t>
      </w:r>
    </w:p>
    <w:p>
      <w:pPr>
        <w:pStyle w:val="BodyText"/>
        <w:spacing w:line="240" w:lineRule="auto" w:before="63"/>
        <w:ind w:left="574" w:right="1130"/>
        <w:jc w:val="left"/>
      </w:pPr>
      <w:r>
        <w:rPr>
          <w:rFonts w:ascii="Times New Roman" w:hAnsi="Times New Roman" w:cs="Times New Roman" w:eastAsia="Times New Roman" w:hint="default"/>
        </w:rPr>
        <w:t>1</w:t>
      </w:r>
      <w:r>
        <w:rPr/>
        <w:t>、市场营销方面：</w:t>
      </w:r>
    </w:p>
    <w:p>
      <w:pPr>
        <w:pStyle w:val="BodyText"/>
        <w:spacing w:line="309" w:lineRule="auto" w:before="63"/>
        <w:ind w:right="1131" w:firstLine="420"/>
        <w:jc w:val="both"/>
      </w:pPr>
      <w:r>
        <w:rPr>
          <w:spacing w:val="-2"/>
        </w:rPr>
        <w:t>（</w:t>
      </w:r>
      <w:r>
        <w:rPr>
          <w:rFonts w:ascii="Times New Roman" w:hAnsi="Times New Roman" w:cs="Times New Roman" w:eastAsia="Times New Roman" w:hint="default"/>
          <w:spacing w:val="-2"/>
        </w:rPr>
        <w:t>1</w:t>
      </w:r>
      <w:r>
        <w:rPr>
          <w:spacing w:val="-2"/>
        </w:rPr>
        <w:t>）公司进行业务梳理后，将现有的业务模式和对接窗口进行调整，明确母公司及各子公司业务范围，清晰各职权责</w:t>
      </w:r>
      <w:r>
        <w:rPr/>
        <w:t> </w:t>
      </w:r>
      <w:r>
        <w:rPr>
          <w:spacing w:val="-2"/>
        </w:rPr>
        <w:t>任人，公司未来加强对各子公司负责人的管控，以达到对各业务情况的把控，增加各单项业务的竞争力，进一步提高公司的</w:t>
      </w:r>
      <w:r>
        <w:rPr>
          <w:spacing w:val="-66"/>
        </w:rPr>
        <w:t> </w:t>
      </w:r>
      <w:r>
        <w:rPr>
          <w:spacing w:val="-66"/>
        </w:rPr>
      </w:r>
      <w:r>
        <w:rPr/>
        <w:t>抗风险能力和可持续发展能力。</w:t>
      </w:r>
    </w:p>
    <w:p>
      <w:pPr>
        <w:pStyle w:val="BodyText"/>
        <w:spacing w:line="240" w:lineRule="auto" w:before="24"/>
        <w:ind w:left="574" w:right="0"/>
        <w:jc w:val="left"/>
      </w:pPr>
      <w:r>
        <w:rPr/>
        <w:t>（</w:t>
      </w:r>
      <w:r>
        <w:rPr>
          <w:rFonts w:ascii="Times New Roman" w:hAnsi="Times New Roman" w:cs="Times New Roman" w:eastAsia="Times New Roman" w:hint="default"/>
        </w:rPr>
        <w:t>2</w:t>
      </w:r>
      <w:r>
        <w:rPr/>
        <w:t>）持续巩固公司现有主营业务，并积极探索新的业务领域，坚持技术创新，扩大市场占有率，持续提高公司盈利能</w:t>
      </w:r>
    </w:p>
    <w:p>
      <w:pPr>
        <w:pStyle w:val="BodyText"/>
        <w:spacing w:line="240" w:lineRule="auto" w:before="63"/>
        <w:ind w:right="1130"/>
        <w:jc w:val="left"/>
      </w:pPr>
      <w:r>
        <w:rPr/>
        <w:t>力。</w:t>
      </w:r>
    </w:p>
    <w:p>
      <w:pPr>
        <w:pStyle w:val="BodyText"/>
        <w:spacing w:line="240" w:lineRule="auto" w:before="76"/>
        <w:ind w:left="574" w:right="0"/>
        <w:jc w:val="left"/>
      </w:pPr>
      <w:r>
        <w:rPr/>
        <w:t>（</w:t>
      </w:r>
      <w:r>
        <w:rPr>
          <w:rFonts w:ascii="Times New Roman" w:hAnsi="Times New Roman" w:cs="Times New Roman" w:eastAsia="Times New Roman" w:hint="default"/>
        </w:rPr>
        <w:t>3</w:t>
      </w:r>
      <w:r>
        <w:rPr/>
        <w:t>）加强服务现有大客户，坚持以客户为导向，提高客户服务质量，与</w:t>
      </w:r>
      <w:r>
        <w:rPr>
          <w:rFonts w:ascii="Times New Roman" w:hAnsi="Times New Roman" w:cs="Times New Roman" w:eastAsia="Times New Roman" w:hint="default"/>
        </w:rPr>
        <w:t>VIP</w:t>
      </w:r>
      <w:r>
        <w:rPr/>
        <w:t>客户建立长久的战略合作关系，同时积极</w:t>
      </w:r>
    </w:p>
    <w:p>
      <w:pPr>
        <w:pStyle w:val="BodyText"/>
        <w:spacing w:line="240" w:lineRule="auto" w:before="63"/>
        <w:ind w:right="1130"/>
        <w:jc w:val="left"/>
      </w:pPr>
      <w:r>
        <w:rPr/>
        <w:t>拓展新客户进行审场，确保订单的持续稳定增长。</w:t>
      </w:r>
    </w:p>
    <w:p>
      <w:pPr>
        <w:pStyle w:val="BodyText"/>
        <w:spacing w:line="240" w:lineRule="auto" w:before="76"/>
        <w:ind w:left="573" w:right="1130"/>
        <w:jc w:val="left"/>
      </w:pPr>
      <w:r>
        <w:rPr>
          <w:rFonts w:ascii="Times New Roman" w:hAnsi="Times New Roman" w:cs="Times New Roman" w:eastAsia="Times New Roman" w:hint="default"/>
        </w:rPr>
        <w:t>2</w:t>
      </w:r>
      <w:r>
        <w:rPr/>
        <w:t>、增加运营能力：</w:t>
      </w:r>
    </w:p>
    <w:p>
      <w:pPr>
        <w:pStyle w:val="BodyText"/>
        <w:spacing w:line="309" w:lineRule="auto" w:before="63"/>
        <w:ind w:right="1129" w:firstLine="420"/>
        <w:jc w:val="both"/>
      </w:pPr>
      <w:r>
        <w:rPr>
          <w:rFonts w:ascii="Times New Roman" w:hAnsi="Times New Roman" w:cs="Times New Roman" w:eastAsia="Times New Roman" w:hint="default"/>
        </w:rPr>
        <w:t>2018</w:t>
      </w:r>
      <w:r>
        <w:rPr/>
        <w:t>年有策略管控材料成本、提升排单能力，使产能效率大幅提升，</w:t>
      </w:r>
      <w:r>
        <w:rPr>
          <w:rFonts w:ascii="Times New Roman" w:hAnsi="Times New Roman" w:cs="Times New Roman" w:eastAsia="Times New Roman" w:hint="default"/>
        </w:rPr>
        <w:t>2018</w:t>
      </w:r>
      <w:r>
        <w:rPr/>
        <w:t>年可以在</w:t>
      </w:r>
      <w:r>
        <w:rPr>
          <w:rFonts w:ascii="Times New Roman" w:hAnsi="Times New Roman" w:cs="Times New Roman" w:eastAsia="Times New Roman" w:hint="default"/>
        </w:rPr>
        <w:t>2017</w:t>
      </w:r>
      <w:r>
        <w:rPr/>
        <w:t>年的月均产能上提升</w:t>
      </w:r>
      <w:r>
        <w:rPr>
          <w:rFonts w:ascii="Times New Roman" w:hAnsi="Times New Roman" w:cs="Times New Roman" w:eastAsia="Times New Roman" w:hint="default"/>
        </w:rPr>
        <w:t>20%</w:t>
      </w:r>
      <w:r>
        <w:rPr/>
        <w:t>；随</w:t>
      </w:r>
      <w:r>
        <w:rPr>
          <w:spacing w:val="2"/>
        </w:rPr>
        <w:t> </w:t>
      </w:r>
      <w:r>
        <w:rPr>
          <w:spacing w:val="-2"/>
        </w:rPr>
        <w:t>着订单整合、高技术含量新产品导入、供应链统筹管理，整体运营效能将逐步提升。公司已经争取到老客户更多份额、新增</w:t>
      </w:r>
      <w:r>
        <w:rPr>
          <w:spacing w:val="-66"/>
        </w:rPr>
        <w:t> </w:t>
      </w:r>
      <w:r>
        <w:rPr>
          <w:spacing w:val="-66"/>
        </w:rPr>
      </w:r>
      <w:r>
        <w:rPr/>
        <w:t>新客户大量订单，进一步使产能得到充分释放，加速公司销售业绩增长。</w:t>
      </w:r>
    </w:p>
    <w:p>
      <w:pPr>
        <w:pStyle w:val="BodyText"/>
        <w:spacing w:line="300" w:lineRule="auto" w:before="24"/>
        <w:ind w:left="574" w:right="1130"/>
        <w:jc w:val="left"/>
      </w:pPr>
      <w:r>
        <w:rPr>
          <w:rFonts w:ascii="Times New Roman" w:hAnsi="Times New Roman" w:cs="Times New Roman" w:eastAsia="Times New Roman" w:hint="default"/>
        </w:rPr>
        <w:t>3</w:t>
      </w:r>
      <w:r>
        <w:rPr/>
        <w:t>、布局物联网智能照明 茂硕电子坚持聚焦主业，以大功率驱动电源为主；同时深耕细分，深度挖掘有潜力的细分市场，如城市轨道交通公共</w:t>
      </w:r>
    </w:p>
    <w:p>
      <w:pPr>
        <w:pStyle w:val="BodyText"/>
        <w:spacing w:line="240" w:lineRule="auto" w:before="31"/>
        <w:ind w:left="154" w:right="0"/>
        <w:jc w:val="left"/>
      </w:pPr>
      <w:r>
        <w:rPr/>
        <w:t>照明；坚持多元化发展，除以道路照明为主外，兼顾工业、景观、室内商照</w:t>
      </w:r>
      <w:r>
        <w:rPr>
          <w:rFonts w:ascii="Times New Roman" w:hAnsi="Times New Roman" w:cs="Times New Roman" w:eastAsia="Times New Roman" w:hint="default"/>
        </w:rPr>
        <w:t>&amp;</w:t>
      </w:r>
      <w:r>
        <w:rPr/>
        <w:t>家居照明</w:t>
      </w:r>
      <w:r>
        <w:rPr>
          <w:spacing w:val="35"/>
        </w:rPr>
        <w:t> </w:t>
      </w:r>
      <w:r>
        <w:rPr/>
        <w:t>。除技术创新外，产品必须走出同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质化怪圈，还可以通过差异化竞争、提升产品附加值等方式进入竞争的蓝海。同时、顺应行业发展大势，重新定位公司，将</w:t>
      </w:r>
      <w:r>
        <w:rPr>
          <w:spacing w:val="-67"/>
        </w:rPr>
        <w:t> </w:t>
      </w:r>
      <w:r>
        <w:rPr>
          <w:spacing w:val="-67"/>
        </w:rPr>
      </w:r>
      <w:r>
        <w:rPr/>
        <w:t>茂硕电子打造成一家智能物联网</w:t>
      </w:r>
      <w:r>
        <w:rPr>
          <w:rFonts w:ascii="Times New Roman" w:hAnsi="Times New Roman" w:cs="Times New Roman" w:eastAsia="Times New Roman" w:hint="default"/>
        </w:rPr>
        <w:t>LED</w:t>
      </w:r>
      <w:r>
        <w:rPr/>
        <w:t>照明解决方案企业，加快布局互联互通智能照明领域。</w:t>
      </w:r>
    </w:p>
    <w:p>
      <w:pPr>
        <w:pStyle w:val="BodyText"/>
        <w:spacing w:line="300" w:lineRule="auto"/>
        <w:ind w:left="513" w:right="1130" w:firstLine="60"/>
        <w:jc w:val="left"/>
      </w:pPr>
      <w:r>
        <w:rPr>
          <w:rFonts w:ascii="Times New Roman" w:hAnsi="Times New Roman" w:cs="Times New Roman" w:eastAsia="Times New Roman" w:hint="default"/>
        </w:rPr>
        <w:t>4</w:t>
      </w:r>
      <w:r>
        <w:rPr/>
        <w:t>、逆变器方面 </w:t>
      </w:r>
      <w:r>
        <w:rPr>
          <w:spacing w:val="-2"/>
        </w:rPr>
        <w:t>茂硕电气在销售方面坚持大客户及区域承包制，按销售预测指导生产备货，灵活应用和调配内外部资源以保障交付；设</w:t>
      </w:r>
    </w:p>
    <w:p>
      <w:pPr>
        <w:pStyle w:val="BodyText"/>
        <w:spacing w:line="316" w:lineRule="auto" w:before="32"/>
        <w:ind w:right="1033"/>
        <w:jc w:val="left"/>
      </w:pPr>
      <w:r>
        <w:rPr>
          <w:spacing w:val="-2"/>
        </w:rPr>
        <w:t>计并改善供应链系统，制定切实可行的采购、物控、计划、仓储、配送等管理工作流程，实施监控和管理；并建立和健全供</w:t>
      </w:r>
      <w:r>
        <w:rPr>
          <w:spacing w:val="-72"/>
        </w:rPr>
        <w:t> </w:t>
      </w:r>
      <w:r>
        <w:rPr>
          <w:spacing w:val="-72"/>
        </w:rPr>
      </w:r>
      <w:r>
        <w:rPr/>
        <w:t>应商、物流承运商的开发、维护、跟踪及评估体系，合理控制原材料采购及发货运输成本；在不断完善供应链管理的同时， </w:t>
      </w:r>
      <w:r>
        <w:rPr>
          <w:spacing w:val="-2"/>
        </w:rPr>
        <w:t>不断提升研发能力，并且加大逆变器的宣传，继续参加影响力较大的展会、研讨会等活动，扩大品牌影响力；进一步实践打</w:t>
      </w:r>
      <w:r>
        <w:rPr>
          <w:spacing w:val="-66"/>
        </w:rPr>
        <w:t> </w:t>
      </w:r>
      <w:r>
        <w:rPr>
          <w:spacing w:val="-66"/>
        </w:rPr>
      </w:r>
      <w:r>
        <w:rPr/>
        <w:t>造行业</w:t>
      </w:r>
      <w:r>
        <w:rPr>
          <w:rFonts w:ascii="Times New Roman" w:hAnsi="Times New Roman" w:cs="Times New Roman" w:eastAsia="Times New Roman" w:hint="default"/>
        </w:rPr>
        <w:t>“</w:t>
      </w:r>
      <w:r>
        <w:rPr/>
        <w:t>更稳定逆变器</w:t>
      </w:r>
      <w:r>
        <w:rPr>
          <w:rFonts w:ascii="Times New Roman" w:hAnsi="Times New Roman" w:cs="Times New Roman" w:eastAsia="Times New Roman" w:hint="default"/>
        </w:rPr>
        <w:t>”</w:t>
      </w:r>
      <w:r>
        <w:rPr/>
        <w:t>的理念，为行业树立良好的竞争标杆。</w:t>
      </w:r>
    </w:p>
    <w:p>
      <w:pPr>
        <w:pStyle w:val="BodyText"/>
        <w:spacing w:line="300" w:lineRule="auto"/>
        <w:ind w:left="574" w:right="2772"/>
        <w:jc w:val="left"/>
      </w:pPr>
      <w:r>
        <w:rPr>
          <w:rFonts w:ascii="Times New Roman" w:hAnsi="Times New Roman" w:cs="Times New Roman" w:eastAsia="Times New Roman" w:hint="default"/>
        </w:rPr>
        <w:t>5</w:t>
      </w:r>
      <w:r>
        <w:rPr/>
        <w:t>、光伏发电方面 公司在</w:t>
      </w:r>
      <w:r>
        <w:rPr>
          <w:rFonts w:ascii="Times New Roman" w:hAnsi="Times New Roman" w:cs="Times New Roman" w:eastAsia="Times New Roman" w:hint="default"/>
        </w:rPr>
        <w:t>2018</w:t>
      </w:r>
      <w:r>
        <w:rPr/>
        <w:t>年度着重于已投建光伏电站的运营、维护，争取光伏电站发电量再上一个新的台阶。</w:t>
      </w:r>
    </w:p>
    <w:p>
      <w:pPr>
        <w:pStyle w:val="BodyText"/>
        <w:spacing w:line="300" w:lineRule="auto" w:before="13"/>
        <w:ind w:right="1134" w:firstLine="420"/>
        <w:jc w:val="both"/>
      </w:pPr>
      <w:r>
        <w:rPr/>
        <w:t>在光伏电站</w:t>
      </w:r>
      <w:r>
        <w:rPr>
          <w:rFonts w:ascii="Times New Roman" w:hAnsi="Times New Roman" w:cs="Times New Roman" w:eastAsia="Times New Roman" w:hint="default"/>
        </w:rPr>
        <w:t>EPC</w:t>
      </w:r>
      <w:r>
        <w:rPr/>
        <w:t>总包业务方面</w:t>
      </w:r>
      <w:r>
        <w:rPr>
          <w:rFonts w:ascii="Times New Roman" w:hAnsi="Times New Roman" w:cs="Times New Roman" w:eastAsia="Times New Roman" w:hint="default"/>
        </w:rPr>
        <w:t>,</w:t>
      </w:r>
      <w:r>
        <w:rPr/>
        <w:t>以浙江台州污水处理厂分布式光伏项目为例，大力推广及应用以柔性光伏支架技术为核 心的节能环保、景观效应的产业项目，并依托公司拥有的多项工程资质，积极争取承接分布式光伏</w:t>
      </w:r>
      <w:r>
        <w:rPr>
          <w:rFonts w:ascii="Times New Roman" w:hAnsi="Times New Roman" w:cs="Times New Roman" w:eastAsia="Times New Roman" w:hint="default"/>
        </w:rPr>
        <w:t>EPC</w:t>
      </w:r>
      <w:r>
        <w:rPr/>
        <w:t>项目。</w:t>
      </w:r>
    </w:p>
    <w:p>
      <w:pPr>
        <w:pStyle w:val="BodyText"/>
        <w:spacing w:line="300" w:lineRule="auto" w:before="13"/>
        <w:ind w:left="574" w:right="113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、充电桩建设及运营 </w:t>
      </w:r>
      <w:r>
        <w:rPr>
          <w:spacing w:val="2"/>
        </w:rPr>
        <w:t>对于城市公交、出租、物流、交通枢纽、大型商场等城市公共服务区域电动汽车，公司通过</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充电基础设施</w:t>
      </w:r>
      <w:r>
        <w:rPr>
          <w:rFonts w:ascii="Times New Roman" w:hAnsi="Times New Roman" w:cs="Times New Roman" w:eastAsia="Times New Roman" w:hint="default"/>
          <w:spacing w:val="2"/>
        </w:rPr>
        <w:t>”</w:t>
      </w:r>
    </w:p>
    <w:p>
      <w:pPr>
        <w:pStyle w:val="BodyText"/>
        <w:spacing w:line="316" w:lineRule="auto" w:before="13"/>
        <w:ind w:left="154" w:right="1130"/>
        <w:jc w:val="left"/>
      </w:pPr>
      <w:r>
        <w:rPr>
          <w:spacing w:val="-2"/>
        </w:rPr>
        <w:t>的模式，针对其内部停车场站公共充电基础设施建设，同步构建充电运营服务平台，积极推进电动汽车与智能电网间的信息</w:t>
      </w:r>
      <w:r>
        <w:rPr>
          <w:spacing w:val="-66"/>
        </w:rPr>
        <w:t> </w:t>
      </w:r>
      <w:r>
        <w:rPr>
          <w:spacing w:val="-66"/>
        </w:rPr>
      </w:r>
      <w:r>
        <w:rPr/>
        <w:t>互动，为用户提供充电导航、状态查询、充电预约、费用结算等服务，提升用户体验和运营效率。</w:t>
      </w:r>
    </w:p>
    <w:p>
      <w:pPr>
        <w:pStyle w:val="BodyText"/>
        <w:spacing w:line="300" w:lineRule="auto" w:before="19"/>
        <w:ind w:left="574" w:right="1130"/>
        <w:jc w:val="left"/>
      </w:pPr>
      <w:r>
        <w:rPr>
          <w:rFonts w:ascii="Times New Roman" w:hAnsi="Times New Roman" w:cs="Times New Roman" w:eastAsia="Times New Roman" w:hint="default"/>
        </w:rPr>
        <w:t>7</w:t>
      </w:r>
      <w:r>
        <w:rPr/>
        <w:t>、资本运作方面 借助基金的专业水平，为公司寻找优良的并购标的，为公司可持续发展寻求新的发展方向，培育新的持续增长的利润</w:t>
      </w:r>
    </w:p>
    <w:p>
      <w:pPr>
        <w:pStyle w:val="BodyText"/>
        <w:spacing w:line="240" w:lineRule="auto" w:before="31"/>
        <w:ind w:left="154" w:right="1130"/>
        <w:jc w:val="left"/>
      </w:pPr>
      <w:r>
        <w:rPr/>
        <w:t>来源，增强公司盈利能力和综合竞争实力。</w:t>
      </w:r>
    </w:p>
    <w:p>
      <w:pPr>
        <w:pStyle w:val="BodyText"/>
        <w:spacing w:line="240" w:lineRule="auto" w:before="76"/>
        <w:ind w:left="573" w:right="1130"/>
        <w:jc w:val="left"/>
      </w:pPr>
      <w:r>
        <w:rPr/>
        <w:t>（五）面临的风险</w:t>
      </w:r>
    </w:p>
    <w:p>
      <w:pPr>
        <w:pStyle w:val="BodyText"/>
        <w:spacing w:line="300" w:lineRule="auto" w:before="76"/>
        <w:ind w:left="573" w:right="1130"/>
        <w:jc w:val="left"/>
      </w:pPr>
      <w:r>
        <w:rPr>
          <w:rFonts w:ascii="Times New Roman" w:hAnsi="Times New Roman" w:cs="Times New Roman" w:eastAsia="Times New Roman" w:hint="default"/>
        </w:rPr>
        <w:t>1</w:t>
      </w:r>
      <w:r>
        <w:rPr/>
        <w:t>、市场竞争加剧及毛利率下降的风险 经过多年的快速发展，中国已成为全球最大的消费类开关电源制造基地。普通开关电源行业是一个充分竞争的行业，</w:t>
      </w:r>
    </w:p>
    <w:p>
      <w:pPr>
        <w:pStyle w:val="BodyText"/>
        <w:spacing w:line="312" w:lineRule="auto" w:before="32"/>
        <w:ind w:right="1130"/>
        <w:jc w:val="both"/>
      </w:pPr>
      <w:r>
        <w:rPr>
          <w:spacing w:val="-2"/>
        </w:rPr>
        <w:t>作为传统产业，行业进入门槛相对较低，其竞争主要体现在产品质量、营销渠道、研发设计、客户服务等方面。普通开关电</w:t>
      </w:r>
      <w:r>
        <w:rPr>
          <w:spacing w:val="-67"/>
        </w:rPr>
        <w:t> </w:t>
      </w:r>
      <w:r>
        <w:rPr>
          <w:spacing w:val="-67"/>
        </w:rPr>
      </w:r>
      <w:r>
        <w:rPr>
          <w:spacing w:val="-2"/>
        </w:rPr>
        <w:t>源各品牌的市场集中度相对较低，各品牌之间的竞争较为激烈。</w:t>
      </w:r>
      <w:r>
        <w:rPr>
          <w:rFonts w:ascii="Times New Roman" w:hAnsi="Times New Roman" w:cs="Times New Roman" w:eastAsia="Times New Roman" w:hint="default"/>
          <w:spacing w:val="-2"/>
        </w:rPr>
        <w:t>LED</w:t>
      </w:r>
      <w:r>
        <w:rPr>
          <w:spacing w:val="-2"/>
        </w:rPr>
        <w:t>驱动电源虽然为开关电源行业中的新兴细分产业，但新</w:t>
      </w:r>
      <w:r>
        <w:rPr>
          <w:spacing w:val="-53"/>
        </w:rPr>
        <w:t> </w:t>
      </w:r>
      <w:r>
        <w:rPr>
          <w:spacing w:val="-53"/>
        </w:rPr>
      </w:r>
      <w:r>
        <w:rPr>
          <w:spacing w:val="-2"/>
        </w:rPr>
        <w:t>进制造商的不断增加也使其竞争日趋激烈，来自国内外的竞争压力仍将持续甚至加大，如公司无法保持竞争优势，则公司的</w:t>
      </w:r>
      <w:r>
        <w:rPr>
          <w:spacing w:val="-66"/>
        </w:rPr>
        <w:t> </w:t>
      </w:r>
      <w:r>
        <w:rPr>
          <w:spacing w:val="-66"/>
        </w:rPr>
      </w:r>
      <w:r>
        <w:rPr/>
        <w:t>行业地位、市场份额、经营业绩等均会受到不利影响。</w:t>
      </w:r>
    </w:p>
    <w:p>
      <w:pPr>
        <w:pStyle w:val="BodyText"/>
        <w:spacing w:line="316" w:lineRule="auto" w:before="22"/>
        <w:ind w:left="154" w:right="1132" w:firstLine="420"/>
        <w:jc w:val="both"/>
      </w:pPr>
      <w:r>
        <w:rPr/>
        <w:t>此外，电子产品普遍呈现同款产品价格逐年下降的趋势。长期来看，随着市场竞争的加剧、供求关系的影响、生产效 </w:t>
      </w:r>
      <w:r>
        <w:rPr>
          <w:spacing w:val="-2"/>
        </w:rPr>
        <w:t>率的提高，公司各类电源产品价格存在下降趋势，若公司不能通过有效降低产品生产成本来抵消价格下降的风险，或者无法</w:t>
      </w:r>
      <w:r>
        <w:rPr>
          <w:spacing w:val="-66"/>
        </w:rPr>
        <w:t> </w:t>
      </w:r>
      <w:r>
        <w:rPr>
          <w:spacing w:val="-66"/>
        </w:rPr>
      </w:r>
      <w:r>
        <w:rPr>
          <w:spacing w:val="-2"/>
        </w:rPr>
        <w:t>持续推出新产品进行产品结构的升级，公司产品价格的下降将导致产品毛利率的下降，从而影响到公司的财务状况和经营业</w:t>
      </w:r>
      <w:r>
        <w:rPr>
          <w:spacing w:val="-64"/>
        </w:rPr>
        <w:t> </w:t>
      </w:r>
      <w:r>
        <w:rPr>
          <w:spacing w:val="-64"/>
        </w:rPr>
      </w:r>
      <w:r>
        <w:rPr/>
        <w:t>绩。</w:t>
      </w:r>
    </w:p>
    <w:p>
      <w:pPr>
        <w:pStyle w:val="BodyText"/>
        <w:spacing w:line="300" w:lineRule="auto" w:before="19"/>
        <w:ind w:left="574" w:right="1130"/>
        <w:jc w:val="left"/>
      </w:pPr>
      <w:r>
        <w:rPr>
          <w:rFonts w:ascii="Times New Roman" w:hAnsi="Times New Roman" w:cs="Times New Roman" w:eastAsia="Times New Roman" w:hint="default"/>
        </w:rPr>
        <w:t>2</w:t>
      </w:r>
      <w:r>
        <w:rPr/>
        <w:t>、技术及产品研发风险 </w:t>
      </w:r>
      <w:r>
        <w:rPr>
          <w:rFonts w:ascii="Times New Roman" w:hAnsi="Times New Roman" w:cs="Times New Roman" w:eastAsia="Times New Roman" w:hint="default"/>
          <w:spacing w:val="-2"/>
        </w:rPr>
        <w:t>SPS</w:t>
      </w:r>
      <w:r>
        <w:rPr>
          <w:spacing w:val="-2"/>
        </w:rPr>
        <w:t>开关电源及</w:t>
      </w:r>
      <w:r>
        <w:rPr>
          <w:rFonts w:ascii="Times New Roman" w:hAnsi="Times New Roman" w:cs="Times New Roman" w:eastAsia="Times New Roman" w:hint="default"/>
          <w:spacing w:val="-2"/>
        </w:rPr>
        <w:t>LED</w:t>
      </w:r>
      <w:r>
        <w:rPr>
          <w:spacing w:val="-2"/>
        </w:rPr>
        <w:t>驱动电源等电源产品是公司的传统优势领域。公司十分重视电源技术及产品的研发，逐步增强自身</w:t>
      </w:r>
    </w:p>
    <w:p>
      <w:pPr>
        <w:pStyle w:val="BodyText"/>
        <w:spacing w:line="312" w:lineRule="auto" w:before="13"/>
        <w:ind w:right="1131"/>
        <w:jc w:val="both"/>
      </w:pPr>
      <w:r>
        <w:rPr>
          <w:spacing w:val="-2"/>
        </w:rPr>
        <w:t>的研发实力。随着电源产品向高频、高功率、高效率、高可靠、智能化方向发展，电源的研发技术要求，尤其是大功率</w:t>
      </w:r>
      <w:r>
        <w:rPr>
          <w:rFonts w:ascii="Times New Roman" w:hAnsi="Times New Roman" w:cs="Times New Roman" w:eastAsia="Times New Roman" w:hint="default"/>
          <w:spacing w:val="-2"/>
        </w:rPr>
        <w:t>LED</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2"/>
        </w:rPr>
        <w:t>驱动电源的技术要求显著提高，工艺技术和行业经验也非常重要，需要长时间的行业积累。虽然公司对电源的技术研发一直</w:t>
      </w:r>
      <w:r>
        <w:rPr>
          <w:spacing w:val="-66"/>
        </w:rPr>
        <w:t> </w:t>
      </w:r>
      <w:r>
        <w:rPr>
          <w:spacing w:val="-66"/>
        </w:rPr>
      </w:r>
      <w:r>
        <w:rPr>
          <w:spacing w:val="-2"/>
        </w:rPr>
        <w:t>处于行业领先水平，但是如果公司技术不能持续进步、保持行业领先，或是研发方向决策错误，开发的新产品不能很好的适</w:t>
      </w:r>
      <w:r>
        <w:rPr>
          <w:spacing w:val="-66"/>
        </w:rPr>
        <w:t> </w:t>
      </w:r>
      <w:r>
        <w:rPr>
          <w:spacing w:val="-66"/>
        </w:rPr>
      </w:r>
      <w:r>
        <w:rPr/>
        <w:t>应市场需求，公司的竞争能力将被削弱。</w:t>
      </w:r>
    </w:p>
    <w:p>
      <w:pPr>
        <w:pStyle w:val="BodyText"/>
        <w:spacing w:line="300" w:lineRule="auto" w:before="22"/>
        <w:ind w:left="574" w:right="1130"/>
        <w:jc w:val="left"/>
      </w:pPr>
      <w:r>
        <w:rPr>
          <w:rFonts w:ascii="Times New Roman" w:hAnsi="Times New Roman" w:cs="Times New Roman" w:eastAsia="Times New Roman" w:hint="default"/>
        </w:rPr>
        <w:t>3</w:t>
      </w:r>
      <w:r>
        <w:rPr/>
        <w:t>、资产减值的风险 公司</w:t>
      </w:r>
      <w:r>
        <w:rPr>
          <w:rFonts w:ascii="Times New Roman" w:hAnsi="Times New Roman" w:cs="Times New Roman" w:eastAsia="Times New Roman" w:hint="default"/>
        </w:rPr>
        <w:t>2015</w:t>
      </w:r>
      <w:r>
        <w:rPr/>
        <w:t>年完成对湖南方正达的收购，形成</w:t>
      </w:r>
      <w:r>
        <w:rPr>
          <w:rFonts w:ascii="Times New Roman" w:hAnsi="Times New Roman" w:cs="Times New Roman" w:eastAsia="Times New Roman" w:hint="default"/>
        </w:rPr>
        <w:t>131,038,709.71</w:t>
      </w:r>
      <w:r>
        <w:rPr/>
        <w:t>元的商誉，随着</w:t>
      </w:r>
      <w:r>
        <w:rPr>
          <w:rFonts w:ascii="Times New Roman" w:hAnsi="Times New Roman" w:cs="Times New Roman" w:eastAsia="Times New Roman" w:hint="default"/>
        </w:rPr>
        <w:t>FPC</w:t>
      </w:r>
      <w:r>
        <w:rPr/>
        <w:t>行业竞争日趋激烈，若湖南方正达不能</w:t>
      </w:r>
    </w:p>
    <w:p>
      <w:pPr>
        <w:pStyle w:val="BodyText"/>
        <w:spacing w:line="316" w:lineRule="auto" w:before="13"/>
        <w:ind w:left="573" w:right="1130" w:hanging="420"/>
        <w:jc w:val="left"/>
      </w:pPr>
      <w:r>
        <w:rPr/>
        <w:t>较好地完成承诺业绩，则存在商誉减值的风险。 经公司第四届董事会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4</w:t>
      </w:r>
      <w:r>
        <w:rPr/>
        <w:t>次临时会议、</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3</w:t>
      </w:r>
      <w:r>
        <w:rPr/>
        <w:t>次临时股东大会审议通过，同意公司以</w:t>
      </w:r>
      <w:r>
        <w:rPr>
          <w:rFonts w:ascii="Times New Roman" w:hAnsi="Times New Roman" w:cs="Times New Roman" w:eastAsia="Times New Roman" w:hint="default"/>
        </w:rPr>
        <w:t>15,300</w:t>
      </w:r>
      <w:r>
        <w:rPr/>
        <w:t>万元的股权交易</w:t>
      </w:r>
    </w:p>
    <w:p>
      <w:pPr>
        <w:pStyle w:val="BodyText"/>
        <w:spacing w:line="300" w:lineRule="auto"/>
        <w:ind w:left="154" w:right="1125"/>
        <w:jc w:val="both"/>
      </w:pPr>
      <w:r>
        <w:rPr/>
        <w:t>对价转让方正达</w:t>
      </w:r>
      <w:r>
        <w:rPr>
          <w:rFonts w:ascii="Times New Roman" w:hAnsi="Times New Roman" w:cs="Times New Roman" w:eastAsia="Times New Roman" w:hint="default"/>
        </w:rPr>
        <w:t>34%</w:t>
      </w:r>
      <w:r>
        <w:rPr/>
        <w:t>的股权。本次交易的顺利实施，公司将获得</w:t>
      </w:r>
      <w:r>
        <w:rPr>
          <w:rFonts w:ascii="Times New Roman" w:hAnsi="Times New Roman" w:cs="Times New Roman" w:eastAsia="Times New Roman" w:hint="default"/>
        </w:rPr>
        <w:t>15,300</w:t>
      </w:r>
      <w:r>
        <w:rPr/>
        <w:t>万元人民币的股权转让价款，增加公司的营运资金， 有利于公司优化资产结构，符合公司的长期发展战略和全体股东的根本利益。本次交易完成后，公司将持有方正达</w:t>
      </w:r>
      <w:r>
        <w:rPr>
          <w:rFonts w:ascii="Times New Roman" w:hAnsi="Times New Roman" w:cs="Times New Roman" w:eastAsia="Times New Roman" w:hint="default"/>
        </w:rPr>
        <w:t>22.24%</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
        </w:rPr>
        <w:t>的股权，不再纳入公司合并范围。后续公司通过发挥与方正达在</w:t>
      </w:r>
      <w:r>
        <w:rPr>
          <w:rFonts w:ascii="Times New Roman" w:hAnsi="Times New Roman" w:cs="Times New Roman" w:eastAsia="Times New Roman" w:hint="default"/>
          <w:spacing w:val="-2"/>
        </w:rPr>
        <w:t>LED</w:t>
      </w:r>
      <w:r>
        <w:rPr>
          <w:spacing w:val="-2"/>
        </w:rPr>
        <w:t>产品产业链的配套优势，在品牌影响、技术研发、市场</w:t>
      </w:r>
      <w:r>
        <w:rPr>
          <w:spacing w:val="-56"/>
        </w:rPr>
        <w:t> </w:t>
      </w:r>
      <w:r>
        <w:rPr>
          <w:spacing w:val="-56"/>
        </w:rPr>
      </w:r>
      <w:r>
        <w:rPr>
          <w:spacing w:val="-2"/>
        </w:rPr>
        <w:t>开拓等方面的协同优势，进一步增强细分领域的市场竞争力，稳步提升公司及方正达的市场拓展能力及市场占有率，以降低</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t>后续持有方正达长期资产减值风险的可能性，但未来随着</w:t>
      </w:r>
      <w:r>
        <w:rPr>
          <w:rFonts w:ascii="Times New Roman" w:hAnsi="Times New Roman" w:cs="Times New Roman" w:eastAsia="Times New Roman" w:hint="default"/>
        </w:rPr>
        <w:t>FPC</w:t>
      </w:r>
      <w:r>
        <w:rPr/>
        <w:t>行业竞争日趋激烈</w:t>
      </w:r>
      <w:r>
        <w:rPr>
          <w:rFonts w:ascii="Times New Roman" w:hAnsi="Times New Roman" w:cs="Times New Roman" w:eastAsia="Times New Roman" w:hint="default"/>
        </w:rPr>
        <w:t>,</w:t>
      </w:r>
      <w:r>
        <w:rPr/>
        <w:t>则仍存在长期资产的减值风险。</w:t>
      </w:r>
    </w:p>
    <w:p>
      <w:pPr>
        <w:pStyle w:val="BodyText"/>
        <w:spacing w:line="240" w:lineRule="auto" w:before="63"/>
        <w:ind w:left="573" w:right="1130"/>
        <w:jc w:val="left"/>
      </w:pPr>
      <w:r>
        <w:rPr>
          <w:rFonts w:ascii="Times New Roman" w:hAnsi="Times New Roman" w:cs="Times New Roman" w:eastAsia="Times New Roman" w:hint="default"/>
        </w:rPr>
        <w:t>4</w:t>
      </w:r>
      <w:r>
        <w:rPr/>
        <w:t>、光伏发电项目执行标杆上网电价下调的风险</w:t>
      </w:r>
    </w:p>
    <w:p>
      <w:pPr>
        <w:pStyle w:val="BodyText"/>
        <w:spacing w:line="300" w:lineRule="auto" w:before="63"/>
        <w:ind w:right="1130"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日，国家发改委发布《国家发展改革委关于调整光伏电价的通知》，根据当前新能源产业技术进步和成 </w:t>
      </w:r>
      <w:r>
        <w:rPr>
          <w:spacing w:val="-2"/>
        </w:rPr>
        <w:t>本降低情况，降低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日之后新核准建设的等陆上风电标杆上网电价，光伏电站</w:t>
      </w:r>
      <w:r>
        <w:rPr>
          <w:rFonts w:ascii="Times New Roman" w:hAnsi="Times New Roman" w:cs="Times New Roman" w:eastAsia="Times New Roman" w:hint="default"/>
          <w:spacing w:val="-2"/>
        </w:rPr>
        <w:t>I</w:t>
      </w:r>
      <w:r>
        <w:rPr>
          <w:spacing w:val="-2"/>
        </w:rPr>
        <w:t>类、</w:t>
      </w:r>
      <w:r>
        <w:rPr>
          <w:rFonts w:ascii="Times New Roman" w:hAnsi="Times New Roman" w:cs="Times New Roman" w:eastAsia="Times New Roman" w:hint="default"/>
          <w:spacing w:val="-2"/>
        </w:rPr>
        <w:t>II</w:t>
      </w:r>
      <w:r>
        <w:rPr>
          <w:spacing w:val="-2"/>
        </w:rPr>
        <w:t>类、</w:t>
      </w:r>
      <w:r>
        <w:rPr>
          <w:rFonts w:ascii="Times New Roman" w:hAnsi="Times New Roman" w:cs="Times New Roman" w:eastAsia="Times New Roman" w:hint="default"/>
          <w:spacing w:val="-2"/>
        </w:rPr>
        <w:t>III</w:t>
      </w:r>
      <w:r>
        <w:rPr>
          <w:spacing w:val="-2"/>
        </w:rPr>
        <w:t>类资源区光伏上网电价</w:t>
      </w:r>
      <w:r>
        <w:rPr>
          <w:spacing w:val="-51"/>
        </w:rPr>
        <w:t> </w:t>
      </w:r>
      <w:r>
        <w:rPr>
          <w:spacing w:val="-1"/>
        </w:rPr>
        <w:t>调整为</w:t>
      </w:r>
      <w:r>
        <w:rPr>
          <w:rFonts w:ascii="Times New Roman" w:hAnsi="Times New Roman" w:cs="Times New Roman" w:eastAsia="Times New Roman" w:hint="default"/>
          <w:spacing w:val="-1"/>
        </w:rPr>
        <w:t>0.55</w:t>
      </w:r>
      <w:r>
        <w:rPr>
          <w:spacing w:val="-1"/>
        </w:rPr>
        <w:t>元、</w:t>
      </w:r>
      <w:r>
        <w:rPr>
          <w:rFonts w:ascii="Times New Roman" w:hAnsi="Times New Roman" w:cs="Times New Roman" w:eastAsia="Times New Roman" w:hint="default"/>
          <w:spacing w:val="-1"/>
        </w:rPr>
        <w:t>0.65</w:t>
      </w:r>
      <w:r>
        <w:rPr>
          <w:spacing w:val="-1"/>
        </w:rPr>
        <w:t>元和</w:t>
      </w:r>
      <w:r>
        <w:rPr>
          <w:rFonts w:ascii="Times New Roman" w:hAnsi="Times New Roman" w:cs="Times New Roman" w:eastAsia="Times New Roman" w:hint="default"/>
          <w:spacing w:val="-1"/>
        </w:rPr>
        <w:t>0.75</w:t>
      </w:r>
      <w:r>
        <w:rPr>
          <w:spacing w:val="-1"/>
        </w:rPr>
        <w:t>元，整体下调</w:t>
      </w:r>
      <w:r>
        <w:rPr>
          <w:rFonts w:ascii="Times New Roman" w:hAnsi="Times New Roman" w:cs="Times New Roman" w:eastAsia="Times New Roman" w:hint="default"/>
          <w:spacing w:val="-1"/>
        </w:rPr>
        <w:t>0.1</w:t>
      </w:r>
      <w:r>
        <w:rPr>
          <w:spacing w:val="-1"/>
        </w:rPr>
        <w:t>元。分布式光伏项目度电补贴下调</w:t>
      </w:r>
      <w:r>
        <w:rPr>
          <w:rFonts w:ascii="Times New Roman" w:hAnsi="Times New Roman" w:cs="Times New Roman" w:eastAsia="Times New Roman" w:hint="default"/>
          <w:spacing w:val="-1"/>
        </w:rPr>
        <w:t>0.05</w:t>
      </w:r>
      <w:r>
        <w:rPr>
          <w:spacing w:val="-1"/>
        </w:rPr>
        <w:t>元，由原来的</w:t>
      </w:r>
      <w:r>
        <w:rPr>
          <w:rFonts w:ascii="Times New Roman" w:hAnsi="Times New Roman" w:cs="Times New Roman" w:eastAsia="Times New Roman" w:hint="default"/>
          <w:spacing w:val="-1"/>
        </w:rPr>
        <w:t>0.42</w:t>
      </w:r>
      <w:r>
        <w:rPr>
          <w:spacing w:val="-1"/>
        </w:rPr>
        <w:t>元下调到</w:t>
      </w:r>
      <w:r>
        <w:rPr>
          <w:rFonts w:ascii="Times New Roman" w:hAnsi="Times New Roman" w:cs="Times New Roman" w:eastAsia="Times New Roman" w:hint="default"/>
          <w:spacing w:val="-1"/>
        </w:rPr>
        <w:t>0.37</w:t>
      </w:r>
      <w:r>
        <w:rPr>
          <w:spacing w:val="-1"/>
        </w:rPr>
        <w:t>元。《调</w:t>
      </w:r>
      <w:r>
        <w:rPr>
          <w:spacing w:val="-67"/>
        </w:rPr>
        <w:t> </w:t>
      </w:r>
      <w:r>
        <w:rPr>
          <w:spacing w:val="-67"/>
        </w:rPr>
      </w:r>
      <w:r>
        <w:rPr>
          <w:spacing w:val="-2"/>
        </w:rPr>
        <w:t>整通知》同时规定，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日以后投运的光伏发电项目，执行</w:t>
      </w:r>
      <w:r>
        <w:rPr>
          <w:rFonts w:ascii="Times New Roman" w:hAnsi="Times New Roman" w:cs="Times New Roman" w:eastAsia="Times New Roman" w:hint="default"/>
          <w:spacing w:val="-2"/>
        </w:rPr>
        <w:t>2018</w:t>
      </w:r>
      <w:r>
        <w:rPr>
          <w:spacing w:val="-2"/>
        </w:rPr>
        <w:t>年光伏发电标杆上网电价；随着光伏行业的爆发式增</w:t>
      </w:r>
      <w:r>
        <w:rPr>
          <w:spacing w:val="-56"/>
        </w:rPr>
        <w:t> </w:t>
      </w:r>
      <w:r>
        <w:rPr>
          <w:spacing w:val="-56"/>
        </w:rPr>
      </w:r>
      <w:r>
        <w:rPr/>
        <w:t>长，企业的竞争日益激烈，可以预测国家取消补贴的政策将变成现实。</w:t>
      </w:r>
    </w:p>
    <w:p>
      <w:pPr>
        <w:pStyle w:val="BodyText"/>
        <w:spacing w:line="300" w:lineRule="auto" w:before="31"/>
        <w:ind w:left="514" w:right="1130" w:firstLine="60"/>
        <w:jc w:val="left"/>
      </w:pPr>
      <w:r>
        <w:rPr>
          <w:rFonts w:ascii="Times New Roman" w:hAnsi="Times New Roman" w:cs="Times New Roman" w:eastAsia="Times New Roman" w:hint="default"/>
        </w:rPr>
        <w:t>5</w:t>
      </w:r>
      <w:r>
        <w:rPr/>
        <w:t>、汇率波动的风险 </w:t>
      </w:r>
      <w:r>
        <w:rPr>
          <w:spacing w:val="-2"/>
        </w:rPr>
        <w:t>随着公司海外市场业务的不断拓展，外贸销售业务占比持续攀升，公司日常经营涉及大量的外汇收支，在此期间，如果</w:t>
      </w:r>
    </w:p>
    <w:p>
      <w:pPr>
        <w:pStyle w:val="BodyText"/>
        <w:spacing w:line="316" w:lineRule="auto" w:before="31"/>
        <w:ind w:left="154" w:right="1130"/>
        <w:jc w:val="left"/>
      </w:pPr>
      <w:r>
        <w:rPr>
          <w:spacing w:val="-2"/>
        </w:rPr>
        <w:t>国际外汇市场出现剧烈波动，将给公司的经营带来较大波动。针对上述风险，公司通过开展外汇套期保值业务来规避外汇市</w:t>
      </w:r>
      <w:r>
        <w:rPr>
          <w:spacing w:val="-66"/>
        </w:rPr>
        <w:t> </w:t>
      </w:r>
      <w:r>
        <w:rPr>
          <w:spacing w:val="-66"/>
        </w:rPr>
      </w:r>
      <w:r>
        <w:rPr/>
        <w:t>场的风险，防范汇率大幅波动对公司造成的不良影响，锁定汇兑成本；完善经营管理。</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13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报告期内普通股利润分配政策，特别是现金分红政策的制定、执行或调整情况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13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Times New Roman" w:hAnsi="Times New Roman" w:cs="Times New Roman" w:eastAsia="Times New Roman" w:hint="default"/>
          <w:spacing w:val="-1"/>
        </w:rPr>
        <w:t>2015</w:t>
      </w:r>
      <w:r>
        <w:rPr>
          <w:spacing w:val="-1"/>
        </w:rPr>
        <w:t>年，以公司现有总股本</w:t>
      </w:r>
      <w:r>
        <w:rPr>
          <w:rFonts w:ascii="Times New Roman" w:hAnsi="Times New Roman" w:cs="Times New Roman" w:eastAsia="Times New Roman" w:hint="default"/>
          <w:spacing w:val="-1"/>
        </w:rPr>
        <w:t>277,341,300</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0.16</w:t>
      </w:r>
      <w:r>
        <w:rPr>
          <w:spacing w:val="-1"/>
        </w:rPr>
        <w:t>元人民币（含税），不涉及资本公积</w:t>
      </w:r>
      <w:r>
        <w:rPr>
          <w:spacing w:val="-68"/>
        </w:rPr>
        <w:t> </w:t>
      </w:r>
      <w:r>
        <w:rPr>
          <w:spacing w:val="-68"/>
        </w:rPr>
      </w:r>
      <w:r>
        <w:rPr/>
        <w:t>金转增股本。</w:t>
      </w:r>
    </w:p>
    <w:p>
      <w:pPr>
        <w:pStyle w:val="BodyText"/>
        <w:spacing w:line="240" w:lineRule="auto" w:before="17"/>
        <w:ind w:right="1130"/>
        <w:jc w:val="left"/>
      </w:pPr>
      <w:r>
        <w:rPr>
          <w:rFonts w:ascii="Times New Roman" w:hAnsi="Times New Roman" w:cs="Times New Roman" w:eastAsia="Times New Roman" w:hint="default"/>
        </w:rPr>
        <w:t>2016</w:t>
      </w:r>
      <w:r>
        <w:rPr/>
        <w:t>年，公司不派发现金红利，不送红股，不以公积金转增股本。</w:t>
      </w:r>
    </w:p>
    <w:p>
      <w:pPr>
        <w:pStyle w:val="BodyText"/>
        <w:spacing w:line="240" w:lineRule="auto" w:before="63"/>
        <w:ind w:right="1130"/>
        <w:jc w:val="left"/>
      </w:pPr>
      <w:r>
        <w:rPr>
          <w:rFonts w:ascii="Times New Roman" w:hAnsi="Times New Roman" w:cs="Times New Roman" w:eastAsia="Times New Roman" w:hint="default"/>
        </w:rPr>
        <w:t>2017</w:t>
      </w:r>
      <w:r>
        <w:rPr/>
        <w:t>年，公司不派发现金红利，不送红股，不以公积金转增股本。</w:t>
      </w:r>
    </w:p>
    <w:p>
      <w:pPr>
        <w:spacing w:line="240" w:lineRule="auto" w:before="5"/>
        <w:rPr>
          <w:rFonts w:ascii="宋体" w:hAnsi="宋体" w:cs="宋体" w:eastAsia="宋体" w:hint="default"/>
          <w:sz w:val="28"/>
          <w:szCs w:val="28"/>
        </w:rPr>
      </w:pPr>
    </w:p>
    <w:p>
      <w:pPr>
        <w:pStyle w:val="BodyText"/>
        <w:spacing w:line="240" w:lineRule="auto" w:before="44"/>
        <w:ind w:right="113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13,065,004.57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-1,788,124.06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4,437,460.80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16,053,060.51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公司报告期内盈利且母公司可供普通股股东分配利润为正但未提出普通股现金红利分配预案</w:t>
      </w:r>
    </w:p>
    <w:p>
      <w:pPr>
        <w:pStyle w:val="BodyText"/>
        <w:spacing w:line="240" w:lineRule="auto" w:before="116"/>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1,306.5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万元，期间提取盈余公积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万元，且本期子公司收购少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数股东股权因资本公积不足冲减，调减未分配利润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元，因此导致报告期实现的可供股东分配的利润仅为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489.41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万元。公司预计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年度有重大资金支出安排，故决定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年度不进行现金分红。</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9"/>
              <w:jc w:val="both"/>
              <w:rPr>
                <w:rFonts w:ascii="宋体" w:hAnsi="宋体" w:cs="宋体" w:eastAsia="宋体" w:hint="default"/>
                <w:sz w:val="18"/>
                <w:szCs w:val="18"/>
              </w:rPr>
            </w:pPr>
            <w:r>
              <w:rPr>
                <w:rFonts w:ascii="宋体" w:hAnsi="宋体" w:cs="宋体" w:eastAsia="宋体" w:hint="default"/>
                <w:sz w:val="18"/>
                <w:szCs w:val="18"/>
              </w:rPr>
              <w:t>公司未分配利润转入下一年度，主要用于生产经营等相关资 金支出安排，通过未分配利润合理有效的再投入，公司将获 得更稳定的发展，从而更好的回报全体股东。</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367.660004pt;margin-top:519.039978pt;width:55.85pt;height:240.8pt;mso-position-horizontal-relative:page;mso-position-vertical-relative:page;z-index:-1318576" coordorigin="7353,10381" coordsize="1117,4816">
            <v:shape style="position:absolute;left:7353;top:10381;width:1117;height:4816" coordorigin="7353,10381" coordsize="1117,4816" path="m7353,15197l8470,15197,8470,10381,7353,10381,7353,15197xe" filled="true" fillcolor="#ffffff" stroked="false">
              <v:path arrowok="t"/>
              <v:fill type="solid"/>
            </v:shape>
            <w10:wrap type="none"/>
          </v:group>
        </w:pict>
      </w:r>
    </w:p>
    <w:p>
      <w:pPr>
        <w:pStyle w:val="Heading2"/>
        <w:spacing w:line="240" w:lineRule="auto" w:before="26"/>
        <w:ind w:right="113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6"/>
        <w:rPr>
          <w:rFonts w:ascii="宋体" w:hAnsi="宋体" w:cs="宋体" w:eastAsia="宋体" w:hint="default"/>
          <w:b/>
          <w:bCs/>
          <w:sz w:val="25"/>
          <w:szCs w:val="25"/>
        </w:rPr>
      </w:pPr>
    </w:p>
    <w:p>
      <w:pPr>
        <w:pStyle w:val="Heading3"/>
        <w:spacing w:line="271" w:lineRule="auto"/>
        <w:ind w:right="113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spacing w:val="-2"/>
          <w:w w:val="95"/>
        </w:rPr>
        <w:t>1</w:t>
      </w:r>
      <w:r>
        <w:rPr>
          <w:spacing w:val="-2"/>
          <w:w w:val="95"/>
        </w:rPr>
        <w:t>、公司实际控制人、股东、关联方、收购人以及公司等承诺相关方在报告期内履行完毕及截至报告期末尚未履</w:t>
      </w:r>
      <w:r>
        <w:rPr>
          <w:spacing w:val="94"/>
          <w:w w:val="95"/>
        </w:rPr>
        <w:t> </w:t>
      </w:r>
      <w:r>
        <w:rPr>
          <w:spacing w:val="94"/>
          <w:w w:val="95"/>
        </w:rPr>
      </w:r>
      <w:r>
        <w:rPr/>
        <w:t>行完毕的承诺事项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97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56"/>
              <w:ind w:left="17" w:right="141"/>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6"/>
              <w:ind w:left="22" w:right="6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252" w:type="dxa"/>
            <w:vMerge w:val="restart"/>
            <w:tcBorders>
              <w:top w:val="single" w:sz="4" w:space="0" w:color="000000"/>
              <w:left w:val="single" w:sz="4" w:space="0" w:color="000000"/>
              <w:right w:val="single" w:sz="9" w:space="0" w:color="FFFFFF"/>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pacing w:val="-10"/>
                <w:sz w:val="18"/>
                <w:szCs w:val="18"/>
              </w:rPr>
              <w:t>方笑求、蓝顺明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已经分别出具</w:t>
            </w:r>
          </w:p>
          <w:p>
            <w:pPr>
              <w:pStyle w:val="TableParagraph"/>
              <w:spacing w:line="314" w:lineRule="auto" w:before="19"/>
              <w:ind w:left="22" w:right="-48"/>
              <w:jc w:val="left"/>
              <w:rPr>
                <w:rFonts w:ascii="宋体" w:hAnsi="宋体" w:cs="宋体" w:eastAsia="宋体" w:hint="default"/>
                <w:sz w:val="18"/>
                <w:szCs w:val="18"/>
              </w:rPr>
            </w:pPr>
            <w:r>
              <w:rPr>
                <w:rFonts w:ascii="宋体" w:hAnsi="宋体" w:cs="宋体" w:eastAsia="宋体" w:hint="default"/>
                <w:sz w:val="18"/>
                <w:szCs w:val="18"/>
              </w:rPr>
              <w:t>《关于股份锁 定的承诺函》， 方笑求承诺其 本次认购茂硕 电源的股份自 股份发行上市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内不进行转让。 蓝顺明承诺其 本次认购茂硕 电源的股份自 股份发行上市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内不进行转让。 </w:t>
            </w:r>
            <w:r>
              <w:rPr>
                <w:rFonts w:ascii="宋体" w:hAnsi="宋体" w:cs="宋体" w:eastAsia="宋体" w:hint="default"/>
                <w:spacing w:val="-10"/>
                <w:sz w:val="18"/>
                <w:szCs w:val="18"/>
              </w:rPr>
              <w:t>同时，为保证盈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利预测业绩补 </w:t>
            </w:r>
            <w:r>
              <w:rPr>
                <w:rFonts w:ascii="宋体" w:hAnsi="宋体" w:cs="宋体" w:eastAsia="宋体" w:hint="default"/>
                <w:spacing w:val="-10"/>
                <w:sz w:val="18"/>
                <w:szCs w:val="18"/>
              </w:rPr>
              <w:t>偿的可行性，自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股份发行上市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10"/>
                <w:sz w:val="18"/>
                <w:szCs w:val="18"/>
              </w:rPr>
              <w:t>后，蓝顺明本次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认购的茂硕电 源股份按以下 比例分批解锁：</w:t>
            </w:r>
          </w:p>
          <w:p>
            <w:pPr>
              <w:pStyle w:val="TableParagraph"/>
              <w:spacing w:line="307" w:lineRule="auto" w:before="20"/>
              <w:ind w:left="22" w:right="15"/>
              <w:jc w:val="left"/>
              <w:rPr>
                <w:rFonts w:ascii="宋体" w:hAnsi="宋体" w:cs="宋体" w:eastAsia="宋体" w:hint="default"/>
                <w:sz w:val="18"/>
                <w:szCs w:val="18"/>
              </w:rPr>
            </w:pPr>
            <w:r>
              <w:rPr>
                <w:rFonts w:ascii="宋体" w:hAnsi="宋体" w:cs="宋体" w:eastAsia="宋体" w:hint="default"/>
                <w:sz w:val="18"/>
                <w:szCs w:val="18"/>
              </w:rPr>
              <w:t>①自股份发行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个月后解锁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；②自股份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 锁</w:t>
            </w:r>
            <w:r>
              <w:rPr>
                <w:rFonts w:ascii="宋体" w:hAnsi="宋体" w:cs="宋体" w:eastAsia="宋体" w:hint="default"/>
                <w:spacing w:val="-44"/>
                <w:sz w:val="18"/>
                <w:szCs w:val="18"/>
              </w:rPr>
              <w:t> </w:t>
            </w:r>
            <w:r>
              <w:rPr>
                <w:rFonts w:ascii="Times New Roman" w:hAnsi="Times New Roman" w:cs="Times New Roman" w:eastAsia="Times New Roman" w:hint="default"/>
                <w:spacing w:val="-12"/>
                <w:sz w:val="18"/>
                <w:szCs w:val="18"/>
              </w:rPr>
              <w:t>25%</w:t>
            </w:r>
            <w:r>
              <w:rPr>
                <w:rFonts w:ascii="宋体" w:hAnsi="宋体" w:cs="宋体" w:eastAsia="宋体" w:hint="default"/>
                <w:spacing w:val="-12"/>
                <w:sz w:val="18"/>
                <w:szCs w:val="18"/>
              </w:rPr>
              <w:t>；③自股</w:t>
            </w:r>
            <w:r>
              <w:rPr>
                <w:rFonts w:ascii="宋体" w:hAnsi="宋体" w:cs="宋体" w:eastAsia="宋体" w:hint="default"/>
                <w:sz w:val="18"/>
                <w:szCs w:val="18"/>
              </w:rPr>
              <w:t> 份发行上市之</w:t>
            </w:r>
          </w:p>
        </w:tc>
        <w:tc>
          <w:tcPr>
            <w:tcW w:w="1126" w:type="dxa"/>
            <w:vMerge w:val="restart"/>
            <w:tcBorders>
              <w:top w:val="single" w:sz="4" w:space="0" w:color="000000"/>
              <w:left w:val="single" w:sz="9" w:space="0" w:color="FFFFFF"/>
              <w:right w:val="single" w:sz="4" w:space="0" w:color="000000"/>
            </w:tcBorders>
          </w:tcPr>
          <w:p>
            <w:pPr>
              <w:pStyle w:val="TableParagraph"/>
              <w:spacing w:line="4816" w:lineRule="exact"/>
              <w:ind w:left="-7" w:right="-51"/>
              <w:jc w:val="left"/>
              <w:rPr>
                <w:rFonts w:ascii="宋体" w:hAnsi="宋体" w:cs="宋体" w:eastAsia="宋体" w:hint="default"/>
                <w:sz w:val="20"/>
                <w:szCs w:val="20"/>
              </w:rPr>
            </w:pPr>
            <w:r>
              <w:rPr>
                <w:rFonts w:ascii="宋体" w:hAnsi="宋体" w:cs="宋体" w:eastAsia="宋体" w:hint="default"/>
                <w:position w:val="-95"/>
                <w:sz w:val="20"/>
                <w:szCs w:val="20"/>
              </w:rPr>
              <w:pict>
                <v:group style="width:55.85pt;height:240.8pt;mso-position-horizontal-relative:char;mso-position-vertical-relative:line" coordorigin="0,0" coordsize="1117,4816">
                  <v:group style="position:absolute;left:0;top:0;width:1117;height:4816" coordorigin="0,0" coordsize="1117,4816">
                    <v:shape style="position:absolute;left:0;top:0;width:1117;height:4816" coordorigin="0,0" coordsize="1117,4816" path="m0,4816l1116,4816,1116,0,0,0,0,4816xe" filled="true" fillcolor="#ffffff" stroked="false">
                      <v:path arrowok="t"/>
                      <v:fill type="solid"/>
                    </v:shape>
                  </v:group>
                </v:group>
              </w:pict>
            </w:r>
            <w:r>
              <w:rPr>
                <w:rFonts w:ascii="宋体" w:hAnsi="宋体" w:cs="宋体" w:eastAsia="宋体" w:hint="default"/>
                <w:position w:val="-95"/>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001" w:type="dxa"/>
            <w:vMerge/>
            <w:tcBorders>
              <w:left w:val="single" w:sz="4" w:space="0" w:color="000000"/>
              <w:right w:val="single" w:sz="4" w:space="0" w:color="000000"/>
            </w:tcBorders>
          </w:tcPr>
          <w:p>
            <w:pPr/>
          </w:p>
        </w:tc>
        <w:tc>
          <w:tcPr>
            <w:tcW w:w="1252" w:type="dxa"/>
            <w:vMerge/>
            <w:tcBorders>
              <w:left w:val="single" w:sz="4" w:space="0" w:color="000000"/>
              <w:right w:val="single" w:sz="9" w:space="0" w:color="FFFFFF"/>
            </w:tcBorders>
          </w:tcPr>
          <w:p>
            <w:pPr/>
          </w:p>
        </w:tc>
        <w:tc>
          <w:tcPr>
            <w:tcW w:w="1126" w:type="dxa"/>
            <w:vMerge/>
            <w:tcBorders>
              <w:left w:val="single" w:sz="9" w:space="0" w:color="FFFFFF"/>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97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52" w:type="dxa"/>
            <w:vMerge/>
            <w:tcBorders>
              <w:left w:val="single" w:sz="4" w:space="0" w:color="000000"/>
              <w:bottom w:val="single" w:sz="4" w:space="0" w:color="000000"/>
              <w:right w:val="single" w:sz="9" w:space="0" w:color="FFFFFF"/>
            </w:tcBorders>
          </w:tcPr>
          <w:p>
            <w:pPr/>
          </w:p>
        </w:tc>
        <w:tc>
          <w:tcPr>
            <w:tcW w:w="1126" w:type="dxa"/>
            <w:vMerge/>
            <w:tcBorders>
              <w:left w:val="single" w:sz="9" w:space="0" w:color="FFFFF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8"/>
        <w:rPr>
          <w:rFonts w:ascii="宋体" w:hAnsi="宋体" w:cs="宋体" w:eastAsia="宋体" w:hint="default"/>
          <w:sz w:val="26"/>
          <w:szCs w:val="26"/>
        </w:rPr>
      </w:pPr>
      <w:r>
        <w:rPr/>
        <w:pict>
          <v:group style="position:absolute;margin-left:56.459999pt;margin-top:71.759979pt;width:478.95pt;height:688pt;mso-position-horizontal-relative:page;mso-position-vertical-relative:page;z-index:-1318552"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992;height:2" coordorigin="5101,1445" coordsize="992,2">
              <v:shape style="position:absolute;left:5101;top:1445;width:992;height:2" coordorigin="5101,1445" coordsize="992,0" path="m5101,1445l6092,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102;top:1445;width:1242;height:2" coordorigin="6102,1445" coordsize="1242,2">
              <v:shape style="position:absolute;left:6102;top:1445;width:1242;height:2" coordorigin="6102,1445" coordsize="1242,0" path="m6102,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992;height:2" coordorigin="5101,15185" coordsize="992,2">
              <v:shape style="position:absolute;left:5101;top:15185;width:992;height:2" coordorigin="5101,15185" coordsize="992,0" path="m5101,15185l6092,15185e" filled="false" stroked="true" strokeweight=".48pt" strokecolor="#000000">
                <v:path arrowok="t"/>
              </v:shape>
            </v:group>
            <v:group style="position:absolute;left:6097;top:1440;width:2;height:13750" coordorigin="6097,1440" coordsize="2,13750">
              <v:shape style="position:absolute;left:6097;top:1440;width:2;height:13750" coordorigin="6097,1440" coordsize="0,13750" path="m6097,1440l6097,15190e" filled="false" stroked="true" strokeweight=".48pt" strokecolor="#000000">
                <v:path arrowok="t"/>
              </v:shape>
            </v:group>
            <v:group style="position:absolute;left:6102;top:15185;width:1242;height:2" coordorigin="6102,15185" coordsize="1242,2">
              <v:shape style="position:absolute;left:6102;top:15185;width:1242;height:2" coordorigin="6102,15185" coordsize="1242,0" path="m6102,15185l7344,15185e" filled="false" stroked="true" strokeweight=".4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pStyle w:val="BodyText"/>
        <w:spacing w:line="316" w:lineRule="auto" w:before="44"/>
        <w:ind w:left="5144" w:right="4502"/>
        <w:jc w:val="left"/>
      </w:pPr>
      <w:r>
        <w:rPr/>
        <w:t>日起</w:t>
      </w:r>
      <w:r>
        <w:rPr>
          <w:spacing w:val="-46"/>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 解锁</w:t>
      </w:r>
      <w:r>
        <w:rPr>
          <w:spacing w:val="-45"/>
        </w:rPr>
        <w:t> </w:t>
      </w:r>
      <w:r>
        <w:rPr>
          <w:rFonts w:ascii="Times New Roman" w:hAnsi="Times New Roman" w:cs="Times New Roman" w:eastAsia="Times New Roman" w:hint="default"/>
          <w:spacing w:val="-14"/>
        </w:rPr>
        <w:t>50%</w:t>
      </w:r>
      <w:r>
        <w:rPr>
          <w:spacing w:val="-14"/>
        </w:rPr>
        <w:t>。前述</w:t>
      </w:r>
      <w:r>
        <w:rPr/>
        <w:t> 锁定期届满后， </w:t>
      </w:r>
      <w:r>
        <w:rPr>
          <w:spacing w:val="-10"/>
        </w:rPr>
        <w:t>若方笑求、蓝顺</w:t>
      </w:r>
      <w:r>
        <w:rPr>
          <w:spacing w:val="-85"/>
        </w:rPr>
        <w:t> </w:t>
      </w:r>
      <w:r>
        <w:rPr>
          <w:spacing w:val="-85"/>
        </w:rPr>
      </w:r>
      <w:r>
        <w:rPr>
          <w:spacing w:val="-10"/>
        </w:rPr>
        <w:t>明需要按照《盈</w:t>
      </w:r>
      <w:r>
        <w:rPr>
          <w:spacing w:val="-85"/>
        </w:rPr>
        <w:t> </w:t>
      </w:r>
      <w:r>
        <w:rPr>
          <w:spacing w:val="-85"/>
        </w:rPr>
      </w:r>
      <w:r>
        <w:rPr/>
        <w:t>利预测补偿协 </w:t>
      </w:r>
      <w:r>
        <w:rPr>
          <w:spacing w:val="-10"/>
        </w:rPr>
        <w:t>议》的约定对公</w:t>
      </w:r>
      <w:r>
        <w:rPr>
          <w:spacing w:val="-85"/>
        </w:rPr>
        <w:t> </w:t>
      </w:r>
      <w:r>
        <w:rPr>
          <w:spacing w:val="-85"/>
        </w:rPr>
      </w:r>
      <w:r>
        <w:rPr/>
        <w:t>司进行股份补 偿，则方笑求、 蓝顺明应先对 公司进行股份 </w:t>
      </w:r>
      <w:r>
        <w:rPr>
          <w:spacing w:val="-10"/>
        </w:rPr>
        <w:t>补偿，剩余股份</w:t>
      </w:r>
      <w:r>
        <w:rPr>
          <w:spacing w:val="-85"/>
        </w:rPr>
        <w:t> </w:t>
      </w:r>
      <w:r>
        <w:rPr>
          <w:spacing w:val="-85"/>
        </w:rPr>
      </w:r>
      <w:r>
        <w:rPr/>
        <w:t>方可解锁转让， 解锁后可以按 照中国证监会 及深交所的有 关规定进行交 易。若方笑求、 蓝顺明未来在 茂硕电源担任 </w:t>
      </w:r>
      <w:r>
        <w:rPr>
          <w:spacing w:val="-10"/>
        </w:rPr>
        <w:t>董事、监事或高</w:t>
      </w:r>
      <w:r>
        <w:rPr>
          <w:spacing w:val="-85"/>
        </w:rPr>
        <w:t> </w:t>
      </w:r>
      <w:r>
        <w:rPr>
          <w:spacing w:val="-85"/>
        </w:rPr>
      </w:r>
      <w:r>
        <w:rPr/>
        <w:t>级管理人员职 </w:t>
      </w:r>
      <w:r>
        <w:rPr>
          <w:spacing w:val="-10"/>
        </w:rPr>
        <w:t>务，将按照中国</w:t>
      </w:r>
      <w:r>
        <w:rPr>
          <w:spacing w:val="-85"/>
        </w:rPr>
        <w:t> </w:t>
      </w:r>
      <w:r>
        <w:rPr>
          <w:spacing w:val="-85"/>
        </w:rPr>
      </w:r>
      <w:r>
        <w:rPr/>
        <w:t>证监会及证券 交易所关于董 </w:t>
      </w:r>
      <w:r>
        <w:rPr>
          <w:spacing w:val="-10"/>
        </w:rPr>
        <w:t>事、监事或高级</w:t>
      </w:r>
      <w:r>
        <w:rPr>
          <w:spacing w:val="-85"/>
        </w:rPr>
        <w:t> </w:t>
      </w:r>
      <w:r>
        <w:rPr>
          <w:spacing w:val="-85"/>
        </w:rPr>
      </w:r>
      <w:r>
        <w:rPr/>
        <w:t>管理人员转让 所持上市公司 股份的有关规 定进行股份转 </w:t>
      </w:r>
      <w:r>
        <w:rPr>
          <w:spacing w:val="-10"/>
        </w:rPr>
        <w:t>让。若茂硕电源</w:t>
      </w:r>
      <w:r>
        <w:rPr>
          <w:spacing w:val="-85"/>
        </w:rPr>
        <w:t> </w:t>
      </w:r>
      <w:r>
        <w:rPr>
          <w:spacing w:val="-85"/>
        </w:rPr>
      </w:r>
      <w:r>
        <w:rPr/>
        <w:t>在前述锁定期 内实施转增股 本或送红股分 配，则方笑求、 蓝顺明因此获 得的新增股份 亦同样遵守上 述锁定期约定。 </w:t>
      </w:r>
      <w:r>
        <w:rPr>
          <w:spacing w:val="-10"/>
        </w:rPr>
        <w:t>若方笑求、蓝顺</w:t>
      </w:r>
      <w:r>
        <w:rPr>
          <w:spacing w:val="-85"/>
        </w:rPr>
        <w:t> </w:t>
      </w:r>
      <w:r>
        <w:rPr>
          <w:spacing w:val="-85"/>
        </w:rPr>
      </w:r>
      <w:r>
        <w:rPr/>
        <w:t>明所认购股份 的锁定期</w:t>
      </w:r>
      <w:r>
        <w:rPr>
          <w:rFonts w:ascii="Times New Roman" w:hAnsi="Times New Roman" w:cs="Times New Roman" w:eastAsia="Times New Roman" w:hint="default"/>
        </w:rPr>
        <w:t>/</w:t>
      </w:r>
      <w:r>
        <w:rPr/>
        <w:t>限售 期的规定与证 券监管机构的</w:t>
      </w:r>
    </w:p>
    <w:p>
      <w:pPr>
        <w:spacing w:after="0" w:line="316"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184.219986pt;width:80.1pt;height:272pt;mso-position-horizontal-relative:page;mso-position-vertical-relative:page;z-index:-1318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pStyle w:val="BodyText"/>
                    <w:spacing w:line="240" w:lineRule="auto"/>
                    <w:ind w:left="0" w:right="0"/>
                    <w:jc w:val="left"/>
                  </w:pPr>
                  <w:r>
                    <w:rPr/>
                    <w:t>年度、</w:t>
                  </w:r>
                </w:p>
              </w:txbxContent>
            </v:textbox>
            <w10:wrap type="none"/>
          </v:shape>
        </w:pict>
      </w:r>
      <w:r>
        <w:rPr/>
        <w:pict>
          <v:shape style="position:absolute;margin-left:343.420013pt;margin-top:491.439972pt;width:80.1pt;height:272pt;mso-position-horizontal-relative:page;mso-position-vertical-relative:page;z-index:-1318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年度、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22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最新监管意见 </w:t>
            </w:r>
            <w:r>
              <w:rPr>
                <w:rFonts w:ascii="宋体" w:hAnsi="宋体" w:cs="宋体" w:eastAsia="宋体" w:hint="default"/>
                <w:spacing w:val="-10"/>
                <w:sz w:val="18"/>
                <w:szCs w:val="18"/>
              </w:rPr>
              <w:t>不相符，公司及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方笑求、蓝顺明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将根据相关证 券监管机构的 监管意见进行 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0"/>
              <w:ind w:left="23" w:right="141"/>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66"/>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25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公司与方笑求、 蓝顺明于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4" w:lineRule="auto"/>
              <w:ind w:left="22" w:right="-4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日签 </w:t>
            </w:r>
            <w:r>
              <w:rPr>
                <w:rFonts w:ascii="宋体" w:hAnsi="宋体" w:cs="宋体" w:eastAsia="宋体" w:hint="default"/>
                <w:spacing w:val="-10"/>
                <w:sz w:val="18"/>
                <w:szCs w:val="18"/>
              </w:rPr>
              <w:t>署了《盈利预测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补偿协议》，其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中涉及承诺事 项的约定如下：</w:t>
            </w:r>
          </w:p>
          <w:p>
            <w:pPr>
              <w:pStyle w:val="TableParagraph"/>
              <w:spacing w:line="314" w:lineRule="auto" w:before="20"/>
              <w:ind w:left="22" w:right="15"/>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（一）盈利承诺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期及承诺净利 </w:t>
            </w:r>
            <w:r>
              <w:rPr>
                <w:rFonts w:ascii="宋体" w:hAnsi="宋体" w:cs="宋体" w:eastAsia="宋体" w:hint="default"/>
                <w:spacing w:val="-10"/>
                <w:sz w:val="18"/>
                <w:szCs w:val="18"/>
              </w:rPr>
              <w:t>润数方笑求、蓝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顺明承诺，湖南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度、</w:t>
            </w:r>
            <w:r>
              <w:rPr>
                <w:rFonts w:ascii="Times New Roman" w:hAnsi="Times New Roman" w:cs="Times New Roman" w:eastAsia="Times New Roman" w:hint="default"/>
                <w:spacing w:val="-4"/>
                <w:sz w:val="18"/>
                <w:szCs w:val="18"/>
              </w:rPr>
              <w:t>2015</w:t>
            </w:r>
          </w:p>
          <w:p>
            <w:pPr>
              <w:pStyle w:val="TableParagraph"/>
              <w:spacing w:line="300" w:lineRule="auto" w:before="1"/>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年度的承 诺净利润数额</w:t>
            </w:r>
          </w:p>
          <w:p>
            <w:pPr>
              <w:pStyle w:val="TableParagraph"/>
              <w:spacing w:line="316" w:lineRule="auto" w:before="32"/>
              <w:ind w:left="22" w:right="-48"/>
              <w:jc w:val="left"/>
              <w:rPr>
                <w:rFonts w:ascii="宋体" w:hAnsi="宋体" w:cs="宋体" w:eastAsia="宋体" w:hint="default"/>
                <w:sz w:val="18"/>
                <w:szCs w:val="18"/>
              </w:rPr>
            </w:pPr>
            <w:r>
              <w:rPr>
                <w:rFonts w:ascii="宋体" w:hAnsi="宋体" w:cs="宋体" w:eastAsia="宋体" w:hint="default"/>
                <w:sz w:val="18"/>
                <w:szCs w:val="18"/>
              </w:rPr>
              <w:t>（净利润数额 以扣除非经常 性损益后的数 额为准，下同） 分别不低于 </w:t>
            </w:r>
            <w:r>
              <w:rPr>
                <w:rFonts w:ascii="Times New Roman" w:hAnsi="Times New Roman" w:cs="Times New Roman" w:eastAsia="Times New Roman" w:hint="default"/>
                <w:sz w:val="18"/>
                <w:szCs w:val="18"/>
              </w:rPr>
              <w:t>3,484.8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2" w:lineRule="auto" w:before="63"/>
              <w:ind w:left="22"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若本次发行股 份及支付现金 购买资产事宜 未能在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实施完成，则湖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南方正达的承 诺净利润相应 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度、</w:t>
            </w:r>
            <w:r>
              <w:rPr>
                <w:rFonts w:ascii="Times New Roman" w:hAnsi="Times New Roman" w:cs="Times New Roman" w:eastAsia="Times New Roman" w:hint="default"/>
                <w:spacing w:val="-4"/>
                <w:sz w:val="18"/>
                <w:szCs w:val="18"/>
              </w:rPr>
              <w:t>2016</w:t>
            </w:r>
          </w:p>
          <w:p>
            <w:pPr>
              <w:pStyle w:val="TableParagraph"/>
              <w:spacing w:line="312" w:lineRule="auto" w:before="3"/>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 诺净利润数额 分别不低于 </w:t>
            </w:r>
            <w:r>
              <w:rPr>
                <w:rFonts w:ascii="Times New Roman" w:hAnsi="Times New Roman" w:cs="Times New Roman" w:eastAsia="Times New Roman" w:hint="default"/>
                <w:sz w:val="18"/>
                <w:szCs w:val="18"/>
              </w:rPr>
              <w:t>4,356.0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5440"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8"/>
                <w:sz w:val="20"/>
                <w:szCs w:val="20"/>
              </w:rPr>
              <w:pict>
                <v:group style="width:55.85pt;height:272pt;mso-position-horizontal-relative:char;mso-position-vertical-relative:line" coordorigin="0,0" coordsize="1117,5440">
                  <v:group style="position:absolute;left:0;top:0;width:1117;height:5440" coordorigin="0,0" coordsize="1117,5440">
                    <v:shape style="position:absolute;left:0;top:0;width:1117;height:5440" coordorigin="0,0" coordsize="1117,5440" path="m0,5440l1116,5440,1116,0,0,0,0,5440xe" filled="true" fillcolor="#ffffff" stroked="false">
                      <v:path arrowok="t"/>
                      <v:fill type="solid"/>
                    </v:shape>
                  </v:group>
                </v:group>
              </w:pict>
            </w:r>
            <w:r>
              <w:rPr>
                <w:rFonts w:ascii="Times New Roman" w:hAnsi="Times New Roman" w:cs="Times New Roman" w:eastAsia="Times New Roman" w:hint="default"/>
                <w:position w:val="-10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5440"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8"/>
                <w:sz w:val="20"/>
                <w:szCs w:val="20"/>
              </w:rPr>
              <w:pict>
                <v:group style="width:55.85pt;height:272pt;mso-position-horizontal-relative:char;mso-position-vertical-relative:line" coordorigin="0,0" coordsize="1117,5440">
                  <v:group style="position:absolute;left:0;top:0;width:1117;height:5440" coordorigin="0,0" coordsize="1117,5440">
                    <v:shape style="position:absolute;left:0;top:0;width:1117;height:5440" coordorigin="0,0" coordsize="1117,5440" path="m0,5440l1116,5440,1116,0,0,0,0,5440xe" filled="true" fillcolor="#ffffff" stroked="false">
                      <v:path arrowok="t"/>
                      <v:fill type="solid"/>
                    </v:shape>
                  </v:group>
                </v:group>
              </w:pict>
            </w:r>
            <w:r>
              <w:rPr>
                <w:rFonts w:ascii="Times New Roman" w:hAnsi="Times New Roman" w:cs="Times New Roman" w:eastAsia="Times New Roman" w:hint="default"/>
                <w:position w:val="-108"/>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72.47998pt;width:80.1pt;height:686.5pt;mso-position-horizontal-relative:page;mso-position-vertical-relative:page;z-index:-1318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ind w:left="0" w:right="0"/>
                    <w:jc w:val="left"/>
                  </w:pPr>
                  <w:r>
                    <w:rPr/>
                    <w:t>年度、</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0" w:right="0"/>
                    <w:jc w:val="left"/>
                  </w:pPr>
                  <w:r>
                    <w:rPr/>
                    <w:t>年度、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（二）实际净利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润与标的资产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减值的确定由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公司聘请的具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有证券期货相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关业务资格的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审计机构出具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湖南方正达专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项审计报告（与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公司的年度审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计报告同日出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具），对湖南方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度、</w:t>
            </w:r>
            <w:r>
              <w:rPr>
                <w:rFonts w:ascii="Times New Roman" w:hAnsi="Times New Roman" w:cs="Times New Roman" w:eastAsia="Times New Roman" w:hint="default"/>
                <w:spacing w:val="-4"/>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本次发行股份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及支付现金购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买资产事宜未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施完成，则相应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顺延至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度、</w:t>
            </w:r>
            <w:r>
              <w:rPr>
                <w:rFonts w:ascii="Times New Roman" w:hAnsi="Times New Roman" w:cs="Times New Roman" w:eastAsia="Times New Roman" w:hint="default"/>
                <w:spacing w:val="-4"/>
                <w:sz w:val="18"/>
                <w:szCs w:val="18"/>
              </w:rPr>
              <w:t>2016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额进行审计确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度（若本次发行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股份及支付现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金购买资产事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宜未能在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年实施完成，则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相应顺延至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南方正达专项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公司聘请的具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有证券期货相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关业务资格的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审计机构出具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标的资产减值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测试报告，对标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的资产进行减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56.459999pt;margin-top:71.759979pt;width:478.95pt;height:688pt;mso-position-horizontal-relative:page;mso-position-vertical-relative:page;z-index:-1318384"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992;height:2" coordorigin="5101,1445" coordsize="992,2">
              <v:shape style="position:absolute;left:5101;top:1445;width:992;height:2" coordorigin="5101,1445" coordsize="992,0" path="m5101,1445l6092,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102;top:1445;width:1242;height:2" coordorigin="6102,1445" coordsize="1242,2">
              <v:shape style="position:absolute;left:6102;top:1445;width:1242;height:2" coordorigin="6102,1445" coordsize="1242,0" path="m6102,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992;height:2" coordorigin="5101,15185" coordsize="992,2">
              <v:shape style="position:absolute;left:5101;top:15185;width:992;height:2" coordorigin="5101,15185" coordsize="992,0" path="m5101,15185l6092,15185e" filled="false" stroked="true" strokeweight=".48pt" strokecolor="#000000">
                <v:path arrowok="t"/>
              </v:shape>
            </v:group>
            <v:group style="position:absolute;left:6097;top:1440;width:2;height:13750" coordorigin="6097,1440" coordsize="2,13750">
              <v:shape style="position:absolute;left:6097;top:1440;width:2;height:13750" coordorigin="6097,1440" coordsize="0,13750" path="m6097,1440l6097,15190e" filled="false" stroked="true" strokeweight=".48pt" strokecolor="#000000">
                <v:path arrowok="t"/>
              </v:shape>
            </v:group>
            <v:group style="position:absolute;left:6102;top:15185;width:1242;height:2" coordorigin="6102,15185" coordsize="1242,2">
              <v:shape style="position:absolute;left:6102;top:15185;width:1242;height:2" coordorigin="6102,15185" coordsize="1242,0" path="m6102,15185l7344,15185e" filled="false" stroked="true" strokeweight=".4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pStyle w:val="BodyText"/>
        <w:spacing w:line="314" w:lineRule="auto"/>
        <w:ind w:left="5144" w:right="4520"/>
        <w:jc w:val="left"/>
      </w:pPr>
      <w:r>
        <w:rPr/>
        <w:t>值测试。（三） 业绩及减值补 偿方式</w:t>
      </w:r>
      <w:r>
        <w:rPr>
          <w:spacing w:val="-45"/>
        </w:rPr>
        <w:t> </w:t>
      </w:r>
      <w:r>
        <w:rPr>
          <w:rFonts w:ascii="Times New Roman" w:hAnsi="Times New Roman" w:cs="Times New Roman" w:eastAsia="Times New Roman" w:hint="default"/>
          <w:spacing w:val="-6"/>
        </w:rPr>
        <w:t>1</w:t>
      </w:r>
      <w:r>
        <w:rPr>
          <w:spacing w:val="-6"/>
        </w:rPr>
        <w:t>、本次</w:t>
      </w:r>
      <w:r>
        <w:rPr/>
        <w:t> 发行股份及支 付现金购买资 产事宜实施完 </w:t>
      </w:r>
      <w:r>
        <w:rPr>
          <w:spacing w:val="-10"/>
        </w:rPr>
        <w:t>成后三年内（含</w:t>
      </w:r>
      <w:r>
        <w:rPr>
          <w:spacing w:val="-85"/>
        </w:rPr>
        <w:t> </w:t>
      </w:r>
      <w:r>
        <w:rPr>
          <w:spacing w:val="-85"/>
        </w:rPr>
      </w:r>
      <w:r>
        <w:rPr/>
        <w:t>本次发行股份 及支付现金购 买资产事宜实 施完成当年）， 若湖南方正达 任一年度的实 际净利润数额 低于承诺净利 润数额，方笑 </w:t>
      </w:r>
      <w:r>
        <w:rPr>
          <w:spacing w:val="-10"/>
        </w:rPr>
        <w:t>求、蓝顺明应向</w:t>
      </w:r>
      <w:r>
        <w:rPr>
          <w:spacing w:val="-85"/>
        </w:rPr>
        <w:t> </w:t>
      </w:r>
      <w:r>
        <w:rPr>
          <w:spacing w:val="-85"/>
        </w:rPr>
      </w:r>
      <w:r>
        <w:rPr>
          <w:spacing w:val="-10"/>
        </w:rPr>
        <w:t>公司补偿。方笑</w:t>
      </w:r>
      <w:r>
        <w:rPr>
          <w:spacing w:val="-85"/>
        </w:rPr>
        <w:t> </w:t>
      </w:r>
      <w:r>
        <w:rPr>
          <w:spacing w:val="-85"/>
        </w:rPr>
      </w:r>
      <w:r>
        <w:rPr>
          <w:spacing w:val="-10"/>
        </w:rPr>
        <w:t>求、蓝顺明各自</w:t>
      </w:r>
      <w:r>
        <w:rPr>
          <w:spacing w:val="-85"/>
        </w:rPr>
        <w:t> </w:t>
      </w:r>
      <w:r>
        <w:rPr>
          <w:spacing w:val="-85"/>
        </w:rPr>
      </w:r>
      <w:r>
        <w:rPr/>
        <w:t>应承担的补偿 金额按其各自 转让标的资产 的股权比例确 </w:t>
      </w:r>
      <w:r>
        <w:rPr>
          <w:spacing w:val="-10"/>
        </w:rPr>
        <w:t>定。当期应补偿</w:t>
      </w:r>
      <w:r>
        <w:rPr>
          <w:spacing w:val="-85"/>
        </w:rPr>
        <w:t> </w:t>
      </w:r>
      <w:r>
        <w:rPr>
          <w:spacing w:val="-85"/>
        </w:rPr>
      </w:r>
      <w:r>
        <w:rPr/>
        <w:t>金额按以下公 </w:t>
      </w:r>
      <w:r>
        <w:rPr>
          <w:spacing w:val="-10"/>
        </w:rPr>
        <w:t>式确定：当期应</w:t>
      </w:r>
      <w:r>
        <w:rPr>
          <w:spacing w:val="-85"/>
        </w:rPr>
        <w:t> </w:t>
      </w:r>
      <w:r>
        <w:rPr>
          <w:spacing w:val="-85"/>
        </w:rPr>
      </w:r>
      <w:r>
        <w:rPr/>
        <w:t>补偿金额</w:t>
      </w:r>
      <w:r>
        <w:rPr>
          <w:rFonts w:ascii="Times New Roman" w:hAnsi="Times New Roman" w:cs="Times New Roman" w:eastAsia="Times New Roman" w:hint="default"/>
        </w:rPr>
        <w:t>=</w:t>
      </w:r>
      <w:r>
        <w:rPr/>
        <w:t>（截 至当期期末累 计承诺净利润 数额</w:t>
      </w:r>
      <w:r>
        <w:rPr>
          <w:rFonts w:ascii="Times New Roman" w:hAnsi="Times New Roman" w:cs="Times New Roman" w:eastAsia="Times New Roman" w:hint="default"/>
        </w:rPr>
        <w:t>-</w:t>
      </w:r>
      <w:r>
        <w:rPr/>
        <w:t>截至当期 期末累计实际 净利润数额）</w:t>
      </w:r>
      <w:r>
        <w:rPr>
          <w:rFonts w:ascii="Times New Roman" w:hAnsi="Times New Roman" w:cs="Times New Roman" w:eastAsia="Times New Roman" w:hint="default"/>
        </w:rPr>
        <w:t>÷ </w:t>
      </w:r>
      <w:r>
        <w:rPr/>
        <w:t>补偿期限内三 年的承诺净利 润总额</w:t>
      </w:r>
      <w:r>
        <w:rPr>
          <w:rFonts w:ascii="Times New Roman" w:hAnsi="Times New Roman" w:cs="Times New Roman" w:eastAsia="Times New Roman" w:hint="default"/>
        </w:rPr>
        <w:t>×</w:t>
      </w:r>
      <w:r>
        <w:rPr/>
        <w:t>标的资 产交易对价</w:t>
      </w:r>
      <w:r>
        <w:rPr>
          <w:rFonts w:ascii="Times New Roman" w:hAnsi="Times New Roman" w:cs="Times New Roman" w:eastAsia="Times New Roman" w:hint="default"/>
        </w:rPr>
        <w:t>-</w:t>
      </w:r>
      <w:r>
        <w:rPr/>
        <w:t>累 计已补偿金额。 </w:t>
      </w:r>
      <w:r>
        <w:rPr>
          <w:spacing w:val="-10"/>
        </w:rPr>
        <w:t>方笑求、蓝顺明</w:t>
      </w:r>
      <w:r>
        <w:rPr>
          <w:spacing w:val="-85"/>
        </w:rPr>
        <w:t> </w:t>
      </w:r>
      <w:r>
        <w:rPr>
          <w:spacing w:val="-85"/>
        </w:rPr>
      </w:r>
      <w:r>
        <w:rPr/>
        <w:t>应先以股份补 偿方式补偿公 </w:t>
      </w:r>
      <w:r>
        <w:rPr>
          <w:spacing w:val="-10"/>
        </w:rPr>
        <w:t>司，股份补偿按</w:t>
      </w:r>
      <w:r>
        <w:rPr>
          <w:spacing w:val="-85"/>
        </w:rPr>
        <w:t> </w:t>
      </w:r>
      <w:r>
        <w:rPr>
          <w:spacing w:val="-85"/>
        </w:rPr>
      </w:r>
      <w:r>
        <w:rPr>
          <w:spacing w:val="-10"/>
        </w:rPr>
        <w:t>逐年计算、逐年</w:t>
      </w:r>
      <w:r>
        <w:rPr>
          <w:spacing w:val="-85"/>
        </w:rPr>
        <w:t> </w:t>
      </w:r>
      <w:r>
        <w:rPr>
          <w:spacing w:val="-85"/>
        </w:rPr>
      </w:r>
      <w:r>
        <w:rPr/>
        <w:t>回购应补偿股 份并注销的原</w:t>
      </w:r>
    </w:p>
    <w:p>
      <w:pPr>
        <w:spacing w:after="0" w:line="314"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72.47998pt;width:55.85pt;height:686.5pt;mso-position-horizontal-relative:page;mso-position-vertical-relative:page;z-index:-1318360" coordorigin="7353,1450" coordsize="1117,13730">
            <v:shape style="position:absolute;left:7353;top:1450;width:1117;height:13730" coordorigin="7353,1450" coordsize="1117,13730" path="m7353,15179l8470,15179,8470,1450,7353,1450,735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则执行，股份补</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偿方式不足以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补偿公司的，方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笑求、蓝顺明应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以现金补偿方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式补足。具体补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偿安排如下：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）股份补偿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公司应在湖南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方正达专项审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计报告出具之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开董事会、股东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大会，审议当年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回购方笑求、蓝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顺明的股份方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案，确定当年应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回购方笑求、蓝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顺明的股份数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量，由公司以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元的总对价按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《中华人民共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和国公司法》</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购社会公众股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份管理办法（试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行）》、《深圳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票上市规则》等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相关规定回购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该被锁定的股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份并在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注销所回购的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股份。当期应回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购方笑求、蓝顺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明的股份数量</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（当期期末累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计承诺净利润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数额</w:t>
            </w:r>
            <w:r>
              <w:rPr>
                <w:rFonts w:ascii="Times New Roman" w:hAnsi="Times New Roman" w:cs="Times New Roman" w:eastAsia="Times New Roman" w:hint="default"/>
                <w:sz w:val="18"/>
                <w:szCs w:val="18"/>
              </w:rPr>
              <w:t>-</w:t>
            </w:r>
            <w:r>
              <w:rPr>
                <w:rFonts w:ascii="宋体" w:hAnsi="宋体" w:cs="宋体" w:eastAsia="宋体" w:hint="default"/>
                <w:sz w:val="18"/>
                <w:szCs w:val="18"/>
              </w:rPr>
              <w:t>当期期末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累计实际净利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润数额）</w:t>
            </w:r>
            <w:r>
              <w:rPr>
                <w:rFonts w:ascii="Times New Roman" w:hAnsi="Times New Roman" w:cs="Times New Roman" w:eastAsia="Times New Roman" w:hint="default"/>
                <w:sz w:val="18"/>
                <w:szCs w:val="18"/>
              </w:rPr>
              <w:t>÷</w:t>
            </w:r>
            <w:r>
              <w:rPr>
                <w:rFonts w:ascii="宋体" w:hAnsi="宋体" w:cs="宋体" w:eastAsia="宋体" w:hint="default"/>
                <w:sz w:val="18"/>
                <w:szCs w:val="18"/>
              </w:rPr>
              <w:t>补偿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期限内三年的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承诺净利润总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方笑求、蓝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56.459999pt;margin-top:71.759979pt;width:478.95pt;height:688pt;mso-position-horizontal-relative:page;mso-position-vertical-relative:page;z-index:-1318336"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992;height:2" coordorigin="5101,1445" coordsize="992,2">
              <v:shape style="position:absolute;left:5101;top:1445;width:992;height:2" coordorigin="5101,1445" coordsize="992,0" path="m5101,1445l6092,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102;top:1445;width:1242;height:2" coordorigin="6102,1445" coordsize="1242,2">
              <v:shape style="position:absolute;left:6102;top:1445;width:1242;height:2" coordorigin="6102,1445" coordsize="1242,0" path="m6102,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992;height:2" coordorigin="5101,15185" coordsize="992,2">
              <v:shape style="position:absolute;left:5101;top:15185;width:992;height:2" coordorigin="5101,15185" coordsize="992,0" path="m5101,15185l6092,15185e" filled="false" stroked="true" strokeweight=".48pt" strokecolor="#000000">
                <v:path arrowok="t"/>
              </v:shape>
            </v:group>
            <v:group style="position:absolute;left:6097;top:1440;width:2;height:13750" coordorigin="6097,1440" coordsize="2,13750">
              <v:shape style="position:absolute;left:6097;top:1440;width:2;height:13750" coordorigin="6097,1440" coordsize="0,13750" path="m6097,1440l6097,15190e" filled="false" stroked="true" strokeweight=".48pt" strokecolor="#000000">
                <v:path arrowok="t"/>
              </v:shape>
            </v:group>
            <v:group style="position:absolute;left:6102;top:15185;width:1242;height:2" coordorigin="6102,15185" coordsize="1242,2">
              <v:shape style="position:absolute;left:6102;top:15185;width:1242;height:2" coordorigin="6102,15185" coordsize="1242,0" path="m6102,15185l7344,15185e" filled="false" stroked="true" strokeweight=".4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pStyle w:val="BodyText"/>
        <w:spacing w:line="316" w:lineRule="auto"/>
        <w:ind w:left="5144" w:right="4520"/>
        <w:jc w:val="left"/>
      </w:pPr>
      <w:r>
        <w:rPr/>
        <w:t>顺明认购公司 非公开发行的 股票数量</w:t>
      </w:r>
      <w:r>
        <w:rPr>
          <w:rFonts w:ascii="Times New Roman" w:hAnsi="Times New Roman" w:cs="Times New Roman" w:eastAsia="Times New Roman" w:hint="default"/>
        </w:rPr>
        <w:t>-</w:t>
      </w:r>
      <w:r>
        <w:rPr/>
        <w:t>补偿 期限内已回购 </w:t>
      </w:r>
      <w:r>
        <w:rPr>
          <w:spacing w:val="-10"/>
        </w:rPr>
        <w:t>的股份数量。补</w:t>
      </w:r>
      <w:r>
        <w:rPr>
          <w:spacing w:val="-85"/>
        </w:rPr>
        <w:t> </w:t>
      </w:r>
      <w:r>
        <w:rPr>
          <w:spacing w:val="-85"/>
        </w:rPr>
      </w:r>
      <w:r>
        <w:rPr/>
        <w:t>偿期限内应回 </w:t>
      </w:r>
      <w:r>
        <w:rPr>
          <w:spacing w:val="-10"/>
        </w:rPr>
        <w:t>购方笑求、蓝顺</w:t>
      </w:r>
      <w:r>
        <w:rPr>
          <w:spacing w:val="-85"/>
        </w:rPr>
        <w:t> </w:t>
      </w:r>
      <w:r>
        <w:rPr>
          <w:spacing w:val="-85"/>
        </w:rPr>
      </w:r>
      <w:r>
        <w:rPr/>
        <w:t>明的股份数量 不得超过方笑 </w:t>
      </w:r>
      <w:r>
        <w:rPr>
          <w:spacing w:val="-10"/>
        </w:rPr>
        <w:t>求、蓝顺明认购</w:t>
      </w:r>
      <w:r>
        <w:rPr>
          <w:spacing w:val="-85"/>
        </w:rPr>
        <w:t> </w:t>
      </w:r>
      <w:r>
        <w:rPr>
          <w:spacing w:val="-85"/>
        </w:rPr>
      </w:r>
      <w:r>
        <w:rPr/>
        <w:t>公司向其非公 开发行的股份 </w:t>
      </w:r>
      <w:r>
        <w:rPr>
          <w:spacing w:val="-10"/>
        </w:rPr>
        <w:t>数量，超过的部</w:t>
      </w:r>
      <w:r>
        <w:rPr>
          <w:spacing w:val="-85"/>
        </w:rPr>
        <w:t> </w:t>
      </w:r>
      <w:r>
        <w:rPr>
          <w:spacing w:val="-85"/>
        </w:rPr>
      </w:r>
      <w:r>
        <w:rPr>
          <w:spacing w:val="-10"/>
        </w:rPr>
        <w:t>分由方笑求、蓝</w:t>
      </w:r>
      <w:r>
        <w:rPr>
          <w:spacing w:val="-85"/>
        </w:rPr>
        <w:t> </w:t>
      </w:r>
      <w:r>
        <w:rPr>
          <w:spacing w:val="-85"/>
        </w:rPr>
      </w:r>
      <w:r>
        <w:rPr/>
        <w:t>顺明按本条约 定另行以现金 补偿方式补足。 若当期计算的 补偿股份数量 小于</w:t>
      </w:r>
      <w:r>
        <w:rPr>
          <w:spacing w:val="-46"/>
        </w:rPr>
        <w:t> </w:t>
      </w:r>
      <w:r>
        <w:rPr>
          <w:rFonts w:ascii="Times New Roman" w:hAnsi="Times New Roman" w:cs="Times New Roman" w:eastAsia="Times New Roman" w:hint="default"/>
          <w:spacing w:val="-7"/>
        </w:rPr>
        <w:t>0</w:t>
      </w:r>
      <w:r>
        <w:rPr>
          <w:spacing w:val="-7"/>
        </w:rPr>
        <w:t>，按</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取 </w:t>
      </w:r>
      <w:r>
        <w:rPr>
          <w:spacing w:val="-10"/>
        </w:rPr>
        <w:t>值，即已补偿的</w:t>
      </w:r>
      <w:r>
        <w:rPr>
          <w:spacing w:val="-85"/>
        </w:rPr>
        <w:t> </w:t>
      </w:r>
      <w:r>
        <w:rPr>
          <w:spacing w:val="-85"/>
        </w:rPr>
      </w:r>
      <w:r>
        <w:rPr/>
        <w:t>股份不冲回。</w:t>
      </w:r>
    </w:p>
    <w:p>
      <w:pPr>
        <w:pStyle w:val="BodyText"/>
        <w:spacing w:line="316" w:lineRule="auto" w:before="19"/>
        <w:ind w:left="5144" w:right="4502"/>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）现金补偿 </w:t>
      </w:r>
      <w:r>
        <w:rPr>
          <w:spacing w:val="-10"/>
        </w:rPr>
        <w:t>若方笑求、蓝顺</w:t>
      </w:r>
      <w:r>
        <w:rPr>
          <w:spacing w:val="-85"/>
        </w:rPr>
        <w:t> </w:t>
      </w:r>
      <w:r>
        <w:rPr>
          <w:spacing w:val="-85"/>
        </w:rPr>
      </w:r>
      <w:r>
        <w:rPr/>
        <w:t>明补偿期限内 股份补偿总数 不足以补偿公 司，则方笑求、 蓝顺明应以现 金补偿方式补 </w:t>
      </w:r>
      <w:r>
        <w:rPr>
          <w:spacing w:val="-10"/>
        </w:rPr>
        <w:t>足。方笑求、蓝</w:t>
      </w:r>
      <w:r>
        <w:rPr>
          <w:spacing w:val="-86"/>
        </w:rPr>
        <w:t> </w:t>
      </w:r>
      <w:r>
        <w:rPr>
          <w:spacing w:val="-86"/>
        </w:rPr>
      </w:r>
      <w:r>
        <w:rPr/>
        <w:t>顺明当期应补 偿的现金金额</w:t>
      </w:r>
      <w:r>
        <w:rPr>
          <w:rFonts w:ascii="Times New Roman" w:hAnsi="Times New Roman" w:cs="Times New Roman" w:eastAsia="Times New Roman" w:hint="default"/>
        </w:rPr>
        <w:t>=</w:t>
      </w:r>
    </w:p>
    <w:p>
      <w:pPr>
        <w:pStyle w:val="BodyText"/>
        <w:spacing w:line="312" w:lineRule="auto"/>
        <w:ind w:left="5144" w:right="4598"/>
        <w:jc w:val="left"/>
      </w:pPr>
      <w:r>
        <w:rPr/>
        <w:t>（截至当期期 末累计承诺净 利润数额</w:t>
      </w:r>
      <w:r>
        <w:rPr>
          <w:rFonts w:ascii="Times New Roman" w:hAnsi="Times New Roman" w:cs="Times New Roman" w:eastAsia="Times New Roman" w:hint="default"/>
        </w:rPr>
        <w:t>-</w:t>
      </w:r>
      <w:r>
        <w:rPr/>
        <w:t>截至 当期期末累计 实际净利润数 额）</w:t>
      </w:r>
      <w:r>
        <w:rPr>
          <w:rFonts w:ascii="Times New Roman" w:hAnsi="Times New Roman" w:cs="Times New Roman" w:eastAsia="Times New Roman" w:hint="default"/>
        </w:rPr>
        <w:t>÷</w:t>
      </w:r>
      <w:r>
        <w:rPr/>
        <w:t>补偿期限 内三年的承诺 净利润总额</w:t>
      </w:r>
      <w:r>
        <w:rPr>
          <w:rFonts w:ascii="Times New Roman" w:hAnsi="Times New Roman" w:cs="Times New Roman" w:eastAsia="Times New Roman" w:hint="default"/>
        </w:rPr>
        <w:t>×</w:t>
      </w:r>
      <w:r>
        <w:rPr/>
        <w:t>标 的资产交易对 价</w:t>
      </w:r>
      <w:r>
        <w:rPr>
          <w:rFonts w:ascii="Times New Roman" w:hAnsi="Times New Roman" w:cs="Times New Roman" w:eastAsia="Times New Roman" w:hint="default"/>
        </w:rPr>
        <w:t>-</w:t>
      </w:r>
      <w:r>
        <w:rPr/>
        <w:t>方笑求、蓝 顺明补偿期限</w:t>
      </w:r>
    </w:p>
    <w:p>
      <w:pPr>
        <w:spacing w:after="0" w:line="312"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0011pt;margin-top:72.47998pt;width:80pt;height:686.5pt;mso-position-horizontal-relative:page;mso-position-vertical-relative:page;z-index:-1318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取值，</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内已补偿的股</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公司非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的发行价格。若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当期计算的现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金补偿金额小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w:t>
            </w:r>
            <w:r>
              <w:rPr>
                <w:rFonts w:ascii="宋体" w:hAnsi="宋体" w:cs="宋体" w:eastAsia="宋体" w:hint="default"/>
                <w:spacing w:val="-90"/>
                <w:sz w:val="18"/>
                <w:szCs w:val="18"/>
              </w:rPr>
              <w:t>，</w:t>
            </w:r>
            <w:r>
              <w:rPr>
                <w:rFonts w:ascii="宋体" w:hAnsi="宋体" w:cs="宋体" w:eastAsia="宋体" w:hint="default"/>
                <w:sz w:val="18"/>
                <w:szCs w:val="18"/>
              </w:rPr>
              <w:t>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即已补偿的现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金不冲回。</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若标的资产减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值测试报告确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认标的资产期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末减值金额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笑求、蓝顺明补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偿期限内已补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司非公开发行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w:t>
            </w:r>
            <w:r>
              <w:rPr>
                <w:rFonts w:ascii="宋体" w:hAnsi="宋体" w:cs="宋体" w:eastAsia="宋体" w:hint="default"/>
                <w:sz w:val="18"/>
                <w:szCs w:val="18"/>
              </w:rPr>
              <w:t>方笑求、蓝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顺明补偿期限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内已补偿现金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金额，则方笑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求、蓝顺明同时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应向公司另行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补偿标的资产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期末减值额与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补偿期限内已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补偿股份数量</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内已补偿现金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金额之间的差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额，方笑求、蓝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顺明应先以股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份补偿方式补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偿公司，股份补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偿方式不足以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补偿公司的，方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笑求、蓝顺明应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以现金补偿方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式补足。（</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股份补偿公司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应在标的资产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56.459999pt;margin-top:71.759979pt;width:478.95pt;height:688pt;mso-position-horizontal-relative:page;mso-position-vertical-relative:page;z-index:-1318264"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992;height:2" coordorigin="5101,1445" coordsize="992,2">
              <v:shape style="position:absolute;left:5101;top:1445;width:992;height:2" coordorigin="5101,1445" coordsize="992,0" path="m5101,1445l6092,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102;top:1445;width:1242;height:2" coordorigin="6102,1445" coordsize="1242,2">
              <v:shape style="position:absolute;left:6102;top:1445;width:1242;height:2" coordorigin="6102,1445" coordsize="1242,0" path="m6102,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992;height:2" coordorigin="5101,15185" coordsize="992,2">
              <v:shape style="position:absolute;left:5101;top:15185;width:992;height:2" coordorigin="5101,15185" coordsize="992,0" path="m5101,15185l6092,15185e" filled="false" stroked="true" strokeweight=".48pt" strokecolor="#000000">
                <v:path arrowok="t"/>
              </v:shape>
            </v:group>
            <v:group style="position:absolute;left:6097;top:1440;width:2;height:13750" coordorigin="6097,1440" coordsize="2,13750">
              <v:shape style="position:absolute;left:6097;top:1440;width:2;height:13750" coordorigin="6097,1440" coordsize="0,13750" path="m6097,1440l6097,15190e" filled="false" stroked="true" strokeweight=".48pt" strokecolor="#000000">
                <v:path arrowok="t"/>
              </v:shape>
            </v:group>
            <v:group style="position:absolute;left:6102;top:15185;width:1242;height:2" coordorigin="6102,15185" coordsize="1242,2">
              <v:shape style="position:absolute;left:6102;top:15185;width:1242;height:2" coordorigin="6102,15185" coordsize="1242,0" path="m6102,15185l7344,15185e" filled="false" stroked="true" strokeweight=".4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pStyle w:val="BodyText"/>
        <w:spacing w:line="314" w:lineRule="auto"/>
        <w:ind w:left="5144" w:right="4502"/>
        <w:jc w:val="left"/>
      </w:pPr>
      <w:r>
        <w:rPr/>
        <w:t>减值测试报告 出具之日后</w:t>
      </w:r>
      <w:r>
        <w:rPr>
          <w:spacing w:val="-46"/>
        </w:rPr>
        <w:t> </w:t>
      </w:r>
      <w:r>
        <w:rPr>
          <w:rFonts w:ascii="Times New Roman" w:hAnsi="Times New Roman" w:cs="Times New Roman" w:eastAsia="Times New Roman" w:hint="default"/>
        </w:rPr>
        <w:t>45 </w:t>
      </w:r>
      <w:r>
        <w:rPr/>
        <w:t>日内召开董事 会、股东大会， 审议回购方笑 </w:t>
      </w:r>
      <w:r>
        <w:rPr>
          <w:spacing w:val="-10"/>
        </w:rPr>
        <w:t>求、蓝顺明的股</w:t>
      </w:r>
      <w:r>
        <w:rPr>
          <w:spacing w:val="-85"/>
        </w:rPr>
        <w:t> </w:t>
      </w:r>
      <w:r>
        <w:rPr>
          <w:spacing w:val="-85"/>
        </w:rPr>
      </w:r>
      <w:r>
        <w:rPr>
          <w:spacing w:val="-10"/>
        </w:rPr>
        <w:t>份方案，确定应</w:t>
      </w:r>
      <w:r>
        <w:rPr>
          <w:spacing w:val="-85"/>
        </w:rPr>
        <w:t> </w:t>
      </w:r>
      <w:r>
        <w:rPr>
          <w:spacing w:val="-85"/>
        </w:rPr>
      </w:r>
      <w:r>
        <w:rPr>
          <w:spacing w:val="-10"/>
        </w:rPr>
        <w:t>回购方笑求、蓝</w:t>
      </w:r>
      <w:r>
        <w:rPr>
          <w:spacing w:val="-85"/>
        </w:rPr>
        <w:t> </w:t>
      </w:r>
      <w:r>
        <w:rPr>
          <w:spacing w:val="-85"/>
        </w:rPr>
      </w:r>
      <w:r>
        <w:rPr/>
        <w:t>顺明的股份数 </w:t>
      </w:r>
      <w:r>
        <w:rPr>
          <w:spacing w:val="-4"/>
        </w:rPr>
        <w:t>量，由公司以</w:t>
      </w:r>
      <w:r>
        <w:rPr>
          <w:spacing w:val="-45"/>
        </w:rPr>
        <w:t> </w:t>
      </w:r>
      <w:r>
        <w:rPr>
          <w:rFonts w:ascii="Times New Roman" w:hAnsi="Times New Roman" w:cs="Times New Roman" w:eastAsia="Times New Roman" w:hint="default"/>
        </w:rPr>
        <w:t>1 </w:t>
      </w:r>
      <w:r>
        <w:rPr/>
        <w:t>元的总对价按</w:t>
      </w:r>
    </w:p>
    <w:p>
      <w:pPr>
        <w:pStyle w:val="BodyText"/>
        <w:spacing w:line="316" w:lineRule="auto" w:before="20"/>
        <w:ind w:left="5144" w:right="4502"/>
        <w:jc w:val="left"/>
      </w:pPr>
      <w:r>
        <w:rPr/>
        <w:t>《中华人民共 和国公司法》、</w:t>
      </w:r>
    </w:p>
    <w:p>
      <w:pPr>
        <w:pStyle w:val="BodyText"/>
        <w:spacing w:line="314" w:lineRule="auto" w:before="19"/>
        <w:ind w:left="5144" w:right="4584"/>
        <w:jc w:val="left"/>
      </w:pPr>
      <w:r>
        <w:rPr/>
        <w:t>《上市公司回 购社会公众股 </w:t>
      </w:r>
      <w:r>
        <w:rPr>
          <w:spacing w:val="-10"/>
        </w:rPr>
        <w:t>份管理办法（试</w:t>
      </w:r>
      <w:r>
        <w:rPr>
          <w:spacing w:val="-85"/>
        </w:rPr>
        <w:t> </w:t>
      </w:r>
      <w:r>
        <w:rPr>
          <w:spacing w:val="-85"/>
        </w:rPr>
      </w:r>
      <w:r>
        <w:rPr>
          <w:spacing w:val="-10"/>
        </w:rPr>
        <w:t>行）》、《深圳</w:t>
      </w:r>
      <w:r>
        <w:rPr>
          <w:spacing w:val="-87"/>
        </w:rPr>
        <w:t> </w:t>
      </w:r>
      <w:r>
        <w:rPr>
          <w:spacing w:val="-87"/>
        </w:rPr>
      </w:r>
      <w:r>
        <w:rPr/>
        <w:t>证券交易所股 </w:t>
      </w:r>
      <w:r>
        <w:rPr>
          <w:spacing w:val="-10"/>
        </w:rPr>
        <w:t>票上市规则》等</w:t>
      </w:r>
      <w:r>
        <w:rPr>
          <w:spacing w:val="-85"/>
        </w:rPr>
        <w:t> </w:t>
      </w:r>
      <w:r>
        <w:rPr>
          <w:spacing w:val="-85"/>
        </w:rPr>
      </w:r>
      <w:r>
        <w:rPr/>
        <w:t>相关规定回购 该被锁定的股 份并在</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日内 注销所回购的 </w:t>
      </w:r>
      <w:r>
        <w:rPr>
          <w:spacing w:val="-10"/>
        </w:rPr>
        <w:t>股份。应回购方</w:t>
      </w:r>
      <w:r>
        <w:rPr>
          <w:spacing w:val="-85"/>
        </w:rPr>
        <w:t> </w:t>
      </w:r>
      <w:r>
        <w:rPr>
          <w:spacing w:val="-85"/>
        </w:rPr>
      </w:r>
      <w:r>
        <w:rPr>
          <w:spacing w:val="-10"/>
        </w:rPr>
        <w:t>笑求、蓝顺明的</w:t>
      </w:r>
      <w:r>
        <w:rPr>
          <w:spacing w:val="-85"/>
        </w:rPr>
        <w:t> </w:t>
      </w:r>
      <w:r>
        <w:rPr>
          <w:spacing w:val="-85"/>
        </w:rPr>
      </w:r>
      <w:r>
        <w:rPr/>
        <w:t>股份数量</w:t>
      </w:r>
      <w:r>
        <w:rPr>
          <w:rFonts w:ascii="Times New Roman" w:hAnsi="Times New Roman" w:cs="Times New Roman" w:eastAsia="Times New Roman" w:hint="default"/>
        </w:rPr>
        <w:t>=</w:t>
      </w:r>
      <w:r>
        <w:rPr/>
        <w:t>（标 的资产期末减 值额</w:t>
      </w:r>
      <w:r>
        <w:rPr>
          <w:rFonts w:ascii="Times New Roman" w:hAnsi="Times New Roman" w:cs="Times New Roman" w:eastAsia="Times New Roman" w:hint="default"/>
        </w:rPr>
        <w:t>-</w:t>
      </w:r>
      <w:r>
        <w:rPr/>
        <w:t>方笑求、 蓝顺明补偿期 限内已补偿的 股份数量</w:t>
      </w:r>
      <w:r>
        <w:rPr>
          <w:rFonts w:ascii="Times New Roman" w:hAnsi="Times New Roman" w:cs="Times New Roman" w:eastAsia="Times New Roman" w:hint="default"/>
        </w:rPr>
        <w:t>×</w:t>
      </w:r>
      <w:r>
        <w:rPr/>
        <w:t>公司 非公开发行股 票的发行价格</w:t>
      </w:r>
      <w:r>
        <w:rPr>
          <w:rFonts w:ascii="Times New Roman" w:hAnsi="Times New Roman" w:cs="Times New Roman" w:eastAsia="Times New Roman" w:hint="default"/>
        </w:rPr>
        <w:t>- </w:t>
      </w:r>
      <w:r>
        <w:rPr>
          <w:spacing w:val="-10"/>
        </w:rPr>
        <w:t>方笑求、蓝顺明</w:t>
      </w:r>
      <w:r>
        <w:rPr>
          <w:spacing w:val="-85"/>
        </w:rPr>
        <w:t> </w:t>
      </w:r>
      <w:r>
        <w:rPr>
          <w:spacing w:val="-85"/>
        </w:rPr>
      </w:r>
      <w:r>
        <w:rPr/>
        <w:t>补偿期限内已 补偿的现金金 额</w:t>
      </w:r>
      <w:r>
        <w:rPr>
          <w:rFonts w:ascii="Times New Roman" w:hAnsi="Times New Roman" w:cs="Times New Roman" w:eastAsia="Times New Roman" w:hint="default"/>
        </w:rPr>
        <w:t>÷</w:t>
      </w:r>
      <w:r>
        <w:rPr/>
        <w:t>公司非公开 发行股票的发 </w:t>
      </w:r>
      <w:r>
        <w:rPr>
          <w:spacing w:val="-10"/>
        </w:rPr>
        <w:t>行价格。补偿期</w:t>
      </w:r>
      <w:r>
        <w:rPr>
          <w:spacing w:val="-85"/>
        </w:rPr>
        <w:t> </w:t>
      </w:r>
      <w:r>
        <w:rPr>
          <w:spacing w:val="-85"/>
        </w:rPr>
      </w:r>
      <w:r>
        <w:rPr/>
        <w:t>限内应回购方 </w:t>
      </w:r>
      <w:r>
        <w:rPr>
          <w:spacing w:val="-10"/>
        </w:rPr>
        <w:t>笑求、蓝顺明的</w:t>
      </w:r>
      <w:r>
        <w:rPr>
          <w:spacing w:val="-85"/>
        </w:rPr>
        <w:t> </w:t>
      </w:r>
      <w:r>
        <w:rPr>
          <w:spacing w:val="-85"/>
        </w:rPr>
      </w:r>
      <w:r>
        <w:rPr/>
        <w:t>股份数量不得 </w:t>
      </w:r>
      <w:r>
        <w:rPr>
          <w:spacing w:val="-10"/>
        </w:rPr>
        <w:t>超过方笑求、蓝</w:t>
      </w:r>
      <w:r>
        <w:rPr>
          <w:spacing w:val="-85"/>
        </w:rPr>
        <w:t> </w:t>
      </w:r>
      <w:r>
        <w:rPr>
          <w:spacing w:val="-85"/>
        </w:rPr>
      </w:r>
      <w:r>
        <w:rPr/>
        <w:t>顺明认购公司</w:t>
      </w:r>
    </w:p>
    <w:p>
      <w:pPr>
        <w:spacing w:after="0" w:line="314" w:lineRule="auto"/>
        <w:jc w:val="left"/>
        <w:sectPr>
          <w:pgSz w:w="11910" w:h="16840"/>
          <w:pgMar w:header="747" w:footer="979" w:top="1060" w:bottom="1160" w:left="980" w:right="0"/>
        </w:sectPr>
      </w:pPr>
    </w:p>
    <w:p>
      <w:pPr>
        <w:spacing w:line="240" w:lineRule="auto" w:before="8"/>
        <w:rPr>
          <w:rFonts w:ascii="宋体" w:hAnsi="宋体" w:cs="宋体" w:eastAsia="宋体" w:hint="default"/>
          <w:sz w:val="26"/>
          <w:szCs w:val="26"/>
        </w:rPr>
      </w:pPr>
      <w:r>
        <w:rPr/>
        <w:pict>
          <v:shape style="position:absolute;margin-left:361.480011pt;margin-top:72.47998pt;width:62pt;height:686.5pt;mso-position-horizontal-relative:page;mso-position-vertical-relative:page;z-index:-1318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0" w:right="0"/>
                    <w:jc w:val="left"/>
                  </w:pPr>
                  <w:r>
                    <w:rPr/>
                    <w:t>）</w:t>
                  </w:r>
                </w:p>
              </w:txbxContent>
            </v:textbox>
            <w10:wrap type="none"/>
          </v:shape>
        </w:pict>
      </w:r>
      <w:r>
        <w:rPr/>
        <w:pict>
          <v:group style="position:absolute;margin-left:56.459999pt;margin-top:71.759979pt;width:478.95pt;height:688pt;mso-position-horizontal-relative:page;mso-position-vertical-relative:page;z-index:-1318216"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992;height:2" coordorigin="5101,1445" coordsize="992,2">
              <v:shape style="position:absolute;left:5101;top:1445;width:992;height:2" coordorigin="5101,1445" coordsize="992,0" path="m5101,1445l6092,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102;top:1445;width:1242;height:2" coordorigin="6102,1445" coordsize="1242,2">
              <v:shape style="position:absolute;left:6102;top:1445;width:1242;height:2" coordorigin="6102,1445" coordsize="1242,0" path="m6102,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992;height:2" coordorigin="5101,15185" coordsize="992,2">
              <v:shape style="position:absolute;left:5101;top:15185;width:992;height:2" coordorigin="5101,15185" coordsize="992,0" path="m5101,15185l6092,15185e" filled="false" stroked="true" strokeweight=".48pt" strokecolor="#000000">
                <v:path arrowok="t"/>
              </v:shape>
            </v:group>
            <v:group style="position:absolute;left:6097;top:1440;width:2;height:13750" coordorigin="6097,1440" coordsize="2,13750">
              <v:shape style="position:absolute;left:6097;top:1440;width:2;height:13750" coordorigin="6097,1440" coordsize="0,13750" path="m6097,1440l6097,15190e" filled="false" stroked="true" strokeweight=".48pt" strokecolor="#000000">
                <v:path arrowok="t"/>
              </v:shape>
            </v:group>
            <v:group style="position:absolute;left:6102;top:15185;width:1242;height:2" coordorigin="6102,15185" coordsize="1242,2">
              <v:shape style="position:absolute;left:6102;top:15185;width:1242;height:2" coordorigin="6102,15185" coordsize="1242,0" path="m6102,15185l7344,15185e" filled="false" stroked="true" strokeweight=".4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pStyle w:val="BodyText"/>
        <w:spacing w:line="314" w:lineRule="auto" w:before="44"/>
        <w:ind w:left="5144" w:right="4520"/>
        <w:jc w:val="left"/>
      </w:pPr>
      <w:r>
        <w:rPr/>
        <w:t>向其非公开发 行的股份数量， 超过的部分由 </w:t>
      </w:r>
      <w:r>
        <w:rPr>
          <w:spacing w:val="-10"/>
        </w:rPr>
        <w:t>方笑求、蓝顺明</w:t>
      </w:r>
      <w:r>
        <w:rPr>
          <w:spacing w:val="-85"/>
        </w:rPr>
        <w:t> </w:t>
      </w:r>
      <w:r>
        <w:rPr>
          <w:spacing w:val="-85"/>
        </w:rPr>
      </w:r>
      <w:r>
        <w:rPr/>
        <w:t>按本条约定另 行以现金补偿 </w:t>
      </w:r>
      <w:r>
        <w:rPr>
          <w:spacing w:val="-10"/>
        </w:rPr>
        <w:t>方式补足。（</w:t>
      </w:r>
      <w:r>
        <w:rPr>
          <w:rFonts w:ascii="Times New Roman" w:hAnsi="Times New Roman" w:cs="Times New Roman" w:eastAsia="Times New Roman" w:hint="default"/>
          <w:spacing w:val="-10"/>
        </w:rPr>
        <w:t>2</w:t>
      </w:r>
      <w:r>
        <w:rPr>
          <w:rFonts w:ascii="Times New Roman" w:hAnsi="Times New Roman" w:cs="Times New Roman" w:eastAsia="Times New Roman" w:hint="default"/>
          <w:spacing w:val="-40"/>
        </w:rPr>
        <w:t> </w:t>
      </w:r>
      <w:r>
        <w:rPr/>
        <w:t>现金补偿若方 </w:t>
      </w:r>
      <w:r>
        <w:rPr>
          <w:spacing w:val="-10"/>
        </w:rPr>
        <w:t>笑求、蓝顺明股</w:t>
      </w:r>
      <w:r>
        <w:rPr>
          <w:spacing w:val="-85"/>
        </w:rPr>
        <w:t> </w:t>
      </w:r>
      <w:r>
        <w:rPr>
          <w:spacing w:val="-85"/>
        </w:rPr>
      </w:r>
      <w:r>
        <w:rPr/>
        <w:t>份补偿总数不 足以补偿公司， </w:t>
      </w:r>
      <w:r>
        <w:rPr>
          <w:spacing w:val="-10"/>
        </w:rPr>
        <w:t>则方笑求、蓝顺</w:t>
      </w:r>
      <w:r>
        <w:rPr>
          <w:spacing w:val="-85"/>
        </w:rPr>
        <w:t> </w:t>
      </w:r>
      <w:r>
        <w:rPr>
          <w:spacing w:val="-85"/>
        </w:rPr>
      </w:r>
      <w:r>
        <w:rPr/>
        <w:t>明还应以现金 补足。方笑求、 蓝顺明应补偿 的现金金额</w:t>
      </w:r>
      <w:r>
        <w:rPr>
          <w:rFonts w:ascii="Times New Roman" w:hAnsi="Times New Roman" w:cs="Times New Roman" w:eastAsia="Times New Roman" w:hint="default"/>
        </w:rPr>
        <w:t>=</w:t>
      </w:r>
      <w:r>
        <w:rPr/>
        <w:t>标 的资产期末减 值额</w:t>
      </w:r>
      <w:r>
        <w:rPr>
          <w:rFonts w:ascii="Times New Roman" w:hAnsi="Times New Roman" w:cs="Times New Roman" w:eastAsia="Times New Roman" w:hint="default"/>
        </w:rPr>
        <w:t>-</w:t>
      </w:r>
      <w:r>
        <w:rPr/>
        <w:t>补偿期限 </w:t>
      </w:r>
      <w:r>
        <w:rPr>
          <w:spacing w:val="-10"/>
        </w:rPr>
        <w:t>内方笑求、蓝顺</w:t>
      </w:r>
      <w:r>
        <w:rPr>
          <w:spacing w:val="-85"/>
        </w:rPr>
        <w:t> </w:t>
      </w:r>
      <w:r>
        <w:rPr>
          <w:spacing w:val="-85"/>
        </w:rPr>
      </w:r>
      <w:r>
        <w:rPr/>
        <w:t>明已补偿的股 份数量</w:t>
      </w:r>
      <w:r>
        <w:rPr>
          <w:rFonts w:ascii="Times New Roman" w:hAnsi="Times New Roman" w:cs="Times New Roman" w:eastAsia="Times New Roman" w:hint="default"/>
        </w:rPr>
        <w:t>×</w:t>
      </w:r>
      <w:r>
        <w:rPr/>
        <w:t>公司非 公开发行股票 的发行价格</w:t>
      </w:r>
      <w:r>
        <w:rPr>
          <w:rFonts w:ascii="Times New Roman" w:hAnsi="Times New Roman" w:cs="Times New Roman" w:eastAsia="Times New Roman" w:hint="default"/>
        </w:rPr>
        <w:t>-</w:t>
      </w:r>
      <w:r>
        <w:rPr/>
        <w:t>方 </w:t>
      </w:r>
      <w:r>
        <w:rPr>
          <w:spacing w:val="-10"/>
        </w:rPr>
        <w:t>笑求、蓝顺明补</w:t>
      </w:r>
      <w:r>
        <w:rPr>
          <w:spacing w:val="-85"/>
        </w:rPr>
        <w:t> </w:t>
      </w:r>
      <w:r>
        <w:rPr>
          <w:spacing w:val="-85"/>
        </w:rPr>
      </w:r>
      <w:r>
        <w:rPr/>
        <w:t>偿期限内已补 偿的现金金额</w:t>
      </w:r>
      <w:r>
        <w:rPr>
          <w:rFonts w:ascii="Times New Roman" w:hAnsi="Times New Roman" w:cs="Times New Roman" w:eastAsia="Times New Roman" w:hint="default"/>
        </w:rPr>
        <w:t>- </w:t>
      </w:r>
      <w:r>
        <w:rPr>
          <w:spacing w:val="-10"/>
        </w:rPr>
        <w:t>方笑求、蓝顺明</w:t>
      </w:r>
      <w:r>
        <w:rPr>
          <w:spacing w:val="-85"/>
        </w:rPr>
        <w:t> </w:t>
      </w:r>
      <w:r>
        <w:rPr>
          <w:spacing w:val="-85"/>
        </w:rPr>
      </w:r>
      <w:r>
        <w:rPr/>
        <w:t>已补偿的股份 数量</w:t>
      </w:r>
      <w:r>
        <w:rPr>
          <w:rFonts w:ascii="Times New Roman" w:hAnsi="Times New Roman" w:cs="Times New Roman" w:eastAsia="Times New Roman" w:hint="default"/>
        </w:rPr>
        <w:t>×</w:t>
      </w:r>
      <w:r>
        <w:rPr/>
        <w:t>公司非公 开发行股票的 发行价格。</w:t>
      </w:r>
      <w:r>
        <w:rPr>
          <w:rFonts w:ascii="Times New Roman" w:hAnsi="Times New Roman" w:cs="Times New Roman" w:eastAsia="Times New Roman" w:hint="default"/>
        </w:rPr>
        <w:t>3</w:t>
      </w:r>
      <w:r>
        <w:rPr/>
        <w:t>、 若公司在补偿 期限内实施转 增或送股分配， </w:t>
      </w:r>
      <w:r>
        <w:rPr>
          <w:spacing w:val="-10"/>
        </w:rPr>
        <w:t>则方笑求、蓝顺</w:t>
      </w:r>
      <w:r>
        <w:rPr>
          <w:spacing w:val="-85"/>
        </w:rPr>
        <w:t> </w:t>
      </w:r>
      <w:r>
        <w:rPr>
          <w:spacing w:val="-85"/>
        </w:rPr>
      </w:r>
      <w:r>
        <w:rPr/>
        <w:t>明应回购注销 的股份数量应 </w:t>
      </w:r>
      <w:r>
        <w:rPr>
          <w:spacing w:val="-10"/>
        </w:rPr>
        <w:t>相应调整，计算</w:t>
      </w:r>
      <w:r>
        <w:rPr>
          <w:spacing w:val="-85"/>
        </w:rPr>
        <w:t> </w:t>
      </w:r>
      <w:r>
        <w:rPr>
          <w:spacing w:val="-85"/>
        </w:rPr>
      </w:r>
      <w:r>
        <w:rPr>
          <w:spacing w:val="-10"/>
        </w:rPr>
        <w:t>公式为：应回购</w:t>
      </w:r>
      <w:r>
        <w:rPr>
          <w:spacing w:val="-85"/>
        </w:rPr>
        <w:t> </w:t>
      </w:r>
      <w:r>
        <w:rPr>
          <w:spacing w:val="-85"/>
        </w:rPr>
      </w:r>
      <w:r>
        <w:rPr/>
        <w:t>注销的股份数 量</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转增或 </w:t>
      </w:r>
      <w:r>
        <w:rPr>
          <w:spacing w:val="-10"/>
        </w:rPr>
        <w:t>送股比例）。若</w:t>
      </w:r>
      <w:r>
        <w:rPr>
          <w:spacing w:val="-86"/>
        </w:rPr>
        <w:t> </w:t>
      </w:r>
      <w:r>
        <w:rPr>
          <w:spacing w:val="-86"/>
        </w:rPr>
      </w:r>
      <w:r>
        <w:rPr/>
        <w:t>公司在补偿期 限内实施现金</w:t>
      </w:r>
    </w:p>
    <w:p>
      <w:pPr>
        <w:spacing w:after="0" w:line="314"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5.425995pt;margin-top:355.819977pt;width:98.1pt;height:186.2pt;mso-position-horizontal-relative:page;mso-position-vertical-relative:page;z-index:-1318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承诺如下：</w:t>
                  </w:r>
                </w:p>
              </w:txbxContent>
            </v:textbox>
            <w10:wrap type="none"/>
          </v:shape>
        </w:pict>
      </w:r>
      <w:r>
        <w:rPr/>
        <w:pict>
          <v:group style="position:absolute;margin-left:367.660004pt;margin-top:72.47998pt;width:55.85pt;height:469.55pt;mso-position-horizontal-relative:page;mso-position-vertical-relative:page;z-index:-1318168" coordorigin="7353,1450" coordsize="1117,9391">
            <v:group style="position:absolute;left:7353;top:1450;width:1117;height:5658" coordorigin="7353,1450" coordsize="1117,5658">
              <v:shape style="position:absolute;left:7353;top:1450;width:1117;height:5658" coordorigin="7353,1450" coordsize="1117,5658" path="m7353,7107l8470,7107,8470,1450,7353,1450,7353,7107xe" filled="true" fillcolor="#ffffff" stroked="false">
                <v:path arrowok="t"/>
                <v:fill type="solid"/>
              </v:shape>
            </v:group>
            <v:group style="position:absolute;left:7353;top:7116;width:1117;height:3724" coordorigin="7353,7116" coordsize="1117,3724">
              <v:shape style="position:absolute;left:7353;top:7116;width:1117;height:3724" coordorigin="7353,7116" coordsize="1117,3724" path="m7353,10840l8470,10840,8470,7116,7353,7116,7353,10840xe" filled="true" fillcolor="#ffffff" stroked="false">
                <v:path arrowok="t"/>
                <v:fill type="solid"/>
              </v:shape>
            </v:group>
            <w10:wrap type="none"/>
          </v:group>
        </w:pict>
      </w:r>
      <w:r>
        <w:rPr/>
        <w:pict>
          <v:group style="position:absolute;margin-left:367.660004pt;margin-top:577.23999pt;width:55.85pt;height:186.2pt;mso-position-horizontal-relative:page;mso-position-vertical-relative:page;z-index:-1318144" coordorigin="7353,11545" coordsize="1117,3724">
            <v:shape style="position:absolute;left:7353;top:11545;width:1117;height:3724" coordorigin="7353,11545" coordsize="1117,3724" path="m7353,15269l8470,15269,8470,11545,7353,11545,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分配，现金分配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的部分应作相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应返还，计算公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式为：返还金额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每股已分配现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Times New Roman" w:hAnsi="Times New Roman" w:cs="Times New Roman" w:eastAsia="Times New Roman" w:hint="default"/>
                <w:sz w:val="18"/>
                <w:szCs w:val="18"/>
              </w:rPr>
              <w:t>×</w:t>
            </w:r>
            <w:r>
              <w:rPr>
                <w:rFonts w:ascii="宋体" w:hAnsi="宋体" w:cs="宋体" w:eastAsia="宋体" w:hint="default"/>
                <w:sz w:val="18"/>
                <w:szCs w:val="18"/>
              </w:rPr>
              <w:t>应回购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注销的股份数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4</w:t>
            </w:r>
            <w:r>
              <w:rPr>
                <w:rFonts w:ascii="宋体" w:hAnsi="宋体" w:cs="宋体" w:eastAsia="宋体" w:hint="default"/>
                <w:sz w:val="18"/>
                <w:szCs w:val="18"/>
              </w:rPr>
              <w:t>、在任何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情况下，因标的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资产减值而发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生的补偿与因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实际净利润数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额不足承诺净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利润数额而发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生的补偿合计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不超过标的资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产的交易价格</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0"/>
                <w:sz w:val="18"/>
                <w:szCs w:val="18"/>
              </w:rPr>
              <w:t>方笑求、蓝顺明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已经分别出具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《关于避免同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78"/>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①截至该承诺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函签署日，方笑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求、蓝顺明及其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司、企业或者其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从事与茂硕电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2" w:lineRule="auto" w:before="1"/>
              <w:ind w:left="23" w:right="141"/>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66"/>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pacing w:val="-10"/>
                <w:sz w:val="18"/>
                <w:szCs w:val="18"/>
              </w:rPr>
              <w:t>源、湖南方正达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及其控制的其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他公司、企业或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织存在同业竞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争关系的业务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②在方笑求、蓝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顺明持有茂硕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电源股份期间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及全部减持茂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硕电源股份后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五年内或担任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茂硕电源董事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监事及高级管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理人员期间及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离任茂硕电源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董事、监事及高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求、蓝顺明及其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司、企业或者其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避免与茂硕电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源、湖南方正达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他公司、企业或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织从事任何相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同或相似且构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务，亦不从事任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何可能损害茂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硕电源、湖南方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正达及其控制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的其他公司、企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济组织利益的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活动。如方笑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求、蓝顺明及其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司、企业或者其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到茂硕电源、湖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南方正达及其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司、企业或者其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营业务范围内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的业务机会，方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笑求、蓝顺明及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公司、企业或者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将该等合作机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会让予茂硕电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源、湖南方正达</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及其控制的其 </w:t>
            </w:r>
            <w:r>
              <w:rPr>
                <w:rFonts w:ascii="宋体" w:hAnsi="宋体" w:cs="宋体" w:eastAsia="宋体" w:hint="default"/>
                <w:spacing w:val="-10"/>
                <w:sz w:val="18"/>
                <w:szCs w:val="18"/>
              </w:rPr>
              <w:t>他公司、企业或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者其他经济组 </w:t>
            </w:r>
            <w:r>
              <w:rPr>
                <w:rFonts w:ascii="宋体" w:hAnsi="宋体" w:cs="宋体" w:eastAsia="宋体" w:hint="default"/>
                <w:spacing w:val="-10"/>
                <w:sz w:val="18"/>
                <w:szCs w:val="18"/>
              </w:rPr>
              <w:t>织。方笑求、蓝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顺明若违反上 </w:t>
            </w:r>
            <w:r>
              <w:rPr>
                <w:rFonts w:ascii="宋体" w:hAnsi="宋体" w:cs="宋体" w:eastAsia="宋体" w:hint="default"/>
                <w:spacing w:val="-10"/>
                <w:sz w:val="18"/>
                <w:szCs w:val="18"/>
              </w:rPr>
              <w:t>述承诺，将承担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因此而给茂硕 </w:t>
            </w:r>
            <w:r>
              <w:rPr>
                <w:rFonts w:ascii="宋体" w:hAnsi="宋体" w:cs="宋体" w:eastAsia="宋体" w:hint="default"/>
                <w:spacing w:val="-10"/>
                <w:sz w:val="18"/>
                <w:szCs w:val="18"/>
              </w:rPr>
              <w:t>电源、湖南方正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达及其控制的 </w:t>
            </w:r>
            <w:r>
              <w:rPr>
                <w:rFonts w:ascii="宋体" w:hAnsi="宋体" w:cs="宋体" w:eastAsia="宋体" w:hint="default"/>
                <w:spacing w:val="-10"/>
                <w:sz w:val="18"/>
                <w:szCs w:val="18"/>
              </w:rPr>
              <w:t>其他公司、企业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或者其他经济 组织造成的一 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方笑求、蓝顺明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已经分别出具</w:t>
            </w:r>
          </w:p>
          <w:p>
            <w:pPr>
              <w:pStyle w:val="TableParagraph"/>
              <w:spacing w:line="316"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《关于减少和 规范关联交易 </w:t>
            </w:r>
            <w:r>
              <w:rPr>
                <w:rFonts w:ascii="宋体" w:hAnsi="宋体" w:cs="宋体" w:eastAsia="宋体" w:hint="default"/>
                <w:spacing w:val="-10"/>
                <w:sz w:val="18"/>
                <w:szCs w:val="18"/>
              </w:rPr>
              <w:t>的承诺函》，承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诺如下：方笑 </w:t>
            </w:r>
            <w:r>
              <w:rPr>
                <w:rFonts w:ascii="宋体" w:hAnsi="宋体" w:cs="宋体" w:eastAsia="宋体" w:hint="default"/>
                <w:spacing w:val="-10"/>
                <w:sz w:val="18"/>
                <w:szCs w:val="18"/>
              </w:rPr>
              <w:t>求、蓝顺明在持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有茂硕电源股 份期间或担任 茂硕电源董事、 监事及高级管 </w:t>
            </w:r>
            <w:r>
              <w:rPr>
                <w:rFonts w:ascii="宋体" w:hAnsi="宋体" w:cs="宋体" w:eastAsia="宋体" w:hint="default"/>
                <w:spacing w:val="-10"/>
                <w:sz w:val="18"/>
                <w:szCs w:val="18"/>
              </w:rPr>
              <w:t>理人员期间，方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笑求、蓝顺明及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其控制的其他 </w:t>
            </w:r>
            <w:r>
              <w:rPr>
                <w:rFonts w:ascii="宋体" w:hAnsi="宋体" w:cs="宋体" w:eastAsia="宋体" w:hint="default"/>
                <w:spacing w:val="-10"/>
                <w:sz w:val="18"/>
                <w:szCs w:val="18"/>
              </w:rPr>
              <w:t>公司、企业或者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其他经济组织 将尽量减少并 规范与茂硕电 </w:t>
            </w:r>
            <w:r>
              <w:rPr>
                <w:rFonts w:ascii="宋体" w:hAnsi="宋体" w:cs="宋体" w:eastAsia="宋体" w:hint="default"/>
                <w:spacing w:val="-10"/>
                <w:sz w:val="18"/>
                <w:szCs w:val="18"/>
              </w:rPr>
              <w:t>源、湖南方正达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及其控制的其 </w:t>
            </w:r>
            <w:r>
              <w:rPr>
                <w:rFonts w:ascii="宋体" w:hAnsi="宋体" w:cs="宋体" w:eastAsia="宋体" w:hint="default"/>
                <w:spacing w:val="-10"/>
                <w:sz w:val="18"/>
                <w:szCs w:val="18"/>
              </w:rPr>
              <w:t>他公司、企业或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者其他经济组 织之间的关联 </w:t>
            </w:r>
            <w:r>
              <w:rPr>
                <w:rFonts w:ascii="宋体" w:hAnsi="宋体" w:cs="宋体" w:eastAsia="宋体" w:hint="default"/>
                <w:spacing w:val="-10"/>
                <w:sz w:val="18"/>
                <w:szCs w:val="18"/>
              </w:rPr>
              <w:t>交易。对于无法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避免或有合理 原因而发生的 </w:t>
            </w:r>
            <w:r>
              <w:rPr>
                <w:rFonts w:ascii="宋体" w:hAnsi="宋体" w:cs="宋体" w:eastAsia="宋体" w:hint="default"/>
                <w:spacing w:val="-10"/>
                <w:sz w:val="18"/>
                <w:szCs w:val="18"/>
              </w:rPr>
              <w:t>关联交易，方笑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求、蓝顺明及其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控制的其他公 </w:t>
            </w:r>
            <w:r>
              <w:rPr>
                <w:rFonts w:ascii="宋体" w:hAnsi="宋体" w:cs="宋体" w:eastAsia="宋体" w:hint="default"/>
                <w:spacing w:val="-10"/>
                <w:sz w:val="18"/>
                <w:szCs w:val="18"/>
              </w:rPr>
              <w:t>司、企业或者其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他经济组织将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5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9"/>
                <w:sz w:val="20"/>
                <w:szCs w:val="20"/>
              </w:rPr>
              <w:pict>
                <v:group style="width:55.85pt;height:225.2pt;mso-position-horizontal-relative:char;mso-position-vertical-relative:line" coordorigin="0,0" coordsize="1117,4504">
                  <v:group style="position:absolute;left:0;top:0;width:1117;height:4504" coordorigin="0,0" coordsize="1117,4504">
                    <v:shape style="position:absolute;left:0;top:0;width:1117;height:4504" coordorigin="0,0" coordsize="1117,4504" path="m0,4504l1116,4504,1116,0,0,0,0,4504xe" filled="true" fillcolor="#ffffff" stroked="false">
                      <v:path arrowok="t"/>
                      <v:fill type="solid"/>
                    </v:shape>
                  </v:group>
                </v:group>
              </w:pict>
            </w:r>
            <w:r>
              <w:rPr>
                <w:rFonts w:ascii="Times New Roman" w:hAnsi="Times New Roman" w:cs="Times New Roman" w:eastAsia="Times New Roman" w:hint="default"/>
                <w:position w:val="-89"/>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遵循市场原则 </w:t>
            </w:r>
            <w:r>
              <w:rPr>
                <w:rFonts w:ascii="宋体" w:hAnsi="宋体" w:cs="宋体" w:eastAsia="宋体" w:hint="default"/>
                <w:spacing w:val="-10"/>
                <w:sz w:val="18"/>
                <w:szCs w:val="18"/>
              </w:rPr>
              <w:t>以公允、合理的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市场价格进行， 根据有关法律、 法规及规范性 文件的规定履 行关联交易决 </w:t>
            </w:r>
            <w:r>
              <w:rPr>
                <w:rFonts w:ascii="宋体" w:hAnsi="宋体" w:cs="宋体" w:eastAsia="宋体" w:hint="default"/>
                <w:spacing w:val="-10"/>
                <w:sz w:val="18"/>
                <w:szCs w:val="18"/>
              </w:rPr>
              <w:t>策程序，依法履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行信息披露义 务和办理有关 </w:t>
            </w:r>
            <w:r>
              <w:rPr>
                <w:rFonts w:ascii="宋体" w:hAnsi="宋体" w:cs="宋体" w:eastAsia="宋体" w:hint="default"/>
                <w:spacing w:val="-10"/>
                <w:sz w:val="18"/>
                <w:szCs w:val="18"/>
              </w:rPr>
              <w:t>报批程序，不损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害茂硕电源及 其他股东的合 法权益。方笑 </w:t>
            </w:r>
            <w:r>
              <w:rPr>
                <w:rFonts w:ascii="宋体" w:hAnsi="宋体" w:cs="宋体" w:eastAsia="宋体" w:hint="default"/>
                <w:spacing w:val="-10"/>
                <w:sz w:val="18"/>
                <w:szCs w:val="18"/>
              </w:rPr>
              <w:t>求、蓝顺明若违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反上述承诺，将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承担因此而给 </w:t>
            </w:r>
            <w:r>
              <w:rPr>
                <w:rFonts w:ascii="宋体" w:hAnsi="宋体" w:cs="宋体" w:eastAsia="宋体" w:hint="default"/>
                <w:spacing w:val="-10"/>
                <w:sz w:val="18"/>
                <w:szCs w:val="18"/>
              </w:rPr>
              <w:t>茂硕电源、湖南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方正达及其控 制的其他公司、 企业或者其他 经济组织造成 的一切损失。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721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3"/>
                <w:sz w:val="20"/>
                <w:szCs w:val="20"/>
              </w:rPr>
              <w:pict>
                <v:group style="width:55.85pt;height:360.9pt;mso-position-horizontal-relative:char;mso-position-vertical-relative:line" coordorigin="0,0" coordsize="1117,7218">
                  <v:group style="position:absolute;left:0;top:0;width:1117;height:7218" coordorigin="0,0" coordsize="1117,7218">
                    <v:shape style="position:absolute;left:0;top:0;width:1117;height:7218" coordorigin="0,0" coordsize="1117,7218" path="m0,7218l1116,7218,1116,0,0,0,0,7218xe" filled="true" fillcolor="#ffffff" stroked="false">
                      <v:path arrowok="t"/>
                      <v:fill type="solid"/>
                    </v:shape>
                  </v:group>
                </v:group>
              </w:pict>
            </w:r>
            <w:r>
              <w:rPr>
                <w:rFonts w:ascii="Times New Roman" w:hAnsi="Times New Roman" w:cs="Times New Roman" w:eastAsia="Times New Roman" w:hint="default"/>
                <w:position w:val="-143"/>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本公司实际控 制人顾永德先 生已经出具承 诺函，承诺如 </w:t>
            </w:r>
            <w:r>
              <w:rPr>
                <w:rFonts w:ascii="宋体" w:hAnsi="宋体" w:cs="宋体" w:eastAsia="宋体" w:hint="default"/>
                <w:spacing w:val="-10"/>
                <w:sz w:val="18"/>
                <w:szCs w:val="18"/>
              </w:rPr>
              <w:t>下：①截至该承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诺函签署日，顾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永德及其控制 </w:t>
            </w:r>
            <w:r>
              <w:rPr>
                <w:rFonts w:ascii="宋体" w:hAnsi="宋体" w:cs="宋体" w:eastAsia="宋体" w:hint="default"/>
                <w:spacing w:val="-10"/>
                <w:sz w:val="18"/>
                <w:szCs w:val="18"/>
              </w:rPr>
              <w:t>的其他公司、企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业或者其他经 济组织未从事 </w:t>
            </w:r>
            <w:r>
              <w:rPr>
                <w:rFonts w:ascii="宋体" w:hAnsi="宋体" w:cs="宋体" w:eastAsia="宋体" w:hint="default"/>
                <w:spacing w:val="-10"/>
                <w:sz w:val="18"/>
                <w:szCs w:val="18"/>
              </w:rPr>
              <w:t>与茂硕电源、湖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南方正达及其 控制的其他公 </w:t>
            </w:r>
            <w:r>
              <w:rPr>
                <w:rFonts w:ascii="宋体" w:hAnsi="宋体" w:cs="宋体" w:eastAsia="宋体" w:hint="default"/>
                <w:spacing w:val="-10"/>
                <w:sz w:val="18"/>
                <w:szCs w:val="18"/>
              </w:rPr>
              <w:t>司、企业或者其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他经济组织存 在同业竞争关 </w:t>
            </w:r>
            <w:r>
              <w:rPr>
                <w:rFonts w:ascii="宋体" w:hAnsi="宋体" w:cs="宋体" w:eastAsia="宋体" w:hint="default"/>
                <w:spacing w:val="-10"/>
                <w:sz w:val="18"/>
                <w:szCs w:val="18"/>
              </w:rPr>
              <w:t>系的业务。②在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作为茂硕电源 的实际控制人 </w:t>
            </w:r>
            <w:r>
              <w:rPr>
                <w:rFonts w:ascii="宋体" w:hAnsi="宋体" w:cs="宋体" w:eastAsia="宋体" w:hint="default"/>
                <w:spacing w:val="-10"/>
                <w:sz w:val="18"/>
                <w:szCs w:val="18"/>
              </w:rPr>
              <w:t>期间，顾永德及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其控制的其他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56.459999pt;margin-top:71.759979pt;width:478.95pt;height:688pt;mso-position-horizontal-relative:page;mso-position-vertical-relative:page;z-index:-1318072" coordorigin="1129,1435" coordsize="9579,13760">
            <v:group style="position:absolute;left:1139;top:1450;width:2827;height:13730" coordorigin="1139,1450" coordsize="2827,13730">
              <v:shape style="position:absolute;left:1139;top:1450;width:2827;height:13730" coordorigin="1139,1450" coordsize="2827,13730" path="m1139,15179l3965,15179,3965,1450,1139,1450,1139,15179xe" filled="true" fillcolor="#d2d2d2" stroked="false">
                <v:path arrowok="t"/>
                <v:fill type="solid"/>
              </v:shape>
            </v:group>
            <v:group style="position:absolute;left:1139;top:1445;width:2827;height:2" coordorigin="1139,1445" coordsize="2827,2">
              <v:shape style="position:absolute;left:1139;top:1445;width:2827;height:2" coordorigin="1139,1445" coordsize="2827,0" path="m1139,1445l3965,1445e" filled="false" stroked="true" strokeweight=".48pt" strokecolor="#000000">
                <v:path arrowok="t"/>
              </v:shape>
            </v:group>
            <v:group style="position:absolute;left:3975;top:1445;width:1117;height:2" coordorigin="3975,1445" coordsize="1117,2">
              <v:shape style="position:absolute;left:3975;top:1445;width:1117;height:2" coordorigin="3975,1445" coordsize="1117,0" path="m3975,1445l5091,1445e" filled="false" stroked="true" strokeweight=".48pt" strokecolor="#000000">
                <v:path arrowok="t"/>
              </v:shape>
            </v:group>
            <v:group style="position:absolute;left:5101;top:1445;width:992;height:2" coordorigin="5101,1445" coordsize="992,2">
              <v:shape style="position:absolute;left:5101;top:1445;width:992;height:2" coordorigin="5101,1445" coordsize="992,0" path="m5101,1445l6092,1445e" filled="false" stroked="true" strokeweight=".48pt" strokecolor="#000000">
                <v:path arrowok="t"/>
              </v:shape>
            </v:group>
            <v:group style="position:absolute;left:7353;top:1450;width:1117;height:13730" coordorigin="7353,1450" coordsize="1117,13730">
              <v:shape style="position:absolute;left:7353;top:1450;width:1117;height:13730" coordorigin="7353,1450" coordsize="1117,13730" path="m7353,15179l8470,15179,8470,1450,7353,1450,7353,15179xe" filled="true" fillcolor="#ffffff" stroked="false">
                <v:path arrowok="t"/>
                <v:fill type="solid"/>
              </v:shape>
            </v:group>
            <v:group style="position:absolute;left:6102;top:1445;width:1242;height:2" coordorigin="6102,1445" coordsize="1242,2">
              <v:shape style="position:absolute;left:6102;top:1445;width:1242;height:2" coordorigin="6102,1445" coordsize="1242,0" path="m6102,1445l7344,1445e" filled="false" stroked="true" strokeweight=".48pt" strokecolor="#000000">
                <v:path arrowok="t"/>
              </v:shape>
            </v:group>
            <v:group style="position:absolute;left:7353;top:1445;width:1117;height:2" coordorigin="7353,1445" coordsize="1117,2">
              <v:shape style="position:absolute;left:7353;top:1445;width:1117;height:2" coordorigin="7353,1445" coordsize="1117,0" path="m7353,1445l8470,1445e" filled="false" stroked="true" strokeweight=".48pt" strokecolor="#000000">
                <v:path arrowok="t"/>
              </v:shape>
            </v:group>
            <v:group style="position:absolute;left:8479;top:1445;width:1112;height:2" coordorigin="8479,1445" coordsize="1112,2">
              <v:shape style="position:absolute;left:8479;top:1445;width:1112;height:2" coordorigin="8479,1445" coordsize="1112,0" path="m8479,1445l9590,1445e" filled="false" stroked="true" strokeweight=".48pt" strokecolor="#000000">
                <v:path arrowok="t"/>
              </v:shape>
            </v:group>
            <v:group style="position:absolute;left:9600;top:1445;width:1098;height:2" coordorigin="9600,1445" coordsize="1098,2">
              <v:shape style="position:absolute;left:9600;top:1445;width:1098;height:2" coordorigin="9600,1445" coordsize="1098,0" path="m9600,1445l10698,1445e" filled="false" stroked="true" strokeweight=".48pt" strokecolor="#000000">
                <v:path arrowok="t"/>
              </v:shape>
            </v:group>
            <v:group style="position:absolute;left:1134;top:1440;width:2;height:13750" coordorigin="1134,1440" coordsize="2,13750">
              <v:shape style="position:absolute;left:1134;top:1440;width:2;height:13750" coordorigin="1134,1440" coordsize="0,13750" path="m1134,1440l1134,15190e" filled="false" stroked="true" strokeweight=".48pt" strokecolor="#000000">
                <v:path arrowok="t"/>
              </v:shape>
            </v:group>
            <v:group style="position:absolute;left:1139;top:15185;width:2827;height:2" coordorigin="1139,15185" coordsize="2827,2">
              <v:shape style="position:absolute;left:1139;top:15185;width:2827;height:2" coordorigin="1139,15185" coordsize="2827,0" path="m1139,15185l3965,15185e" filled="false" stroked="true" strokeweight=".48pt" strokecolor="#000000">
                <v:path arrowok="t"/>
              </v:shape>
            </v:group>
            <v:group style="position:absolute;left:3970;top:1440;width:2;height:13750" coordorigin="3970,1440" coordsize="2,13750">
              <v:shape style="position:absolute;left:3970;top:1440;width:2;height:13750" coordorigin="3970,1440" coordsize="0,13750" path="m3970,1440l3970,15190e" filled="false" stroked="true" strokeweight=".48pt" strokecolor="#000000">
                <v:path arrowok="t"/>
              </v:shape>
            </v:group>
            <v:group style="position:absolute;left:3975;top:15185;width:1117;height:2" coordorigin="3975,15185" coordsize="1117,2">
              <v:shape style="position:absolute;left:3975;top:15185;width:1117;height:2" coordorigin="3975,15185" coordsize="1117,0" path="m3975,15185l5091,15185e" filled="false" stroked="true" strokeweight=".48pt" strokecolor="#000000">
                <v:path arrowok="t"/>
              </v:shape>
            </v:group>
            <v:group style="position:absolute;left:5096;top:1440;width:2;height:13750" coordorigin="5096,1440" coordsize="2,13750">
              <v:shape style="position:absolute;left:5096;top:1440;width:2;height:13750" coordorigin="5096,1440" coordsize="0,13750" path="m5096,1440l5096,15190e" filled="false" stroked="true" strokeweight=".48pt" strokecolor="#000000">
                <v:path arrowok="t"/>
              </v:shape>
            </v:group>
            <v:group style="position:absolute;left:5101;top:15185;width:992;height:2" coordorigin="5101,15185" coordsize="992,2">
              <v:shape style="position:absolute;left:5101;top:15185;width:992;height:2" coordorigin="5101,15185" coordsize="992,0" path="m5101,15185l6092,15185e" filled="false" stroked="true" strokeweight=".48pt" strokecolor="#000000">
                <v:path arrowok="t"/>
              </v:shape>
            </v:group>
            <v:group style="position:absolute;left:6097;top:1440;width:2;height:13750" coordorigin="6097,1440" coordsize="2,13750">
              <v:shape style="position:absolute;left:6097;top:1440;width:2;height:13750" coordorigin="6097,1440" coordsize="0,13750" path="m6097,1440l6097,15190e" filled="false" stroked="true" strokeweight=".48pt" strokecolor="#000000">
                <v:path arrowok="t"/>
              </v:shape>
            </v:group>
            <v:group style="position:absolute;left:6102;top:15185;width:1242;height:2" coordorigin="6102,15185" coordsize="1242,2">
              <v:shape style="position:absolute;left:6102;top:15185;width:1242;height:2" coordorigin="6102,15185" coordsize="1242,0" path="m6102,15185l7344,15185e" filled="false" stroked="true" strokeweight=".48pt" strokecolor="#000000">
                <v:path arrowok="t"/>
              </v:shape>
            </v:group>
            <v:group style="position:absolute;left:7348;top:1440;width:2;height:13750" coordorigin="7348,1440" coordsize="2,13750">
              <v:shape style="position:absolute;left:7348;top:1440;width:2;height:13750" coordorigin="7348,1440" coordsize="0,13750" path="m7348,1440l7348,15190e" filled="false" stroked="true" strokeweight=".48pt" strokecolor="#000000">
                <v:path arrowok="t"/>
              </v:shape>
            </v:group>
            <v:group style="position:absolute;left:7353;top:15185;width:1117;height:2" coordorigin="7353,15185" coordsize="1117,2">
              <v:shape style="position:absolute;left:7353;top:15185;width:1117;height:2" coordorigin="7353,15185" coordsize="1117,0" path="m7353,15185l8470,15185e" filled="false" stroked="true" strokeweight=".48pt" strokecolor="#000000">
                <v:path arrowok="t"/>
              </v:shape>
            </v:group>
            <v:group style="position:absolute;left:8474;top:1440;width:2;height:13750" coordorigin="8474,1440" coordsize="2,13750">
              <v:shape style="position:absolute;left:8474;top:1440;width:2;height:13750" coordorigin="8474,1440" coordsize="0,13750" path="m8474,1440l8474,15190e" filled="false" stroked="true" strokeweight=".48pt" strokecolor="#000000">
                <v:path arrowok="t"/>
              </v:shape>
            </v:group>
            <v:group style="position:absolute;left:8479;top:15185;width:1112;height:2" coordorigin="8479,15185" coordsize="1112,2">
              <v:shape style="position:absolute;left:8479;top:15185;width:1112;height:2" coordorigin="8479,15185" coordsize="1112,0" path="m8479,15185l9590,15185e" filled="false" stroked="true" strokeweight=".48pt" strokecolor="#000000">
                <v:path arrowok="t"/>
              </v:shape>
            </v:group>
            <v:group style="position:absolute;left:9595;top:1440;width:2;height:13750" coordorigin="9595,1440" coordsize="2,13750">
              <v:shape style="position:absolute;left:9595;top:1440;width:2;height:13750" coordorigin="9595,1440" coordsize="0,13750" path="m9595,1440l9595,15190e" filled="false" stroked="true" strokeweight=".48pt" strokecolor="#000000">
                <v:path arrowok="t"/>
              </v:shape>
            </v:group>
            <v:group style="position:absolute;left:9600;top:15185;width:1098;height:2" coordorigin="9600,15185" coordsize="1098,2">
              <v:shape style="position:absolute;left:9600;top:15185;width:1098;height:2" coordorigin="9600,15185" coordsize="1098,0" path="m9600,15185l10698,15185e" filled="false" stroked="true" strokeweight=".48pt" strokecolor="#000000">
                <v:path arrowok="t"/>
              </v:shape>
            </v:group>
            <v:group style="position:absolute;left:10703;top:1440;width:2;height:13750" coordorigin="10703,1440" coordsize="2,13750">
              <v:shape style="position:absolute;left:10703;top:1440;width:2;height:13750" coordorigin="10703,1440" coordsize="0,13750" path="m10703,1440l10703,15190e" filled="false" stroked="true" strokeweight=".48pt" strokecolor="#000000">
                <v:path arrowok="t"/>
              </v:shape>
            </v:group>
            <w10:wrap type="none"/>
          </v:group>
        </w:pict>
      </w:r>
    </w:p>
    <w:p>
      <w:pPr>
        <w:spacing w:line="240" w:lineRule="auto" w:before="2"/>
        <w:rPr>
          <w:rFonts w:ascii="Times New Roman" w:hAnsi="Times New Roman" w:cs="Times New Roman" w:eastAsia="Times New Roman" w:hint="default"/>
          <w:sz w:val="14"/>
          <w:szCs w:val="14"/>
        </w:rPr>
      </w:pPr>
    </w:p>
    <w:p>
      <w:pPr>
        <w:pStyle w:val="BodyText"/>
        <w:spacing w:line="316" w:lineRule="auto"/>
        <w:ind w:left="5144" w:right="4502"/>
        <w:jc w:val="left"/>
      </w:pPr>
      <w:r>
        <w:rPr>
          <w:spacing w:val="-10"/>
        </w:rPr>
        <w:t>公司、企业或者</w:t>
      </w:r>
      <w:r>
        <w:rPr>
          <w:spacing w:val="-85"/>
        </w:rPr>
        <w:t> </w:t>
      </w:r>
      <w:r>
        <w:rPr>
          <w:spacing w:val="-85"/>
        </w:rPr>
      </w:r>
      <w:r>
        <w:rPr/>
        <w:t>其他经济组织 将避免从事任 何与茂硕电源、 湖南方正达及 其控制的其他 </w:t>
      </w:r>
      <w:r>
        <w:rPr>
          <w:spacing w:val="-10"/>
        </w:rPr>
        <w:t>公司、企业或者</w:t>
      </w:r>
      <w:r>
        <w:rPr>
          <w:spacing w:val="-85"/>
        </w:rPr>
        <w:t> </w:t>
      </w:r>
      <w:r>
        <w:rPr>
          <w:spacing w:val="-85"/>
        </w:rPr>
      </w:r>
      <w:r>
        <w:rPr/>
        <w:t>其他经济组织 相同或相似且 构成或可能构 成竞争关系的 </w:t>
      </w:r>
      <w:r>
        <w:rPr>
          <w:spacing w:val="-10"/>
        </w:rPr>
        <w:t>业务，亦不从事</w:t>
      </w:r>
      <w:r>
        <w:rPr>
          <w:spacing w:val="-85"/>
        </w:rPr>
        <w:t> </w:t>
      </w:r>
      <w:r>
        <w:rPr>
          <w:spacing w:val="-85"/>
        </w:rPr>
      </w:r>
      <w:r>
        <w:rPr/>
        <w:t>任何可能损害 </w:t>
      </w:r>
      <w:r>
        <w:rPr>
          <w:spacing w:val="-10"/>
        </w:rPr>
        <w:t>茂硕电源、湖南</w:t>
      </w:r>
      <w:r>
        <w:rPr>
          <w:spacing w:val="-85"/>
        </w:rPr>
        <w:t> </w:t>
      </w:r>
      <w:r>
        <w:rPr>
          <w:spacing w:val="-85"/>
        </w:rPr>
      </w:r>
      <w:r>
        <w:rPr/>
        <w:t>方正达及其控 制的其他公司、 企业或者其他 经济组织利益 </w:t>
      </w:r>
      <w:r>
        <w:rPr>
          <w:spacing w:val="-10"/>
        </w:rPr>
        <w:t>的活动。如顾永</w:t>
      </w:r>
      <w:r>
        <w:rPr>
          <w:spacing w:val="-85"/>
        </w:rPr>
        <w:t> </w:t>
      </w:r>
      <w:r>
        <w:rPr>
          <w:spacing w:val="-85"/>
        </w:rPr>
      </w:r>
      <w:r>
        <w:rPr/>
        <w:t>德及其控制的 </w:t>
      </w:r>
      <w:r>
        <w:rPr>
          <w:spacing w:val="-10"/>
        </w:rPr>
        <w:t>其他公司、企业</w:t>
      </w:r>
      <w:r>
        <w:rPr>
          <w:spacing w:val="-85"/>
        </w:rPr>
        <w:t> </w:t>
      </w:r>
      <w:r>
        <w:rPr>
          <w:spacing w:val="-85"/>
        </w:rPr>
      </w:r>
      <w:r>
        <w:rPr/>
        <w:t>或者其他经济 组织遇到茂硕 </w:t>
      </w:r>
      <w:r>
        <w:rPr>
          <w:spacing w:val="-10"/>
        </w:rPr>
        <w:t>电源、湖南方正</w:t>
      </w:r>
      <w:r>
        <w:rPr>
          <w:spacing w:val="-85"/>
        </w:rPr>
        <w:t> </w:t>
      </w:r>
      <w:r>
        <w:rPr>
          <w:spacing w:val="-85"/>
        </w:rPr>
      </w:r>
      <w:r>
        <w:rPr/>
        <w:t>达及其控制的 </w:t>
      </w:r>
      <w:r>
        <w:rPr>
          <w:spacing w:val="-10"/>
        </w:rPr>
        <w:t>其他公司、企业</w:t>
      </w:r>
      <w:r>
        <w:rPr>
          <w:spacing w:val="-85"/>
        </w:rPr>
        <w:t> </w:t>
      </w:r>
      <w:r>
        <w:rPr>
          <w:spacing w:val="-85"/>
        </w:rPr>
      </w:r>
      <w:r>
        <w:rPr/>
        <w:t>或者其他经济 组织主营业务 范围内的业务 </w:t>
      </w:r>
      <w:r>
        <w:rPr>
          <w:spacing w:val="-10"/>
        </w:rPr>
        <w:t>机会，顾永德及</w:t>
      </w:r>
      <w:r>
        <w:rPr>
          <w:spacing w:val="-85"/>
        </w:rPr>
        <w:t> </w:t>
      </w:r>
      <w:r>
        <w:rPr>
          <w:spacing w:val="-85"/>
        </w:rPr>
      </w:r>
      <w:r>
        <w:rPr/>
        <w:t>其控制的其他 </w:t>
      </w:r>
      <w:r>
        <w:rPr>
          <w:spacing w:val="-10"/>
        </w:rPr>
        <w:t>公司、企业或者</w:t>
      </w:r>
      <w:r>
        <w:rPr>
          <w:spacing w:val="-85"/>
        </w:rPr>
        <w:t> </w:t>
      </w:r>
      <w:r>
        <w:rPr>
          <w:spacing w:val="-85"/>
        </w:rPr>
      </w:r>
      <w:r>
        <w:rPr/>
        <w:t>其他经济组织 将该等合作机 会让予茂硕电 </w:t>
      </w:r>
      <w:r>
        <w:rPr>
          <w:spacing w:val="-10"/>
        </w:rPr>
        <w:t>源、湖南方正达</w:t>
      </w:r>
      <w:r>
        <w:rPr>
          <w:spacing w:val="-85"/>
        </w:rPr>
        <w:t> </w:t>
      </w:r>
      <w:r>
        <w:rPr>
          <w:spacing w:val="-85"/>
        </w:rPr>
      </w:r>
      <w:r>
        <w:rPr/>
        <w:t>及其控制的其 </w:t>
      </w:r>
      <w:r>
        <w:rPr>
          <w:spacing w:val="-10"/>
        </w:rPr>
        <w:t>他公司、企业或</w:t>
      </w:r>
      <w:r>
        <w:rPr>
          <w:spacing w:val="-85"/>
        </w:rPr>
        <w:t> </w:t>
      </w:r>
      <w:r>
        <w:rPr>
          <w:spacing w:val="-85"/>
        </w:rPr>
      </w:r>
      <w:r>
        <w:rPr/>
        <w:t>者其他经济组 </w:t>
      </w:r>
      <w:r>
        <w:rPr>
          <w:spacing w:val="-10"/>
        </w:rPr>
        <w:t>织。顾永德若违</w:t>
      </w:r>
      <w:r>
        <w:rPr>
          <w:spacing w:val="-85"/>
        </w:rPr>
        <w:t> </w:t>
      </w:r>
      <w:r>
        <w:rPr>
          <w:spacing w:val="-85"/>
        </w:rPr>
      </w:r>
      <w:r>
        <w:rPr>
          <w:spacing w:val="-10"/>
        </w:rPr>
        <w:t>反上述承诺，将</w:t>
      </w:r>
      <w:r>
        <w:rPr>
          <w:spacing w:val="-85"/>
        </w:rPr>
        <w:t> </w:t>
      </w:r>
      <w:r>
        <w:rPr>
          <w:spacing w:val="-85"/>
        </w:rPr>
      </w:r>
      <w:r>
        <w:rPr/>
        <w:t>承担因此而给 </w:t>
      </w:r>
      <w:r>
        <w:rPr>
          <w:spacing w:val="-10"/>
        </w:rPr>
        <w:t>茂硕电源、湖南</w:t>
      </w:r>
      <w:r>
        <w:rPr>
          <w:spacing w:val="-85"/>
        </w:rPr>
        <w:t> </w:t>
      </w:r>
      <w:r>
        <w:rPr>
          <w:spacing w:val="-85"/>
        </w:rPr>
      </w:r>
      <w:r>
        <w:rPr/>
        <w:t>方正达及其控</w:t>
      </w:r>
    </w:p>
    <w:p>
      <w:pPr>
        <w:spacing w:after="0" w:line="316"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72.47998pt;width:55.85pt;height:360.35pt;mso-position-horizontal-relative:page;mso-position-vertical-relative:page;z-index:-1318048" coordorigin="7353,1450" coordsize="1117,7207">
            <v:group style="position:absolute;left:7353;top:1450;width:1117;height:1289" coordorigin="7353,1450" coordsize="1117,1289">
              <v:shape style="position:absolute;left:7353;top:1450;width:1117;height:1289" coordorigin="7353,1450" coordsize="1117,1289" path="m7353,2738l8470,2738,8470,1450,7353,1450,7353,2738xe" filled="true" fillcolor="#ffffff" stroked="false">
                <v:path arrowok="t"/>
                <v:fill type="solid"/>
              </v:shape>
            </v:group>
            <v:group style="position:absolute;left:7353;top:2748;width:1117;height:5909" coordorigin="7353,2748" coordsize="1117,5909">
              <v:shape style="position:absolute;left:7353;top:2748;width:1117;height:5909" coordorigin="7353,2748" coordsize="1117,5909" path="m7353,8656l8470,8656,8470,2748,7353,2748,7353,8656xe" filled="true" fillcolor="#ffffff" stroked="false">
                <v:path arrowok="t"/>
                <v:fill type="solid"/>
              </v:shape>
            </v:group>
            <w10:wrap type="none"/>
          </v:group>
        </w:pict>
      </w:r>
      <w:r>
        <w:rPr/>
        <w:pict>
          <v:group style="position:absolute;margin-left:367.660004pt;margin-top:468.039978pt;width:55.85pt;height:295.4pt;mso-position-horizontal-relative:page;mso-position-vertical-relative:page;z-index:-1318024" coordorigin="7353,9361" coordsize="1117,5908">
            <v:shape style="position:absolute;left:7353;top:9361;width:1117;height:5908" coordorigin="7353,9361" coordsize="1117,5908" path="m7353,15269l8470,15269,8470,9361,7353,9361,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制的其他公司、 企业或者其他 经济组织造成 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关于关联交 易的承诺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本公司实际控 制人顾永德先 生已经出具承 诺函，承诺如 </w:t>
            </w:r>
            <w:r>
              <w:rPr>
                <w:rFonts w:ascii="宋体" w:hAnsi="宋体" w:cs="宋体" w:eastAsia="宋体" w:hint="default"/>
                <w:spacing w:val="-10"/>
                <w:sz w:val="18"/>
                <w:szCs w:val="18"/>
              </w:rPr>
              <w:t>下：顾永德在作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为茂硕电源的 实际控制人期 </w:t>
            </w:r>
            <w:r>
              <w:rPr>
                <w:rFonts w:ascii="宋体" w:hAnsi="宋体" w:cs="宋体" w:eastAsia="宋体" w:hint="default"/>
                <w:spacing w:val="-10"/>
                <w:sz w:val="18"/>
                <w:szCs w:val="18"/>
              </w:rPr>
              <w:t>间，顾永德及其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控制的其他公 </w:t>
            </w:r>
            <w:r>
              <w:rPr>
                <w:rFonts w:ascii="宋体" w:hAnsi="宋体" w:cs="宋体" w:eastAsia="宋体" w:hint="default"/>
                <w:spacing w:val="-10"/>
                <w:sz w:val="18"/>
                <w:szCs w:val="18"/>
              </w:rPr>
              <w:t>司、企业或者其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他经济组织将 尽量减少并规 范与茂硕电源、 湖南方正达及 其控制的其他 </w:t>
            </w:r>
            <w:r>
              <w:rPr>
                <w:rFonts w:ascii="宋体" w:hAnsi="宋体" w:cs="宋体" w:eastAsia="宋体" w:hint="default"/>
                <w:spacing w:val="-10"/>
                <w:sz w:val="18"/>
                <w:szCs w:val="18"/>
              </w:rPr>
              <w:t>公司、企业或者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其他经济组织 之间的关联交 </w:t>
            </w:r>
            <w:r>
              <w:rPr>
                <w:rFonts w:ascii="宋体" w:hAnsi="宋体" w:cs="宋体" w:eastAsia="宋体" w:hint="default"/>
                <w:spacing w:val="-10"/>
                <w:sz w:val="18"/>
                <w:szCs w:val="18"/>
              </w:rPr>
              <w:t>易。对于无法避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免或有合理原 因而发生的关 </w:t>
            </w:r>
            <w:r>
              <w:rPr>
                <w:rFonts w:ascii="宋体" w:hAnsi="宋体" w:cs="宋体" w:eastAsia="宋体" w:hint="default"/>
                <w:spacing w:val="-10"/>
                <w:sz w:val="18"/>
                <w:szCs w:val="18"/>
              </w:rPr>
              <w:t>联交易，顾永德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及其控制的其 </w:t>
            </w:r>
            <w:r>
              <w:rPr>
                <w:rFonts w:ascii="宋体" w:hAnsi="宋体" w:cs="宋体" w:eastAsia="宋体" w:hint="default"/>
                <w:spacing w:val="-10"/>
                <w:sz w:val="18"/>
                <w:szCs w:val="18"/>
              </w:rPr>
              <w:t>他公司、企业或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者其他经济组 织将遵循市场 </w:t>
            </w:r>
            <w:r>
              <w:rPr>
                <w:rFonts w:ascii="宋体" w:hAnsi="宋体" w:cs="宋体" w:eastAsia="宋体" w:hint="default"/>
                <w:spacing w:val="-10"/>
                <w:sz w:val="18"/>
                <w:szCs w:val="18"/>
              </w:rPr>
              <w:t>原则以公允、合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理的市场价格 </w:t>
            </w:r>
            <w:r>
              <w:rPr>
                <w:rFonts w:ascii="宋体" w:hAnsi="宋体" w:cs="宋体" w:eastAsia="宋体" w:hint="default"/>
                <w:spacing w:val="-10"/>
                <w:sz w:val="18"/>
                <w:szCs w:val="18"/>
              </w:rPr>
              <w:t>进行，根据有关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法律、法规及规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范性文件的规 定履行关联交 </w:t>
            </w:r>
            <w:r>
              <w:rPr>
                <w:rFonts w:ascii="宋体" w:hAnsi="宋体" w:cs="宋体" w:eastAsia="宋体" w:hint="default"/>
                <w:spacing w:val="-10"/>
                <w:sz w:val="18"/>
                <w:szCs w:val="18"/>
              </w:rPr>
              <w:t>易决策程序，依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法履行信息披 露义务和办理 有关报批程序， 不利用实际控 制人地位损害 茂硕电源及其 他股东的合法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72.47998pt;width:55.85pt;height:306.75pt;mso-position-horizontal-relative:page;mso-position-vertical-relative:page;z-index:-1318000" coordorigin="7353,1450" coordsize="1117,6135">
            <v:group style="position:absolute;left:7353;top:1450;width:1117;height:2850" coordorigin="7353,1450" coordsize="1117,2850">
              <v:shape style="position:absolute;left:7353;top:1450;width:1117;height:2850" coordorigin="7353,1450" coordsize="1117,2850" path="m7353,4299l8470,4299,8470,1450,7353,1450,7353,4299xe" filled="true" fillcolor="#ffffff" stroked="false">
                <v:path arrowok="t"/>
                <v:fill type="solid"/>
              </v:shape>
            </v:group>
            <v:group style="position:absolute;left:7353;top:4308;width:1117;height:3276" coordorigin="7353,4308" coordsize="1117,3276">
              <v:shape style="position:absolute;left:7353;top:4308;width:1117;height:3276" coordorigin="7353,4308" coordsize="1117,3276" path="m7353,7584l8470,7584,8470,4308,7353,4308,7353,7584xe" filled="true" fillcolor="#ffffff" stroked="false">
                <v:path arrowok="t"/>
                <v:fill type="solid"/>
              </v:shape>
            </v:group>
            <w10:wrap type="none"/>
          </v:group>
        </w:pict>
      </w:r>
      <w:r>
        <w:rPr/>
        <w:pict>
          <v:group style="position:absolute;margin-left:367.660004pt;margin-top:414.439972pt;width:55.85pt;height:163.85pt;mso-position-horizontal-relative:page;mso-position-vertical-relative:page;z-index:-1317976" coordorigin="7353,8289" coordsize="1117,3277">
            <v:shape style="position:absolute;left:7353;top:8289;width:1117;height:3277" coordorigin="7353,8289" coordsize="1117,3277" path="m7353,11565l8470,11565,8470,8289,7353,8289,7353,11565xe" filled="true" fillcolor="#ffffff" stroked="false">
              <v:path arrowok="t"/>
              <v:fill type="solid"/>
            </v:shape>
            <w10:wrap type="none"/>
          </v:group>
        </w:pict>
      </w:r>
      <w:r>
        <w:rPr/>
        <w:pict>
          <v:group style="position:absolute;margin-left:368.799988pt;margin-top:655.719971pt;width:53.5pt;height:17.650pt;mso-position-horizontal-relative:page;mso-position-vertical-relative:page;z-index:-1317952" coordorigin="7376,13114" coordsize="1070,353">
            <v:shape style="position:absolute;left:7376;top:13114;width:1070;height:353" coordorigin="7376,13114" coordsize="1070,353" path="m7376,13467l8446,13467,8446,13114,7376,13114,7376,1346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权益。顾永德若</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将承担因此而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给茂硕电源、湖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南方正达及其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司、企业或者其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成的损失。</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为了保证公司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及标的资产的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独立性，方笑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求、蓝顺明已经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分别出具《关于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保证独立性的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承诺函》，承诺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在本次交易完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成后，保持公司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和湖南方正达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3" w:right="141"/>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r>
              <w:rPr>
                <w:rFonts w:ascii="Times New Roman" w:hAnsi="Times New Roman" w:cs="Times New Roman" w:eastAsia="Times New Roman" w:hint="default"/>
                <w:sz w:val="18"/>
                <w:szCs w:val="18"/>
              </w:rPr>
              <w:t>;</w:t>
            </w:r>
            <w:r>
              <w:rPr>
                <w:rFonts w:ascii="宋体" w:hAnsi="宋体" w:cs="宋体" w:eastAsia="宋体" w:hint="default"/>
                <w:sz w:val="18"/>
                <w:szCs w:val="18"/>
              </w:rPr>
              <w:t>顾永德</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252"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10"/>
              <w:jc w:val="left"/>
              <w:rPr>
                <w:rFonts w:ascii="宋体" w:hAnsi="宋体" w:cs="宋体" w:eastAsia="宋体" w:hint="default"/>
                <w:sz w:val="18"/>
                <w:szCs w:val="18"/>
              </w:rPr>
            </w:pPr>
            <w:r>
              <w:rPr>
                <w:rFonts w:ascii="宋体" w:hAnsi="宋体" w:cs="宋体" w:eastAsia="宋体" w:hint="default"/>
                <w:sz w:val="18"/>
                <w:szCs w:val="18"/>
              </w:rPr>
              <w:t>的人员、机构 </w:t>
            </w:r>
            <w:r>
              <w:rPr>
                <w:rFonts w:ascii="宋体" w:hAnsi="宋体" w:cs="宋体" w:eastAsia="宋体" w:hint="default"/>
                <w:spacing w:val="-10"/>
                <w:sz w:val="18"/>
                <w:szCs w:val="18"/>
              </w:rPr>
              <w:t>资产、业务、财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务的独立性。本</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196" w:lineRule="exact" w:before="10"/>
              <w:ind w:left="-16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公司实际控制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人顾永德先生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已经出具承诺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函，承诺在本次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交易完成后，保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持公司和湖南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方正达的人员</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机构、资产、业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务、财务的独立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性。</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0"/>
                <w:sz w:val="18"/>
                <w:szCs w:val="18"/>
              </w:rPr>
              <w:t>方笑求、蓝顺明</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已经分别出具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《关于社会保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险、住房公积金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补缴的承诺</w:t>
            </w:r>
          </w:p>
        </w:tc>
        <w:tc>
          <w:tcPr>
            <w:tcW w:w="1126" w:type="dxa"/>
            <w:tcBorders>
              <w:top w:val="nil" w:sz="6" w:space="0" w:color="auto"/>
              <w:left w:val="single" w:sz="13" w:space="0" w:color="FFFFF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2" w:lineRule="auto" w:before="1"/>
              <w:ind w:left="23" w:right="141"/>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252" w:type="dxa"/>
            <w:tcBorders>
              <w:top w:val="nil" w:sz="6" w:space="0" w:color="auto"/>
              <w:left w:val="single" w:sz="4" w:space="0" w:color="000000"/>
              <w:bottom w:val="nil" w:sz="6" w:space="0" w:color="auto"/>
              <w:right w:val="single" w:sz="13" w:space="0" w:color="FFFFFF"/>
            </w:tcBorders>
          </w:tcPr>
          <w:p>
            <w:pPr>
              <w:pStyle w:val="TableParagraph"/>
              <w:spacing w:line="316" w:lineRule="auto" w:before="20"/>
              <w:ind w:left="22" w:right="-44"/>
              <w:jc w:val="left"/>
              <w:rPr>
                <w:rFonts w:ascii="宋体" w:hAnsi="宋体" w:cs="宋体" w:eastAsia="宋体" w:hint="default"/>
                <w:sz w:val="18"/>
                <w:szCs w:val="18"/>
              </w:rPr>
            </w:pPr>
            <w:r>
              <w:rPr>
                <w:rFonts w:ascii="宋体" w:hAnsi="宋体" w:cs="宋体" w:eastAsia="宋体" w:hint="default"/>
                <w:spacing w:val="-24"/>
                <w:sz w:val="18"/>
                <w:szCs w:val="18"/>
              </w:rPr>
              <w:t>函》，承诺如下：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若湖南方正达</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before="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未为其员工足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额缴纳社会保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险、住房公积金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而被政府部门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5.425995pt;margin-top:246.61998pt;width:98.1pt;height:132.6pt;mso-position-horizontal-relative:page;mso-position-vertical-relative:page;z-index:-1317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承诺如下：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要求补缴社会 </w:t>
            </w:r>
            <w:r>
              <w:rPr>
                <w:rFonts w:ascii="宋体" w:hAnsi="宋体" w:cs="宋体" w:eastAsia="宋体" w:hint="default"/>
                <w:spacing w:val="-10"/>
                <w:sz w:val="18"/>
                <w:szCs w:val="18"/>
              </w:rPr>
              <w:t>保险、住房公积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金或被政府部 </w:t>
            </w:r>
            <w:r>
              <w:rPr>
                <w:rFonts w:ascii="宋体" w:hAnsi="宋体" w:cs="宋体" w:eastAsia="宋体" w:hint="default"/>
                <w:spacing w:val="-10"/>
                <w:sz w:val="18"/>
                <w:szCs w:val="18"/>
              </w:rPr>
              <w:t>门处以罚款，方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笑求、蓝顺明将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全额补偿湖南 方正达及其子 公司补缴的社 </w:t>
            </w:r>
            <w:r>
              <w:rPr>
                <w:rFonts w:ascii="宋体" w:hAnsi="宋体" w:cs="宋体" w:eastAsia="宋体" w:hint="default"/>
                <w:spacing w:val="-10"/>
                <w:sz w:val="18"/>
                <w:szCs w:val="18"/>
              </w:rPr>
              <w:t>会保险、住房公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积金及缴纳的 罚款。</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0" w:lineRule="auto"/>
              <w:ind w:left="23" w:right="141"/>
              <w:jc w:val="left"/>
              <w:rPr>
                <w:rFonts w:ascii="宋体" w:hAnsi="宋体" w:cs="宋体" w:eastAsia="宋体" w:hint="default"/>
                <w:sz w:val="18"/>
                <w:szCs w:val="18"/>
              </w:rPr>
            </w:pPr>
            <w:r>
              <w:rPr>
                <w:rFonts w:ascii="宋体" w:hAnsi="宋体" w:cs="宋体" w:eastAsia="宋体" w:hint="default"/>
                <w:sz w:val="18"/>
                <w:szCs w:val="18"/>
              </w:rPr>
              <w:t>方笑求</w:t>
            </w:r>
            <w:r>
              <w:rPr>
                <w:rFonts w:ascii="Times New Roman" w:hAnsi="Times New Roman" w:cs="Times New Roman" w:eastAsia="Times New Roman" w:hint="default"/>
                <w:sz w:val="18"/>
                <w:szCs w:val="18"/>
              </w:rPr>
              <w:t>;</w:t>
            </w:r>
            <w:r>
              <w:rPr>
                <w:rFonts w:ascii="宋体" w:hAnsi="宋体" w:cs="宋体" w:eastAsia="宋体" w:hint="default"/>
                <w:sz w:val="18"/>
                <w:szCs w:val="18"/>
              </w:rPr>
              <w:t>蓝顺 明</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其它承诺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方笑求、蓝顺明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已经分别出具</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《关于税收追 缴补偿的承诺 </w:t>
            </w:r>
            <w:r>
              <w:rPr>
                <w:rFonts w:ascii="宋体" w:hAnsi="宋体" w:cs="宋体" w:eastAsia="宋体" w:hint="default"/>
                <w:spacing w:val="-26"/>
                <w:sz w:val="18"/>
                <w:szCs w:val="18"/>
              </w:rPr>
              <w:t>函》，</w:t>
            </w:r>
            <w:r>
              <w:rPr>
                <w:rFonts w:ascii="宋体" w:hAnsi="宋体" w:cs="宋体" w:eastAsia="宋体" w:hint="default"/>
                <w:sz w:val="18"/>
                <w:szCs w:val="18"/>
              </w:rPr>
              <w:t> 若湖南方正达 因不符合高新 技术企业资质 条件而被税务 部门追缴所享 受的税收优惠 </w:t>
            </w:r>
            <w:r>
              <w:rPr>
                <w:rFonts w:ascii="宋体" w:hAnsi="宋体" w:cs="宋体" w:eastAsia="宋体" w:hint="default"/>
                <w:spacing w:val="-10"/>
                <w:sz w:val="18"/>
                <w:szCs w:val="18"/>
              </w:rPr>
              <w:t>或处以罚款、缴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纳滞纳金，方笑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求、蓝顺明将全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额补偿湖南方 正达被追缴的 企业所得税款 或缴纳的罚款、 滞纳金。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55.85pt;height:132.6pt;mso-position-horizontal-relative:char;mso-position-vertical-relative:line" coordorigin="0,0" coordsize="1117,2652">
                  <v:group style="position:absolute;left:0;top:0;width:1117;height:2652" coordorigin="0,0" coordsize="1117,2652">
                    <v:shape style="position:absolute;left:0;top:0;width:1117;height:2652" coordorigin="0,0" coordsize="1117,2652" path="m0,2652l1116,2652,1116,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65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55.85pt;height:132.65pt;mso-position-horizontal-relative:char;mso-position-vertical-relative:line" coordorigin="0,0" coordsize="1117,2653">
                  <v:group style="position:absolute;left:0;top:0;width:1117;height:2653" coordorigin="0,0" coordsize="1117,2653">
                    <v:shape style="position:absolute;left:0;top:0;width:1117;height:2653" coordorigin="0,0" coordsize="1117,2653" path="m0,2652l1116,2652,1116,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4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6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本公司实际控 制人顾永德承 </w:t>
            </w:r>
            <w:r>
              <w:rPr>
                <w:rFonts w:ascii="宋体" w:hAnsi="宋体" w:cs="宋体" w:eastAsia="宋体" w:hint="default"/>
                <w:spacing w:val="-10"/>
                <w:sz w:val="18"/>
                <w:szCs w:val="18"/>
              </w:rPr>
              <w:t>诺，自公司股票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在深圳证券交 易所上市之日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不转让或者委 托他人管理本 人直接或者间 接持有的公司 公开发行股票 前已发行的股 </w:t>
            </w:r>
            <w:r>
              <w:rPr>
                <w:rFonts w:ascii="宋体" w:hAnsi="宋体" w:cs="宋体" w:eastAsia="宋体" w:hint="default"/>
                <w:spacing w:val="-10"/>
                <w:sz w:val="18"/>
                <w:szCs w:val="18"/>
              </w:rPr>
              <w:t>份，也不由公司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回购该部分股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001"/>
        <w:gridCol w:w="1252"/>
        <w:gridCol w:w="1126"/>
        <w:gridCol w:w="1121"/>
        <w:gridCol w:w="1108"/>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41"/>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份。作为公司的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董事，本人所持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公司股份在上 述锁定期限届 </w:t>
            </w:r>
            <w:r>
              <w:rPr>
                <w:rFonts w:ascii="宋体" w:hAnsi="宋体" w:cs="宋体" w:eastAsia="宋体" w:hint="default"/>
                <w:spacing w:val="-10"/>
                <w:sz w:val="18"/>
                <w:szCs w:val="18"/>
              </w:rPr>
              <w:t>满后，在任职期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间每年转让公 司股份的比例 不超过所持公 司股份总数的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；公司上市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后如离任，离任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个月内，不</w:t>
            </w:r>
            <w:r>
              <w:rPr>
                <w:rFonts w:ascii="宋体" w:hAnsi="宋体" w:cs="宋体" w:eastAsia="宋体" w:hint="default"/>
                <w:sz w:val="18"/>
                <w:szCs w:val="18"/>
              </w:rPr>
              <w:t> 转让本人所持 有的公司股份； 在申报离任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16" w:lineRule="auto" w:before="1"/>
              <w:ind w:left="22" w:right="48"/>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月内通过交易 所挂牌交易出 售本公司股票 数量占其所持 有本公司股票 总数的比例不 得超过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721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3"/>
                <w:sz w:val="20"/>
                <w:szCs w:val="20"/>
              </w:rPr>
              <w:pict>
                <v:group style="width:55.85pt;height:360.9pt;mso-position-horizontal-relative:char;mso-position-vertical-relative:line" coordorigin="0,0" coordsize="1117,7218">
                  <v:group style="position:absolute;left:0;top:0;width:1117;height:7218" coordorigin="0,0" coordsize="1117,7218">
                    <v:shape style="position:absolute;left:0;top:0;width:1117;height:7218" coordorigin="0,0" coordsize="1117,7218" path="m0,7218l1116,7218,1116,0,0,0,0,7218xe" filled="true" fillcolor="#ffffff" stroked="false">
                      <v:path arrowok="t"/>
                      <v:fill type="solid"/>
                    </v:shape>
                  </v:group>
                </v:group>
              </w:pict>
            </w:r>
            <w:r>
              <w:rPr>
                <w:rFonts w:ascii="Times New Roman" w:hAnsi="Times New Roman" w:cs="Times New Roman" w:eastAsia="Times New Roman" w:hint="default"/>
                <w:position w:val="-143"/>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茂硕电源科 技股份有限 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现金分红的承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289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41"/>
              <w:jc w:val="both"/>
              <w:rPr>
                <w:rFonts w:ascii="宋体" w:hAnsi="宋体" w:cs="宋体" w:eastAsia="宋体" w:hint="default"/>
                <w:sz w:val="18"/>
                <w:szCs w:val="18"/>
              </w:rPr>
            </w:pPr>
            <w:r>
              <w:rPr>
                <w:rFonts w:ascii="宋体" w:hAnsi="宋体" w:cs="宋体" w:eastAsia="宋体" w:hint="default"/>
                <w:sz w:val="18"/>
                <w:szCs w:val="18"/>
              </w:rPr>
              <w:t>深圳德旺投 资发展有限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顾永德</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66"/>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25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为避免未来可 能存在的同业 </w:t>
            </w:r>
            <w:r>
              <w:rPr>
                <w:rFonts w:ascii="宋体" w:hAnsi="宋体" w:cs="宋体" w:eastAsia="宋体" w:hint="default"/>
                <w:spacing w:val="-10"/>
                <w:sz w:val="18"/>
                <w:szCs w:val="18"/>
              </w:rPr>
              <w:t>竞争，公司控股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股东德旺投资、 实际控制人顾 永德先生向本 </w:t>
            </w:r>
            <w:r>
              <w:rPr>
                <w:rFonts w:ascii="宋体" w:hAnsi="宋体" w:cs="宋体" w:eastAsia="宋体" w:hint="default"/>
                <w:spacing w:val="-10"/>
                <w:sz w:val="18"/>
                <w:szCs w:val="18"/>
              </w:rPr>
              <w:t>公司出具了《避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免同业竞争承 诺函》</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1092"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5.85pt;height:54.6pt;mso-position-horizontal-relative:char;mso-position-vertical-relative:line" coordorigin="0,0" coordsize="1117,1092">
                  <v:group style="position:absolute;left:0;top:0;width:1117;height:1092" coordorigin="0,0" coordsize="1117,1092">
                    <v:shape style="position:absolute;left:0;top:0;width:1117;height:1092" coordorigin="0,0" coordsize="1117,1092" path="m0,1092l1116,1092,1116,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Times New Roman" w:hAnsi="Times New Roman" w:cs="Times New Roman" w:eastAsia="Times New Roman" w:hint="default"/>
          <w:sz w:val="28"/>
          <w:szCs w:val="28"/>
        </w:rPr>
      </w:pPr>
    </w:p>
    <w:p>
      <w:pPr>
        <w:pStyle w:val="Heading3"/>
        <w:spacing w:line="271" w:lineRule="auto" w:before="38"/>
        <w:ind w:right="113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spacing w:val="-2"/>
          <w:w w:val="95"/>
        </w:rPr>
        <w:t>2</w:t>
      </w:r>
      <w:r>
        <w:rPr>
          <w:spacing w:val="-2"/>
          <w:w w:val="95"/>
        </w:rPr>
        <w:t>、公司资产或项目存在盈利预测，且报告期仍处在盈利预测期间，公司就资产或项目达到原盈利预测及其原因</w:t>
      </w:r>
      <w:r>
        <w:rPr>
          <w:w w:val="95"/>
        </w:rPr>
        <w:t> </w:t>
      </w:r>
      <w:r>
        <w:rPr>
          <w:spacing w:val="1"/>
          <w:w w:val="95"/>
        </w:rPr>
        <w:t> </w:t>
      </w:r>
      <w:r>
        <w:rPr>
          <w:spacing w:val="1"/>
          <w:w w:val="95"/>
        </w:rPr>
      </w:r>
      <w:r>
        <w:rPr/>
        <w:t>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1144"/>
        <w:jc w:val="right"/>
      </w:pPr>
      <w:r>
        <w:rPr/>
        <w:pict>
          <v:shape style="position:absolute;margin-left:56.459999pt;margin-top:-163.598282pt;width:479.05pt;height:181.1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5,400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4,329.34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登的：公司与 方笑求、蓝顺 明盈利预测补 偿协议。巨潮 资讯网</w:t>
                        </w:r>
                      </w:p>
                      <w:p>
                        <w:pPr>
                          <w:pStyle w:val="TableParagraph"/>
                          <w:spacing w:line="343" w:lineRule="auto" w:before="20"/>
                          <w:ind w:left="22" w:right="9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cninfo.com.cn</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left="154" w:right="1130"/>
        <w:jc w:val="left"/>
      </w:pPr>
      <w:r>
        <w:rPr/>
        <w:t>公司股东、交易对手方在报告年度经营业绩做出的承诺情况</w:t>
      </w:r>
    </w:p>
    <w:p>
      <w:pPr>
        <w:pStyle w:val="BodyText"/>
        <w:spacing w:line="240" w:lineRule="auto" w:before="116"/>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0"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spacing w:val="-1"/>
        </w:rPr>
        <w:t>日和</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13</w:t>
      </w:r>
      <w:r>
        <w:rPr>
          <w:spacing w:val="-1"/>
        </w:rPr>
        <w:t>日，上市公司与方笑求、蓝顺明签署了《盈利预测补偿协议》及补充协议。依据协议约</w:t>
      </w:r>
      <w:r>
        <w:rPr/>
        <w:t> </w:t>
      </w:r>
      <w:r>
        <w:rPr>
          <w:spacing w:val="-2"/>
        </w:rPr>
        <w:t>定，本次交易的业绩承诺期和利润补偿期为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年和</w:t>
      </w:r>
      <w:r>
        <w:rPr>
          <w:rFonts w:ascii="Times New Roman" w:hAnsi="Times New Roman" w:cs="Times New Roman" w:eastAsia="Times New Roman" w:hint="default"/>
          <w:spacing w:val="-2"/>
        </w:rPr>
        <w:t>2017</w:t>
      </w:r>
      <w:r>
        <w:rPr>
          <w:spacing w:val="-2"/>
        </w:rPr>
        <w:t>年，方笑求、蓝顺明承诺</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年度和</w:t>
      </w:r>
      <w:r>
        <w:rPr>
          <w:rFonts w:ascii="Times New Roman" w:hAnsi="Times New Roman" w:cs="Times New Roman" w:eastAsia="Times New Roman" w:hint="default"/>
          <w:spacing w:val="-2"/>
        </w:rPr>
        <w:t>2017</w:t>
      </w:r>
      <w:r>
        <w:rPr>
          <w:spacing w:val="-2"/>
        </w:rPr>
        <w:t>年度</w:t>
      </w:r>
      <w:r>
        <w:rPr>
          <w:spacing w:val="-41"/>
        </w:rPr>
        <w:t> </w:t>
      </w:r>
      <w:r>
        <w:rPr/>
        <w:t>方正达实现的扣非净利润分别不低于</w:t>
      </w:r>
      <w:r>
        <w:rPr>
          <w:rFonts w:ascii="宋体" w:hAnsi="宋体" w:cs="宋体" w:eastAsia="宋体" w:hint="default"/>
        </w:rPr>
        <w:t>4,356.0</w:t>
      </w:r>
      <w:r>
        <w:rPr/>
        <w:t>万元、</w:t>
      </w:r>
      <w:r>
        <w:rPr>
          <w:rFonts w:ascii="宋体" w:hAnsi="宋体" w:cs="宋体" w:eastAsia="宋体" w:hint="default"/>
        </w:rPr>
        <w:t>5,227.2</w:t>
      </w:r>
      <w:r>
        <w:rPr/>
        <w:t>万元和</w:t>
      </w:r>
      <w:r>
        <w:rPr>
          <w:rFonts w:ascii="宋体" w:hAnsi="宋体" w:cs="宋体" w:eastAsia="宋体" w:hint="default"/>
        </w:rPr>
        <w:t>5,400.0</w:t>
      </w:r>
      <w:r>
        <w:rPr/>
        <w:t>万元。</w:t>
      </w:r>
    </w:p>
    <w:p>
      <w:pPr>
        <w:pStyle w:val="BodyText"/>
        <w:spacing w:line="319" w:lineRule="auto" w:before="31"/>
        <w:ind w:right="1130" w:firstLine="510"/>
        <w:jc w:val="both"/>
      </w:pP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17</w:t>
      </w:r>
      <w:r>
        <w:rPr>
          <w:spacing w:val="-3"/>
        </w:rPr>
        <w:t>日，根据瑞华会计师事务所（特殊普通合伙）出具的“瑞华审字</w:t>
      </w:r>
      <w:r>
        <w:rPr>
          <w:rFonts w:ascii="宋体" w:hAnsi="宋体" w:cs="宋体" w:eastAsia="宋体" w:hint="default"/>
          <w:spacing w:val="-3"/>
        </w:rPr>
        <w:t>[2017]48430001</w:t>
      </w:r>
      <w:r>
        <w:rPr>
          <w:spacing w:val="-3"/>
        </w:rPr>
        <w:t>号”《审计报告》及“瑞</w:t>
      </w:r>
      <w:r>
        <w:rPr/>
        <w:t> 华核字</w:t>
      </w:r>
      <w:r>
        <w:rPr>
          <w:rFonts w:ascii="宋体" w:hAnsi="宋体" w:cs="宋体" w:eastAsia="宋体" w:hint="default"/>
        </w:rPr>
        <w:t>[2017]48430002</w:t>
      </w:r>
      <w:r>
        <w:rPr/>
        <w:t>号”《关于湖南省方正达电子科技有限公司业绩承诺实现情况的专项审核报告》，湖南方正达</w:t>
      </w:r>
      <w:r>
        <w:rPr>
          <w:rFonts w:ascii="宋体" w:hAnsi="宋体" w:cs="宋体" w:eastAsia="宋体" w:hint="default"/>
        </w:rPr>
        <w:t>2016</w:t>
      </w:r>
      <w:r>
        <w:rPr>
          <w:rFonts w:ascii="宋体" w:hAnsi="宋体" w:cs="宋体" w:eastAsia="宋体" w:hint="default"/>
          <w:spacing w:val="-1"/>
        </w:rPr>
        <w:t> </w:t>
      </w:r>
      <w:r>
        <w:rPr/>
        <w:t>年实现的经审计的扣除非经常性损益后净利润</w:t>
      </w:r>
      <w:r>
        <w:rPr>
          <w:rFonts w:ascii="宋体" w:hAnsi="宋体" w:cs="宋体" w:eastAsia="宋体" w:hint="default"/>
        </w:rPr>
        <w:t>37,073,850.44</w:t>
      </w:r>
      <w:r>
        <w:rPr/>
        <w:t>元，较盈利预测数</w:t>
      </w:r>
      <w:r>
        <w:rPr>
          <w:rFonts w:ascii="宋体" w:hAnsi="宋体" w:cs="宋体" w:eastAsia="宋体" w:hint="default"/>
        </w:rPr>
        <w:t>52,272,000.00</w:t>
      </w:r>
      <w:r>
        <w:rPr/>
        <w:t>元相差</w:t>
      </w:r>
      <w:r>
        <w:rPr>
          <w:rFonts w:ascii="宋体" w:hAnsi="宋体" w:cs="宋体" w:eastAsia="宋体" w:hint="default"/>
        </w:rPr>
        <w:t>15,198,149.56</w:t>
      </w:r>
      <w:r>
        <w:rPr/>
        <w:t>元，未</w:t>
      </w:r>
      <w:r>
        <w:rPr>
          <w:spacing w:val="-85"/>
        </w:rPr>
        <w:t> </w:t>
      </w:r>
      <w:r>
        <w:rPr/>
        <w:t>完成 </w:t>
      </w:r>
      <w:r>
        <w:rPr>
          <w:rFonts w:ascii="宋体" w:hAnsi="宋体" w:cs="宋体" w:eastAsia="宋体" w:hint="default"/>
        </w:rPr>
        <w:t>2016</w:t>
      </w:r>
      <w:r>
        <w:rPr/>
        <w:t>年度的业绩承诺。</w:t>
      </w:r>
    </w:p>
    <w:p>
      <w:pPr>
        <w:pStyle w:val="BodyText"/>
        <w:spacing w:line="316" w:lineRule="auto" w:before="17"/>
        <w:ind w:right="1130" w:firstLine="42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17</w:t>
      </w:r>
      <w:r>
        <w:rPr/>
        <w:t>日，第四届董事会</w:t>
      </w:r>
      <w:r>
        <w:rPr>
          <w:rFonts w:ascii="宋体" w:hAnsi="宋体" w:cs="宋体" w:eastAsia="宋体" w:hint="default"/>
        </w:rPr>
        <w:t>2017</w:t>
      </w:r>
      <w:r>
        <w:rPr/>
        <w:t>年第</w:t>
      </w:r>
      <w:r>
        <w:rPr>
          <w:rFonts w:ascii="宋体" w:hAnsi="宋体" w:cs="宋体" w:eastAsia="宋体" w:hint="default"/>
        </w:rPr>
        <w:t>1</w:t>
      </w:r>
      <w:r>
        <w:rPr/>
        <w:t>次定期会议审议通过了《关于提请股东大会授权董事会全权办理回购、注销 相关事项并修改公司章程的议案》，同意公司回购注销</w:t>
      </w:r>
      <w:r>
        <w:rPr>
          <w:rFonts w:ascii="宋体" w:hAnsi="宋体" w:cs="宋体" w:eastAsia="宋体" w:hint="default"/>
        </w:rPr>
        <w:t>225.0158</w:t>
      </w:r>
      <w:r>
        <w:rPr/>
        <w:t>万股，</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5</w:t>
      </w:r>
      <w:r>
        <w:rPr/>
        <w:t>日，回购注销完成后，公司总股本将由</w:t>
      </w:r>
      <w:r>
        <w:rPr>
          <w:spacing w:val="-4"/>
        </w:rPr>
        <w:t> </w:t>
      </w:r>
      <w:r>
        <w:rPr>
          <w:spacing w:val="-4"/>
        </w:rPr>
      </w:r>
      <w:r>
        <w:rPr>
          <w:rFonts w:ascii="宋体" w:hAnsi="宋体" w:cs="宋体" w:eastAsia="宋体" w:hint="default"/>
          <w:spacing w:val="-2"/>
        </w:rPr>
        <w:t>27,703.0616</w:t>
      </w:r>
      <w:r>
        <w:rPr>
          <w:spacing w:val="-2"/>
        </w:rPr>
        <w:t>万元减少至</w:t>
      </w:r>
      <w:r>
        <w:rPr>
          <w:rFonts w:ascii="宋体" w:hAnsi="宋体" w:cs="宋体" w:eastAsia="宋体" w:hint="default"/>
          <w:spacing w:val="-2"/>
        </w:rPr>
        <w:t>27,478.0458</w:t>
      </w:r>
      <w:r>
        <w:rPr>
          <w:spacing w:val="-2"/>
        </w:rPr>
        <w:t>万元；本事项已经</w:t>
      </w:r>
      <w:r>
        <w:rPr>
          <w:rFonts w:ascii="宋体" w:hAnsi="宋体" w:cs="宋体" w:eastAsia="宋体" w:hint="default"/>
          <w:spacing w:val="-2"/>
        </w:rPr>
        <w:t>2016</w:t>
      </w:r>
      <w:r>
        <w:rPr>
          <w:spacing w:val="-2"/>
        </w:rPr>
        <w:t>年年度股东大会审议通过。该减资事项具体详情请见刊登于</w:t>
      </w:r>
      <w:r>
        <w:rPr>
          <w:rFonts w:ascii="宋体" w:hAnsi="宋体" w:cs="宋体" w:eastAsia="宋体" w:hint="default"/>
          <w:spacing w:val="-2"/>
        </w:rPr>
        <w:t>2017</w:t>
      </w:r>
      <w:r>
        <w:rPr>
          <w:rFonts w:ascii="宋体" w:hAnsi="宋体" w:cs="宋体" w:eastAsia="宋体" w:hint="default"/>
          <w:spacing w:val="-34"/>
        </w:rPr>
        <w:t> </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日巨潮资讯网（</w:t>
      </w:r>
      <w:hyperlink r:id="rId12">
        <w:r>
          <w:rPr>
            <w:rFonts w:ascii="宋体" w:hAnsi="宋体" w:cs="宋体" w:eastAsia="宋体" w:hint="default"/>
            <w:spacing w:val="-2"/>
          </w:rPr>
          <w:t>http://www.cninfo.com.cn</w:t>
        </w:r>
      </w:hyperlink>
      <w:r>
        <w:rPr>
          <w:spacing w:val="-2"/>
        </w:rPr>
        <w:t>）。公司已完成了变更工商信息程序，具体详情请见刊登于</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rFonts w:ascii="宋体" w:hAnsi="宋体" w:cs="宋体" w:eastAsia="宋体" w:hint="default"/>
          <w:spacing w:val="-32"/>
        </w:rPr>
        <w:t> </w:t>
      </w:r>
      <w:r>
        <w:rPr/>
        <w:t>日巨潮资讯网（</w:t>
      </w:r>
      <w:hyperlink r:id="rId12">
        <w:r>
          <w:rPr>
            <w:rFonts w:ascii="宋体" w:hAnsi="宋体" w:cs="宋体" w:eastAsia="宋体" w:hint="default"/>
          </w:rPr>
          <w:t>http://www.cninfo.com.cn</w:t>
        </w:r>
      </w:hyperlink>
      <w:r>
        <w:rPr/>
        <w:t>）。</w:t>
      </w:r>
    </w:p>
    <w:p>
      <w:pPr>
        <w:spacing w:line="240" w:lineRule="auto" w:before="10"/>
        <w:rPr>
          <w:rFonts w:ascii="宋体" w:hAnsi="宋体" w:cs="宋体" w:eastAsia="宋体" w:hint="default"/>
          <w:sz w:val="20"/>
          <w:szCs w:val="20"/>
        </w:rPr>
      </w:pPr>
    </w:p>
    <w:p>
      <w:pPr>
        <w:pStyle w:val="Heading2"/>
        <w:spacing w:line="240" w:lineRule="auto"/>
        <w:ind w:left="154" w:right="113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5774"/>
        <w:jc w:val="center"/>
      </w:pPr>
      <w:r>
        <w:rPr>
          <w:rFonts w:ascii="Times New Roman" w:hAnsi="Times New Roman" w:cs="Times New Roman" w:eastAsia="Times New Roman" w:hint="default"/>
        </w:rPr>
        <w:t>1</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政府补助》准则修订</w:t>
      </w:r>
    </w:p>
    <w:p>
      <w:pPr>
        <w:spacing w:after="0" w:line="240" w:lineRule="auto"/>
        <w:jc w:val="cente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1130"/>
        <w:jc w:val="left"/>
      </w:pPr>
      <w:r>
        <w:rPr/>
        <w:t>①变更原因</w:t>
      </w:r>
    </w:p>
    <w:p>
      <w:pPr>
        <w:pStyle w:val="BodyText"/>
        <w:spacing w:line="300" w:lineRule="auto" w:before="76"/>
        <w:ind w:right="113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日，财政部颁布了财会</w:t>
      </w:r>
      <w:r>
        <w:rPr>
          <w:rFonts w:ascii="Times New Roman" w:hAnsi="Times New Roman" w:cs="Times New Roman" w:eastAsia="Times New Roman" w:hint="default"/>
        </w:rPr>
        <w:t>[2017]15</w:t>
      </w:r>
      <w:r>
        <w:rPr/>
        <w:t>号关于印发修订《企业会计准则第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政府补助》的通知，要求自</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日起在所有执行企业会计准则的企业范围内施行，企业应对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日至本准则施行日之间新增的政府补助根据本准则进行调整。</w:t>
      </w:r>
    </w:p>
    <w:p>
      <w:pPr>
        <w:pStyle w:val="BodyText"/>
        <w:spacing w:line="316" w:lineRule="auto" w:before="13"/>
        <w:ind w:left="513" w:right="6433"/>
        <w:jc w:val="left"/>
      </w:pPr>
      <w:r>
        <w:rPr/>
        <w:t>②变更日期 公司按照上述文件的时间要求开始执行新的规定。</w:t>
      </w:r>
    </w:p>
    <w:p>
      <w:pPr>
        <w:pStyle w:val="BodyText"/>
        <w:spacing w:line="240" w:lineRule="auto" w:before="19"/>
        <w:ind w:left="514" w:right="1130"/>
        <w:jc w:val="left"/>
      </w:pPr>
      <w:r>
        <w:rPr/>
        <w:t>③变更前采用的会计政策</w:t>
      </w:r>
    </w:p>
    <w:p>
      <w:pPr>
        <w:pStyle w:val="BodyText"/>
        <w:spacing w:line="300" w:lineRule="auto" w:before="76"/>
        <w:ind w:left="154" w:right="1039" w:firstLine="360"/>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日财政部印发的《财政部关于印发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存货</w:t>
      </w:r>
      <w:r>
        <w:rPr>
          <w:rFonts w:ascii="Times New Roman" w:hAnsi="Times New Roman" w:cs="Times New Roman" w:eastAsia="Times New Roman" w:hint="default"/>
        </w:rPr>
        <w:t>&gt;</w:t>
      </w:r>
      <w:r>
        <w:rPr/>
        <w:t>等</w:t>
      </w:r>
      <w:r>
        <w:rPr>
          <w:rFonts w:ascii="Times New Roman" w:hAnsi="Times New Roman" w:cs="Times New Roman" w:eastAsia="Times New Roman" w:hint="default"/>
        </w:rPr>
        <w:t>38</w:t>
      </w:r>
      <w:r>
        <w:rPr/>
        <w:t>项具体准则的通知》（财会</w:t>
      </w:r>
      <w:r>
        <w:rPr>
          <w:rFonts w:ascii="Times New Roman" w:hAnsi="Times New Roman" w:cs="Times New Roman" w:eastAsia="Times New Roman" w:hint="default"/>
        </w:rPr>
        <w:t>[2006]3</w:t>
      </w:r>
      <w:r>
        <w:rPr/>
        <w:t>号） 中的《企业会计准则第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p>
    <w:p>
      <w:pPr>
        <w:pStyle w:val="BodyText"/>
        <w:spacing w:line="316" w:lineRule="auto" w:before="13"/>
        <w:ind w:left="513" w:right="4693"/>
        <w:jc w:val="left"/>
      </w:pPr>
      <w:r>
        <w:rPr/>
        <w:t>④变更后采用的会计政策 财政部修订的《企业会计准则第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[2017]15</w:t>
      </w:r>
      <w:r>
        <w:rPr/>
        <w:t>号）。</w:t>
      </w:r>
    </w:p>
    <w:p>
      <w:pPr>
        <w:pStyle w:val="BodyText"/>
        <w:spacing w:line="316" w:lineRule="auto"/>
        <w:ind w:left="513" w:right="1130"/>
        <w:jc w:val="left"/>
      </w:pPr>
      <w:r>
        <w:rPr/>
        <w:t>⑤本次会计政策变更对公司的影响 </w:t>
      </w:r>
      <w:r>
        <w:rPr>
          <w:spacing w:val="-1"/>
        </w:rPr>
        <w:t>根据新修订的《企业会计准则第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政府补助》（财会</w:t>
      </w:r>
      <w:r>
        <w:rPr>
          <w:rFonts w:ascii="Times New Roman" w:hAnsi="Times New Roman" w:cs="Times New Roman" w:eastAsia="Times New Roman" w:hint="default"/>
          <w:spacing w:val="-1"/>
        </w:rPr>
        <w:t>[2017]15</w:t>
      </w:r>
      <w:r>
        <w:rPr>
          <w:spacing w:val="-1"/>
        </w:rPr>
        <w:t>号）规定，与企业日常活动相关的政府补助，应当按</w:t>
      </w:r>
    </w:p>
    <w:p>
      <w:pPr>
        <w:pStyle w:val="BodyText"/>
        <w:spacing w:line="307" w:lineRule="auto"/>
        <w:ind w:right="1129"/>
        <w:jc w:val="both"/>
      </w:pPr>
      <w:r>
        <w:rPr>
          <w:spacing w:val="-2"/>
        </w:rPr>
        <w:t>照经济业务实质，计入其他收益或冲减相关成本费用；与企业日常活动无关的政府补助，应当计入营业外收支。企业应当在</w:t>
      </w:r>
      <w:r>
        <w:rPr>
          <w:spacing w:val="-66"/>
        </w:rPr>
        <w:t> </w:t>
      </w:r>
      <w:r>
        <w:rPr>
          <w:spacing w:val="-66"/>
        </w:rPr>
      </w:r>
      <w:r>
        <w:rPr>
          <w:spacing w:val="-1"/>
        </w:rPr>
        <w:t>利润表中的</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项目之上单独列报</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项目，计入其他收益的政府补助在该项目中反映。本次会计政策变更对</w:t>
      </w:r>
      <w:r>
        <w:rPr>
          <w:spacing w:val="-77"/>
        </w:rPr>
        <w:t> </w:t>
      </w:r>
      <w:r>
        <w:rPr>
          <w:spacing w:val="-77"/>
        </w:rPr>
      </w:r>
      <w:r>
        <w:rPr/>
        <w:t>公司</w:t>
      </w:r>
      <w:r>
        <w:rPr>
          <w:rFonts w:ascii="Times New Roman" w:hAnsi="Times New Roman" w:cs="Times New Roman" w:eastAsia="Times New Roman" w:hint="default"/>
        </w:rPr>
        <w:t>2017</w:t>
      </w:r>
      <w:r>
        <w:rPr/>
        <w:t>年年度财务报表累计影响为：</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科目增加人民币</w:t>
      </w:r>
      <w:r>
        <w:rPr>
          <w:rFonts w:ascii="Times New Roman" w:hAnsi="Times New Roman" w:cs="Times New Roman" w:eastAsia="Times New Roman" w:hint="default"/>
        </w:rPr>
        <w:t>9,424,289.54</w:t>
      </w:r>
      <w:r>
        <w:rPr/>
        <w:t>元，</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科目减少人民币</w:t>
      </w:r>
      <w:r>
        <w:rPr>
          <w:rFonts w:ascii="Times New Roman" w:hAnsi="Times New Roman" w:cs="Times New Roman" w:eastAsia="Times New Roman" w:hint="default"/>
        </w:rPr>
        <w:t>2,030,000.00 </w:t>
      </w:r>
      <w:r>
        <w:rPr/>
        <w:t>元，</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科目减少人民币</w:t>
      </w:r>
      <w:r>
        <w:rPr>
          <w:rFonts w:ascii="Times New Roman" w:hAnsi="Times New Roman" w:cs="Times New Roman" w:eastAsia="Times New Roman" w:hint="default"/>
        </w:rPr>
        <w:t>11,454,289.54</w:t>
      </w:r>
      <w:r>
        <w:rPr/>
        <w:t>元。</w:t>
      </w:r>
    </w:p>
    <w:p>
      <w:pPr>
        <w:pStyle w:val="BodyText"/>
        <w:spacing w:line="240" w:lineRule="auto" w:before="7"/>
        <w:ind w:left="513" w:right="1130"/>
        <w:jc w:val="left"/>
      </w:pPr>
      <w:r>
        <w:rPr/>
        <w:t>本次会计政策变更对公司无重大影响，对当期及前期列报的损益、总资产、净资产不产生影响。</w:t>
      </w:r>
    </w:p>
    <w:p>
      <w:pPr>
        <w:pStyle w:val="BodyText"/>
        <w:spacing w:line="240" w:lineRule="auto" w:before="76"/>
        <w:ind w:left="513" w:right="1130"/>
        <w:jc w:val="left"/>
      </w:pPr>
      <w:r>
        <w:rPr>
          <w:rFonts w:ascii="Times New Roman" w:hAnsi="Times New Roman" w:cs="Times New Roman" w:eastAsia="Times New Roman" w:hint="default"/>
        </w:rPr>
        <w:t>2</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持有待售的非流动资产、处置组和终止经营》准则发布</w:t>
      </w:r>
    </w:p>
    <w:p>
      <w:pPr>
        <w:pStyle w:val="BodyText"/>
        <w:spacing w:line="240" w:lineRule="auto" w:before="63"/>
        <w:ind w:left="513" w:right="1130"/>
        <w:jc w:val="left"/>
      </w:pPr>
      <w:r>
        <w:rPr/>
        <w:t>①变更原因</w:t>
      </w:r>
    </w:p>
    <w:p>
      <w:pPr>
        <w:pStyle w:val="BodyText"/>
        <w:spacing w:line="300" w:lineRule="auto" w:before="76"/>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日，财政部颁布了《企业会计准则第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持有待售的非流动资产、处置组和终止经营》（财会</w:t>
      </w:r>
      <w:r>
        <w:rPr>
          <w:rFonts w:ascii="Times New Roman" w:hAnsi="Times New Roman" w:cs="Times New Roman" w:eastAsia="Times New Roman" w:hint="default"/>
        </w:rPr>
        <w:t>[2017]13 </w:t>
      </w:r>
      <w:r>
        <w:rPr>
          <w:spacing w:val="-2"/>
        </w:rPr>
        <w:t>号），自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日起施行。对于施行日存在的持有待售的非流动资产、处置组和终止经营，要求采用未来适用法处理。</w:t>
      </w:r>
      <w:r>
        <w:rPr>
          <w:spacing w:val="-58"/>
        </w:rPr>
        <w:t> </w:t>
      </w:r>
      <w:r>
        <w:rPr>
          <w:spacing w:val="-58"/>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日，财政部颁布了《关于修订印发一般企业财务报表格式的通知》（财会</w:t>
      </w:r>
      <w:r>
        <w:rPr>
          <w:rFonts w:ascii="Times New Roman" w:hAnsi="Times New Roman" w:cs="Times New Roman" w:eastAsia="Times New Roman" w:hint="default"/>
        </w:rPr>
        <w:t>[2017]30</w:t>
      </w:r>
      <w:r>
        <w:rPr/>
        <w:t>号），要求执行企业会计准 则的企业应当按照企业会计准则本通知要求编制</w:t>
      </w:r>
      <w:r>
        <w:rPr>
          <w:rFonts w:ascii="Times New Roman" w:hAnsi="Times New Roman" w:cs="Times New Roman" w:eastAsia="Times New Roman" w:hint="default"/>
        </w:rPr>
        <w:t>2017</w:t>
      </w:r>
      <w:r>
        <w:rPr/>
        <w:t>年度及以后期间的财务报表。</w:t>
      </w:r>
    </w:p>
    <w:p>
      <w:pPr>
        <w:pStyle w:val="BodyText"/>
        <w:spacing w:line="240" w:lineRule="auto" w:before="13"/>
        <w:ind w:left="513" w:right="1130"/>
        <w:jc w:val="left"/>
      </w:pPr>
      <w:r>
        <w:rPr/>
        <w:t>由于上述会计准则的颁布，公司需对会计政策进行相应变更，并按以上文件规定的起始日开始执行上述会计准则。</w:t>
      </w:r>
    </w:p>
    <w:p>
      <w:pPr>
        <w:pStyle w:val="BodyText"/>
        <w:spacing w:line="240" w:lineRule="auto" w:before="76"/>
        <w:ind w:left="513" w:right="1130"/>
        <w:jc w:val="left"/>
      </w:pPr>
      <w:r>
        <w:rPr/>
        <w:t>②《企业会计准则第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w:t>
      </w:r>
    </w:p>
    <w:p>
      <w:pPr>
        <w:pStyle w:val="BodyText"/>
        <w:spacing w:line="240" w:lineRule="auto" w:before="63"/>
        <w:ind w:right="0"/>
        <w:jc w:val="both"/>
      </w:pPr>
      <w:r>
        <w:rPr/>
        <w:t>《关于修订印发一般企业财务报表格式的通知》自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日起施行。</w:t>
      </w:r>
    </w:p>
    <w:p>
      <w:pPr>
        <w:pStyle w:val="BodyText"/>
        <w:spacing w:line="316" w:lineRule="auto" w:before="63"/>
        <w:ind w:left="513" w:right="1130"/>
        <w:jc w:val="left"/>
      </w:pPr>
      <w:r>
        <w:rPr/>
        <w:t>③本次变更前采用的会计政策 </w:t>
      </w:r>
      <w:r>
        <w:rPr>
          <w:spacing w:val="-2"/>
        </w:rPr>
        <w:t>本次变更前，公司执行财政部颁布的《企业会计准则</w:t>
      </w:r>
      <w:r>
        <w:rPr>
          <w:rFonts w:ascii="Times New Roman" w:hAnsi="Times New Roman" w:cs="Times New Roman" w:eastAsia="Times New Roman" w:hint="default"/>
          <w:spacing w:val="-2"/>
        </w:rPr>
        <w:t>——</w:t>
      </w:r>
      <w:r>
        <w:rPr>
          <w:spacing w:val="-2"/>
        </w:rPr>
        <w:t>基本准则》和各项具体会计准则、企业会计准则应用指南、企</w:t>
      </w:r>
    </w:p>
    <w:p>
      <w:pPr>
        <w:pStyle w:val="BodyText"/>
        <w:spacing w:line="235" w:lineRule="exact"/>
        <w:ind w:right="0"/>
        <w:jc w:val="both"/>
      </w:pPr>
      <w:r>
        <w:rPr/>
        <w:t>业会计准则解释公告以及其他相关规定。</w:t>
      </w:r>
    </w:p>
    <w:p>
      <w:pPr>
        <w:pStyle w:val="BodyText"/>
        <w:spacing w:line="316" w:lineRule="auto" w:before="76"/>
        <w:ind w:left="513" w:right="1130"/>
        <w:jc w:val="left"/>
      </w:pPr>
      <w:r>
        <w:rPr/>
        <w:t>④本次变更后采用的会计政策 </w:t>
      </w:r>
      <w:r>
        <w:rPr>
          <w:spacing w:val="-2"/>
        </w:rPr>
        <w:t>本次变更后，公司将按照财政部颁布的《企业会计准则第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持有待售的非流动资产、处置组和终止经营》（财会</w:t>
      </w:r>
    </w:p>
    <w:p>
      <w:pPr>
        <w:pStyle w:val="BodyText"/>
        <w:spacing w:line="300" w:lineRule="auto"/>
        <w:ind w:right="1169"/>
        <w:jc w:val="both"/>
      </w:pPr>
      <w:r>
        <w:rPr>
          <w:rFonts w:ascii="Times New Roman" w:hAnsi="Times New Roman" w:cs="Times New Roman" w:eastAsia="Times New Roman" w:hint="default"/>
        </w:rPr>
        <w:t>[2017]13</w:t>
      </w:r>
      <w:r>
        <w:rPr/>
        <w:t>号）、《关于修订印发一般企业财务报表格式的通知》（财会</w:t>
      </w:r>
      <w:r>
        <w:rPr>
          <w:rFonts w:ascii="Times New Roman" w:hAnsi="Times New Roman" w:cs="Times New Roman" w:eastAsia="Times New Roman" w:hint="default"/>
        </w:rPr>
        <w:t>[2017]30</w:t>
      </w:r>
      <w:r>
        <w:rPr/>
        <w:t>号）中的规定执行。其余未变更部分仍执行</w:t>
      </w:r>
      <w:r>
        <w:rPr>
          <w:w w:val="99"/>
        </w:rPr>
        <w:t> </w:t>
      </w:r>
      <w:r>
        <w:rPr/>
        <w:t>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日及之后颁布的相关准则及其他有关规定。</w:t>
      </w:r>
    </w:p>
    <w:p>
      <w:pPr>
        <w:pStyle w:val="BodyText"/>
        <w:spacing w:line="316" w:lineRule="auto" w:before="13"/>
        <w:ind w:left="514" w:right="1130"/>
        <w:jc w:val="left"/>
      </w:pPr>
      <w:r>
        <w:rPr/>
        <w:t>⑤本次会计政策变更对公司的影响 </w:t>
      </w:r>
      <w:r>
        <w:rPr>
          <w:spacing w:val="-2"/>
        </w:rPr>
        <w:t>根据以上通知规定，公司将修改财务报表列报，对于施行日存在的持有待售的非流动资产、处置组和终止经营，按照未</w:t>
      </w:r>
    </w:p>
    <w:p>
      <w:pPr>
        <w:pStyle w:val="BodyText"/>
        <w:spacing w:line="300" w:lineRule="auto" w:before="19"/>
        <w:ind w:right="1136"/>
        <w:jc w:val="both"/>
      </w:pPr>
      <w:r>
        <w:rPr/>
        <w:t>来适用法处理。在资产负债表中新增</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项目，在利润表中新增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w:t>
      </w:r>
      <w:r>
        <w:rPr>
          <w:spacing w:val="-20"/>
        </w:rPr>
        <w:t> </w:t>
      </w:r>
      <w:r>
        <w:rPr>
          <w:rFonts w:ascii="Times New Roman" w:hAnsi="Times New Roman" w:cs="Times New Roman" w:eastAsia="Times New Roman" w:hint="default"/>
        </w:rPr>
        <w:t>“</w:t>
      </w:r>
      <w:r>
        <w:rPr/>
        <w:t>（一）持 续经营净利润</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（二）终止经营净利润</w:t>
      </w:r>
      <w:r>
        <w:rPr>
          <w:rFonts w:ascii="Times New Roman" w:hAnsi="Times New Roman" w:cs="Times New Roman" w:eastAsia="Times New Roman" w:hint="default"/>
        </w:rPr>
        <w:t>”</w:t>
      </w:r>
      <w:r>
        <w:rPr/>
        <w:t>项目。</w:t>
      </w:r>
    </w:p>
    <w:p>
      <w:pPr>
        <w:pStyle w:val="BodyText"/>
        <w:spacing w:line="240" w:lineRule="auto" w:before="13"/>
        <w:ind w:left="514" w:right="1130"/>
        <w:jc w:val="left"/>
      </w:pPr>
      <w:r>
        <w:rPr/>
        <w:t>本次会计政策变更对公司无重大影响，对当期及前期列报的损益、总资产、净资产不产生影响。</w:t>
      </w:r>
    </w:p>
    <w:p>
      <w:pPr>
        <w:pStyle w:val="BodyText"/>
        <w:spacing w:line="240" w:lineRule="auto" w:before="76"/>
        <w:ind w:left="513" w:right="1130"/>
        <w:jc w:val="left"/>
      </w:pPr>
      <w:r>
        <w:rPr>
          <w:rFonts w:ascii="Times New Roman" w:hAnsi="Times New Roman" w:cs="Times New Roman" w:eastAsia="Times New Roman" w:hint="default"/>
        </w:rPr>
        <w:t>3</w:t>
      </w:r>
      <w:r>
        <w:rPr/>
        <w:t>、本报告期主要会计估计未发生变更。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3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113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445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本期纳入合并财务报表范围的主体较上期相比，增加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6</w:t>
      </w:r>
      <w:r>
        <w:rPr/>
        <w:t>户，其中：</w:t>
      </w:r>
    </w:p>
    <w:p>
      <w:pPr>
        <w:pStyle w:val="BodyText"/>
        <w:spacing w:line="230" w:lineRule="exact"/>
        <w:ind w:left="513" w:right="1130"/>
        <w:jc w:val="left"/>
      </w:pPr>
      <w:r>
        <w:rPr/>
        <w:t>（</w:t>
      </w: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8"/>
        <w:rPr>
          <w:rFonts w:ascii="宋体" w:hAnsi="宋体" w:cs="宋体" w:eastAsia="宋体" w:hint="default"/>
          <w:sz w:val="6"/>
          <w:szCs w:val="6"/>
        </w:rPr>
      </w:pPr>
    </w:p>
    <w:p>
      <w:pPr>
        <w:pStyle w:val="BodyText"/>
        <w:spacing w:line="240" w:lineRule="auto" w:before="44"/>
        <w:ind w:left="444" w:right="1130"/>
        <w:jc w:val="left"/>
      </w:pPr>
      <w:r>
        <w:rPr/>
        <w:t>（</w:t>
      </w:r>
      <w:r>
        <w:rPr>
          <w:rFonts w:ascii="Times New Roman" w:hAnsi="Times New Roman" w:cs="Times New Roman" w:eastAsia="Times New Roman" w:hint="default"/>
        </w:rPr>
        <w:t>2)</w:t>
      </w:r>
      <w:r>
        <w:rPr/>
        <w:t>本期不再纳入合并范围的子公司、特殊目的主体、通过委托经营或出租等方式丧失控制权的经营实体</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台州与与新能源有限公司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同心县茂硕新能源科技有限公司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北京茂硕新能源科技有限公司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海宁茂硕新能源科技有限公司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处置股权</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深圳市正明达电子有限公司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处置股权</w:t>
            </w:r>
          </w:p>
        </w:tc>
      </w:tr>
    </w:tbl>
    <w:p>
      <w:pPr>
        <w:spacing w:line="240" w:lineRule="auto" w:before="8"/>
        <w:rPr>
          <w:rFonts w:ascii="宋体" w:hAnsi="宋体" w:cs="宋体" w:eastAsia="宋体" w:hint="default"/>
          <w:sz w:val="6"/>
          <w:szCs w:val="6"/>
        </w:rPr>
      </w:pPr>
    </w:p>
    <w:p>
      <w:pPr>
        <w:pStyle w:val="BodyText"/>
        <w:spacing w:line="240" w:lineRule="auto" w:before="44"/>
        <w:ind w:left="514" w:right="1130"/>
        <w:jc w:val="left"/>
      </w:pPr>
      <w:r>
        <w:rPr/>
        <w:t>合并范围变更主体的具体信息详见</w:t>
      </w:r>
      <w:r>
        <w:rPr>
          <w:rFonts w:ascii="Times New Roman" w:hAnsi="Times New Roman" w:cs="Times New Roman" w:eastAsia="Times New Roman" w:hint="default"/>
        </w:rPr>
        <w:t>“</w:t>
      </w:r>
      <w:r>
        <w:rPr/>
        <w:t>本报告第十一节</w:t>
      </w:r>
      <w:r>
        <w:rPr>
          <w:spacing w:val="-19"/>
        </w:rPr>
        <w:t> </w:t>
      </w:r>
      <w:r>
        <w:rPr/>
        <w:t>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113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王建华、刘国军</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1130"/>
        <w:jc w:val="left"/>
      </w:pPr>
      <w:r>
        <w:rPr/>
        <w:t>当期是否改聘会计师事务所</w:t>
      </w:r>
    </w:p>
    <w:p>
      <w:pPr>
        <w:pStyle w:val="BodyText"/>
        <w:spacing w:line="338" w:lineRule="auto" w:before="117"/>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3"/>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40" w:lineRule="auto" w:before="42"/>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00" w:lineRule="auto" w:before="39"/>
        <w:ind w:right="1123"/>
        <w:jc w:val="left"/>
      </w:pPr>
      <w:r>
        <w:rPr/>
        <w:t>鉴于公司原年度审计机构瑞华会计师事务所（特殊普通合伙）已为公司服务了</w:t>
      </w:r>
      <w:r>
        <w:rPr>
          <w:rFonts w:ascii="Times New Roman" w:hAnsi="Times New Roman" w:cs="Times New Roman" w:eastAsia="Times New Roman" w:hint="default"/>
        </w:rPr>
        <w:t>9</w:t>
      </w:r>
      <w:r>
        <w:rPr/>
        <w:t>年，时间相对较长，考虑到公司业务的发展 和未来审计的需要，公司于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日召开第四届董事会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2</w:t>
      </w:r>
      <w:r>
        <w:rPr/>
        <w:t>次定期会议和于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4</w:t>
      </w:r>
      <w:r>
        <w:rPr/>
        <w:t>次临</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jc w:val="both"/>
      </w:pPr>
      <w:r>
        <w:rPr>
          <w:spacing w:val="-2"/>
        </w:rPr>
        <w:t>时股东大会审议通过了《关于聘任会计师事务所的议案》，同意聘任大华会计师事务所（特殊普通合伙）担任公司</w:t>
      </w:r>
      <w:r>
        <w:rPr>
          <w:rFonts w:ascii="Times New Roman" w:hAnsi="Times New Roman" w:cs="Times New Roman" w:eastAsia="Times New Roman" w:hint="default"/>
          <w:spacing w:val="-2"/>
        </w:rPr>
        <w:t>2017</w:t>
      </w:r>
      <w:r>
        <w:rPr>
          <w:spacing w:val="-2"/>
        </w:rPr>
        <w:t>年度</w:t>
      </w:r>
      <w:r>
        <w:rPr>
          <w:spacing w:val="-61"/>
        </w:rPr>
        <w:t> </w:t>
      </w:r>
      <w:r>
        <w:rPr>
          <w:spacing w:val="-2"/>
        </w:rPr>
        <w:t>审计机构，聘期一年，具体审计费用由股东大会授权公司管理层根据</w:t>
      </w:r>
      <w:r>
        <w:rPr>
          <w:rFonts w:ascii="Times New Roman" w:hAnsi="Times New Roman" w:cs="Times New Roman" w:eastAsia="Times New Roman" w:hint="default"/>
          <w:spacing w:val="-2"/>
        </w:rPr>
        <w:t>2017</w:t>
      </w:r>
      <w:r>
        <w:rPr>
          <w:spacing w:val="-2"/>
        </w:rPr>
        <w:t>年度审计的具体工作量及市场价格水平决定。详情</w:t>
      </w:r>
      <w:r>
        <w:rPr>
          <w:spacing w:val="-62"/>
        </w:rPr>
        <w:t> </w:t>
      </w:r>
      <w:r>
        <w:rPr>
          <w:spacing w:val="-62"/>
        </w:rPr>
      </w:r>
      <w:r>
        <w:rPr/>
        <w:t>请参阅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日披露在巨潮资讯网（</w:t>
      </w:r>
      <w:hyperlink r:id="rId12">
        <w:r>
          <w:rPr>
            <w:rFonts w:ascii="Times New Roman" w:hAnsi="Times New Roman" w:cs="Times New Roman" w:eastAsia="Times New Roman" w:hint="default"/>
          </w:rPr>
          <w:t>www.cninfo.com.cn</w:t>
        </w:r>
      </w:hyperlink>
      <w:r>
        <w:rPr/>
        <w:t>）上的《关于聘任会计师事务所的公告》。</w:t>
      </w:r>
    </w:p>
    <w:p>
      <w:pPr>
        <w:pStyle w:val="BodyText"/>
        <w:spacing w:line="240" w:lineRule="auto" w:before="53"/>
        <w:ind w:right="0"/>
        <w:jc w:val="both"/>
      </w:pPr>
      <w:r>
        <w:rPr/>
        <w:t>聘请内部控制审计会计师事务所、财务顾问或保荐人情况</w:t>
      </w:r>
    </w:p>
    <w:p>
      <w:pPr>
        <w:pStyle w:val="BodyText"/>
        <w:spacing w:line="240" w:lineRule="auto" w:before="117"/>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公司起诉深圳中景 科创光电科技有限 公司拖延付款。广 东广晟光电科技有 限公司对所欠货款 承担连带责任。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6"/>
              <w:jc w:val="center"/>
              <w:rPr>
                <w:rFonts w:ascii="宋体" w:hAnsi="宋体" w:cs="宋体" w:eastAsia="宋体" w:hint="default"/>
                <w:sz w:val="18"/>
                <w:szCs w:val="18"/>
              </w:rPr>
            </w:pPr>
            <w:r>
              <w:rPr>
                <w:rFonts w:ascii="宋体" w:hAnsi="宋体" w:cs="宋体" w:eastAsia="宋体" w:hint="default"/>
                <w:sz w:val="18"/>
                <w:szCs w:val="18"/>
              </w:rPr>
              <w:t>胜诉，执行阶段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5"/>
              <w:jc w:val="both"/>
              <w:rPr>
                <w:rFonts w:ascii="宋体" w:hAnsi="宋体" w:cs="宋体" w:eastAsia="宋体" w:hint="default"/>
                <w:sz w:val="18"/>
                <w:szCs w:val="18"/>
              </w:rPr>
            </w:pPr>
            <w:r>
              <w:rPr>
                <w:rFonts w:ascii="宋体" w:hAnsi="宋体" w:cs="宋体" w:eastAsia="宋体" w:hint="default"/>
                <w:sz w:val="18"/>
                <w:szCs w:val="18"/>
              </w:rPr>
              <w:t>与广东广晟光 电科技有限公 司协商付款事 宜中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公司起诉福建省能 宝光电集团有限公 司拖延付款。</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189.66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胜诉，执行阶段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both"/>
              <w:rPr>
                <w:rFonts w:ascii="宋体" w:hAnsi="宋体" w:cs="宋体" w:eastAsia="宋体" w:hint="default"/>
                <w:sz w:val="18"/>
                <w:szCs w:val="18"/>
              </w:rPr>
            </w:pPr>
            <w:r>
              <w:rPr>
                <w:rFonts w:ascii="宋体" w:hAnsi="宋体" w:cs="宋体" w:eastAsia="宋体" w:hint="default"/>
                <w:sz w:val="18"/>
                <w:szCs w:val="18"/>
              </w:rPr>
              <w:t>与福建省能宝 光电集团有限 公司协商付款 事宜中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5"/>
              <w:jc w:val="left"/>
              <w:rPr>
                <w:rFonts w:ascii="宋体" w:hAnsi="宋体" w:cs="宋体" w:eastAsia="宋体" w:hint="default"/>
                <w:sz w:val="18"/>
                <w:szCs w:val="18"/>
              </w:rPr>
            </w:pPr>
            <w:r>
              <w:rPr>
                <w:rFonts w:ascii="宋体" w:hAnsi="宋体" w:cs="宋体" w:eastAsia="宋体" w:hint="default"/>
                <w:sz w:val="18"/>
                <w:szCs w:val="18"/>
              </w:rPr>
              <w:t>公司与美国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公司合作开发新式 整合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驱动器， 后因合作未果，根 据合同约定，公司 起诉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公司返 还预付的开发款和 年息成本。</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已仲裁</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胜诉，执行阶段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2" w:right="135"/>
              <w:jc w:val="both"/>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ON-Q</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 负责人协商付 款事宜中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12"/>
                <w:sz w:val="18"/>
                <w:szCs w:val="18"/>
              </w:rPr>
              <w:t>登的：茂硕电</w:t>
            </w:r>
            <w:r>
              <w:rPr>
                <w:rFonts w:ascii="宋体" w:hAnsi="宋体" w:cs="宋体" w:eastAsia="宋体" w:hint="default"/>
                <w:sz w:val="18"/>
                <w:szCs w:val="18"/>
              </w:rPr>
              <w:t> 源关于诉讼 事项的进展 </w:t>
            </w:r>
            <w:r>
              <w:rPr>
                <w:rFonts w:ascii="宋体" w:hAnsi="宋体" w:cs="宋体" w:eastAsia="宋体" w:hint="default"/>
                <w:spacing w:val="-12"/>
                <w:sz w:val="18"/>
                <w:szCs w:val="18"/>
              </w:rPr>
              <w:t>公告。巨潮资</w:t>
            </w:r>
            <w:r>
              <w:rPr>
                <w:rFonts w:ascii="宋体" w:hAnsi="宋体" w:cs="宋体" w:eastAsia="宋体" w:hint="default"/>
                <w:sz w:val="18"/>
                <w:szCs w:val="18"/>
              </w:rPr>
              <w:t> 讯网</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w:t>
              </w:r>
            </w:hyperlink>
          </w:p>
          <w:p>
            <w:pPr>
              <w:pStyle w:val="TableParagraph"/>
              <w:spacing w:line="316" w:lineRule="auto" w:before="102"/>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公司申请仲裁 </w:t>
            </w:r>
            <w:r>
              <w:rPr>
                <w:rFonts w:ascii="Times New Roman" w:hAnsi="Times New Roman" w:cs="Times New Roman" w:eastAsia="Times New Roman" w:hint="default"/>
                <w:sz w:val="18"/>
                <w:szCs w:val="18"/>
              </w:rPr>
              <w:t>BRILLIANT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INFO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CORPORATION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86.95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已裁决，执行阶 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公司协 商回款达成一 </w:t>
            </w:r>
            <w:r>
              <w:rPr>
                <w:rFonts w:ascii="宋体" w:hAnsi="宋体" w:cs="宋体" w:eastAsia="宋体" w:hint="default"/>
                <w:spacing w:val="-10"/>
                <w:sz w:val="18"/>
                <w:szCs w:val="18"/>
              </w:rPr>
              <w:t>致，分期支付货</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司未支付货款的行 为</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深圳茂硕新能源科 技有限公司申请仲 裁，要求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Energy Solar Pty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支付</w:t>
            </w:r>
            <w:r>
              <w:rPr>
                <w:rFonts w:ascii="宋体" w:hAnsi="宋体" w:cs="宋体" w:eastAsia="宋体" w:hint="default"/>
                <w:spacing w:val="-2"/>
                <w:sz w:val="18"/>
                <w:szCs w:val="18"/>
              </w:rPr>
              <w:t> </w:t>
            </w:r>
            <w:r>
              <w:rPr>
                <w:rFonts w:ascii="宋体" w:hAnsi="宋体" w:cs="宋体" w:eastAsia="宋体" w:hint="default"/>
                <w:sz w:val="18"/>
                <w:szCs w:val="18"/>
              </w:rPr>
              <w:t>货款本金及相关费</w:t>
            </w:r>
            <w:r>
              <w:rPr>
                <w:rFonts w:ascii="宋体" w:hAnsi="宋体" w:cs="宋体" w:eastAsia="宋体" w:hint="default"/>
                <w:sz w:val="18"/>
                <w:szCs w:val="18"/>
              </w:rPr>
              <w:t> 用，并申请由 </w:t>
            </w:r>
            <w:r>
              <w:rPr>
                <w:rFonts w:ascii="Times New Roman" w:hAnsi="Times New Roman" w:cs="Times New Roman" w:eastAsia="Times New Roman" w:hint="default"/>
                <w:sz w:val="18"/>
                <w:szCs w:val="18"/>
              </w:rPr>
              <w:t>Conrad Stath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承担 连带清偿责任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103.92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胜诉，已经裁决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准备执行中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7"/>
              <w:jc w:val="both"/>
              <w:rPr>
                <w:rFonts w:ascii="宋体" w:hAnsi="宋体" w:cs="宋体" w:eastAsia="宋体" w:hint="default"/>
                <w:sz w:val="18"/>
                <w:szCs w:val="18"/>
              </w:rPr>
            </w:pPr>
            <w:r>
              <w:rPr>
                <w:rFonts w:ascii="宋体" w:hAnsi="宋体" w:cs="宋体" w:eastAsia="宋体" w:hint="default"/>
                <w:sz w:val="18"/>
                <w:szCs w:val="18"/>
              </w:rPr>
              <w:t>深圳茂硕新能源科 技有限公司诉陕西 易兆通新能源科技 有限公司拖延付款</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111.65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已调解</w:t>
            </w:r>
            <w:r>
              <w:rPr>
                <w:rFonts w:ascii="Times New Roman" w:hAnsi="Times New Roman" w:cs="Times New Roman" w:eastAsia="Times New Roman" w:hint="default"/>
                <w:sz w:val="18"/>
                <w:szCs w:val="18"/>
              </w:rPr>
              <w:t>,</w:t>
            </w:r>
            <w:r>
              <w:rPr>
                <w:rFonts w:ascii="宋体" w:hAnsi="宋体" w:cs="宋体" w:eastAsia="宋体" w:hint="default"/>
                <w:sz w:val="18"/>
                <w:szCs w:val="18"/>
              </w:rPr>
              <w:t>执行中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调解书已生效， 陕西易兆通未 完全履行， 新 能源已申请法 院强制执行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惠州茂硕能源科技 有限公司诉海宁茂 硕诺华能源有限公 司，要求其支付委 托贷款本金及逾期 利息，并申请由海 宁市诺耶科华太阳 能电力工程有限公 司承担连带责任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6,144.38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胜诉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尚未执行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12"/>
                <w:sz w:val="18"/>
                <w:szCs w:val="18"/>
              </w:rPr>
              <w:t>登的：关于诉</w:t>
            </w:r>
            <w:r>
              <w:rPr>
                <w:rFonts w:ascii="宋体" w:hAnsi="宋体" w:cs="宋体" w:eastAsia="宋体" w:hint="default"/>
                <w:sz w:val="18"/>
                <w:szCs w:val="18"/>
              </w:rPr>
              <w:t> 讼事项的进 </w:t>
            </w:r>
            <w:r>
              <w:rPr>
                <w:rFonts w:ascii="宋体" w:hAnsi="宋体" w:cs="宋体" w:eastAsia="宋体" w:hint="default"/>
                <w:spacing w:val="-12"/>
                <w:sz w:val="18"/>
                <w:szCs w:val="18"/>
              </w:rPr>
              <w:t>展公告。巨潮</w:t>
            </w:r>
            <w:r>
              <w:rPr>
                <w:rFonts w:ascii="宋体" w:hAnsi="宋体" w:cs="宋体" w:eastAsia="宋体" w:hint="default"/>
                <w:sz w:val="18"/>
                <w:szCs w:val="18"/>
              </w:rPr>
              <w:t> 资讯网</w:t>
            </w:r>
          </w:p>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w:t>
              </w:r>
            </w:hyperlink>
          </w:p>
          <w:p>
            <w:pPr>
              <w:pStyle w:val="TableParagraph"/>
              <w:spacing w:line="316" w:lineRule="auto" w:before="102"/>
              <w:ind w:left="2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深圳茂硕新能源科 技有限公司诉魏永 礼</w:t>
            </w:r>
            <w:r>
              <w:rPr>
                <w:rFonts w:ascii="Times New Roman" w:hAnsi="Times New Roman" w:cs="Times New Roman" w:eastAsia="Times New Roman" w:hint="default"/>
                <w:sz w:val="18"/>
                <w:szCs w:val="18"/>
              </w:rPr>
              <w:t>,</w:t>
            </w:r>
            <w:r>
              <w:rPr>
                <w:rFonts w:ascii="宋体" w:hAnsi="宋体" w:cs="宋体" w:eastAsia="宋体" w:hint="default"/>
                <w:sz w:val="18"/>
                <w:szCs w:val="18"/>
              </w:rPr>
              <w:t>要求其支付货款 本金及相关费用</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已开庭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庭审阶段</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113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3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报告期内，公司控股股东、实际控制人不存在未履行法院生效判决，不存在数额较大债务到期未清偿等不良诚信状况。</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2"/>
        <w:spacing w:line="240" w:lineRule="auto"/>
        <w:ind w:right="113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日，公司召开了第三届董事会</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5</w:t>
      </w:r>
      <w:r>
        <w:rPr/>
        <w:t>次临时会议，审议通过了《关于</w:t>
      </w:r>
      <w:r>
        <w:rPr>
          <w:rFonts w:ascii="Times New Roman" w:hAnsi="Times New Roman" w:cs="Times New Roman" w:eastAsia="Times New Roman" w:hint="default"/>
        </w:rPr>
        <w:t>&lt;</w:t>
      </w:r>
      <w:r>
        <w:rPr/>
        <w:t>公司第一期员工持股计划（草案）</w:t>
      </w:r>
      <w:r>
        <w:rPr>
          <w:rFonts w:ascii="Times New Roman" w:hAnsi="Times New Roman" w:cs="Times New Roman" w:eastAsia="Times New Roman" w:hint="default"/>
        </w:rPr>
        <w:t>&gt;</w:t>
      </w:r>
    </w:p>
    <w:p>
      <w:pPr>
        <w:pStyle w:val="BodyText"/>
        <w:spacing w:line="240" w:lineRule="auto" w:before="63"/>
        <w:ind w:left="154" w:right="1130"/>
        <w:jc w:val="left"/>
      </w:pPr>
      <w:r>
        <w:rPr/>
        <w:t>及</w:t>
      </w:r>
      <w:r>
        <w:rPr>
          <w:spacing w:val="-56"/>
        </w:rPr>
        <w:t> </w:t>
      </w:r>
      <w:r>
        <w:rPr/>
        <w:t>摘</w:t>
      </w:r>
      <w:r>
        <w:rPr>
          <w:spacing w:val="-56"/>
        </w:rPr>
        <w:t> </w:t>
      </w:r>
      <w:r>
        <w:rPr/>
        <w:t>要</w:t>
      </w:r>
      <w:r>
        <w:rPr>
          <w:spacing w:val="-56"/>
        </w:rPr>
        <w:t> </w:t>
      </w:r>
      <w:r>
        <w:rPr/>
        <w:t>的</w:t>
      </w:r>
      <w:r>
        <w:rPr>
          <w:spacing w:val="-56"/>
        </w:rPr>
        <w:t> </w:t>
      </w:r>
      <w:r>
        <w:rPr/>
        <w:t>议</w:t>
      </w:r>
      <w:r>
        <w:rPr>
          <w:spacing w:val="-57"/>
        </w:rPr>
        <w:t> </w:t>
      </w:r>
      <w:r>
        <w:rPr/>
        <w:t>案</w:t>
      </w:r>
      <w:r>
        <w:rPr>
          <w:spacing w:val="-56"/>
        </w:rPr>
        <w:t> </w:t>
      </w:r>
      <w:r>
        <w:rPr/>
        <w:t>》</w:t>
      </w:r>
      <w:r>
        <w:rPr>
          <w:spacing w:val="-56"/>
        </w:rPr>
        <w:t> </w:t>
      </w:r>
      <w:r>
        <w:rPr/>
        <w:t>。</w:t>
      </w:r>
      <w:r>
        <w:rPr>
          <w:spacing w:val="-56"/>
        </w:rPr>
        <w:t> </w:t>
      </w:r>
      <w:r>
        <w:rPr/>
        <w:t>公</w:t>
      </w:r>
      <w:r>
        <w:rPr>
          <w:spacing w:val="-56"/>
        </w:rPr>
        <w:t> </w:t>
      </w:r>
      <w:r>
        <w:rPr/>
        <w:t>司</w:t>
      </w:r>
      <w:r>
        <w:rPr>
          <w:spacing w:val="-57"/>
        </w:rPr>
        <w:t> </w:t>
      </w:r>
      <w:r>
        <w:rPr/>
        <w:t>独</w:t>
      </w:r>
      <w:r>
        <w:rPr>
          <w:spacing w:val="-56"/>
        </w:rPr>
        <w:t> </w:t>
      </w:r>
      <w:r>
        <w:rPr/>
        <w:t>立</w:t>
      </w:r>
      <w:r>
        <w:rPr>
          <w:spacing w:val="-56"/>
        </w:rPr>
        <w:t> </w:t>
      </w:r>
      <w:r>
        <w:rPr/>
        <w:t>董</w:t>
      </w:r>
      <w:r>
        <w:rPr>
          <w:spacing w:val="-56"/>
        </w:rPr>
        <w:t> </w:t>
      </w:r>
      <w:r>
        <w:rPr/>
        <w:t>事</w:t>
      </w:r>
      <w:r>
        <w:rPr>
          <w:spacing w:val="-56"/>
        </w:rPr>
        <w:t> </w:t>
      </w:r>
      <w:r>
        <w:rPr/>
        <w:t>对</w:t>
      </w:r>
      <w:r>
        <w:rPr>
          <w:spacing w:val="-57"/>
        </w:rPr>
        <w:t> </w:t>
      </w:r>
      <w:r>
        <w:rPr/>
        <w:t>相</w:t>
      </w:r>
      <w:r>
        <w:rPr>
          <w:spacing w:val="-56"/>
        </w:rPr>
        <w:t> </w:t>
      </w:r>
      <w:r>
        <w:rPr/>
        <w:t>关</w:t>
      </w:r>
      <w:r>
        <w:rPr>
          <w:spacing w:val="-56"/>
        </w:rPr>
        <w:t> </w:t>
      </w:r>
      <w:r>
        <w:rPr/>
        <w:t>事</w:t>
      </w:r>
      <w:r>
        <w:rPr>
          <w:spacing w:val="-56"/>
        </w:rPr>
        <w:t> </w:t>
      </w:r>
      <w:r>
        <w:rPr/>
        <w:t>项</w:t>
      </w:r>
      <w:r>
        <w:rPr>
          <w:spacing w:val="-56"/>
        </w:rPr>
        <w:t> </w:t>
      </w:r>
      <w:r>
        <w:rPr/>
        <w:t>发</w:t>
      </w:r>
      <w:r>
        <w:rPr>
          <w:spacing w:val="-57"/>
        </w:rPr>
        <w:t> </w:t>
      </w:r>
      <w:r>
        <w:rPr/>
        <w:t>表</w:t>
      </w:r>
      <w:r>
        <w:rPr>
          <w:spacing w:val="-56"/>
        </w:rPr>
        <w:t> </w:t>
      </w:r>
      <w:r>
        <w:rPr/>
        <w:t>了</w:t>
      </w:r>
      <w:r>
        <w:rPr>
          <w:spacing w:val="-56"/>
        </w:rPr>
        <w:t> </w:t>
      </w:r>
      <w:r>
        <w:rPr/>
        <w:t>独</w:t>
      </w:r>
      <w:r>
        <w:rPr>
          <w:spacing w:val="-56"/>
        </w:rPr>
        <w:t> </w:t>
      </w:r>
      <w:r>
        <w:rPr/>
        <w:t>立</w:t>
      </w:r>
      <w:r>
        <w:rPr>
          <w:spacing w:val="-56"/>
        </w:rPr>
        <w:t> </w:t>
      </w:r>
      <w:r>
        <w:rPr/>
        <w:t>意</w:t>
      </w:r>
      <w:r>
        <w:rPr>
          <w:spacing w:val="-57"/>
        </w:rPr>
        <w:t> </w:t>
      </w:r>
      <w:r>
        <w:rPr/>
        <w:t>见</w:t>
      </w:r>
      <w:r>
        <w:rPr>
          <w:spacing w:val="-56"/>
        </w:rPr>
        <w:t> </w:t>
      </w:r>
      <w:r>
        <w:rPr/>
        <w:t>。</w:t>
      </w:r>
      <w:r>
        <w:rPr>
          <w:spacing w:val="-56"/>
        </w:rPr>
        <w:t> </w:t>
      </w:r>
      <w:r>
        <w:rPr/>
        <w:t>详</w:t>
      </w:r>
      <w:r>
        <w:rPr>
          <w:spacing w:val="-56"/>
        </w:rPr>
        <w:t> </w:t>
      </w:r>
      <w:r>
        <w:rPr/>
        <w:t>情</w:t>
      </w:r>
      <w:r>
        <w:rPr>
          <w:spacing w:val="-56"/>
        </w:rPr>
        <w:t> </w:t>
      </w:r>
      <w:r>
        <w:rPr/>
        <w:t>请</w:t>
      </w:r>
      <w:r>
        <w:rPr>
          <w:spacing w:val="-57"/>
        </w:rPr>
        <w:t> </w:t>
      </w:r>
      <w:r>
        <w:rPr/>
        <w:t>参</w:t>
      </w:r>
      <w:r>
        <w:rPr>
          <w:spacing w:val="-56"/>
        </w:rPr>
        <w:t> </w:t>
      </w:r>
      <w:r>
        <w:rPr/>
        <w:t>阅</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0"/>
        </w:rPr>
        <w:t> </w:t>
      </w:r>
      <w:r>
        <w:rPr/>
        <w:t>日</w:t>
      </w:r>
      <w:r>
        <w:rPr>
          <w:spacing w:val="-56"/>
        </w:rPr>
        <w:t> </w:t>
      </w:r>
      <w:r>
        <w:rPr/>
        <w:t>在</w:t>
      </w:r>
      <w:r>
        <w:rPr>
          <w:spacing w:val="-56"/>
        </w:rPr>
        <w:t> </w:t>
      </w:r>
      <w:r>
        <w:rPr/>
        <w:t>巨</w:t>
      </w:r>
      <w:r>
        <w:rPr>
          <w:spacing w:val="-57"/>
        </w:rPr>
        <w:t> </w:t>
      </w:r>
      <w:r>
        <w:rPr/>
        <w:t>潮</w:t>
      </w:r>
      <w:r>
        <w:rPr>
          <w:spacing w:val="-56"/>
        </w:rPr>
        <w:t> </w:t>
      </w:r>
      <w:r>
        <w:rPr/>
        <w:t>资</w:t>
      </w:r>
      <w:r>
        <w:rPr>
          <w:spacing w:val="-56"/>
        </w:rPr>
        <w:t> </w:t>
      </w:r>
      <w:r>
        <w:rPr/>
        <w:t>讯</w:t>
      </w:r>
      <w:r>
        <w:rPr>
          <w:spacing w:val="-56"/>
        </w:rPr>
        <w:t> </w:t>
      </w:r>
      <w:r>
        <w:rPr/>
        <w:t>网</w:t>
      </w:r>
    </w:p>
    <w:p>
      <w:pPr>
        <w:pStyle w:val="BodyText"/>
        <w:spacing w:line="240" w:lineRule="auto" w:before="63"/>
        <w:ind w:left="154" w:right="0"/>
        <w:jc w:val="left"/>
      </w:pPr>
      <w:r>
        <w:rPr/>
        <w:t>（</w:t>
      </w:r>
      <w:hyperlink r:id="rId12">
        <w:r>
          <w:rPr>
            <w:rFonts w:ascii="Times New Roman" w:hAnsi="Times New Roman" w:cs="Times New Roman" w:eastAsia="Times New Roman" w:hint="default"/>
          </w:rPr>
          <w:t>http://www.cninfo.com.cn</w:t>
        </w:r>
      </w:hyperlink>
      <w:r>
        <w:rPr/>
        <w:t>）刊登的：茂硕电源第三届董事会</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5</w:t>
      </w:r>
      <w:r>
        <w:rPr/>
        <w:t>次临时会议决议公告、茂硕电源第一期员工持股计划</w:t>
      </w:r>
    </w:p>
    <w:p>
      <w:pPr>
        <w:pStyle w:val="BodyText"/>
        <w:spacing w:line="240" w:lineRule="auto" w:before="63"/>
        <w:ind w:left="154" w:right="1130"/>
        <w:jc w:val="left"/>
      </w:pPr>
      <w:r>
        <w:rPr/>
        <w:t>（草案）及茂硕电源第一期员工持股计划（草案）摘要。</w:t>
      </w:r>
    </w:p>
    <w:p>
      <w:pPr>
        <w:pStyle w:val="BodyText"/>
        <w:spacing w:line="240" w:lineRule="auto" w:before="77"/>
        <w:ind w:left="154" w:right="0"/>
        <w:jc w:val="left"/>
      </w:pPr>
      <w:r>
        <w:rPr>
          <w:spacing w:val="19"/>
        </w:rPr>
        <w:t>截止</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w:t>
      </w:r>
      <w:r>
        <w:rPr>
          <w:spacing w:val="-52"/>
        </w:rPr>
        <w:t> </w:t>
      </w:r>
      <w:r>
        <w:rPr/>
        <w:t>，</w:t>
      </w:r>
      <w:r>
        <w:rPr>
          <w:spacing w:val="-51"/>
        </w:rPr>
        <w:t> </w:t>
      </w:r>
      <w:r>
        <w:rPr/>
        <w:t>公</w:t>
      </w:r>
      <w:r>
        <w:rPr>
          <w:spacing w:val="-51"/>
        </w:rPr>
        <w:t> </w:t>
      </w:r>
      <w:r>
        <w:rPr/>
        <w:t>司</w:t>
      </w:r>
      <w:r>
        <w:rPr>
          <w:spacing w:val="-52"/>
        </w:rPr>
        <w:t> </w:t>
      </w:r>
      <w:r>
        <w:rPr/>
        <w:t>员</w:t>
      </w:r>
      <w:r>
        <w:rPr>
          <w:spacing w:val="-52"/>
        </w:rPr>
        <w:t> </w:t>
      </w:r>
      <w:r>
        <w:rPr/>
        <w:t>工</w:t>
      </w:r>
      <w:r>
        <w:rPr>
          <w:spacing w:val="-52"/>
        </w:rPr>
        <w:t> </w:t>
      </w:r>
      <w:r>
        <w:rPr/>
        <w:t>持</w:t>
      </w:r>
      <w:r>
        <w:rPr>
          <w:spacing w:val="-52"/>
        </w:rPr>
        <w:t> </w:t>
      </w:r>
      <w:r>
        <w:rPr/>
        <w:t>股</w:t>
      </w:r>
      <w:r>
        <w:rPr>
          <w:spacing w:val="-51"/>
        </w:rPr>
        <w:t> </w:t>
      </w:r>
      <w:r>
        <w:rPr/>
        <w:t>计</w:t>
      </w:r>
      <w:r>
        <w:rPr>
          <w:spacing w:val="-52"/>
        </w:rPr>
        <w:t> </w:t>
      </w:r>
      <w:r>
        <w:rPr/>
        <w:t>划</w:t>
      </w:r>
      <w:r>
        <w:rPr>
          <w:spacing w:val="-52"/>
        </w:rPr>
        <w:t> </w:t>
      </w:r>
      <w:r>
        <w:rPr/>
        <w:t>尚</w:t>
      </w:r>
      <w:r>
        <w:rPr>
          <w:spacing w:val="-49"/>
        </w:rPr>
        <w:t> </w:t>
      </w:r>
      <w:r>
        <w:rPr/>
        <w:t>未</w:t>
      </w:r>
      <w:r>
        <w:rPr>
          <w:spacing w:val="-52"/>
        </w:rPr>
        <w:t> </w:t>
      </w:r>
      <w:r>
        <w:rPr/>
        <w:t>购</w:t>
      </w:r>
      <w:r>
        <w:rPr>
          <w:spacing w:val="-51"/>
        </w:rPr>
        <w:t> </w:t>
      </w:r>
      <w:r>
        <w:rPr/>
        <w:t>买</w:t>
      </w:r>
      <w:r>
        <w:rPr>
          <w:spacing w:val="-52"/>
        </w:rPr>
        <w:t> </w:t>
      </w:r>
      <w:r>
        <w:rPr/>
        <w:t>公</w:t>
      </w:r>
      <w:r>
        <w:rPr>
          <w:spacing w:val="-52"/>
        </w:rPr>
        <w:t> </w:t>
      </w:r>
      <w:r>
        <w:rPr/>
        <w:t>司</w:t>
      </w:r>
      <w:r>
        <w:rPr>
          <w:spacing w:val="-52"/>
        </w:rPr>
        <w:t> </w:t>
      </w:r>
      <w:r>
        <w:rPr/>
        <w:t>股</w:t>
      </w:r>
      <w:r>
        <w:rPr>
          <w:spacing w:val="-52"/>
        </w:rPr>
        <w:t> </w:t>
      </w:r>
      <w:r>
        <w:rPr/>
        <w:t>票</w:t>
      </w:r>
      <w:r>
        <w:rPr>
          <w:spacing w:val="-51"/>
        </w:rPr>
        <w:t> </w:t>
      </w:r>
      <w:r>
        <w:rPr/>
        <w:t>。</w:t>
      </w:r>
      <w:r>
        <w:rPr>
          <w:spacing w:val="-52"/>
        </w:rPr>
        <w:t> </w:t>
      </w:r>
      <w:r>
        <w:rPr/>
        <w:t>详</w:t>
      </w:r>
      <w:r>
        <w:rPr>
          <w:spacing w:val="-52"/>
        </w:rPr>
        <w:t> </w:t>
      </w:r>
      <w:r>
        <w:rPr/>
        <w:t>情</w:t>
      </w:r>
      <w:r>
        <w:rPr>
          <w:spacing w:val="-52"/>
        </w:rPr>
        <w:t> </w:t>
      </w:r>
      <w:r>
        <w:rPr/>
        <w:t>请</w:t>
      </w:r>
      <w:r>
        <w:rPr>
          <w:spacing w:val="-52"/>
        </w:rPr>
        <w:t> </w:t>
      </w:r>
      <w:r>
        <w:rPr/>
        <w:t>参</w:t>
      </w:r>
      <w:r>
        <w:rPr>
          <w:spacing w:val="-51"/>
        </w:rPr>
        <w:t> </w:t>
      </w:r>
      <w:r>
        <w:rPr/>
        <w:t>阅</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t>日</w:t>
      </w:r>
      <w:r>
        <w:rPr>
          <w:spacing w:val="-52"/>
        </w:rPr>
        <w:t> </w:t>
      </w:r>
      <w:r>
        <w:rPr/>
        <w:t>在</w:t>
      </w:r>
      <w:r>
        <w:rPr>
          <w:spacing w:val="-52"/>
        </w:rPr>
        <w:t> </w:t>
      </w:r>
      <w:r>
        <w:rPr/>
        <w:t>巨</w:t>
      </w:r>
      <w:r>
        <w:rPr>
          <w:spacing w:val="-51"/>
        </w:rPr>
        <w:t> </w:t>
      </w:r>
      <w:r>
        <w:rPr/>
        <w:t>潮</w:t>
      </w:r>
      <w:r>
        <w:rPr>
          <w:spacing w:val="-52"/>
        </w:rPr>
        <w:t> </w:t>
      </w:r>
      <w:r>
        <w:rPr/>
        <w:t>资</w:t>
      </w:r>
      <w:r>
        <w:rPr>
          <w:spacing w:val="-51"/>
        </w:rPr>
        <w:t> </w:t>
      </w:r>
      <w:r>
        <w:rPr/>
        <w:t>讯</w:t>
      </w:r>
      <w:r>
        <w:rPr>
          <w:spacing w:val="-51"/>
        </w:rPr>
        <w:t> </w:t>
      </w:r>
      <w:r>
        <w:rPr/>
        <w:t>网</w:t>
      </w:r>
    </w:p>
    <w:p>
      <w:pPr>
        <w:pStyle w:val="BodyText"/>
        <w:spacing w:line="300" w:lineRule="auto" w:before="63"/>
        <w:ind w:right="1116"/>
        <w:jc w:val="left"/>
      </w:pPr>
      <w:r>
        <w:rPr/>
        <w:t>（</w:t>
      </w:r>
      <w:hyperlink r:id="rId12">
        <w:r>
          <w:rPr>
            <w:rFonts w:ascii="Times New Roman" w:hAnsi="Times New Roman" w:cs="Times New Roman" w:eastAsia="Times New Roman" w:hint="default"/>
          </w:rPr>
          <w:t>http://www.cninfo.com.cn</w:t>
        </w:r>
      </w:hyperlink>
      <w:r>
        <w:rPr/>
        <w:t>）刊登的：茂硕电源关于公司第一期员工持股计划的进展公告。 </w:t>
      </w:r>
      <w:r>
        <w:rPr>
          <w:spacing w:val="3"/>
        </w:rPr>
        <w:t>截止</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w:t>
      </w:r>
      <w:r>
        <w:rPr>
          <w:spacing w:val="3"/>
        </w:rPr>
        <w:t>国民信托</w:t>
      </w:r>
      <w:r>
        <w:rPr>
          <w:rFonts w:ascii="Times New Roman" w:hAnsi="Times New Roman" w:cs="Times New Roman" w:eastAsia="Times New Roman" w:hint="default"/>
          <w:spacing w:val="3"/>
        </w:rPr>
        <w:t>•</w:t>
      </w:r>
      <w:r>
        <w:rPr>
          <w:spacing w:val="3"/>
        </w:rPr>
        <w:t>茂硕电源</w:t>
      </w:r>
      <w:r>
        <w:rPr>
          <w:rFonts w:ascii="Times New Roman" w:hAnsi="Times New Roman" w:cs="Times New Roman" w:eastAsia="Times New Roman" w:hint="default"/>
          <w:spacing w:val="3"/>
        </w:rPr>
        <w:t>1</w:t>
      </w:r>
      <w:r>
        <w:rPr>
          <w:spacing w:val="3"/>
        </w:rPr>
        <w:t>号集合资金信托计划</w:t>
      </w:r>
      <w:r>
        <w:rPr>
          <w:rFonts w:ascii="Times New Roman" w:hAnsi="Times New Roman" w:cs="Times New Roman" w:eastAsia="Times New Roman" w:hint="default"/>
          <w:spacing w:val="3"/>
        </w:rPr>
        <w:t>”</w:t>
      </w:r>
      <w:r>
        <w:rPr>
          <w:spacing w:val="3"/>
        </w:rPr>
        <w:t>已购买茂硕电源股票</w:t>
      </w:r>
      <w:r>
        <w:rPr>
          <w:rFonts w:ascii="Times New Roman" w:hAnsi="Times New Roman" w:cs="Times New Roman" w:eastAsia="Times New Roman" w:hint="default"/>
          <w:spacing w:val="3"/>
        </w:rPr>
        <w:t>2,430,103.00</w:t>
      </w:r>
      <w:r>
        <w:rPr>
          <w:spacing w:val="3"/>
        </w:rPr>
        <w:t>股，占公司总股本的</w:t>
      </w:r>
      <w:r>
        <w:rPr>
          <w:spacing w:val="-30"/>
        </w:rPr>
        <w:t> </w:t>
      </w:r>
      <w:r>
        <w:rPr>
          <w:spacing w:val="-30"/>
        </w:rPr>
      </w:r>
      <w:r>
        <w:rPr>
          <w:rFonts w:ascii="Times New Roman" w:hAnsi="Times New Roman" w:cs="Times New Roman" w:eastAsia="Times New Roman" w:hint="default"/>
        </w:rPr>
        <w:t>0.877%</w:t>
      </w:r>
      <w:r>
        <w:rPr/>
        <w:t>，成交均价约为人民币</w:t>
      </w:r>
      <w:r>
        <w:rPr>
          <w:spacing w:val="-58"/>
        </w:rPr>
        <w:t> </w:t>
      </w:r>
      <w:r>
        <w:rPr>
          <w:rFonts w:ascii="Times New Roman" w:hAnsi="Times New Roman" w:cs="Times New Roman" w:eastAsia="Times New Roman" w:hint="default"/>
        </w:rPr>
        <w:t>15.404</w:t>
      </w:r>
      <w:r>
        <w:rPr/>
        <w:t>元</w:t>
      </w:r>
      <w:r>
        <w:rPr>
          <w:rFonts w:ascii="Times New Roman" w:hAnsi="Times New Roman" w:cs="Times New Roman" w:eastAsia="Times New Roman" w:hint="default"/>
        </w:rPr>
        <w:t>/</w:t>
      </w:r>
      <w:r>
        <w:rPr/>
        <w:t>股，成交金额为人民币</w:t>
      </w:r>
      <w:r>
        <w:rPr>
          <w:rFonts w:ascii="Times New Roman" w:hAnsi="Times New Roman" w:cs="Times New Roman" w:eastAsia="Times New Roman" w:hint="default"/>
        </w:rPr>
        <w:t>37,433,306.612</w:t>
      </w:r>
      <w:r>
        <w:rPr/>
        <w:t>元。截至本公告披露日，公司本次员工持股计 </w:t>
      </w:r>
      <w:r>
        <w:rPr>
          <w:spacing w:val="-2"/>
        </w:rPr>
        <w:t>划已完成股票购买，购买的股票将按照规定予以锁定，该计划所购买的股票锁定期为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日。详情请</w:t>
      </w:r>
      <w:r>
        <w:rPr>
          <w:spacing w:val="-54"/>
        </w:rPr>
        <w:t> </w:t>
      </w:r>
      <w:r>
        <w:rPr>
          <w:spacing w:val="-54"/>
        </w:rPr>
      </w:r>
      <w:r>
        <w:rPr/>
        <w:t>参阅</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日在巨潮资讯网（</w:t>
      </w:r>
      <w:hyperlink r:id="rId12">
        <w:r>
          <w:rPr>
            <w:rFonts w:ascii="Times New Roman" w:hAnsi="Times New Roman" w:cs="Times New Roman" w:eastAsia="Times New Roman" w:hint="default"/>
          </w:rPr>
          <w:t>http://www.cninfo.com.cn</w:t>
        </w:r>
      </w:hyperlink>
      <w:r>
        <w:rPr/>
        <w:t>）刊登的：茂硕电源关于公司员工持股计划完成股票购买的公</w:t>
      </w:r>
      <w:r>
        <w:rPr>
          <w:w w:val="99"/>
        </w:rPr>
        <w:t> </w:t>
      </w:r>
      <w:r>
        <w:rPr/>
        <w:t>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54" w:right="113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1"/>
          <w:szCs w:val="21"/>
        </w:rPr>
      </w:pPr>
    </w:p>
    <w:p>
      <w:pPr>
        <w:pStyle w:val="Heading3"/>
        <w:spacing w:line="240" w:lineRule="auto"/>
        <w:ind w:right="113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0"/>
        <w:rPr>
          <w:rFonts w:ascii="宋体" w:hAnsi="宋体" w:cs="宋体" w:eastAsia="宋体" w:hint="default"/>
          <w:sz w:val="21"/>
          <w:szCs w:val="21"/>
        </w:rPr>
      </w:pPr>
    </w:p>
    <w:p>
      <w:pPr>
        <w:pStyle w:val="Heading3"/>
        <w:spacing w:line="240" w:lineRule="auto"/>
        <w:ind w:left="154" w:right="113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1"/>
          <w:szCs w:val="21"/>
        </w:rPr>
      </w:pPr>
    </w:p>
    <w:p>
      <w:pPr>
        <w:pStyle w:val="Heading3"/>
        <w:spacing w:line="240" w:lineRule="auto"/>
        <w:ind w:right="113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9"/>
        <w:rPr>
          <w:rFonts w:ascii="宋体" w:hAnsi="宋体" w:cs="宋体" w:eastAsia="宋体" w:hint="default"/>
          <w:sz w:val="21"/>
          <w:szCs w:val="21"/>
        </w:rPr>
      </w:pPr>
    </w:p>
    <w:p>
      <w:pPr>
        <w:pStyle w:val="Heading3"/>
        <w:spacing w:line="240" w:lineRule="auto"/>
        <w:ind w:right="113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9"/>
        <w:rPr>
          <w:rFonts w:ascii="宋体" w:hAnsi="宋体" w:cs="宋体" w:eastAsia="宋体" w:hint="default"/>
          <w:sz w:val="21"/>
          <w:szCs w:val="21"/>
        </w:rPr>
      </w:pPr>
    </w:p>
    <w:p>
      <w:pPr>
        <w:pStyle w:val="Heading3"/>
        <w:spacing w:line="240" w:lineRule="auto"/>
        <w:ind w:right="113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0"/>
        <w:rPr>
          <w:rFonts w:ascii="宋体" w:hAnsi="宋体" w:cs="宋体" w:eastAsia="宋体" w:hint="default"/>
          <w:sz w:val="21"/>
          <w:szCs w:val="21"/>
        </w:rPr>
      </w:pPr>
    </w:p>
    <w:p>
      <w:pPr>
        <w:pStyle w:val="Heading3"/>
        <w:spacing w:line="240" w:lineRule="auto"/>
        <w:ind w:right="113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42"/>
        <w:ind w:right="1132"/>
        <w:jc w:val="left"/>
      </w:pPr>
      <w:r>
        <w:rPr>
          <w:rFonts w:ascii="Times New Roman" w:hAnsi="Times New Roman" w:cs="Times New Roman" w:eastAsia="Times New Roman" w:hint="default"/>
          <w:spacing w:val="-3"/>
        </w:rPr>
        <w:t>1</w:t>
      </w:r>
      <w:r>
        <w:rPr>
          <w:spacing w:val="-3"/>
        </w:rPr>
        <w:t>、茂硕电源与深圳市桑泰实业发展有限公司签订房屋租赁合同，租赁房屋地址为深圳市南山区西丽桑泰工业园厂房、</w:t>
      </w:r>
      <w:r>
        <w:rPr>
          <w:rFonts w:ascii="Times New Roman" w:hAnsi="Times New Roman" w:cs="Times New Roman" w:eastAsia="Times New Roman" w:hint="default"/>
          <w:spacing w:val="-3"/>
        </w:rPr>
        <w:t>1#2#3#</w:t>
      </w:r>
      <w:r>
        <w:rPr>
          <w:rFonts w:ascii="Times New Roman" w:hAnsi="Times New Roman" w:cs="Times New Roman" w:eastAsia="Times New Roman" w:hint="default"/>
        </w:rPr>
        <w:t> </w:t>
      </w:r>
      <w:r>
        <w:rPr/>
        <w:t>宿舍楼，租期从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日始至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 </w:t>
      </w:r>
      <w:r>
        <w:rPr>
          <w:rFonts w:ascii="Times New Roman" w:hAnsi="Times New Roman" w:cs="Times New Roman" w:eastAsia="Times New Roman" w:hint="default"/>
        </w:rPr>
        <w:t>2</w:t>
      </w:r>
      <w:r>
        <w:rPr/>
        <w:t>、茂硕电子与深圳市桑泰实业发展有限公司签订房屋租赁合同，租赁房屋地址为深圳市南山区西丽街道阳光社区松白路桑 泰工业园</w:t>
      </w:r>
      <w:r>
        <w:rPr>
          <w:rFonts w:ascii="Times New Roman" w:hAnsi="Times New Roman" w:cs="Times New Roman" w:eastAsia="Times New Roman" w:hint="default"/>
        </w:rPr>
        <w:t>1</w:t>
      </w:r>
      <w:r>
        <w:rPr/>
        <w:t>栋宿舍楼一层</w:t>
      </w:r>
      <w:r>
        <w:rPr>
          <w:rFonts w:ascii="Times New Roman" w:hAnsi="Times New Roman" w:cs="Times New Roman" w:eastAsia="Times New Roman" w:hint="default"/>
        </w:rPr>
        <w:t>1-3</w:t>
      </w:r>
      <w:r>
        <w:rPr/>
        <w:t>号铺、</w:t>
      </w:r>
      <w:r>
        <w:rPr>
          <w:rFonts w:ascii="Times New Roman" w:hAnsi="Times New Roman" w:cs="Times New Roman" w:eastAsia="Times New Roman" w:hint="default"/>
        </w:rPr>
        <w:t>5-13</w:t>
      </w:r>
      <w:r>
        <w:rPr/>
        <w:t>号铺，</w:t>
      </w:r>
      <w:r>
        <w:rPr>
          <w:rFonts w:ascii="Times New Roman" w:hAnsi="Times New Roman" w:cs="Times New Roman" w:eastAsia="Times New Roman" w:hint="default"/>
        </w:rPr>
        <w:t>2</w:t>
      </w:r>
      <w:r>
        <w:rPr/>
        <w:t>栋宿舍楼一层</w:t>
      </w:r>
      <w:r>
        <w:rPr>
          <w:rFonts w:ascii="Times New Roman" w:hAnsi="Times New Roman" w:cs="Times New Roman" w:eastAsia="Times New Roman" w:hint="default"/>
        </w:rPr>
        <w:t>1</w:t>
      </w:r>
      <w:r>
        <w:rPr/>
        <w:t>号铺，租期从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日始至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日止。 为公司带来的损益达到公司报告期利润总额</w:t>
      </w:r>
      <w:r>
        <w:rPr>
          <w:rFonts w:ascii="Times New Roman" w:hAnsi="Times New Roman" w:cs="Times New Roman" w:eastAsia="Times New Roman" w:hint="default"/>
        </w:rPr>
        <w:t>10%</w:t>
      </w:r>
      <w:r>
        <w:rPr/>
        <w:t>以上的项目</w:t>
      </w:r>
    </w:p>
    <w:p>
      <w:pPr>
        <w:spacing w:line="240" w:lineRule="auto" w:before="0"/>
        <w:rPr>
          <w:rFonts w:ascii="宋体" w:hAnsi="宋体" w:cs="宋体" w:eastAsia="宋体" w:hint="default"/>
          <w:sz w:val="18"/>
          <w:szCs w:val="18"/>
        </w:rPr>
      </w:pPr>
    </w:p>
    <w:p>
      <w:pPr>
        <w:pStyle w:val="BodyText"/>
        <w:spacing w:line="240" w:lineRule="auto" w:before="130"/>
        <w:ind w:left="154" w:right="113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3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96"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36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925.61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2017.10.25-2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018.10.25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1,864.9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2017.12.14-2</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018.12.11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13,000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2,790.51</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13,000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10,209.49</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13,000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2,790.51</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13,000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10,209.49</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10,209.49</w:t>
            </w:r>
          </w:p>
        </w:tc>
      </w:tr>
    </w:tbl>
    <w:p>
      <w:pPr>
        <w:pStyle w:val="BodyText"/>
        <w:spacing w:line="240" w:lineRule="auto" w:before="51"/>
        <w:ind w:left="154" w:right="113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9"/>
        <w:rPr>
          <w:rFonts w:ascii="宋体" w:hAnsi="宋体" w:cs="宋体" w:eastAsia="宋体" w:hint="default"/>
          <w:sz w:val="21"/>
          <w:szCs w:val="21"/>
        </w:rPr>
      </w:pPr>
    </w:p>
    <w:p>
      <w:pPr>
        <w:pStyle w:val="Heading3"/>
        <w:spacing w:line="240" w:lineRule="auto"/>
        <w:ind w:right="113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1130"/>
        <w:jc w:val="left"/>
      </w:pPr>
      <w:r>
        <w:rPr/>
        <w:t>单项金额重大或安全性较低、流动性较差、不保本的高风险委托理财具体情况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31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8"/>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40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委托理财出现预期无法收回本金或存在其他可能导致减值的情形</w:t>
      </w:r>
    </w:p>
    <w:p>
      <w:pPr>
        <w:pStyle w:val="BodyText"/>
        <w:spacing w:line="240" w:lineRule="auto" w:before="116"/>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9"/>
        <w:rPr>
          <w:rFonts w:ascii="宋体" w:hAnsi="宋体" w:cs="宋体" w:eastAsia="宋体" w:hint="default"/>
          <w:sz w:val="21"/>
          <w:szCs w:val="21"/>
        </w:rPr>
      </w:pPr>
    </w:p>
    <w:p>
      <w:pPr>
        <w:pStyle w:val="Heading3"/>
        <w:spacing w:line="240" w:lineRule="auto"/>
        <w:ind w:right="113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113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130" w:firstLine="360"/>
        <w:jc w:val="both"/>
      </w:pPr>
      <w:r>
        <w:rPr>
          <w:spacing w:val="-2"/>
        </w:rPr>
        <w:t>茂硕电源是国家级高新技术企业，是国家十二五规划鼓励发展的节能减碳新能源企业；公司注重社会公共关系和社会公</w:t>
      </w:r>
      <w:r>
        <w:rPr/>
        <w:t> </w:t>
      </w:r>
      <w:r>
        <w:rPr>
          <w:spacing w:val="-2"/>
        </w:rPr>
        <w:t>益事业，重视与利益相关者积极合作、和谐共处，注重环境保护、节能减排和可持续性发展等问题，积极履行社会责任，使</w:t>
      </w:r>
      <w:r>
        <w:rPr>
          <w:spacing w:val="-67"/>
        </w:rPr>
        <w:t> </w:t>
      </w:r>
      <w:r>
        <w:rPr>
          <w:spacing w:val="-67"/>
        </w:rPr>
      </w:r>
      <w:r>
        <w:rPr/>
        <w:t>相关利益各方共同推进公司持续、健康、稳定发展。</w:t>
      </w:r>
    </w:p>
    <w:p>
      <w:pPr>
        <w:pStyle w:val="BodyText"/>
        <w:spacing w:line="302" w:lineRule="auto" w:before="56"/>
        <w:ind w:right="1132" w:firstLine="360"/>
        <w:jc w:val="both"/>
      </w:pPr>
      <w:r>
        <w:rPr>
          <w:spacing w:val="-1"/>
        </w:rPr>
        <w:t>公司注重社会价值的创造</w:t>
      </w:r>
      <w:r>
        <w:rPr>
          <w:rFonts w:ascii="Times New Roman" w:hAnsi="Times New Roman" w:cs="Times New Roman" w:eastAsia="Times New Roman" w:hint="default"/>
          <w:spacing w:val="-1"/>
        </w:rPr>
        <w:t>,</w:t>
      </w:r>
      <w:r>
        <w:rPr>
          <w:spacing w:val="-1"/>
        </w:rPr>
        <w:t>自觉积极履行社会责任，积极参加社会公益活动</w:t>
      </w:r>
      <w:r>
        <w:rPr>
          <w:rFonts w:ascii="Times New Roman" w:hAnsi="Times New Roman" w:cs="Times New Roman" w:eastAsia="Times New Roman" w:hint="default"/>
          <w:spacing w:val="-1"/>
        </w:rPr>
        <w:t>,</w:t>
      </w:r>
      <w:r>
        <w:rPr>
          <w:spacing w:val="-1"/>
        </w:rPr>
        <w:t>积极投身社会公益慈善事业</w:t>
      </w:r>
      <w:r>
        <w:rPr>
          <w:rFonts w:ascii="Times New Roman" w:hAnsi="Times New Roman" w:cs="Times New Roman" w:eastAsia="Times New Roman" w:hint="default"/>
          <w:spacing w:val="-1"/>
        </w:rPr>
        <w:t>,</w:t>
      </w:r>
      <w:r>
        <w:rPr>
          <w:spacing w:val="-1"/>
        </w:rPr>
        <w:t>努力创造和谐公</w:t>
      </w:r>
      <w:r>
        <w:rPr/>
        <w:t> 共关系。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w:t>
      </w:r>
      <w:r>
        <w:rPr/>
        <w:t>公司帮扶布联村捐款；公司在力所能及的范围内，对社会扶贫工作给予必要的支持。</w:t>
      </w:r>
    </w:p>
    <w:p>
      <w:pPr>
        <w:pStyle w:val="BodyText"/>
        <w:spacing w:line="319" w:lineRule="auto" w:before="49"/>
        <w:ind w:left="154" w:right="1132" w:firstLine="360"/>
        <w:jc w:val="both"/>
      </w:pPr>
      <w:r>
        <w:rPr>
          <w:spacing w:val="-2"/>
        </w:rPr>
        <w:t>茂硕电源作为一家上市公司不仅肩负着为股东创造利益的责任，也肩负着非常重要的社会责任。茂硕电源及其子公司通</w:t>
      </w:r>
      <w:r>
        <w:rPr/>
        <w:t> 过一系列的扶贫工作来证明公司勇于承担社会责任，重视新能源事业、重视国内环保事业的信心。</w:t>
      </w:r>
    </w:p>
    <w:p>
      <w:pPr>
        <w:spacing w:line="240" w:lineRule="auto" w:before="12"/>
        <w:rPr>
          <w:rFonts w:ascii="宋体" w:hAnsi="宋体" w:cs="宋体" w:eastAsia="宋体" w:hint="default"/>
          <w:sz w:val="22"/>
          <w:szCs w:val="22"/>
        </w:rPr>
      </w:pPr>
    </w:p>
    <w:p>
      <w:pPr>
        <w:pStyle w:val="Heading3"/>
        <w:spacing w:line="240" w:lineRule="auto"/>
        <w:ind w:left="154" w:right="113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3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left="154" w:right="5712"/>
        <w:jc w:val="left"/>
      </w:pPr>
      <w:r>
        <w:rPr/>
        <w:t>上市公司及其子公司是否属于环境保护部门公布的重点排污单位 否</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1130"/>
        <w:jc w:val="left"/>
      </w:pPr>
      <w:r>
        <w:rPr/>
        <w:t>经核查</w:t>
      </w:r>
      <w:r>
        <w:rPr>
          <w:rFonts w:ascii="Times New Roman" w:hAnsi="Times New Roman" w:cs="Times New Roman" w:eastAsia="Times New Roman" w:hint="default"/>
        </w:rPr>
        <w:t>,</w:t>
      </w:r>
      <w:r>
        <w:rPr/>
        <w:t>公司及子公司不属于环境保护部门公布的重点排污单位。 </w:t>
      </w:r>
      <w:r>
        <w:rPr>
          <w:spacing w:val="-2"/>
        </w:rPr>
        <w:t>公司及子公司在日常生产经营中认真执行《中华人民共和国环境保护法》、《中华人民共和国水污染防治法》、《中华</w:t>
      </w:r>
    </w:p>
    <w:p>
      <w:pPr>
        <w:pStyle w:val="BodyText"/>
        <w:spacing w:line="316" w:lineRule="auto" w:before="31"/>
        <w:ind w:right="1130"/>
        <w:jc w:val="left"/>
      </w:pPr>
      <w:r>
        <w:rPr>
          <w:spacing w:val="-2"/>
        </w:rPr>
        <w:t>人民共和国大气污染防治法》、《中华人民共和国固体废物污染防治法》等环保方面的法律法规，报告期内未出现因违法违</w:t>
      </w:r>
      <w:r>
        <w:rPr>
          <w:spacing w:val="-66"/>
        </w:rPr>
        <w:t> </w:t>
      </w:r>
      <w:r>
        <w:rPr>
          <w:spacing w:val="-66"/>
        </w:rPr>
      </w:r>
      <w:r>
        <w:rPr/>
        <w:t>规而受到处罚的情况。</w:t>
      </w:r>
    </w:p>
    <w:p>
      <w:pPr>
        <w:spacing w:line="240" w:lineRule="auto" w:before="10"/>
        <w:rPr>
          <w:rFonts w:ascii="宋体" w:hAnsi="宋体" w:cs="宋体" w:eastAsia="宋体" w:hint="default"/>
          <w:sz w:val="20"/>
          <w:szCs w:val="20"/>
        </w:rPr>
      </w:pPr>
    </w:p>
    <w:p>
      <w:pPr>
        <w:pStyle w:val="Heading2"/>
        <w:spacing w:line="240" w:lineRule="auto"/>
        <w:ind w:right="113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月，公司与深圳极数能源控股有限公司（以下简称</w:t>
      </w:r>
      <w:r>
        <w:rPr>
          <w:rFonts w:ascii="Times New Roman" w:hAnsi="Times New Roman" w:cs="Times New Roman" w:eastAsia="Times New Roman" w:hint="default"/>
          <w:spacing w:val="-2"/>
        </w:rPr>
        <w:t>“</w:t>
      </w:r>
      <w:r>
        <w:rPr>
          <w:spacing w:val="-2"/>
        </w:rPr>
        <w:t>深圳极数能源</w:t>
      </w:r>
      <w:r>
        <w:rPr>
          <w:rFonts w:ascii="Times New Roman" w:hAnsi="Times New Roman" w:cs="Times New Roman" w:eastAsia="Times New Roman" w:hint="default"/>
          <w:spacing w:val="-2"/>
        </w:rPr>
        <w:t>”</w:t>
      </w:r>
      <w:r>
        <w:rPr>
          <w:spacing w:val="-2"/>
        </w:rPr>
        <w:t>）签订《关于深圳茂硕投资发展有限公司</w:t>
      </w:r>
      <w:r>
        <w:rPr/>
        <w:t> 的增资协议》，茂硕投资拟将注册资本由人民币</w:t>
      </w:r>
      <w:r>
        <w:rPr>
          <w:rFonts w:ascii="Times New Roman" w:hAnsi="Times New Roman" w:cs="Times New Roman" w:eastAsia="Times New Roman" w:hint="default"/>
        </w:rPr>
        <w:t>1,500</w:t>
      </w:r>
      <w:r>
        <w:rPr/>
        <w:t>万元增加至人民币</w:t>
      </w:r>
      <w:r>
        <w:rPr>
          <w:rFonts w:ascii="Times New Roman" w:hAnsi="Times New Roman" w:cs="Times New Roman" w:eastAsia="Times New Roman" w:hint="default"/>
        </w:rPr>
        <w:t>3,000</w:t>
      </w:r>
      <w:r>
        <w:rPr/>
        <w:t>万元，茂硕投资新增注册资本人民币</w:t>
      </w:r>
      <w:r>
        <w:rPr>
          <w:rFonts w:ascii="Times New Roman" w:hAnsi="Times New Roman" w:cs="Times New Roman" w:eastAsia="Times New Roman" w:hint="default"/>
        </w:rPr>
        <w:t>1500</w:t>
      </w:r>
      <w:r>
        <w:rPr/>
        <w:t>万元</w:t>
      </w:r>
      <w:r>
        <w:rPr>
          <w:spacing w:val="-84"/>
        </w:rPr>
        <w:t> </w:t>
      </w:r>
      <w:r>
        <w:rPr>
          <w:spacing w:val="-1"/>
        </w:rPr>
        <w:t>由深圳极数能源全额认缴，公司放弃同比例认缴出资权利，增资完成后，公司持有茂硕投资</w:t>
      </w:r>
      <w:r>
        <w:rPr>
          <w:rFonts w:ascii="Times New Roman" w:hAnsi="Times New Roman" w:cs="Times New Roman" w:eastAsia="Times New Roman" w:hint="default"/>
          <w:spacing w:val="-1"/>
        </w:rPr>
        <w:t>15%</w:t>
      </w:r>
      <w:r>
        <w:rPr>
          <w:spacing w:val="-1"/>
        </w:rPr>
        <w:t>的股权。具体详情请见刊登</w:t>
      </w:r>
      <w:r>
        <w:rPr/>
        <w:t>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日巨潮资讯网（</w:t>
      </w:r>
      <w:hyperlink r:id="rId12">
        <w:r>
          <w:rPr>
            <w:rFonts w:ascii="Times New Roman" w:hAnsi="Times New Roman" w:cs="Times New Roman" w:eastAsia="Times New Roman" w:hint="default"/>
          </w:rPr>
          <w:t>http://www.cninfo.com.cn</w:t>
        </w:r>
      </w:hyperlink>
      <w:r>
        <w:rPr/>
        <w:t>）上的《关于放弃参股子公司同比例增资权的公告》。</w:t>
      </w:r>
    </w:p>
    <w:p>
      <w:pPr>
        <w:pStyle w:val="BodyText"/>
        <w:spacing w:line="300" w:lineRule="auto" w:before="52"/>
        <w:ind w:right="1129" w:firstLine="360"/>
        <w:jc w:val="both"/>
      </w:pPr>
      <w:r>
        <w:rPr>
          <w:rFonts w:ascii="Times New Roman" w:hAnsi="Times New Roman" w:cs="Times New Roman" w:eastAsia="Times New Roman" w:hint="default"/>
          <w:spacing w:val="-1"/>
        </w:rPr>
        <w:t>2</w:t>
      </w:r>
      <w:r>
        <w:rPr>
          <w:spacing w:val="-1"/>
        </w:rPr>
        <w:t>、经</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24</w:t>
      </w:r>
      <w:r>
        <w:rPr>
          <w:spacing w:val="-1"/>
        </w:rPr>
        <w:t>日，第三届董事会</w:t>
      </w:r>
      <w:r>
        <w:rPr>
          <w:rFonts w:ascii="Times New Roman" w:hAnsi="Times New Roman" w:cs="Times New Roman" w:eastAsia="Times New Roman" w:hint="default"/>
          <w:spacing w:val="-1"/>
        </w:rPr>
        <w:t>2017</w:t>
      </w:r>
      <w:r>
        <w:rPr>
          <w:spacing w:val="-1"/>
        </w:rPr>
        <w:t>年第</w:t>
      </w:r>
      <w:r>
        <w:rPr>
          <w:rFonts w:ascii="Times New Roman" w:hAnsi="Times New Roman" w:cs="Times New Roman" w:eastAsia="Times New Roman" w:hint="default"/>
          <w:spacing w:val="-1"/>
        </w:rPr>
        <w:t>1</w:t>
      </w:r>
      <w:r>
        <w:rPr>
          <w:spacing w:val="-1"/>
        </w:rPr>
        <w:t>次临时会议，第三届监事会</w:t>
      </w:r>
      <w:r>
        <w:rPr>
          <w:rFonts w:ascii="Times New Roman" w:hAnsi="Times New Roman" w:cs="Times New Roman" w:eastAsia="Times New Roman" w:hint="default"/>
          <w:spacing w:val="-1"/>
        </w:rPr>
        <w:t>2017</w:t>
      </w:r>
      <w:r>
        <w:rPr>
          <w:spacing w:val="-1"/>
        </w:rPr>
        <w:t>年第</w:t>
      </w:r>
      <w:r>
        <w:rPr>
          <w:rFonts w:ascii="Times New Roman" w:hAnsi="Times New Roman" w:cs="Times New Roman" w:eastAsia="Times New Roman" w:hint="default"/>
          <w:spacing w:val="-1"/>
        </w:rPr>
        <w:t>1</w:t>
      </w:r>
      <w:r>
        <w:rPr>
          <w:spacing w:val="-1"/>
        </w:rPr>
        <w:t>次临时会议，</w:t>
      </w:r>
      <w:r>
        <w:rPr>
          <w:spacing w:val="-16"/>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28</w:t>
      </w:r>
      <w:r>
        <w:rPr>
          <w:spacing w:val="-2"/>
        </w:rPr>
        <w:t>日，第</w:t>
      </w:r>
      <w:r>
        <w:rPr/>
        <w:t> 三届董事会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2</w:t>
      </w:r>
      <w:r>
        <w:rPr/>
        <w:t>次临时会议审议；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1</w:t>
      </w:r>
      <w:r>
        <w:rPr/>
        <w:t>次临时股东大会审议通过，公司第四届董事会、监事会</w:t>
      </w:r>
      <w:r>
        <w:rPr>
          <w:spacing w:val="-83"/>
        </w:rPr>
        <w:t> </w:t>
      </w:r>
      <w:r>
        <w:rPr>
          <w:spacing w:val="-83"/>
        </w:rPr>
      </w:r>
      <w:r>
        <w:rPr/>
        <w:t>换届完成。</w:t>
      </w:r>
    </w:p>
    <w:p>
      <w:pPr>
        <w:pStyle w:val="BodyText"/>
        <w:spacing w:line="300" w:lineRule="auto" w:before="70"/>
        <w:ind w:right="0" w:firstLine="36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日，公司第四届董事会</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1</w:t>
      </w:r>
      <w:r>
        <w:rPr>
          <w:spacing w:val="-2"/>
        </w:rPr>
        <w:t>次定期会议审议通过了《关于提请股东大会授权董事会全权办理回购、</w:t>
      </w:r>
      <w:r>
        <w:rPr/>
        <w:t> 注销相关事项并修改公司章程的议案》，同意公司回购注销</w:t>
      </w:r>
      <w:r>
        <w:rPr>
          <w:rFonts w:ascii="Times New Roman" w:hAnsi="Times New Roman" w:cs="Times New Roman" w:eastAsia="Times New Roman" w:hint="default"/>
        </w:rPr>
        <w:t>225.0158</w:t>
      </w:r>
      <w:r>
        <w:rPr/>
        <w:t>万股，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日，回购注销完成后，公司股份总数 由</w:t>
      </w:r>
      <w:r>
        <w:rPr>
          <w:rFonts w:ascii="Times New Roman" w:hAnsi="Times New Roman" w:cs="Times New Roman" w:eastAsia="Times New Roman" w:hint="default"/>
        </w:rPr>
        <w:t>27,703.0616</w:t>
      </w:r>
      <w:r>
        <w:rPr/>
        <w:t>万股变更为</w:t>
      </w:r>
      <w:r>
        <w:rPr>
          <w:rFonts w:ascii="Times New Roman" w:hAnsi="Times New Roman" w:cs="Times New Roman" w:eastAsia="Times New Roman" w:hint="default"/>
        </w:rPr>
        <w:t>27,478.0458</w:t>
      </w:r>
      <w:r>
        <w:rPr/>
        <w:t>万股；本事项已经</w:t>
      </w:r>
      <w:r>
        <w:rPr>
          <w:rFonts w:ascii="Times New Roman" w:hAnsi="Times New Roman" w:cs="Times New Roman" w:eastAsia="Times New Roman" w:hint="default"/>
        </w:rPr>
        <w:t>2016</w:t>
      </w:r>
      <w:r>
        <w:rPr/>
        <w:t>年年度股东大会审议通过。公司已完成相关工商变更程序</w:t>
      </w:r>
      <w:r>
        <w:rPr>
          <w:rFonts w:ascii="Times New Roman" w:hAnsi="Times New Roman" w:cs="Times New Roman" w:eastAsia="Times New Roman" w:hint="default"/>
        </w:rPr>
        <w:t>,</w:t>
      </w:r>
      <w:r>
        <w:rPr/>
        <w:t>具体</w:t>
      </w:r>
      <w:r>
        <w:rPr>
          <w:spacing w:val="-47"/>
        </w:rPr>
        <w:t> </w:t>
      </w:r>
      <w:r>
        <w:rPr/>
        <w:t>详情请见刊登于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日巨潮资讯网（</w:t>
      </w:r>
      <w:hyperlink r:id="rId12">
        <w:r>
          <w:rPr>
            <w:rFonts w:ascii="Times New Roman" w:hAnsi="Times New Roman" w:cs="Times New Roman" w:eastAsia="Times New Roman" w:hint="default"/>
          </w:rPr>
          <w:t>http://www.cninfo.com.cn</w:t>
        </w:r>
      </w:hyperlink>
      <w:r>
        <w:rPr/>
        <w:t>）《关于完成工商变更登记的公告》。</w:t>
      </w:r>
    </w:p>
    <w:p>
      <w:pPr>
        <w:pStyle w:val="BodyText"/>
        <w:spacing w:line="300" w:lineRule="auto" w:before="51"/>
        <w:ind w:right="1129"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月，公司与瑞盈茂硕另一股东瑞盈信融（深圳）融资租赁有限公司（以下简称</w:t>
      </w:r>
      <w:r>
        <w:rPr>
          <w:rFonts w:ascii="Times New Roman" w:hAnsi="Times New Roman" w:cs="Times New Roman" w:eastAsia="Times New Roman" w:hint="default"/>
          <w:spacing w:val="-2"/>
        </w:rPr>
        <w:t>“</w:t>
      </w:r>
      <w:r>
        <w:rPr>
          <w:spacing w:val="-2"/>
        </w:rPr>
        <w:t>瑞盈信融</w:t>
      </w:r>
      <w:r>
        <w:rPr>
          <w:rFonts w:ascii="Times New Roman" w:hAnsi="Times New Roman" w:cs="Times New Roman" w:eastAsia="Times New Roman" w:hint="default"/>
          <w:spacing w:val="-2"/>
        </w:rPr>
        <w:t>”</w:t>
      </w:r>
      <w:r>
        <w:rPr>
          <w:spacing w:val="-2"/>
        </w:rPr>
        <w:t>）签订了《股权转</w:t>
      </w:r>
      <w:r>
        <w:rPr/>
        <w:t> </w:t>
      </w:r>
      <w:r>
        <w:rPr>
          <w:spacing w:val="-1"/>
        </w:rPr>
        <w:t>让协议书》；瑞盈信融将其持有的</w:t>
      </w:r>
      <w:r>
        <w:rPr>
          <w:rFonts w:ascii="Times New Roman" w:hAnsi="Times New Roman" w:cs="Times New Roman" w:eastAsia="Times New Roman" w:hint="default"/>
          <w:spacing w:val="-1"/>
        </w:rPr>
        <w:t>30%</w:t>
      </w:r>
      <w:r>
        <w:rPr>
          <w:spacing w:val="-1"/>
        </w:rPr>
        <w:t>的股权以人民币</w:t>
      </w:r>
      <w:r>
        <w:rPr>
          <w:rFonts w:ascii="Times New Roman" w:hAnsi="Times New Roman" w:cs="Times New Roman" w:eastAsia="Times New Roman" w:hint="default"/>
          <w:spacing w:val="-1"/>
        </w:rPr>
        <w:t>18,601,568.87</w:t>
      </w:r>
      <w:r>
        <w:rPr>
          <w:spacing w:val="-1"/>
        </w:rPr>
        <w:t>元转让给公司，公司同意受让股权。受让完成后公司合</w:t>
      </w:r>
      <w:r>
        <w:rPr>
          <w:spacing w:val="-41"/>
        </w:rPr>
        <w:t> </w:t>
      </w:r>
      <w:r>
        <w:rPr>
          <w:spacing w:val="-41"/>
        </w:rPr>
      </w:r>
      <w:r>
        <w:rPr/>
        <w:t>计</w:t>
      </w:r>
      <w:r>
        <w:rPr>
          <w:spacing w:val="-61"/>
        </w:rPr>
        <w:t> </w:t>
      </w:r>
      <w:r>
        <w:rPr/>
        <w:t>持</w:t>
      </w:r>
      <w:r>
        <w:rPr>
          <w:spacing w:val="-61"/>
        </w:rPr>
        <w:t> </w:t>
      </w:r>
      <w:r>
        <w:rPr/>
        <w:t>有</w:t>
      </w:r>
      <w:r>
        <w:rPr>
          <w:spacing w:val="-61"/>
        </w:rPr>
        <w:t> </w:t>
      </w:r>
      <w:r>
        <w:rPr/>
        <w:t>瑞</w:t>
      </w:r>
      <w:r>
        <w:rPr>
          <w:spacing w:val="-61"/>
        </w:rPr>
        <w:t> </w:t>
      </w:r>
      <w:r>
        <w:rPr/>
        <w:t>盈</w:t>
      </w:r>
      <w:r>
        <w:rPr>
          <w:spacing w:val="-62"/>
        </w:rPr>
        <w:t> </w:t>
      </w:r>
      <w:r>
        <w:rPr/>
        <w:t>茂</w:t>
      </w:r>
      <w:r>
        <w:rPr>
          <w:spacing w:val="-61"/>
        </w:rPr>
        <w:t> </w:t>
      </w:r>
      <w:r>
        <w:rPr/>
        <w:t>硕</w:t>
      </w:r>
      <w:r>
        <w:rPr>
          <w:spacing w:val="-61"/>
        </w:rPr>
        <w:t> </w:t>
      </w:r>
      <w:r>
        <w:rPr/>
        <w:t>融</w:t>
      </w:r>
      <w:r>
        <w:rPr>
          <w:spacing w:val="-61"/>
        </w:rPr>
        <w:t> </w:t>
      </w:r>
      <w:r>
        <w:rPr/>
        <w:t>资</w:t>
      </w:r>
      <w:r>
        <w:rPr>
          <w:spacing w:val="-61"/>
        </w:rPr>
        <w:t> </w:t>
      </w:r>
      <w:r>
        <w:rPr/>
        <w:t>租</w:t>
      </w:r>
      <w:r>
        <w:rPr>
          <w:spacing w:val="-62"/>
        </w:rPr>
        <w:t> </w:t>
      </w:r>
      <w:r>
        <w:rPr/>
        <w:t>赁</w:t>
      </w:r>
      <w:r>
        <w:rPr>
          <w:spacing w:val="-61"/>
        </w:rPr>
        <w:t> </w:t>
      </w:r>
      <w:r>
        <w:rPr/>
        <w:t>（</w:t>
      </w:r>
      <w:r>
        <w:rPr>
          <w:spacing w:val="-61"/>
        </w:rPr>
        <w:t> </w:t>
      </w:r>
      <w:r>
        <w:rPr/>
        <w:t>深</w:t>
      </w:r>
      <w:r>
        <w:rPr>
          <w:spacing w:val="-61"/>
        </w:rPr>
        <w:t> </w:t>
      </w:r>
      <w:r>
        <w:rPr/>
        <w:t>圳</w:t>
      </w:r>
      <w:r>
        <w:rPr>
          <w:spacing w:val="-61"/>
        </w:rPr>
        <w:t> </w:t>
      </w:r>
      <w:r>
        <w:rPr/>
        <w:t>）</w:t>
      </w:r>
      <w:r>
        <w:rPr>
          <w:spacing w:val="-62"/>
        </w:rPr>
        <w:t> </w:t>
      </w:r>
      <w:r>
        <w:rPr/>
        <w:t>有</w:t>
      </w:r>
      <w:r>
        <w:rPr>
          <w:spacing w:val="-61"/>
        </w:rPr>
        <w:t> </w:t>
      </w:r>
      <w:r>
        <w:rPr/>
        <w:t>限</w:t>
      </w:r>
      <w:r>
        <w:rPr>
          <w:spacing w:val="-61"/>
        </w:rPr>
        <w:t> </w:t>
      </w:r>
      <w:r>
        <w:rPr/>
        <w:t>公</w:t>
      </w:r>
      <w:r>
        <w:rPr>
          <w:spacing w:val="-61"/>
        </w:rPr>
        <w:t> </w:t>
      </w:r>
      <w:r>
        <w:rPr/>
        <w:t>司</w:t>
      </w:r>
      <w:r>
        <w:rPr>
          <w:spacing w:val="-56"/>
        </w:rPr>
        <w:t> </w:t>
      </w:r>
      <w:r>
        <w:rPr>
          <w:rFonts w:ascii="Times New Roman" w:hAnsi="Times New Roman" w:cs="Times New Roman" w:eastAsia="Times New Roman" w:hint="default"/>
        </w:rPr>
        <w:t>100</w:t>
      </w:r>
      <w:r>
        <w:rPr>
          <w:rFonts w:ascii="Times New Roman" w:hAnsi="Times New Roman" w:cs="Times New Roman" w:eastAsia="Times New Roman" w:hint="default"/>
          <w:spacing w:val="-16"/>
        </w:rPr>
        <w:t> </w:t>
      </w:r>
      <w:r>
        <w:rPr/>
        <w:t>％</w:t>
      </w:r>
      <w:r>
        <w:rPr>
          <w:spacing w:val="-61"/>
        </w:rPr>
        <w:t> </w:t>
      </w:r>
      <w:r>
        <w:rPr/>
        <w:t>的</w:t>
      </w:r>
      <w:r>
        <w:rPr>
          <w:spacing w:val="-61"/>
        </w:rPr>
        <w:t> </w:t>
      </w:r>
      <w:r>
        <w:rPr/>
        <w:t>股</w:t>
      </w:r>
      <w:r>
        <w:rPr>
          <w:spacing w:val="-61"/>
        </w:rPr>
        <w:t> </w:t>
      </w:r>
      <w:r>
        <w:rPr/>
        <w:t>份</w:t>
      </w:r>
      <w:r>
        <w:rPr>
          <w:spacing w:val="-61"/>
        </w:rPr>
        <w:t> </w:t>
      </w:r>
      <w:r>
        <w:rPr/>
        <w:t>；</w:t>
      </w:r>
      <w:r>
        <w:rPr>
          <w:spacing w:val="-62"/>
        </w:rPr>
        <w:t> </w:t>
      </w:r>
      <w:r>
        <w:rPr/>
        <w:t>具</w:t>
      </w:r>
      <w:r>
        <w:rPr>
          <w:spacing w:val="-61"/>
        </w:rPr>
        <w:t> </w:t>
      </w:r>
      <w:r>
        <w:rPr/>
        <w:t>体</w:t>
      </w:r>
      <w:r>
        <w:rPr>
          <w:spacing w:val="-61"/>
        </w:rPr>
        <w:t> </w:t>
      </w:r>
      <w:r>
        <w:rPr/>
        <w:t>详</w:t>
      </w:r>
      <w:r>
        <w:rPr>
          <w:spacing w:val="-61"/>
        </w:rPr>
        <w:t> </w:t>
      </w:r>
      <w:r>
        <w:rPr/>
        <w:t>情</w:t>
      </w:r>
      <w:r>
        <w:rPr>
          <w:spacing w:val="-61"/>
        </w:rPr>
        <w:t> </w:t>
      </w:r>
      <w:r>
        <w:rPr/>
        <w:t>请</w:t>
      </w:r>
      <w:r>
        <w:rPr>
          <w:spacing w:val="-62"/>
        </w:rPr>
        <w:t> </w:t>
      </w:r>
      <w:r>
        <w:rPr/>
        <w:t>见</w:t>
      </w:r>
      <w:r>
        <w:rPr>
          <w:spacing w:val="-61"/>
        </w:rPr>
        <w:t> </w:t>
      </w:r>
      <w:r>
        <w:rPr/>
        <w:t>刊</w:t>
      </w:r>
      <w:r>
        <w:rPr>
          <w:spacing w:val="-61"/>
        </w:rPr>
        <w:t> </w:t>
      </w:r>
      <w:r>
        <w:rPr/>
        <w:t>登</w:t>
      </w:r>
      <w:r>
        <w:rPr>
          <w:spacing w:val="-61"/>
        </w:rPr>
        <w:t> </w:t>
      </w:r>
      <w:r>
        <w:rPr/>
        <w:t>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日</w:t>
      </w:r>
      <w:r>
        <w:rPr>
          <w:spacing w:val="-62"/>
        </w:rPr>
        <w:t> </w:t>
      </w:r>
      <w:r>
        <w:rPr/>
        <w:t>巨</w:t>
      </w:r>
      <w:r>
        <w:rPr>
          <w:spacing w:val="-61"/>
        </w:rPr>
        <w:t> </w:t>
      </w:r>
      <w:r>
        <w:rPr/>
        <w:t>潮</w:t>
      </w:r>
      <w:r>
        <w:rPr>
          <w:spacing w:val="-61"/>
        </w:rPr>
        <w:t> </w:t>
      </w:r>
      <w:r>
        <w:rPr/>
        <w:t>资</w:t>
      </w:r>
      <w:r>
        <w:rPr>
          <w:spacing w:val="-61"/>
        </w:rPr>
        <w:t> </w:t>
      </w:r>
      <w:r>
        <w:rPr/>
        <w:t>讯</w:t>
      </w:r>
      <w:r>
        <w:rPr>
          <w:spacing w:val="-62"/>
        </w:rPr>
        <w:t> </w:t>
      </w:r>
      <w:r>
        <w:rPr/>
        <w:t>网</w:t>
      </w:r>
    </w:p>
    <w:p>
      <w:pPr>
        <w:pStyle w:val="BodyText"/>
        <w:spacing w:line="240" w:lineRule="auto" w:before="14"/>
        <w:ind w:left="154" w:right="1130"/>
        <w:jc w:val="left"/>
      </w:pPr>
      <w:r>
        <w:rPr/>
        <w:t>（</w:t>
      </w:r>
      <w:hyperlink r:id="rId12">
        <w:r>
          <w:rPr>
            <w:rFonts w:ascii="Times New Roman" w:hAnsi="Times New Roman" w:cs="Times New Roman" w:eastAsia="Times New Roman" w:hint="default"/>
          </w:rPr>
          <w:t>http://www.cninfo.com.cn</w:t>
        </w:r>
      </w:hyperlink>
      <w:r>
        <w:rPr/>
        <w:t>）上的《关于受让控股子公司股权的公告》。</w:t>
      </w:r>
    </w:p>
    <w:p>
      <w:pPr>
        <w:pStyle w:val="BodyText"/>
        <w:spacing w:line="304" w:lineRule="auto" w:before="102"/>
        <w:ind w:right="1130"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日，公司第四届董事会</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3</w:t>
      </w:r>
      <w:r>
        <w:rPr>
          <w:spacing w:val="-2"/>
        </w:rPr>
        <w:t>次临时会议及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日，公司</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2</w:t>
      </w:r>
      <w:r>
        <w:rPr>
          <w:spacing w:val="-2"/>
        </w:rPr>
        <w:t>次临时股东大会审议通过</w:t>
      </w:r>
      <w:r>
        <w:rPr/>
        <w:t> </w:t>
      </w:r>
      <w:r>
        <w:rPr>
          <w:spacing w:val="-2"/>
        </w:rPr>
        <w:t>了《关于拟终止非公开发行股票事项的议案》，鉴于中介机构原因、再融资政策法规、资本市场环境、融资时机等因素发生</w:t>
      </w:r>
      <w:r>
        <w:rPr>
          <w:spacing w:val="-68"/>
        </w:rPr>
        <w:t> </w:t>
      </w:r>
      <w:r>
        <w:rPr>
          <w:spacing w:val="-68"/>
        </w:rPr>
      </w:r>
      <w:r>
        <w:rPr>
          <w:spacing w:val="-2"/>
        </w:rPr>
        <w:t>了诸多变化，同意公司终止本次非公开发行股票事项；公司终止本次非公开发行股票事项不会影响公司的正常生产经营，不</w:t>
      </w:r>
      <w:r>
        <w:rPr>
          <w:spacing w:val="-66"/>
        </w:rPr>
        <w:t> </w:t>
      </w:r>
      <w:r>
        <w:rPr>
          <w:spacing w:val="-66"/>
        </w:rPr>
      </w:r>
      <w:r>
        <w:rPr/>
        <w:t>会损害公司及股东、特别是中小股东的利益。具体详情请见刊登于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日巨潮资讯网（</w:t>
      </w:r>
      <w:hyperlink r:id="rId12">
        <w:r>
          <w:rPr>
            <w:rFonts w:ascii="Times New Roman" w:hAnsi="Times New Roman" w:cs="Times New Roman" w:eastAsia="Times New Roman" w:hint="default"/>
          </w:rPr>
          <w:t>http://www.cninfo.com.cn</w:t>
        </w:r>
      </w:hyperlink>
      <w:r>
        <w:rPr/>
        <w:t>）上</w:t>
      </w:r>
      <w:r>
        <w:rPr>
          <w:spacing w:val="1"/>
          <w:w w:val="99"/>
        </w:rPr>
        <w:t> </w:t>
      </w:r>
      <w:r>
        <w:rPr/>
        <w:t>的《关于拟终止非公开发行股票事项的公告》。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日，公司收到中国证监会下发的《中国证监会行政许可申请终</w:t>
      </w:r>
      <w:r>
        <w:rPr>
          <w:spacing w:val="-82"/>
        </w:rPr>
        <w:t> </w:t>
      </w:r>
      <w:r>
        <w:rPr>
          <w:spacing w:val="-82"/>
        </w:rPr>
      </w:r>
      <w:r>
        <w:rPr/>
        <w:t>止审查通知书》（</w:t>
      </w:r>
      <w:r>
        <w:rPr>
          <w:rFonts w:ascii="Times New Roman" w:hAnsi="Times New Roman" w:cs="Times New Roman" w:eastAsia="Times New Roman" w:hint="default"/>
        </w:rPr>
        <w:t>[2017]576</w:t>
      </w:r>
      <w:r>
        <w:rPr/>
        <w:t>号），根据《中国证监会行政许可实施程序规定》第二十条的有关规定，中国证监会决定终止</w:t>
      </w:r>
      <w:r>
        <w:rPr>
          <w:spacing w:val="-35"/>
        </w:rPr>
        <w:t> </w:t>
      </w:r>
      <w:r>
        <w:rPr>
          <w:spacing w:val="-35"/>
        </w:rPr>
      </w:r>
      <w:r>
        <w:rPr/>
        <w:t>对该行政许可申请的审查。具体详情请见刊登于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日巨潮资讯网（</w:t>
      </w:r>
      <w:hyperlink r:id="rId12">
        <w:r>
          <w:rPr>
            <w:rFonts w:ascii="Times New Roman" w:hAnsi="Times New Roman" w:cs="Times New Roman" w:eastAsia="Times New Roman" w:hint="default"/>
          </w:rPr>
          <w:t>http://www.cninfo.com.cn</w:t>
        </w:r>
      </w:hyperlink>
      <w:r>
        <w:rPr/>
        <w:t>）上的关于收到《中国</w:t>
      </w:r>
      <w:r>
        <w:rPr>
          <w:w w:val="99"/>
        </w:rPr>
        <w:t> </w:t>
      </w:r>
      <w:r>
        <w:rPr/>
        <w:t>证监会行政许可申请终止审查通知书》的公告。</w:t>
      </w:r>
    </w:p>
    <w:p>
      <w:pPr>
        <w:pStyle w:val="BodyText"/>
        <w:spacing w:line="300" w:lineRule="auto" w:before="66"/>
        <w:ind w:right="1129"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日，公司第四届董事会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4</w:t>
      </w:r>
      <w:r>
        <w:rPr/>
        <w:t>次临时会议及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3</w:t>
      </w:r>
      <w:r>
        <w:rPr/>
        <w:t>次临时股东大会审议通 </w:t>
      </w:r>
      <w:r>
        <w:rPr>
          <w:spacing w:val="-1"/>
        </w:rPr>
        <w:t>过了《关于方正达股权转让暨关联交易的议案》，同意公司以</w:t>
      </w:r>
      <w:r>
        <w:rPr>
          <w:rFonts w:ascii="Times New Roman" w:hAnsi="Times New Roman" w:cs="Times New Roman" w:eastAsia="Times New Roman" w:hint="default"/>
          <w:spacing w:val="-1"/>
        </w:rPr>
        <w:t>15,300</w:t>
      </w:r>
      <w:r>
        <w:rPr>
          <w:spacing w:val="-1"/>
        </w:rPr>
        <w:t>万元的股权交易对价转让方正达</w:t>
      </w:r>
      <w:r>
        <w:rPr>
          <w:rFonts w:ascii="Times New Roman" w:hAnsi="Times New Roman" w:cs="Times New Roman" w:eastAsia="Times New Roman" w:hint="default"/>
          <w:spacing w:val="-1"/>
        </w:rPr>
        <w:t>34%</w:t>
      </w:r>
      <w:r>
        <w:rPr>
          <w:spacing w:val="-1"/>
        </w:rPr>
        <w:t>的股权。本次交易</w:t>
      </w:r>
      <w:r>
        <w:rPr>
          <w:spacing w:val="-44"/>
        </w:rPr>
        <w:t> </w:t>
      </w:r>
      <w:r>
        <w:rPr>
          <w:spacing w:val="-44"/>
        </w:rPr>
      </w:r>
      <w:r>
        <w:rPr>
          <w:spacing w:val="-1"/>
        </w:rPr>
        <w:t>的顺利实施，公司获得</w:t>
      </w:r>
      <w:r>
        <w:rPr>
          <w:rFonts w:ascii="Times New Roman" w:hAnsi="Times New Roman" w:cs="Times New Roman" w:eastAsia="Times New Roman" w:hint="default"/>
          <w:spacing w:val="-1"/>
        </w:rPr>
        <w:t>15,300</w:t>
      </w:r>
      <w:r>
        <w:rPr>
          <w:spacing w:val="-1"/>
        </w:rPr>
        <w:t>万元人民币的股权转让价款，增加公司的营运资金，有利于公司优化资产结构，符合公司的长</w:t>
      </w:r>
      <w:r>
        <w:rPr>
          <w:spacing w:val="-73"/>
        </w:rPr>
        <w:t> </w:t>
      </w:r>
      <w:r>
        <w:rPr>
          <w:spacing w:val="-73"/>
        </w:rPr>
      </w:r>
      <w:r>
        <w:rPr>
          <w:spacing w:val="-2"/>
        </w:rPr>
        <w:t>期发展战略和全体股东的根本利益。具体详情请见刊登于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日巨潮资讯网（</w:t>
      </w:r>
      <w:hyperlink r:id="rId12">
        <w:r>
          <w:rPr>
            <w:rFonts w:ascii="Times New Roman" w:hAnsi="Times New Roman" w:cs="Times New Roman" w:eastAsia="Times New Roman" w:hint="default"/>
            <w:spacing w:val="-2"/>
          </w:rPr>
          <w:t>http://www.cninfo.com.cn</w:t>
        </w:r>
      </w:hyperlink>
      <w:r>
        <w:rPr>
          <w:spacing w:val="-2"/>
        </w:rPr>
        <w:t>）上的《关于</w:t>
      </w:r>
      <w:r>
        <w:rPr>
          <w:spacing w:val="-42"/>
        </w:rPr>
        <w:t> </w:t>
      </w:r>
      <w:r>
        <w:rPr>
          <w:spacing w:val="-42"/>
        </w:rPr>
      </w:r>
      <w:r>
        <w:rPr/>
        <w:t>方正达股权转让暨关联交易的公告》。目前，公司已完成相关的工商变更程序，具体详情请见刊登于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日巨潮资</w:t>
      </w:r>
      <w:r>
        <w:rPr>
          <w:spacing w:val="-81"/>
        </w:rPr>
        <w:t> </w:t>
      </w:r>
      <w:r>
        <w:rPr/>
        <w:t>讯网（</w:t>
      </w:r>
      <w:hyperlink r:id="rId12">
        <w:r>
          <w:rPr>
            <w:rFonts w:ascii="Times New Roman" w:hAnsi="Times New Roman" w:cs="Times New Roman" w:eastAsia="Times New Roman" w:hint="default"/>
          </w:rPr>
          <w:t>http://www.cninfo.com.cn</w:t>
        </w:r>
      </w:hyperlink>
      <w:r>
        <w:rPr/>
        <w:t>）《关于方正达股权转让过户完成的公告》。</w:t>
      </w:r>
    </w:p>
    <w:p>
      <w:pPr>
        <w:pStyle w:val="BodyText"/>
        <w:spacing w:line="304" w:lineRule="auto" w:before="51"/>
        <w:ind w:right="1130" w:firstLine="360"/>
        <w:jc w:val="both"/>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日，公司第四届董事会</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5</w:t>
      </w:r>
      <w:r>
        <w:rPr>
          <w:spacing w:val="-2"/>
        </w:rPr>
        <w:t>次临时会议审议通过了《关于购买股权暨关联交易的议案》，同意公司</w:t>
      </w:r>
      <w:r>
        <w:rPr/>
        <w:t> </w:t>
      </w:r>
      <w:r>
        <w:rPr>
          <w:spacing w:val="2"/>
        </w:rPr>
        <w:t>受让惠州茂硕持有加码技术</w:t>
      </w:r>
      <w:r>
        <w:rPr>
          <w:rFonts w:ascii="Times New Roman" w:hAnsi="Times New Roman" w:cs="Times New Roman" w:eastAsia="Times New Roman" w:hint="default"/>
          <w:spacing w:val="2"/>
        </w:rPr>
        <w:t>51%</w:t>
      </w:r>
      <w:r>
        <w:rPr>
          <w:spacing w:val="2"/>
        </w:rPr>
        <w:t>股权及新余爱达普投资发展中心持有加码技术</w:t>
      </w:r>
      <w:r>
        <w:rPr>
          <w:rFonts w:ascii="Times New Roman" w:hAnsi="Times New Roman" w:cs="Times New Roman" w:eastAsia="Times New Roman" w:hint="default"/>
          <w:spacing w:val="2"/>
        </w:rPr>
        <w:t>49%</w:t>
      </w:r>
      <w:r>
        <w:rPr>
          <w:spacing w:val="2"/>
        </w:rPr>
        <w:t>股权，股权交易价格共计人民币</w:t>
      </w:r>
      <w:r>
        <w:rPr>
          <w:rFonts w:ascii="Times New Roman" w:hAnsi="Times New Roman" w:cs="Times New Roman" w:eastAsia="Times New Roman" w:hint="default"/>
          <w:spacing w:val="2"/>
        </w:rPr>
        <w:t>1500</w:t>
      </w:r>
      <w:r>
        <w:rPr>
          <w:spacing w:val="2"/>
        </w:rPr>
        <w:t>万</w:t>
      </w:r>
      <w:r>
        <w:rPr>
          <w:spacing w:val="-64"/>
        </w:rPr>
        <w:t> </w:t>
      </w:r>
      <w:r>
        <w:rPr>
          <w:spacing w:val="-2"/>
        </w:rPr>
        <w:t>元。受让完成后，加码技术将成为公司的全资子公司，继续纳入公司合并报表范围内，不涉及合并报表范围变化。具体详情</w:t>
      </w:r>
      <w:r>
        <w:rPr>
          <w:spacing w:val="-66"/>
        </w:rPr>
        <w:t> </w:t>
      </w:r>
      <w:r>
        <w:rPr>
          <w:spacing w:val="-66"/>
        </w:rPr>
      </w:r>
      <w:r>
        <w:rPr>
          <w:spacing w:val="-2"/>
        </w:rPr>
        <w:t>请见刊登于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日巨潮资讯网（</w:t>
      </w:r>
      <w:hyperlink r:id="rId12">
        <w:r>
          <w:rPr>
            <w:rFonts w:ascii="Times New Roman" w:hAnsi="Times New Roman" w:cs="Times New Roman" w:eastAsia="Times New Roman" w:hint="default"/>
            <w:spacing w:val="-2"/>
          </w:rPr>
          <w:t>http://www.cninfo.com.cn</w:t>
        </w:r>
      </w:hyperlink>
      <w:r>
        <w:rPr>
          <w:spacing w:val="-2"/>
        </w:rPr>
        <w:t>）《关于购买股权暨关联交易的公告》。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日，公</w:t>
      </w:r>
      <w:r>
        <w:rPr>
          <w:spacing w:val="-35"/>
        </w:rPr>
        <w:t> </w:t>
      </w:r>
      <w:r>
        <w:rPr>
          <w:spacing w:val="-35"/>
        </w:rPr>
      </w:r>
      <w:r>
        <w:rPr/>
        <w:t>司已完成了相关的工商变更程序。</w:t>
      </w:r>
    </w:p>
    <w:p>
      <w:pPr>
        <w:pStyle w:val="BodyText"/>
        <w:spacing w:line="240" w:lineRule="auto" w:before="67"/>
        <w:ind w:left="514"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日，公司第四届董事会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2</w:t>
      </w:r>
      <w:r>
        <w:rPr/>
        <w:t>次定期会议及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日，公司</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4</w:t>
      </w:r>
      <w:r>
        <w:rPr/>
        <w:t>次临时股东大会决议审议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rPr>
          <w:rFonts w:ascii="Times New Roman" w:hAnsi="Times New Roman" w:cs="Times New Roman" w:eastAsia="Times New Roman" w:hint="default"/>
        </w:rPr>
      </w:pPr>
      <w:r>
        <w:rPr/>
        <w:t>通过了《关于聘任会计师事务所的议案》，同意公司聘任大华会计师事务所（特殊普通合伙），具体详情请见刊登于</w:t>
      </w:r>
      <w:r>
        <w:rPr>
          <w:rFonts w:ascii="Times New Roman" w:hAnsi="Times New Roman" w:cs="Times New Roman" w:eastAsia="Times New Roman" w:hint="default"/>
        </w:rPr>
        <w:t>2017</w:t>
      </w:r>
    </w:p>
    <w:p>
      <w:pPr>
        <w:pStyle w:val="BodyText"/>
        <w:spacing w:line="240" w:lineRule="auto" w:before="64"/>
        <w:ind w:right="1130"/>
        <w:jc w:val="left"/>
      </w:pP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日巨潮资讯网（</w:t>
      </w:r>
      <w:hyperlink r:id="rId12">
        <w:r>
          <w:rPr>
            <w:rFonts w:ascii="Times New Roman" w:hAnsi="Times New Roman" w:cs="Times New Roman" w:eastAsia="Times New Roman" w:hint="default"/>
          </w:rPr>
          <w:t>http://www.cninfo.com.cn</w:t>
        </w:r>
      </w:hyperlink>
      <w:r>
        <w:rPr/>
        <w:t>）《关于聘任会计师事务所的公告》。</w:t>
      </w:r>
    </w:p>
    <w:p>
      <w:pPr>
        <w:pStyle w:val="BodyText"/>
        <w:spacing w:line="300" w:lineRule="auto" w:before="101"/>
        <w:ind w:right="1040" w:firstLine="36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日，公司第四届董事会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6</w:t>
      </w:r>
      <w:r>
        <w:rPr/>
        <w:t>次临时会议审议通过了《关于参与投资设立产业并购基金的议案》， </w:t>
      </w:r>
      <w:r>
        <w:rPr>
          <w:spacing w:val="-2"/>
        </w:rPr>
        <w:t>同意公司以现金人民币</w:t>
      </w:r>
      <w:r>
        <w:rPr>
          <w:rFonts w:ascii="Times New Roman" w:hAnsi="Times New Roman" w:cs="Times New Roman" w:eastAsia="Times New Roman" w:hint="default"/>
          <w:spacing w:val="-2"/>
        </w:rPr>
        <w:t>3000</w:t>
      </w:r>
      <w:r>
        <w:rPr>
          <w:spacing w:val="-2"/>
        </w:rPr>
        <w:t>万元认购前海九派拟发行的九派新兴产业股权投资基金合伙企业（有限合伙）（暂定名，具体以</w:t>
      </w:r>
      <w:r>
        <w:rPr>
          <w:spacing w:val="-61"/>
        </w:rPr>
        <w:t> </w:t>
      </w:r>
      <w:r>
        <w:rPr>
          <w:spacing w:val="-61"/>
        </w:rPr>
      </w:r>
      <w:r>
        <w:rPr/>
        <w:t>工商登记为准，以下简称</w:t>
      </w:r>
      <w:r>
        <w:rPr>
          <w:rFonts w:ascii="Times New Roman" w:hAnsi="Times New Roman" w:cs="Times New Roman" w:eastAsia="Times New Roman" w:hint="default"/>
        </w:rPr>
        <w:t>“</w:t>
      </w:r>
      <w:r>
        <w:rPr/>
        <w:t>基金</w:t>
      </w:r>
      <w:r>
        <w:rPr>
          <w:rFonts w:ascii="Times New Roman" w:hAnsi="Times New Roman" w:cs="Times New Roman" w:eastAsia="Times New Roman" w:hint="default"/>
        </w:rPr>
        <w:t>”</w:t>
      </w:r>
      <w:r>
        <w:rPr/>
        <w:t>）份额，占基金出资比例</w:t>
      </w:r>
      <w:r>
        <w:rPr>
          <w:rFonts w:ascii="Times New Roman" w:hAnsi="Times New Roman" w:cs="Times New Roman" w:eastAsia="Times New Roman" w:hint="default"/>
        </w:rPr>
        <w:t>30%</w:t>
      </w:r>
      <w:r>
        <w:rPr/>
        <w:t>；前海九派及其关联方或指定第三方认缴基金出资金额人民币 </w:t>
      </w:r>
      <w:r>
        <w:rPr>
          <w:rFonts w:ascii="Times New Roman" w:hAnsi="Times New Roman" w:cs="Times New Roman" w:eastAsia="Times New Roman" w:hint="default"/>
        </w:rPr>
        <w:t>2000</w:t>
      </w:r>
      <w:r>
        <w:rPr/>
        <w:t>万元，占基金出资比例</w:t>
      </w:r>
      <w:r>
        <w:rPr>
          <w:rFonts w:ascii="Times New Roman" w:hAnsi="Times New Roman" w:cs="Times New Roman" w:eastAsia="Times New Roman" w:hint="default"/>
        </w:rPr>
        <w:t>20%</w:t>
      </w:r>
      <w:r>
        <w:rPr/>
        <w:t>；剩余认缴基金出资金额人民币</w:t>
      </w:r>
      <w:r>
        <w:rPr>
          <w:rFonts w:ascii="Times New Roman" w:hAnsi="Times New Roman" w:cs="Times New Roman" w:eastAsia="Times New Roman" w:hint="default"/>
        </w:rPr>
        <w:t>5000</w:t>
      </w:r>
      <w:r>
        <w:rPr/>
        <w:t>万向社会其他投资者募集，基金规模暂定为人民币</w:t>
      </w:r>
      <w:r>
        <w:rPr>
          <w:rFonts w:ascii="Times New Roman" w:hAnsi="Times New Roman" w:cs="Times New Roman" w:eastAsia="Times New Roman" w:hint="default"/>
        </w:rPr>
        <w:t>1</w:t>
      </w:r>
      <w:r>
        <w:rPr/>
        <w:t>亿</w:t>
      </w:r>
      <w:r>
        <w:rPr>
          <w:spacing w:val="-55"/>
        </w:rPr>
        <w:t> </w:t>
      </w:r>
      <w:r>
        <w:rPr>
          <w:spacing w:val="-3"/>
        </w:rPr>
        <w:t>元。具体详情请见刊登于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13</w:t>
      </w:r>
      <w:r>
        <w:rPr>
          <w:spacing w:val="-3"/>
        </w:rPr>
        <w:t>日巨潮资讯网（</w:t>
      </w:r>
      <w:hyperlink r:id="rId12">
        <w:r>
          <w:rPr>
            <w:rFonts w:ascii="Times New Roman" w:hAnsi="Times New Roman" w:cs="Times New Roman" w:eastAsia="Times New Roman" w:hint="default"/>
            <w:spacing w:val="-3"/>
          </w:rPr>
          <w:t>http://www.cninfo.com.cn</w:t>
        </w:r>
      </w:hyperlink>
      <w:r>
        <w:rPr>
          <w:spacing w:val="-3"/>
        </w:rPr>
        <w:t>）《关于参与投资设立产业并购基金的公告》。</w:t>
      </w:r>
    </w:p>
    <w:p>
      <w:pPr>
        <w:pStyle w:val="BodyText"/>
        <w:spacing w:line="300" w:lineRule="auto" w:before="52"/>
        <w:ind w:right="1033" w:firstLine="360"/>
        <w:jc w:val="left"/>
      </w:pP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日，公司第四届董事会</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6</w:t>
      </w:r>
      <w:r>
        <w:rPr>
          <w:spacing w:val="-2"/>
        </w:rPr>
        <w:t>次临时会议审议通过了《关于控股子公司股权回购的议案》，同意公</w:t>
      </w:r>
      <w:r>
        <w:rPr/>
        <w:t> 司以</w:t>
      </w:r>
      <w:r>
        <w:rPr>
          <w:rFonts w:ascii="Times New Roman" w:hAnsi="Times New Roman" w:cs="Times New Roman" w:eastAsia="Times New Roman" w:hint="default"/>
        </w:rPr>
        <w:t>1122</w:t>
      </w:r>
      <w:r>
        <w:rPr/>
        <w:t>万的价格回购深圳市前海南方睿泰基金管理有限公司持有的茂硕电气</w:t>
      </w:r>
      <w:r>
        <w:rPr>
          <w:rFonts w:ascii="Times New Roman" w:hAnsi="Times New Roman" w:cs="Times New Roman" w:eastAsia="Times New Roman" w:hint="default"/>
        </w:rPr>
        <w:t>18.1818%</w:t>
      </w:r>
      <w:r>
        <w:rPr/>
        <w:t>股权，股权回购价格依照南方睿泰</w:t>
      </w:r>
      <w:r>
        <w:rPr>
          <w:spacing w:val="-17"/>
        </w:rPr>
        <w:t> </w:t>
      </w:r>
      <w:r>
        <w:rPr>
          <w:spacing w:val="-17"/>
        </w:rPr>
      </w:r>
      <w:r>
        <w:rPr/>
        <w:t>投资金额加投资金额乘以年化</w:t>
      </w:r>
      <w:r>
        <w:rPr>
          <w:rFonts w:ascii="Times New Roman" w:hAnsi="Times New Roman" w:cs="Times New Roman" w:eastAsia="Times New Roman" w:hint="default"/>
        </w:rPr>
        <w:t>8%</w:t>
      </w:r>
      <w:r>
        <w:rPr/>
        <w:t>的利率计算；回购完成后，茂硕电气仍是公司的控股子公司，本次回购股权不涉及合并报</w:t>
      </w:r>
      <w:r>
        <w:rPr>
          <w:spacing w:val="-56"/>
        </w:rPr>
        <w:t> </w:t>
      </w:r>
      <w:r>
        <w:rPr>
          <w:spacing w:val="-56"/>
        </w:rPr>
      </w:r>
      <w:r>
        <w:rPr>
          <w:spacing w:val="-5"/>
          <w:w w:val="99"/>
        </w:rPr>
        <w:t>表范围变化。具体详情请见刊登于</w:t>
      </w:r>
      <w:r>
        <w:rPr>
          <w:rFonts w:ascii="Times New Roman" w:hAnsi="Times New Roman" w:cs="Times New Roman" w:eastAsia="Times New Roman" w:hint="default"/>
          <w:spacing w:val="-5"/>
          <w:w w:val="99"/>
        </w:rPr>
        <w:t>2017</w:t>
      </w:r>
      <w:r>
        <w:rPr>
          <w:spacing w:val="-5"/>
          <w:w w:val="99"/>
        </w:rPr>
        <w:t>年</w:t>
      </w:r>
      <w:r>
        <w:rPr>
          <w:rFonts w:ascii="Times New Roman" w:hAnsi="Times New Roman" w:cs="Times New Roman" w:eastAsia="Times New Roman" w:hint="default"/>
          <w:spacing w:val="-5"/>
          <w:w w:val="99"/>
        </w:rPr>
        <w:t>9</w:t>
      </w:r>
      <w:r>
        <w:rPr>
          <w:spacing w:val="-5"/>
          <w:w w:val="99"/>
        </w:rPr>
        <w:t>月</w:t>
      </w:r>
      <w:r>
        <w:rPr>
          <w:rFonts w:ascii="Times New Roman" w:hAnsi="Times New Roman" w:cs="Times New Roman" w:eastAsia="Times New Roman" w:hint="default"/>
          <w:spacing w:val="-5"/>
          <w:w w:val="99"/>
        </w:rPr>
        <w:t>13</w:t>
      </w:r>
      <w:r>
        <w:rPr>
          <w:spacing w:val="-5"/>
          <w:w w:val="99"/>
        </w:rPr>
        <w:t>日巨潮资讯网（</w:t>
      </w:r>
      <w:hyperlink r:id="rId12">
        <w:r>
          <w:rPr>
            <w:rFonts w:ascii="Times New Roman" w:hAnsi="Times New Roman" w:cs="Times New Roman" w:eastAsia="Times New Roman" w:hint="default"/>
            <w:spacing w:val="-5"/>
            <w:w w:val="99"/>
          </w:rPr>
          <w:t>http://www.cninfo.com.cn</w:t>
        </w:r>
      </w:hyperlink>
      <w:r>
        <w:rPr>
          <w:spacing w:val="-5"/>
          <w:w w:val="99"/>
        </w:rPr>
        <w:t>）《关于控股子公司股权回购的公告》。</w:t>
      </w:r>
      <w:r>
        <w:rPr>
          <w:spacing w:val="-85"/>
          <w:w w:val="99"/>
        </w:rPr>
        <w:t> </w:t>
      </w:r>
      <w:r>
        <w:rPr>
          <w:spacing w:val="-85"/>
          <w:w w:val="99"/>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日，公司已完成了相关的工商变更程序。</w:t>
      </w:r>
    </w:p>
    <w:p>
      <w:pPr>
        <w:pStyle w:val="BodyText"/>
        <w:spacing w:line="300" w:lineRule="auto" w:before="51"/>
        <w:ind w:right="1129" w:firstLine="360"/>
        <w:jc w:val="both"/>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日，公司收到深圳证券交易所出具的《关于茂硕电源科技股份有限公司</w:t>
      </w:r>
      <w:r>
        <w:rPr>
          <w:rFonts w:ascii="Times New Roman" w:hAnsi="Times New Roman" w:cs="Times New Roman" w:eastAsia="Times New Roman" w:hint="default"/>
        </w:rPr>
        <w:t>2017</w:t>
      </w:r>
      <w:r>
        <w:rPr/>
        <w:t>年非公开发行公司债券符 </w:t>
      </w:r>
      <w:r>
        <w:rPr>
          <w:spacing w:val="-2"/>
        </w:rPr>
        <w:t>合深交所转让条件的无异议函》（深证函（</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455</w:t>
      </w:r>
      <w:r>
        <w:rPr>
          <w:spacing w:val="-2"/>
        </w:rPr>
        <w:t>号，对公司申请确认发行面值不超过</w:t>
      </w:r>
      <w:r>
        <w:rPr>
          <w:rFonts w:ascii="Times New Roman" w:hAnsi="Times New Roman" w:cs="Times New Roman" w:eastAsia="Times New Roman" w:hint="default"/>
          <w:spacing w:val="-2"/>
        </w:rPr>
        <w:t>3</w:t>
      </w:r>
      <w:r>
        <w:rPr>
          <w:spacing w:val="-2"/>
        </w:rPr>
        <w:t>亿元人民币的</w:t>
      </w:r>
      <w:r>
        <w:rPr>
          <w:rFonts w:ascii="Times New Roman" w:hAnsi="Times New Roman" w:cs="Times New Roman" w:eastAsia="Times New Roman" w:hint="default"/>
          <w:spacing w:val="-2"/>
        </w:rPr>
        <w:t>2017</w:t>
      </w:r>
      <w:r>
        <w:rPr>
          <w:spacing w:val="-2"/>
        </w:rPr>
        <w:t>年非公开发行</w:t>
      </w:r>
      <w:r>
        <w:rPr>
          <w:spacing w:val="-53"/>
        </w:rPr>
        <w:t> </w:t>
      </w:r>
      <w:r>
        <w:rPr/>
        <w:t>公司债券无异议。</w:t>
      </w:r>
    </w:p>
    <w:p>
      <w:pPr>
        <w:pStyle w:val="BodyText"/>
        <w:spacing w:line="300" w:lineRule="auto" w:before="70"/>
        <w:ind w:right="1130" w:firstLine="360"/>
        <w:jc w:val="both"/>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日，公司第四届董事会第</w:t>
      </w:r>
      <w:r>
        <w:rPr>
          <w:rFonts w:ascii="Times New Roman" w:hAnsi="Times New Roman" w:cs="Times New Roman" w:eastAsia="Times New Roman" w:hint="default"/>
        </w:rPr>
        <w:t>8</w:t>
      </w:r>
      <w:r>
        <w:rPr/>
        <w:t>次临时会议审议通过《关于参与竞买惠州茂硕部分股权的议案》，同意公 司以挂牌价格</w:t>
      </w:r>
      <w:r>
        <w:rPr>
          <w:rFonts w:ascii="Times New Roman" w:hAnsi="Times New Roman" w:cs="Times New Roman" w:eastAsia="Times New Roman" w:hint="default"/>
        </w:rPr>
        <w:t>7076.67</w:t>
      </w:r>
      <w:r>
        <w:rPr/>
        <w:t>万元竞买惠州茂硕</w:t>
      </w:r>
      <w:r>
        <w:rPr>
          <w:rFonts w:ascii="Times New Roman" w:hAnsi="Times New Roman" w:cs="Times New Roman" w:eastAsia="Times New Roman" w:hint="default"/>
        </w:rPr>
        <w:t>10%</w:t>
      </w:r>
      <w:r>
        <w:rPr/>
        <w:t>的股权；详情请参阅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日披露在巨潮资讯网（</w:t>
      </w:r>
      <w:hyperlink r:id="rId12">
        <w:r>
          <w:rPr>
            <w:rFonts w:ascii="Times New Roman" w:hAnsi="Times New Roman" w:cs="Times New Roman" w:eastAsia="Times New Roman" w:hint="default"/>
          </w:rPr>
          <w:t>www.cninfo.com.cn</w:t>
        </w:r>
      </w:hyperlink>
      <w:r>
        <w:rPr/>
        <w:t>）</w:t>
      </w:r>
      <w:r>
        <w:rPr>
          <w:spacing w:val="-45"/>
        </w:rPr>
        <w:t> </w:t>
      </w:r>
      <w:r>
        <w:rPr/>
        <w:t>的《关于参与竞买惠州茂硕部分股权的公告》。</w:t>
      </w:r>
    </w:p>
    <w:p>
      <w:pPr>
        <w:pStyle w:val="BodyText"/>
        <w:spacing w:line="300" w:lineRule="auto" w:before="71"/>
        <w:ind w:right="1130"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日，公司收到广东联合产权交易中心的通知，公司被确定为</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惠州茂硕能源科技有限公司</w:t>
      </w:r>
      <w:r>
        <w:rPr>
          <w:rFonts w:ascii="Times New Roman" w:hAnsi="Times New Roman" w:cs="Times New Roman" w:eastAsia="Times New Roman" w:hint="default"/>
        </w:rPr>
        <w:t>10%</w:t>
      </w:r>
      <w:r>
        <w:rPr/>
        <w:t>股权</w:t>
      </w:r>
      <w:r>
        <w:rPr>
          <w:rFonts w:ascii="Times New Roman" w:hAnsi="Times New Roman" w:cs="Times New Roman" w:eastAsia="Times New Roman" w:hint="default"/>
        </w:rPr>
        <w:t>”</w:t>
      </w:r>
      <w:r>
        <w:rPr/>
        <w:t>转让项 </w:t>
      </w:r>
      <w:r>
        <w:rPr>
          <w:spacing w:val="-3"/>
        </w:rPr>
        <w:t>目的受让方，公司已按照相关交易规则与转让方广东省粤科财政股权投资有限公司签署《产权交易合同》，以挂牌价</w:t>
      </w:r>
      <w:r>
        <w:rPr>
          <w:rFonts w:ascii="Times New Roman" w:hAnsi="Times New Roman" w:cs="Times New Roman" w:eastAsia="Times New Roman" w:hint="default"/>
          <w:spacing w:val="-3"/>
        </w:rPr>
        <w:t>7076.67 </w:t>
      </w:r>
      <w:r>
        <w:rPr>
          <w:spacing w:val="-2"/>
        </w:rPr>
        <w:t>万元购买惠州茂硕能源科技有限公司</w:t>
      </w:r>
      <w:r>
        <w:rPr>
          <w:rFonts w:ascii="Times New Roman" w:hAnsi="Times New Roman" w:cs="Times New Roman" w:eastAsia="Times New Roman" w:hint="default"/>
          <w:spacing w:val="-2"/>
        </w:rPr>
        <w:t>10%</w:t>
      </w:r>
      <w:r>
        <w:rPr>
          <w:spacing w:val="-2"/>
        </w:rPr>
        <w:t>股权。详情请参阅</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日披露在巨潮资讯网（</w:t>
      </w:r>
      <w:hyperlink r:id="rId12">
        <w:r>
          <w:rPr>
            <w:rFonts w:ascii="Times New Roman" w:hAnsi="Times New Roman" w:cs="Times New Roman" w:eastAsia="Times New Roman" w:hint="default"/>
            <w:spacing w:val="-2"/>
          </w:rPr>
          <w:t>www.cninfo.com.cn</w:t>
        </w:r>
      </w:hyperlink>
      <w:r>
        <w:rPr>
          <w:spacing w:val="-2"/>
        </w:rPr>
        <w:t>）的《关于</w:t>
      </w:r>
      <w:r>
        <w:rPr>
          <w:spacing w:val="-40"/>
        </w:rPr>
        <w:t> </w:t>
      </w:r>
      <w:r>
        <w:rPr>
          <w:spacing w:val="-40"/>
        </w:rPr>
      </w:r>
      <w:r>
        <w:rPr/>
        <w:t>参与竞买惠州茂硕部分股权的进展性公告》。</w:t>
      </w:r>
    </w:p>
    <w:p>
      <w:pPr>
        <w:pStyle w:val="BodyText"/>
        <w:spacing w:line="307" w:lineRule="auto" w:before="70"/>
        <w:ind w:left="154" w:right="1130" w:firstLine="360"/>
        <w:jc w:val="both"/>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日，公司第四届董事会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7</w:t>
      </w:r>
      <w:r>
        <w:rPr/>
        <w:t>次临时会议审议通过了《关于公司与方正达签订债务清偿协议的议 案》，目前公司持有湖南方正达</w:t>
      </w:r>
      <w:r>
        <w:rPr>
          <w:rFonts w:ascii="Times New Roman" w:hAnsi="Times New Roman" w:cs="Times New Roman" w:eastAsia="Times New Roman" w:hint="default"/>
        </w:rPr>
        <w:t>22.24%</w:t>
      </w:r>
      <w:r>
        <w:rPr/>
        <w:t>的股权，湖南方正达总经理、董事长方笑求先生为公司原董事，湖南方正达与公司</w:t>
      </w:r>
      <w:r>
        <w:rPr>
          <w:spacing w:val="-22"/>
        </w:rPr>
        <w:t> </w:t>
      </w:r>
      <w:r>
        <w:rPr>
          <w:spacing w:val="-22"/>
        </w:rPr>
      </w:r>
      <w:r>
        <w:rPr>
          <w:spacing w:val="-2"/>
        </w:rPr>
        <w:t>之间的关系性质发生变化，由原来的控股子公司变更为公司的关联参股公司，湖南方正达作为公司原控股子公司延续下来债</w:t>
      </w:r>
      <w:r>
        <w:rPr>
          <w:spacing w:val="-64"/>
        </w:rPr>
        <w:t> </w:t>
      </w:r>
      <w:r>
        <w:rPr>
          <w:spacing w:val="-64"/>
        </w:rPr>
      </w:r>
      <w:r>
        <w:rPr/>
        <w:t>务人民币</w:t>
      </w:r>
      <w:r>
        <w:rPr>
          <w:rFonts w:ascii="Times New Roman" w:hAnsi="Times New Roman" w:cs="Times New Roman" w:eastAsia="Times New Roman" w:hint="default"/>
        </w:rPr>
        <w:t>1250</w:t>
      </w:r>
      <w:r>
        <w:rPr/>
        <w:t>万元。详情请参阅披露在巨潮资讯网（</w:t>
      </w:r>
      <w:hyperlink r:id="rId12">
        <w:r>
          <w:rPr>
            <w:rFonts w:ascii="Times New Roman" w:hAnsi="Times New Roman" w:cs="Times New Roman" w:eastAsia="Times New Roman" w:hint="default"/>
          </w:rPr>
          <w:t>www.cninfo.com.cn</w:t>
        </w:r>
      </w:hyperlink>
      <w:r>
        <w:rPr/>
        <w:t>）的《关于关联企业资金还款情况的公告》。</w:t>
      </w:r>
    </w:p>
    <w:p>
      <w:pPr>
        <w:pStyle w:val="BodyText"/>
        <w:spacing w:line="240" w:lineRule="auto" w:before="45"/>
        <w:ind w:left="51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23"/>
        </w:rPr>
        <w:t>日，公司已提前收到还款共计人民币</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20"/>
        </w:rPr>
        <w:t> </w:t>
      </w:r>
      <w:r>
        <w:rPr>
          <w:spacing w:val="21"/>
        </w:rPr>
        <w:t>万元，详情请参阅</w:t>
      </w:r>
      <w:r>
        <w:rPr>
          <w:spacing w:val="-6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日</w:t>
      </w:r>
      <w:r>
        <w:rPr>
          <w:spacing w:val="-65"/>
        </w:rPr>
        <w:t> </w:t>
      </w:r>
      <w:r>
        <w:rPr/>
        <w:t>披</w:t>
      </w:r>
      <w:r>
        <w:rPr>
          <w:spacing w:val="-65"/>
        </w:rPr>
        <w:t> </w:t>
      </w:r>
      <w:r>
        <w:rPr/>
        <w:t>露</w:t>
      </w:r>
      <w:r>
        <w:rPr>
          <w:spacing w:val="-65"/>
        </w:rPr>
        <w:t> </w:t>
      </w:r>
      <w:r>
        <w:rPr/>
        <w:t>在</w:t>
      </w:r>
      <w:r>
        <w:rPr>
          <w:spacing w:val="-65"/>
        </w:rPr>
        <w:t> </w:t>
      </w:r>
      <w:r>
        <w:rPr/>
        <w:t>巨</w:t>
      </w:r>
      <w:r>
        <w:rPr>
          <w:spacing w:val="-65"/>
        </w:rPr>
        <w:t> </w:t>
      </w:r>
      <w:r>
        <w:rPr/>
        <w:t>潮</w:t>
      </w:r>
      <w:r>
        <w:rPr>
          <w:spacing w:val="-64"/>
        </w:rPr>
        <w:t> </w:t>
      </w:r>
      <w:r>
        <w:rPr/>
        <w:t>资</w:t>
      </w:r>
      <w:r>
        <w:rPr>
          <w:spacing w:val="-64"/>
        </w:rPr>
        <w:t> </w:t>
      </w:r>
      <w:r>
        <w:rPr/>
        <w:t>讯</w:t>
      </w:r>
      <w:r>
        <w:rPr>
          <w:spacing w:val="-64"/>
        </w:rPr>
        <w:t> </w:t>
      </w:r>
      <w:r>
        <w:rPr/>
        <w:t>网</w:t>
      </w:r>
    </w:p>
    <w:p>
      <w:pPr>
        <w:pStyle w:val="BodyText"/>
        <w:spacing w:line="240" w:lineRule="auto" w:before="64"/>
        <w:ind w:right="1130"/>
        <w:jc w:val="left"/>
      </w:pPr>
      <w:r>
        <w:rPr/>
        <w:t>（</w:t>
      </w:r>
      <w:hyperlink r:id="rId12">
        <w:r>
          <w:rPr>
            <w:rFonts w:ascii="Times New Roman" w:hAnsi="Times New Roman" w:cs="Times New Roman" w:eastAsia="Times New Roman" w:hint="default"/>
          </w:rPr>
          <w:t>www.cninfo.com.cn</w:t>
        </w:r>
      </w:hyperlink>
      <w:r>
        <w:rPr/>
        <w:t>）的《关于关联企业还款情况的进展性公告》。</w:t>
      </w:r>
    </w:p>
    <w:p>
      <w:pPr>
        <w:pStyle w:val="BodyText"/>
        <w:spacing w:line="240" w:lineRule="auto" w:before="102"/>
        <w:ind w:left="513" w:right="113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日，湖南方正达借款已全部结清，公司已收到全部借款本金</w:t>
      </w:r>
      <w:r>
        <w:rPr>
          <w:rFonts w:ascii="Times New Roman" w:hAnsi="Times New Roman" w:cs="Times New Roman" w:eastAsia="Times New Roman" w:hint="default"/>
        </w:rPr>
        <w:t>1250</w:t>
      </w:r>
      <w:r>
        <w:rPr/>
        <w:t>万元及对应利息。详情请参阅</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p>
    <w:p>
      <w:pPr>
        <w:pStyle w:val="BodyText"/>
        <w:spacing w:line="240" w:lineRule="auto" w:before="64"/>
        <w:ind w:right="1130"/>
        <w:jc w:val="left"/>
      </w:pPr>
      <w:r>
        <w:rPr/>
        <w:t>月</w:t>
      </w:r>
      <w:r>
        <w:rPr>
          <w:rFonts w:ascii="Times New Roman" w:hAnsi="Times New Roman" w:cs="Times New Roman" w:eastAsia="Times New Roman" w:hint="default"/>
        </w:rPr>
        <w:t>30</w:t>
      </w:r>
      <w:r>
        <w:rPr/>
        <w:t>日披露在巨潮资讯网（</w:t>
      </w:r>
      <w:hyperlink r:id="rId12">
        <w:r>
          <w:rPr>
            <w:rFonts w:ascii="Times New Roman" w:hAnsi="Times New Roman" w:cs="Times New Roman" w:eastAsia="Times New Roman" w:hint="default"/>
          </w:rPr>
          <w:t>www.cninfo.com.cn</w:t>
        </w:r>
      </w:hyperlink>
      <w:r>
        <w:rPr/>
        <w:t>）的《关于关联企业还款情况的进展性公告》。</w:t>
      </w:r>
    </w:p>
    <w:p>
      <w:pPr>
        <w:pStyle w:val="BodyText"/>
        <w:spacing w:line="300" w:lineRule="auto" w:before="101"/>
        <w:ind w:right="1103" w:firstLine="360"/>
        <w:jc w:val="both"/>
      </w:pPr>
      <w:r>
        <w:rPr>
          <w:rFonts w:ascii="Times New Roman" w:hAnsi="Times New Roman" w:cs="Times New Roman" w:eastAsia="Times New Roman" w:hint="default"/>
        </w:rPr>
        <w:t>14</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日与杭州华普永明光电股份有限公司（以下简称</w:t>
      </w:r>
      <w:r>
        <w:rPr>
          <w:rFonts w:ascii="Times New Roman" w:hAnsi="Times New Roman" w:cs="Times New Roman" w:eastAsia="Times New Roman" w:hint="default"/>
        </w:rPr>
        <w:t>“</w:t>
      </w:r>
      <w:r>
        <w:rPr/>
        <w:t>华普永明</w:t>
      </w:r>
      <w:r>
        <w:rPr>
          <w:rFonts w:ascii="Times New Roman" w:hAnsi="Times New Roman" w:cs="Times New Roman" w:eastAsia="Times New Roman" w:hint="default"/>
        </w:rPr>
        <w:t>”</w:t>
      </w:r>
      <w:r>
        <w:rPr/>
        <w:t>）签订了《战略合作协议书》，为 </w:t>
      </w:r>
      <w:r>
        <w:rPr>
          <w:spacing w:val="-2"/>
        </w:rPr>
        <w:t>维持与深化各方长期战略合作关系，联手打造可靠性强、高性价比的</w:t>
      </w:r>
      <w:r>
        <w:rPr>
          <w:rFonts w:ascii="Times New Roman" w:hAnsi="Times New Roman" w:cs="Times New Roman" w:eastAsia="Times New Roman" w:hint="default"/>
          <w:spacing w:val="-2"/>
        </w:rPr>
        <w:t>LED</w:t>
      </w:r>
      <w:r>
        <w:rPr>
          <w:spacing w:val="-2"/>
        </w:rPr>
        <w:t>绿色照明产品与品牌服务，秉承互利双赢的合作原</w:t>
      </w:r>
      <w:r>
        <w:rPr>
          <w:spacing w:val="-53"/>
        </w:rPr>
        <w:t> </w:t>
      </w:r>
      <w:r>
        <w:rPr>
          <w:spacing w:val="-53"/>
        </w:rPr>
      </w:r>
      <w:r>
        <w:rPr/>
        <w:t>则，经协议各方友好协商，达成战略合作协议，相互确定为合作伙伴关系，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年期间，华普永明计划向公司战略</w:t>
      </w:r>
      <w:r>
        <w:rPr>
          <w:spacing w:val="-56"/>
        </w:rPr>
        <w:t> </w:t>
      </w:r>
      <w:r>
        <w:rPr>
          <w:spacing w:val="-56"/>
        </w:rPr>
      </w:r>
      <w:r>
        <w:rPr/>
        <w:t>采购</w:t>
      </w:r>
      <w:r>
        <w:rPr>
          <w:rFonts w:ascii="Times New Roman" w:hAnsi="Times New Roman" w:cs="Times New Roman" w:eastAsia="Times New Roman" w:hint="default"/>
        </w:rPr>
        <w:t>LED</w:t>
      </w:r>
      <w:r>
        <w:rPr/>
        <w:t>户外驱动电源</w:t>
      </w:r>
      <w:r>
        <w:rPr>
          <w:rFonts w:ascii="Times New Roman" w:hAnsi="Times New Roman" w:cs="Times New Roman" w:eastAsia="Times New Roman" w:hint="default"/>
        </w:rPr>
        <w:t>1</w:t>
      </w:r>
      <w:r>
        <w:rPr/>
        <w:t>亿元人民币。</w:t>
      </w:r>
      <w:r>
        <w:rPr>
          <w:rFonts w:ascii="Times New Roman" w:hAnsi="Times New Roman" w:cs="Times New Roman" w:eastAsia="Times New Roman" w:hint="default"/>
        </w:rPr>
        <w:t>2015</w:t>
      </w:r>
      <w:r>
        <w:rPr/>
        <w:t>年至报告期内，华普永明及其子公司与公司的合作金额共计为</w:t>
      </w:r>
      <w:r>
        <w:rPr>
          <w:rFonts w:ascii="Times New Roman" w:hAnsi="Times New Roman" w:cs="Times New Roman" w:eastAsia="Times New Roman" w:hint="default"/>
        </w:rPr>
        <w:t>105,700,780.33</w:t>
      </w:r>
      <w:r>
        <w:rPr/>
        <w:t>元。</w:t>
      </w:r>
    </w:p>
    <w:p>
      <w:pPr>
        <w:pStyle w:val="BodyText"/>
        <w:spacing w:line="240" w:lineRule="auto" w:before="52"/>
        <w:ind w:left="513" w:right="1130"/>
        <w:jc w:val="left"/>
      </w:pPr>
      <w:r>
        <w:rPr>
          <w:rFonts w:ascii="Times New Roman" w:hAnsi="Times New Roman" w:cs="Times New Roman" w:eastAsia="Times New Roman" w:hint="default"/>
        </w:rPr>
        <w:t>15</w:t>
      </w:r>
      <w:r>
        <w:rPr/>
        <w:t>、光伏发电项目进展情况</w:t>
      </w:r>
    </w:p>
    <w:p>
      <w:pPr>
        <w:pStyle w:val="BodyText"/>
        <w:spacing w:line="240" w:lineRule="auto" w:before="103"/>
        <w:ind w:left="514" w:right="1130"/>
        <w:jc w:val="left"/>
      </w:pPr>
      <w:r>
        <w:rPr/>
        <w:t>（一）已并网发电的光伏电站情况：</w:t>
      </w:r>
    </w:p>
    <w:p>
      <w:pPr>
        <w:pStyle w:val="BodyText"/>
        <w:spacing w:line="240" w:lineRule="auto" w:before="116"/>
        <w:ind w:left="514" w:right="1130"/>
        <w:jc w:val="left"/>
      </w:pPr>
      <w:r>
        <w:rPr/>
        <w:t>（</w:t>
      </w:r>
      <w:r>
        <w:rPr>
          <w:rFonts w:ascii="Times New Roman" w:hAnsi="Times New Roman" w:cs="Times New Roman" w:eastAsia="Times New Roman" w:hint="default"/>
        </w:rPr>
        <w:t>1</w:t>
      </w:r>
      <w:r>
        <w:rPr/>
        <w:t>）浙江海宁茂硕诺华能源有限公司</w:t>
      </w:r>
      <w:r>
        <w:rPr>
          <w:rFonts w:ascii="Times New Roman" w:hAnsi="Times New Roman" w:cs="Times New Roman" w:eastAsia="Times New Roman" w:hint="default"/>
        </w:rPr>
        <w:t>,</w:t>
      </w:r>
      <w:r>
        <w:rPr/>
        <w:t>我司占比</w:t>
      </w:r>
      <w:r>
        <w:rPr>
          <w:rFonts w:ascii="Times New Roman" w:hAnsi="Times New Roman" w:cs="Times New Roman" w:eastAsia="Times New Roman" w:hint="default"/>
        </w:rPr>
        <w:t>70.6%,</w:t>
      </w:r>
      <w:r>
        <w:rPr/>
        <w:t>投资建设</w:t>
      </w:r>
      <w:r>
        <w:rPr>
          <w:rFonts w:ascii="Times New Roman" w:hAnsi="Times New Roman" w:cs="Times New Roman" w:eastAsia="Times New Roman" w:hint="default"/>
        </w:rPr>
        <w:t>15MW</w:t>
      </w:r>
      <w:r>
        <w:rPr/>
        <w:t>光伏项目</w:t>
      </w:r>
      <w:r>
        <w:rPr>
          <w:rFonts w:ascii="Times New Roman" w:hAnsi="Times New Roman" w:cs="Times New Roman" w:eastAsia="Times New Roman" w:hint="default"/>
        </w:rPr>
        <w:t>,2014</w:t>
      </w:r>
      <w:r>
        <w:rPr/>
        <w:t>年底已正常并网发电。</w:t>
      </w:r>
    </w:p>
    <w:p>
      <w:pPr>
        <w:pStyle w:val="BodyText"/>
        <w:spacing w:line="240" w:lineRule="auto" w:before="102"/>
        <w:ind w:left="513" w:right="1130"/>
        <w:jc w:val="left"/>
      </w:pPr>
      <w:r>
        <w:rPr/>
        <w:t>（</w:t>
      </w:r>
      <w:r>
        <w:rPr>
          <w:rFonts w:ascii="Times New Roman" w:hAnsi="Times New Roman" w:cs="Times New Roman" w:eastAsia="Times New Roman" w:hint="default"/>
        </w:rPr>
        <w:t>2</w:t>
      </w:r>
      <w:r>
        <w:rPr/>
        <w:t>）台州南瑞污水处理厂项目，我司占比</w:t>
      </w:r>
      <w:r>
        <w:rPr>
          <w:rFonts w:ascii="Times New Roman" w:hAnsi="Times New Roman" w:cs="Times New Roman" w:eastAsia="Times New Roman" w:hint="default"/>
        </w:rPr>
        <w:t>91.91%,</w:t>
      </w:r>
      <w:r>
        <w:rPr/>
        <w:t>已投资建设完成</w:t>
      </w:r>
      <w:r>
        <w:rPr>
          <w:rFonts w:ascii="Times New Roman" w:hAnsi="Times New Roman" w:cs="Times New Roman" w:eastAsia="Times New Roman" w:hint="default"/>
        </w:rPr>
        <w:t>4.39MW,</w:t>
      </w:r>
      <w:r>
        <w:rPr>
          <w:rFonts w:ascii="Times New Roman" w:hAnsi="Times New Roman" w:cs="Times New Roman" w:eastAsia="Times New Roman" w:hint="default"/>
          <w:spacing w:val="-3"/>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月底已正常并网发电。</w:t>
      </w:r>
    </w:p>
    <w:p>
      <w:pPr>
        <w:pStyle w:val="BodyText"/>
        <w:spacing w:line="302" w:lineRule="auto" w:before="103"/>
        <w:ind w:right="1132" w:firstLine="360"/>
        <w:jc w:val="both"/>
      </w:pPr>
      <w:r>
        <w:rPr/>
        <w:t>（</w:t>
      </w:r>
      <w:r>
        <w:rPr>
          <w:rFonts w:ascii="Times New Roman" w:hAnsi="Times New Roman" w:cs="Times New Roman" w:eastAsia="Times New Roman" w:hint="default"/>
        </w:rPr>
        <w:t>3</w:t>
      </w:r>
      <w:r>
        <w:rPr/>
        <w:t>）萍乡安源区光伏发电项目，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月签订</w:t>
      </w:r>
      <w:r>
        <w:rPr>
          <w:rFonts w:ascii="Times New Roman" w:hAnsi="Times New Roman" w:cs="Times New Roman" w:eastAsia="Times New Roman" w:hint="default"/>
        </w:rPr>
        <w:t>,</w:t>
      </w:r>
      <w:r>
        <w:rPr/>
        <w:t>有效期</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拟投资</w:t>
      </w:r>
      <w:r>
        <w:rPr>
          <w:rFonts w:ascii="Times New Roman" w:hAnsi="Times New Roman" w:cs="Times New Roman" w:eastAsia="Times New Roman" w:hint="default"/>
        </w:rPr>
        <w:t>5</w:t>
      </w:r>
      <w:r>
        <w:rPr/>
        <w:t>亿建设</w:t>
      </w:r>
      <w:r>
        <w:rPr>
          <w:rFonts w:ascii="Times New Roman" w:hAnsi="Times New Roman" w:cs="Times New Roman" w:eastAsia="Times New Roman" w:hint="default"/>
        </w:rPr>
        <w:t>50MW</w:t>
      </w:r>
      <w:r>
        <w:rPr/>
        <w:t>光伏并网发电项目，分两期建设</w:t>
      </w:r>
      <w:r>
        <w:rPr>
          <w:rFonts w:ascii="Times New Roman" w:hAnsi="Times New Roman" w:cs="Times New Roman" w:eastAsia="Times New Roman" w:hint="default"/>
        </w:rPr>
        <w:t>,</w:t>
      </w:r>
      <w:r>
        <w:rPr/>
        <w:t>一 期中</w:t>
      </w:r>
      <w:r>
        <w:rPr>
          <w:rFonts w:ascii="Times New Roman" w:hAnsi="Times New Roman" w:cs="Times New Roman" w:eastAsia="Times New Roman" w:hint="default"/>
        </w:rPr>
        <w:t>11.5MW</w:t>
      </w:r>
      <w:r>
        <w:rPr/>
        <w:t>光伏电站项目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月底已正常并网发电。</w:t>
      </w:r>
    </w:p>
    <w:p>
      <w:pPr>
        <w:pStyle w:val="BodyText"/>
        <w:spacing w:line="300" w:lineRule="auto" w:before="49"/>
        <w:ind w:right="1124" w:firstLine="360"/>
        <w:jc w:val="both"/>
      </w:pPr>
      <w:r>
        <w:rPr/>
        <w:t>（</w:t>
      </w:r>
      <w:r>
        <w:rPr>
          <w:rFonts w:ascii="Times New Roman" w:hAnsi="Times New Roman" w:cs="Times New Roman" w:eastAsia="Times New Roman" w:hint="default"/>
        </w:rPr>
        <w:t>4</w:t>
      </w:r>
      <w:r>
        <w:rPr/>
        <w:t>）新余渝水区光伏发电项目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月签订</w:t>
      </w:r>
      <w:r>
        <w:rPr>
          <w:rFonts w:ascii="Times New Roman" w:hAnsi="Times New Roman" w:cs="Times New Roman" w:eastAsia="Times New Roman" w:hint="default"/>
        </w:rPr>
        <w:t>,</w:t>
      </w:r>
      <w:r>
        <w:rPr/>
        <w:t>有效期</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新余茂硕拟在新余市渝水区投资</w:t>
      </w:r>
      <w:r>
        <w:rPr>
          <w:rFonts w:ascii="Times New Roman" w:hAnsi="Times New Roman" w:cs="Times New Roman" w:eastAsia="Times New Roman" w:hint="default"/>
        </w:rPr>
        <w:t>100MW</w:t>
      </w:r>
      <w:r>
        <w:rPr/>
        <w:t>光伏并网发电项目， </w:t>
      </w:r>
      <w:r>
        <w:rPr>
          <w:spacing w:val="-2"/>
        </w:rPr>
        <w:t>总投资预计</w:t>
      </w:r>
      <w:r>
        <w:rPr>
          <w:rFonts w:ascii="Times New Roman" w:hAnsi="Times New Roman" w:cs="Times New Roman" w:eastAsia="Times New Roman" w:hint="default"/>
          <w:spacing w:val="-2"/>
        </w:rPr>
        <w:t>8</w:t>
      </w:r>
      <w:r>
        <w:rPr>
          <w:spacing w:val="-2"/>
        </w:rPr>
        <w:t>亿元人民币。截至目前</w:t>
      </w:r>
      <w:r>
        <w:rPr>
          <w:rFonts w:ascii="Times New Roman" w:hAnsi="Times New Roman" w:cs="Times New Roman" w:eastAsia="Times New Roman" w:hint="default"/>
          <w:spacing w:val="-2"/>
        </w:rPr>
        <w:t>,</w:t>
      </w:r>
      <w:r>
        <w:rPr>
          <w:spacing w:val="-2"/>
        </w:rPr>
        <w:t>一期何家边</w:t>
      </w:r>
      <w:r>
        <w:rPr>
          <w:rFonts w:ascii="Times New Roman" w:hAnsi="Times New Roman" w:cs="Times New Roman" w:eastAsia="Times New Roman" w:hint="default"/>
          <w:spacing w:val="-2"/>
        </w:rPr>
        <w:t>20MW</w:t>
      </w:r>
      <w:r>
        <w:rPr>
          <w:spacing w:val="-2"/>
        </w:rPr>
        <w:t>光伏电站项目已并网发电</w:t>
      </w:r>
      <w:r>
        <w:rPr>
          <w:rFonts w:ascii="Times New Roman" w:hAnsi="Times New Roman" w:cs="Times New Roman" w:eastAsia="Times New Roman" w:hint="default"/>
          <w:spacing w:val="-2"/>
        </w:rPr>
        <w:t>16.56MW,</w:t>
      </w:r>
      <w:r>
        <w:rPr>
          <w:spacing w:val="-2"/>
        </w:rPr>
        <w:t>剩余部分正在陆续推进中。二期罗</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0"/>
        <w:jc w:val="left"/>
      </w:pPr>
      <w:r>
        <w:rPr>
          <w:spacing w:val="-1"/>
        </w:rPr>
        <w:t>家边</w:t>
      </w:r>
      <w:r>
        <w:rPr>
          <w:rFonts w:ascii="Times New Roman" w:hAnsi="Times New Roman" w:cs="Times New Roman" w:eastAsia="Times New Roman" w:hint="default"/>
          <w:spacing w:val="-1"/>
        </w:rPr>
        <w:t>20MW</w:t>
      </w:r>
      <w:r>
        <w:rPr>
          <w:spacing w:val="-1"/>
        </w:rPr>
        <w:t>光伏电站项目、仙女湖</w:t>
      </w:r>
      <w:r>
        <w:rPr>
          <w:rFonts w:ascii="Times New Roman" w:hAnsi="Times New Roman" w:cs="Times New Roman" w:eastAsia="Times New Roman" w:hint="default"/>
          <w:spacing w:val="-1"/>
        </w:rPr>
        <w:t>15MW</w:t>
      </w:r>
      <w:r>
        <w:rPr>
          <w:spacing w:val="-1"/>
        </w:rPr>
        <w:t>光伏电站项目指标均已获批，但因募集资金未到位而公司自筹资金有限，该两项目</w:t>
      </w:r>
      <w:r>
        <w:rPr>
          <w:spacing w:val="-58"/>
        </w:rPr>
        <w:t> </w:t>
      </w:r>
      <w:r>
        <w:rPr>
          <w:spacing w:val="-58"/>
        </w:rPr>
      </w:r>
      <w:r>
        <w:rPr/>
        <w:t>目前无实质进展，该项目指标因到期未建作废。</w:t>
      </w:r>
    </w:p>
    <w:p>
      <w:pPr>
        <w:pStyle w:val="BodyText"/>
        <w:spacing w:line="240" w:lineRule="auto" w:before="69"/>
        <w:ind w:left="513" w:right="1130"/>
        <w:jc w:val="left"/>
      </w:pPr>
      <w:r>
        <w:rPr/>
        <w:t>（二）未并网发电的光伏电站进展情况：</w:t>
      </w:r>
    </w:p>
    <w:p>
      <w:pPr>
        <w:pStyle w:val="BodyText"/>
        <w:spacing w:line="338" w:lineRule="auto" w:before="117"/>
        <w:ind w:left="513" w:right="1130"/>
        <w:jc w:val="left"/>
      </w:pPr>
      <w:r>
        <w:rPr/>
        <w:t>（</w:t>
      </w:r>
      <w:r>
        <w:rPr>
          <w:rFonts w:ascii="Times New Roman" w:hAnsi="Times New Roman" w:cs="Times New Roman" w:eastAsia="Times New Roman" w:hint="default"/>
        </w:rPr>
        <w:t>1</w:t>
      </w:r>
      <w:r>
        <w:rPr/>
        <w:t>）湖北孝昌光伏发电项目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月签订</w:t>
      </w:r>
      <w:r>
        <w:rPr>
          <w:spacing w:val="55"/>
        </w:rPr>
        <w:t> </w:t>
      </w:r>
      <w:r>
        <w:rPr/>
        <w:t>有效期</w:t>
      </w:r>
      <w:r>
        <w:rPr>
          <w:rFonts w:ascii="Times New Roman" w:hAnsi="Times New Roman" w:cs="Times New Roman" w:eastAsia="Times New Roman" w:hint="default"/>
        </w:rPr>
        <w:t>2</w:t>
      </w:r>
      <w:r>
        <w:rPr/>
        <w:t>年 </w:t>
      </w:r>
      <w:r>
        <w:rPr>
          <w:spacing w:val="2"/>
        </w:rPr>
        <w:t>茂硕新能源拟在湖北孝昌县投资建设光伏发电站总装机容量约</w:t>
      </w:r>
      <w:r>
        <w:rPr>
          <w:rFonts w:ascii="Times New Roman" w:hAnsi="Times New Roman" w:cs="Times New Roman" w:eastAsia="Times New Roman" w:hint="default"/>
          <w:spacing w:val="2"/>
        </w:rPr>
        <w:t>50MW,</w:t>
      </w:r>
      <w:r>
        <w:rPr>
          <w:spacing w:val="2"/>
        </w:rPr>
        <w:t>预计总投资额</w:t>
      </w:r>
      <w:r>
        <w:rPr>
          <w:rFonts w:ascii="Times New Roman" w:hAnsi="Times New Roman" w:cs="Times New Roman" w:eastAsia="Times New Roman" w:hint="default"/>
          <w:spacing w:val="2"/>
        </w:rPr>
        <w:t>4.5</w:t>
      </w:r>
      <w:r>
        <w:rPr>
          <w:spacing w:val="2"/>
        </w:rPr>
        <w:t>亿元</w:t>
      </w:r>
      <w:r>
        <w:rPr>
          <w:spacing w:val="-9"/>
        </w:rPr>
        <w:t> </w:t>
      </w:r>
      <w:r>
        <w:rPr>
          <w:spacing w:val="2"/>
        </w:rPr>
        <w:t>人民币，该项目因政策调</w:t>
      </w:r>
    </w:p>
    <w:p>
      <w:pPr>
        <w:pStyle w:val="BodyText"/>
        <w:spacing w:line="218" w:lineRule="exact"/>
        <w:ind w:right="1130"/>
        <w:jc w:val="left"/>
      </w:pPr>
      <w:r>
        <w:rPr/>
        <w:t>整，未拿到当地项目指标，已终止。</w:t>
      </w:r>
    </w:p>
    <w:p>
      <w:pPr>
        <w:pStyle w:val="BodyText"/>
        <w:tabs>
          <w:tab w:pos="3045" w:val="left" w:leader="none"/>
        </w:tabs>
        <w:spacing w:line="338" w:lineRule="auto" w:before="116"/>
        <w:ind w:left="514" w:right="1132"/>
        <w:jc w:val="left"/>
      </w:pPr>
      <w:r>
        <w:rPr/>
        <w:t>（</w:t>
      </w:r>
      <w:r>
        <w:rPr>
          <w:rFonts w:ascii="Times New Roman" w:hAnsi="Times New Roman" w:cs="Times New Roman" w:eastAsia="Times New Roman" w:hint="default"/>
        </w:rPr>
        <w:t>2</w:t>
      </w:r>
      <w:r>
        <w:rPr/>
        <w:t>）湖北赤壁光伏发电项目</w:t>
        <w:tab/>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月签订</w:t>
      </w:r>
      <w:r>
        <w:rPr>
          <w:spacing w:val="-46"/>
        </w:rPr>
        <w:t> </w:t>
      </w:r>
      <w:r>
        <w:rPr/>
        <w:t>有效期</w:t>
      </w:r>
      <w:r>
        <w:rPr>
          <w:rFonts w:ascii="Times New Roman" w:hAnsi="Times New Roman" w:cs="Times New Roman" w:eastAsia="Times New Roman" w:hint="default"/>
        </w:rPr>
        <w:t>2</w:t>
      </w:r>
      <w:r>
        <w:rPr/>
        <w:t>年 </w:t>
      </w:r>
      <w:r>
        <w:rPr>
          <w:spacing w:val="-1"/>
        </w:rPr>
        <w:t>茂硕新能源拟在湖北省赤壁市范围内投资建设总装机容量</w:t>
      </w:r>
      <w:r>
        <w:rPr>
          <w:rFonts w:ascii="Times New Roman" w:hAnsi="Times New Roman" w:cs="Times New Roman" w:eastAsia="Times New Roman" w:hint="default"/>
          <w:spacing w:val="-1"/>
        </w:rPr>
        <w:t>100MW</w:t>
      </w:r>
      <w:r>
        <w:rPr>
          <w:spacing w:val="-1"/>
        </w:rPr>
        <w:t>的光伏发电项目，项目计划总投资额度</w:t>
      </w:r>
      <w:r>
        <w:rPr>
          <w:rFonts w:ascii="Times New Roman" w:hAnsi="Times New Roman" w:cs="Times New Roman" w:eastAsia="Times New Roman" w:hint="default"/>
          <w:spacing w:val="-1"/>
        </w:rPr>
        <w:t>8</w:t>
      </w:r>
      <w:r>
        <w:rPr>
          <w:spacing w:val="-1"/>
        </w:rPr>
        <w:t>亿元。截至目</w:t>
      </w:r>
    </w:p>
    <w:p>
      <w:pPr>
        <w:pStyle w:val="BodyText"/>
        <w:spacing w:line="218" w:lineRule="exact"/>
        <w:ind w:right="1130"/>
        <w:jc w:val="left"/>
      </w:pPr>
      <w:r>
        <w:rPr/>
        <w:t>前，该项目因政策调整，未拿到当地项目指标，已终止。</w:t>
      </w:r>
    </w:p>
    <w:p>
      <w:pPr>
        <w:pStyle w:val="BodyText"/>
        <w:tabs>
          <w:tab w:pos="2613" w:val="left" w:leader="none"/>
        </w:tabs>
        <w:spacing w:line="338" w:lineRule="auto" w:before="116"/>
        <w:ind w:left="513" w:right="1130"/>
        <w:jc w:val="left"/>
      </w:pPr>
      <w:r>
        <w:rPr/>
        <w:t>（</w:t>
      </w:r>
      <w:r>
        <w:rPr>
          <w:rFonts w:ascii="Times New Roman" w:hAnsi="Times New Roman" w:cs="Times New Roman" w:eastAsia="Times New Roman" w:hint="default"/>
        </w:rPr>
        <w:t>3</w:t>
      </w:r>
      <w:r>
        <w:rPr/>
        <w:t>）永城市新能源项目</w:t>
        <w:tab/>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月签订</w:t>
      </w:r>
      <w:r>
        <w:rPr>
          <w:spacing w:val="-49"/>
        </w:rPr>
        <w:t> </w:t>
      </w:r>
      <w:r>
        <w:rPr/>
        <w:t>有效期</w:t>
      </w:r>
      <w:r>
        <w:rPr>
          <w:rFonts w:ascii="Times New Roman" w:hAnsi="Times New Roman" w:cs="Times New Roman" w:eastAsia="Times New Roman" w:hint="default"/>
        </w:rPr>
        <w:t>6</w:t>
      </w:r>
      <w:r>
        <w:rPr/>
        <w:t>个月 </w:t>
      </w:r>
      <w:r>
        <w:rPr>
          <w:spacing w:val="-2"/>
        </w:rPr>
        <w:t>茂硕新能源拟在永城市辖区内开展新能源项目建设，细分为两个项目：其中包含光伏电站项目预计总投资约</w:t>
      </w:r>
      <w:r>
        <w:rPr>
          <w:rFonts w:ascii="Times New Roman" w:hAnsi="Times New Roman" w:cs="Times New Roman" w:eastAsia="Times New Roman" w:hint="default"/>
          <w:spacing w:val="-2"/>
        </w:rPr>
        <w:t>15</w:t>
      </w:r>
      <w:r>
        <w:rPr>
          <w:spacing w:val="-2"/>
        </w:rPr>
        <w:t>亿元人民</w:t>
      </w:r>
    </w:p>
    <w:p>
      <w:pPr>
        <w:pStyle w:val="BodyText"/>
        <w:spacing w:line="231" w:lineRule="exact"/>
        <w:ind w:right="1130"/>
        <w:jc w:val="left"/>
      </w:pPr>
      <w:r>
        <w:rPr/>
        <w:t>币，充电桩运营及新能源汽车租赁项目预计总投资</w:t>
      </w:r>
      <w:r>
        <w:rPr>
          <w:rFonts w:ascii="Times New Roman" w:hAnsi="Times New Roman" w:cs="Times New Roman" w:eastAsia="Times New Roman" w:hint="default"/>
        </w:rPr>
        <w:t>5</w:t>
      </w:r>
      <w:r>
        <w:rPr/>
        <w:t>亿元人民币。该项目因政策调整，未拿到当地项目指标，已终止。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113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月，公司全资子公司茂硕电子与新余市新众才投资管理中心（有限合伙）签订了《股权转让协议书》；茂硕</w:t>
      </w:r>
      <w:r>
        <w:rPr/>
        <w:t> 电子同意受让新众才持有茂硕科技</w:t>
      </w:r>
      <w:r>
        <w:rPr>
          <w:rFonts w:ascii="Times New Roman" w:hAnsi="Times New Roman" w:cs="Times New Roman" w:eastAsia="Times New Roman" w:hint="default"/>
        </w:rPr>
        <w:t>49%</w:t>
      </w:r>
      <w:r>
        <w:rPr/>
        <w:t>股权，股权交易价格为人民币</w:t>
      </w:r>
      <w:r>
        <w:rPr>
          <w:rFonts w:ascii="Times New Roman" w:hAnsi="Times New Roman" w:cs="Times New Roman" w:eastAsia="Times New Roman" w:hint="default"/>
        </w:rPr>
        <w:t>735</w:t>
      </w:r>
      <w:r>
        <w:rPr/>
        <w:t>万元；受让完成后，茂硕科技成为茂硕电子全资子</w:t>
      </w:r>
      <w:r>
        <w:rPr>
          <w:spacing w:val="-57"/>
        </w:rPr>
        <w:t> </w:t>
      </w:r>
      <w:r>
        <w:rPr>
          <w:spacing w:val="-57"/>
        </w:rPr>
      </w:r>
      <w:r>
        <w:rPr/>
        <w:t>公司，即为公司全资孙公司，继续纳入公司合并报表范围内，不涉及合并报表范围变化。具体详情请见刊登于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 </w:t>
      </w:r>
      <w:r>
        <w:rPr/>
        <w:t>日巨潮资讯网（</w:t>
      </w:r>
      <w:hyperlink r:id="rId12">
        <w:r>
          <w:rPr>
            <w:rFonts w:ascii="Times New Roman" w:hAnsi="Times New Roman" w:cs="Times New Roman" w:eastAsia="Times New Roman" w:hint="default"/>
          </w:rPr>
          <w:t>http://www.cninfo.com.cn</w:t>
        </w:r>
      </w:hyperlink>
      <w:r>
        <w:rPr/>
        <w:t>）《关于全资子公司受让股权的公告》。公司已完成了相关的工商变更程序。</w:t>
      </w:r>
    </w:p>
    <w:p>
      <w:pPr>
        <w:pStyle w:val="BodyText"/>
        <w:spacing w:line="300" w:lineRule="auto" w:before="51"/>
        <w:ind w:right="1128" w:firstLine="36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日，公司第四届董事会</w:t>
      </w:r>
      <w:r>
        <w:rPr>
          <w:rFonts w:ascii="Times New Roman" w:hAnsi="Times New Roman" w:cs="Times New Roman" w:eastAsia="Times New Roman" w:hint="default"/>
        </w:rPr>
        <w:t>2017</w:t>
      </w:r>
      <w:r>
        <w:rPr/>
        <w:t>年第</w:t>
      </w:r>
      <w:r>
        <w:rPr>
          <w:rFonts w:ascii="Times New Roman" w:hAnsi="Times New Roman" w:cs="Times New Roman" w:eastAsia="Times New Roman" w:hint="default"/>
        </w:rPr>
        <w:t>2</w:t>
      </w:r>
      <w:r>
        <w:rPr/>
        <w:t>次定期会议审议通过了《关于对全资孙公司增资的议案》，同意茂硕 </w:t>
      </w:r>
      <w:r>
        <w:rPr>
          <w:spacing w:val="-2"/>
        </w:rPr>
        <w:t>研究院向茂硕新能源增资</w:t>
      </w:r>
      <w:r>
        <w:rPr>
          <w:rFonts w:ascii="Times New Roman" w:hAnsi="Times New Roman" w:cs="Times New Roman" w:eastAsia="Times New Roman" w:hint="default"/>
          <w:spacing w:val="-2"/>
        </w:rPr>
        <w:t>2717.5</w:t>
      </w:r>
      <w:r>
        <w:rPr>
          <w:spacing w:val="-2"/>
        </w:rPr>
        <w:t>万元人民币，增资完成后，茂硕新能源的注册资本将变更为</w:t>
      </w:r>
      <w:r>
        <w:rPr>
          <w:rFonts w:ascii="Times New Roman" w:hAnsi="Times New Roman" w:cs="Times New Roman" w:eastAsia="Times New Roman" w:hint="default"/>
          <w:spacing w:val="-2"/>
        </w:rPr>
        <w:t>5,000</w:t>
      </w:r>
      <w:r>
        <w:rPr>
          <w:spacing w:val="-2"/>
        </w:rPr>
        <w:t>万元人民币，茂硕新能源仍</w:t>
      </w:r>
      <w:r>
        <w:rPr>
          <w:spacing w:val="-57"/>
        </w:rPr>
        <w:t> </w:t>
      </w:r>
      <w:r>
        <w:rPr>
          <w:spacing w:val="-57"/>
        </w:rPr>
      </w:r>
      <w:r>
        <w:rPr>
          <w:spacing w:val="-2"/>
        </w:rPr>
        <w:t>为公司全资孙公司，公司持股比例不变。具体详情请见刊登于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日巨潮资讯网（</w:t>
      </w:r>
      <w:hyperlink r:id="rId12">
        <w:r>
          <w:rPr>
            <w:rFonts w:ascii="Times New Roman" w:hAnsi="Times New Roman" w:cs="Times New Roman" w:eastAsia="Times New Roman" w:hint="default"/>
            <w:spacing w:val="-2"/>
          </w:rPr>
          <w:t>http://www.cninfo.com.cn</w:t>
        </w:r>
      </w:hyperlink>
      <w:r>
        <w:rPr>
          <w:spacing w:val="-2"/>
        </w:rPr>
        <w:t>）《关于</w:t>
      </w:r>
      <w:r>
        <w:rPr>
          <w:spacing w:val="-37"/>
        </w:rPr>
        <w:t> </w:t>
      </w:r>
      <w:r>
        <w:rPr>
          <w:spacing w:val="-37"/>
        </w:rPr>
      </w:r>
      <w:r>
        <w:rPr/>
        <w:t>对全资孙公司增资的公告》。</w:t>
      </w:r>
    </w:p>
    <w:p>
      <w:pPr>
        <w:pStyle w:val="BodyText"/>
        <w:spacing w:line="302" w:lineRule="auto" w:before="71"/>
        <w:ind w:left="154" w:right="1041" w:firstLine="362"/>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月，公司全资子公司加码技术以自有资金</w:t>
      </w:r>
      <w:r>
        <w:rPr>
          <w:rFonts w:ascii="Times New Roman" w:hAnsi="Times New Roman" w:cs="Times New Roman" w:eastAsia="Times New Roman" w:hint="default"/>
        </w:rPr>
        <w:t>1000</w:t>
      </w:r>
      <w:r>
        <w:rPr/>
        <w:t>万港币投资设立其全资子公司加码技术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有限公司，具体 </w:t>
      </w:r>
      <w:r>
        <w:rPr>
          <w:spacing w:val="-5"/>
          <w:w w:val="99"/>
        </w:rPr>
        <w:t>详情请见刊登于</w:t>
      </w:r>
      <w:r>
        <w:rPr>
          <w:rFonts w:ascii="Times New Roman" w:hAnsi="Times New Roman" w:cs="Times New Roman" w:eastAsia="Times New Roman" w:hint="default"/>
          <w:spacing w:val="-5"/>
          <w:w w:val="99"/>
        </w:rPr>
        <w:t>2017</w:t>
      </w:r>
      <w:r>
        <w:rPr>
          <w:spacing w:val="-5"/>
          <w:w w:val="99"/>
        </w:rPr>
        <w:t>年</w:t>
      </w:r>
      <w:r>
        <w:rPr>
          <w:rFonts w:ascii="Times New Roman" w:hAnsi="Times New Roman" w:cs="Times New Roman" w:eastAsia="Times New Roman" w:hint="default"/>
          <w:spacing w:val="-5"/>
          <w:w w:val="99"/>
        </w:rPr>
        <w:t>9</w:t>
      </w:r>
      <w:r>
        <w:rPr>
          <w:spacing w:val="-5"/>
          <w:w w:val="99"/>
        </w:rPr>
        <w:t>月</w:t>
      </w:r>
      <w:r>
        <w:rPr>
          <w:rFonts w:ascii="Times New Roman" w:hAnsi="Times New Roman" w:cs="Times New Roman" w:eastAsia="Times New Roman" w:hint="default"/>
          <w:spacing w:val="-5"/>
          <w:w w:val="99"/>
        </w:rPr>
        <w:t>27</w:t>
      </w:r>
      <w:r>
        <w:rPr>
          <w:spacing w:val="-5"/>
          <w:w w:val="99"/>
        </w:rPr>
        <w:t>日巨潮资讯网（</w:t>
      </w:r>
      <w:hyperlink r:id="rId12">
        <w:r>
          <w:rPr>
            <w:rFonts w:ascii="Times New Roman" w:hAnsi="Times New Roman" w:cs="Times New Roman" w:eastAsia="Times New Roman" w:hint="default"/>
            <w:spacing w:val="-5"/>
            <w:w w:val="99"/>
          </w:rPr>
          <w:t>http://www.cninfo.com.cn</w:t>
        </w:r>
      </w:hyperlink>
      <w:r>
        <w:rPr>
          <w:spacing w:val="-5"/>
          <w:w w:val="99"/>
        </w:rPr>
        <w:t>）《关于对外投资设立加码技术</w:t>
      </w:r>
      <w:r>
        <w:rPr>
          <w:rFonts w:ascii="Times New Roman" w:hAnsi="Times New Roman" w:cs="Times New Roman" w:eastAsia="Times New Roman" w:hint="default"/>
          <w:spacing w:val="-5"/>
          <w:w w:val="99"/>
        </w:rPr>
        <w:t>(</w:t>
      </w:r>
      <w:r>
        <w:rPr>
          <w:spacing w:val="-5"/>
          <w:w w:val="99"/>
        </w:rPr>
        <w:t>香港</w:t>
      </w:r>
      <w:r>
        <w:rPr>
          <w:rFonts w:ascii="Times New Roman" w:hAnsi="Times New Roman" w:cs="Times New Roman" w:eastAsia="Times New Roman" w:hint="default"/>
          <w:spacing w:val="-5"/>
          <w:w w:val="99"/>
        </w:rPr>
        <w:t>)</w:t>
      </w:r>
      <w:r>
        <w:rPr>
          <w:spacing w:val="-5"/>
          <w:w w:val="99"/>
        </w:rPr>
        <w:t>有限公司的公告》。</w:t>
      </w:r>
    </w:p>
    <w:p>
      <w:pPr>
        <w:pStyle w:val="BodyText"/>
        <w:spacing w:line="300" w:lineRule="auto" w:before="49"/>
        <w:ind w:right="0" w:firstLine="380"/>
        <w:jc w:val="left"/>
      </w:pPr>
      <w:r>
        <w:rPr>
          <w:rFonts w:ascii="Times New Roman" w:hAnsi="Times New Roman" w:cs="Times New Roman" w:eastAsia="Times New Roman" w:hint="default"/>
          <w:spacing w:val="-2"/>
        </w:rPr>
        <w:t>4</w:t>
      </w:r>
      <w:r>
        <w:rPr>
          <w:spacing w:val="-2"/>
        </w:rPr>
        <w:t>、公司的全资子公司深圳茂硕新能源技术研究院有限公司（以下简称</w:t>
      </w:r>
      <w:r>
        <w:rPr>
          <w:rFonts w:ascii="Times New Roman" w:hAnsi="Times New Roman" w:cs="Times New Roman" w:eastAsia="Times New Roman" w:hint="default"/>
          <w:spacing w:val="-2"/>
        </w:rPr>
        <w:t>“</w:t>
      </w:r>
      <w:r>
        <w:rPr>
          <w:spacing w:val="-2"/>
        </w:rPr>
        <w:t>研究院</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14</w:t>
      </w:r>
      <w:r>
        <w:rPr>
          <w:spacing w:val="-2"/>
        </w:rPr>
        <w:t>日与深圳海量资本管理</w:t>
      </w:r>
      <w:r>
        <w:rPr/>
        <w:t> </w:t>
      </w:r>
      <w:r>
        <w:rPr>
          <w:spacing w:val="-3"/>
        </w:rPr>
        <w:t>有限公司（以下简称</w:t>
      </w:r>
      <w:r>
        <w:rPr>
          <w:rFonts w:ascii="Times New Roman" w:hAnsi="Times New Roman" w:cs="Times New Roman" w:eastAsia="Times New Roman" w:hint="default"/>
          <w:spacing w:val="-3"/>
        </w:rPr>
        <w:t>“</w:t>
      </w:r>
      <w:r>
        <w:rPr>
          <w:spacing w:val="-3"/>
        </w:rPr>
        <w:t>海量资本</w:t>
      </w:r>
      <w:r>
        <w:rPr>
          <w:rFonts w:ascii="Times New Roman" w:hAnsi="Times New Roman" w:cs="Times New Roman" w:eastAsia="Times New Roman" w:hint="default"/>
          <w:spacing w:val="-3"/>
        </w:rPr>
        <w:t>”</w:t>
      </w:r>
      <w:r>
        <w:rPr>
          <w:spacing w:val="-3"/>
        </w:rPr>
        <w:t>）以及其他投资人共同出资设立完成了新余市茂硕海量投资企业（有限合伙）（以下简称</w:t>
      </w:r>
      <w:r>
        <w:rPr>
          <w:rFonts w:ascii="Times New Roman" w:hAnsi="Times New Roman" w:cs="Times New Roman" w:eastAsia="Times New Roman" w:hint="default"/>
          <w:spacing w:val="-3"/>
        </w:rPr>
        <w:t>“</w:t>
      </w:r>
      <w:r>
        <w:rPr>
          <w:spacing w:val="-3"/>
        </w:rPr>
        <w:t>茂</w:t>
      </w:r>
      <w:r>
        <w:rPr>
          <w:spacing w:val="-67"/>
        </w:rPr>
        <w:t> </w:t>
      </w:r>
      <w:r>
        <w:rPr>
          <w:spacing w:val="-2"/>
        </w:rPr>
        <w:t>硕海量</w:t>
      </w:r>
      <w:r>
        <w:rPr>
          <w:rFonts w:ascii="Times New Roman" w:hAnsi="Times New Roman" w:cs="Times New Roman" w:eastAsia="Times New Roman" w:hint="default"/>
          <w:spacing w:val="-2"/>
        </w:rPr>
        <w:t>”</w:t>
      </w:r>
      <w:r>
        <w:rPr>
          <w:spacing w:val="-2"/>
        </w:rPr>
        <w:t>），其出资规模为</w:t>
      </w:r>
      <w:r>
        <w:rPr>
          <w:rFonts w:ascii="Times New Roman" w:hAnsi="Times New Roman" w:cs="Times New Roman" w:eastAsia="Times New Roman" w:hint="default"/>
          <w:spacing w:val="-2"/>
        </w:rPr>
        <w:t>5000</w:t>
      </w:r>
      <w:r>
        <w:rPr>
          <w:spacing w:val="-2"/>
        </w:rPr>
        <w:t>万元人民币，研究院以现金形式认缴出资人民币</w:t>
      </w:r>
      <w:r>
        <w:rPr>
          <w:rFonts w:ascii="Times New Roman" w:hAnsi="Times New Roman" w:cs="Times New Roman" w:eastAsia="Times New Roman" w:hint="default"/>
          <w:spacing w:val="-2"/>
        </w:rPr>
        <w:t>1000</w:t>
      </w:r>
      <w:r>
        <w:rPr>
          <w:spacing w:val="-2"/>
        </w:rPr>
        <w:t>万元，首期出资</w:t>
      </w:r>
      <w:r>
        <w:rPr>
          <w:rFonts w:ascii="Times New Roman" w:hAnsi="Times New Roman" w:cs="Times New Roman" w:eastAsia="Times New Roman" w:hint="default"/>
          <w:spacing w:val="-2"/>
        </w:rPr>
        <w:t>500</w:t>
      </w:r>
      <w:r>
        <w:rPr>
          <w:spacing w:val="-2"/>
        </w:rPr>
        <w:t>万，二期出资</w:t>
      </w:r>
      <w:r>
        <w:rPr>
          <w:rFonts w:ascii="Times New Roman" w:hAnsi="Times New Roman" w:cs="Times New Roman" w:eastAsia="Times New Roman" w:hint="default"/>
          <w:spacing w:val="-2"/>
        </w:rPr>
        <w:t>500</w:t>
      </w:r>
      <w:r>
        <w:rPr>
          <w:spacing w:val="-2"/>
        </w:rPr>
        <w:t>万，</w:t>
      </w:r>
      <w:r>
        <w:rPr>
          <w:spacing w:val="-41"/>
        </w:rPr>
        <w:t> </w:t>
      </w:r>
      <w:r>
        <w:rPr/>
        <w:t>茂硕海量于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月正式成立。截至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日茂硕海量已完成投资如下：</w:t>
      </w:r>
    </w:p>
    <w:p>
      <w:pPr>
        <w:pStyle w:val="BodyText"/>
        <w:tabs>
          <w:tab w:pos="2927" w:val="left" w:leader="none"/>
          <w:tab w:pos="3072" w:val="left" w:leader="none"/>
          <w:tab w:pos="3324" w:val="left" w:leader="none"/>
          <w:tab w:pos="3503" w:val="left" w:leader="none"/>
        </w:tabs>
        <w:spacing w:line="338" w:lineRule="auto" w:before="52"/>
        <w:ind w:left="513" w:right="6200"/>
        <w:jc w:val="left"/>
        <w:rPr>
          <w:rFonts w:ascii="Times New Roman" w:hAnsi="Times New Roman" w:cs="Times New Roman" w:eastAsia="Times New Roman" w:hint="default"/>
        </w:rPr>
      </w:pPr>
      <w:r>
        <w:rPr/>
        <w:t>深圳市神云科技有限公司</w:t>
        <w:tab/>
        <w:t>占比</w:t>
      </w:r>
      <w:r>
        <w:rPr>
          <w:spacing w:val="-20"/>
        </w:rPr>
        <w:t> </w:t>
      </w:r>
      <w:r>
        <w:rPr>
          <w:rFonts w:ascii="Times New Roman" w:hAnsi="Times New Roman" w:cs="Times New Roman" w:eastAsia="Times New Roman" w:hint="default"/>
        </w:rPr>
        <w:t>4.000000% </w:t>
      </w:r>
      <w:r>
        <w:rPr/>
        <w:t>深圳市乐途宝网络科技有限公司</w:t>
      </w:r>
      <w:r>
        <w:rPr>
          <w:spacing w:val="54"/>
        </w:rPr>
        <w:t> </w:t>
      </w:r>
      <w:r>
        <w:rPr/>
        <w:t>占比</w:t>
      </w:r>
      <w:r>
        <w:rPr>
          <w:rFonts w:ascii="Times New Roman" w:hAnsi="Times New Roman" w:cs="Times New Roman" w:eastAsia="Times New Roman" w:hint="default"/>
        </w:rPr>
        <w:t>1.935000% </w:t>
      </w:r>
      <w:r>
        <w:rPr/>
        <w:t>深圳多有米网络技术有限公司</w:t>
        <w:tab/>
        <w:tab/>
        <w:t>占比</w:t>
      </w:r>
      <w:r>
        <w:rPr>
          <w:rFonts w:ascii="Times New Roman" w:hAnsi="Times New Roman" w:cs="Times New Roman" w:eastAsia="Times New Roman" w:hint="default"/>
        </w:rPr>
        <w:t>10.050000% </w:t>
      </w:r>
      <w:r>
        <w:rPr/>
        <w:t>湖南小而美科技有限公司</w:t>
        <w:tab/>
        <w:tab/>
        <w:t>占比</w:t>
      </w:r>
      <w:r>
        <w:rPr>
          <w:rFonts w:ascii="Times New Roman" w:hAnsi="Times New Roman" w:cs="Times New Roman" w:eastAsia="Times New Roman" w:hint="default"/>
        </w:rPr>
        <w:t>5.000000% </w:t>
      </w:r>
      <w:r>
        <w:rPr/>
        <w:t>深圳中科拓达农业科技有限公司</w:t>
        <w:tab/>
        <w:tab/>
        <w:t>占比</w:t>
      </w:r>
      <w:r>
        <w:rPr>
          <w:rFonts w:ascii="Times New Roman" w:hAnsi="Times New Roman" w:cs="Times New Roman" w:eastAsia="Times New Roman" w:hint="default"/>
        </w:rPr>
        <w:t>7.9800000 </w:t>
      </w:r>
      <w:r>
        <w:rPr/>
        <w:t>深圳市科纳能薄膜科技有限公司</w:t>
        <w:tab/>
        <w:tab/>
        <w:t>占比</w:t>
      </w:r>
      <w:r>
        <w:rPr>
          <w:rFonts w:ascii="Times New Roman" w:hAnsi="Times New Roman" w:cs="Times New Roman" w:eastAsia="Times New Roman" w:hint="default"/>
        </w:rPr>
        <w:t>3.333400% </w:t>
      </w:r>
      <w:r>
        <w:rPr/>
        <w:t>深圳天鹰兄弟无人机创新有限公司</w:t>
        <w:tab/>
        <w:tab/>
        <w:t>占比</w:t>
      </w:r>
      <w:r>
        <w:rPr>
          <w:rFonts w:ascii="Times New Roman" w:hAnsi="Times New Roman" w:cs="Times New Roman" w:eastAsia="Times New Roman" w:hint="default"/>
        </w:rPr>
        <w:t>5.130000% </w:t>
      </w:r>
      <w:r>
        <w:rPr/>
        <w:t>深圳市前海七号网络科技有限公司</w:t>
        <w:tab/>
        <w:tab/>
        <w:t>占比</w:t>
      </w:r>
      <w:r>
        <w:rPr>
          <w:rFonts w:ascii="Times New Roman" w:hAnsi="Times New Roman" w:cs="Times New Roman" w:eastAsia="Times New Roman" w:hint="default"/>
        </w:rPr>
        <w:t>4.000000% </w:t>
      </w:r>
      <w:r>
        <w:rPr/>
        <w:t>中晟天美能源科技（北京）有限公司</w:t>
      </w:r>
      <w:r>
        <w:rPr>
          <w:spacing w:val="54"/>
        </w:rPr>
        <w:t> </w:t>
      </w:r>
      <w:r>
        <w:rPr/>
        <w:t>占比</w:t>
      </w:r>
      <w:r>
        <w:rPr>
          <w:rFonts w:ascii="Times New Roman" w:hAnsi="Times New Roman" w:cs="Times New Roman" w:eastAsia="Times New Roman" w:hint="default"/>
        </w:rPr>
        <w:t>2.205900% </w:t>
      </w:r>
      <w:r>
        <w:rPr/>
        <w:t>深圳醒客行健康科技有限公司</w:t>
        <w:tab/>
        <w:tab/>
        <w:tab/>
        <w:t>占比</w:t>
      </w:r>
      <w:r>
        <w:rPr>
          <w:rFonts w:ascii="Times New Roman" w:hAnsi="Times New Roman" w:cs="Times New Roman" w:eastAsia="Times New Roman" w:hint="default"/>
        </w:rPr>
        <w:t>9.090000%</w:t>
      </w:r>
    </w:p>
    <w:p>
      <w:pPr>
        <w:spacing w:after="0" w:line="338"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tabs>
          <w:tab w:pos="3324" w:val="left" w:leader="none"/>
        </w:tabs>
        <w:spacing w:line="240" w:lineRule="auto" w:before="44"/>
        <w:ind w:left="513" w:right="1130"/>
        <w:jc w:val="left"/>
        <w:rPr>
          <w:rFonts w:ascii="Times New Roman" w:hAnsi="Times New Roman" w:cs="Times New Roman" w:eastAsia="Times New Roman" w:hint="default"/>
        </w:rPr>
      </w:pPr>
      <w:r>
        <w:rPr/>
        <w:t>吉晟光电（深圳）有限公司</w:t>
        <w:tab/>
        <w:t>占比</w:t>
      </w:r>
      <w:r>
        <w:rPr>
          <w:rFonts w:ascii="Times New Roman" w:hAnsi="Times New Roman" w:cs="Times New Roman" w:eastAsia="Times New Roman" w:hint="default"/>
        </w:rPr>
        <w:t>4.000000%</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5" w:right="113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股份变动情况" w:id="107"/>
      <w:bookmarkEnd w:id="107"/>
      <w:r>
        <w:rPr>
          <w:b w:val="0"/>
          <w:bCs w:val="0"/>
        </w:rPr>
      </w:r>
      <w:r>
        <w:rPr/>
        <w:t>一、股份变动情况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17"/>
        <w:gridCol w:w="991"/>
        <w:gridCol w:w="755"/>
        <w:gridCol w:w="822"/>
        <w:gridCol w:w="822"/>
        <w:gridCol w:w="720"/>
        <w:gridCol w:w="924"/>
        <w:gridCol w:w="918"/>
        <w:gridCol w:w="852"/>
        <w:gridCol w:w="641"/>
      </w:tblGrid>
      <w:tr>
        <w:trPr>
          <w:trHeight w:val="402"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0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4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17" w:type="dxa"/>
            <w:vMerge w:val="restart"/>
            <w:tcBorders>
              <w:top w:val="nil" w:sz="6" w:space="0" w:color="auto"/>
              <w:left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5" w:right="8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17"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17"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55"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1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5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85,381,612</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30.82%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-1,134,579</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-1,134,579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84,247,03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30.66%</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91" w:type="dxa"/>
            <w:vMerge/>
            <w:tcBorders>
              <w:left w:val="single" w:sz="9" w:space="0" w:color="D2D2D2"/>
              <w:right w:val="single" w:sz="4" w:space="0" w:color="000000"/>
            </w:tcBorders>
          </w:tcPr>
          <w:p>
            <w:pPr/>
          </w:p>
        </w:tc>
        <w:tc>
          <w:tcPr>
            <w:tcW w:w="755"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91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85,381,612</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30.82%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-1,134,579</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-1,134,579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84,247,03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30.66%</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91" w:type="dxa"/>
            <w:vMerge/>
            <w:tcBorders>
              <w:left w:val="single" w:sz="9" w:space="0" w:color="D2D2D2"/>
              <w:right w:val="single" w:sz="4" w:space="0" w:color="000000"/>
            </w:tcBorders>
          </w:tcPr>
          <w:p>
            <w:pPr/>
          </w:p>
        </w:tc>
        <w:tc>
          <w:tcPr>
            <w:tcW w:w="755"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91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85,381,612</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30.82%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-1,134,579</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-1,134,579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84,247,03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30.66%</w:t>
            </w:r>
          </w:p>
        </w:tc>
      </w:tr>
      <w:tr>
        <w:trPr>
          <w:trHeight w:val="393"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91" w:type="dxa"/>
            <w:vMerge/>
            <w:tcBorders>
              <w:left w:val="single" w:sz="9" w:space="0" w:color="D2D2D2"/>
              <w:right w:val="single" w:sz="4" w:space="0" w:color="000000"/>
            </w:tcBorders>
          </w:tcPr>
          <w:p>
            <w:pPr/>
          </w:p>
        </w:tc>
        <w:tc>
          <w:tcPr>
            <w:tcW w:w="755"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91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191,649,004</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69.18%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-1,115,579</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-1,115,579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190,533,4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69.34%</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91" w:type="dxa"/>
            <w:vMerge/>
            <w:tcBorders>
              <w:left w:val="single" w:sz="9" w:space="0" w:color="D2D2D2"/>
              <w:right w:val="single" w:sz="4" w:space="0" w:color="000000"/>
            </w:tcBorders>
          </w:tcPr>
          <w:p>
            <w:pPr/>
          </w:p>
        </w:tc>
        <w:tc>
          <w:tcPr>
            <w:tcW w:w="755"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91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191,649,004</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69.18%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-1,115,579</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-1,115,579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190,533,4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69.34%</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91" w:type="dxa"/>
            <w:vMerge/>
            <w:tcBorders>
              <w:left w:val="single" w:sz="9" w:space="0" w:color="D2D2D2"/>
              <w:right w:val="single" w:sz="4" w:space="0" w:color="000000"/>
            </w:tcBorders>
          </w:tcPr>
          <w:p>
            <w:pPr/>
          </w:p>
        </w:tc>
        <w:tc>
          <w:tcPr>
            <w:tcW w:w="755"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91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277,030,616</w:t>
            </w:r>
          </w:p>
        </w:tc>
        <w:tc>
          <w:tcPr>
            <w:tcW w:w="7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-2,250,158</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-2,250,158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274,780,4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91" w:type="dxa"/>
            <w:vMerge/>
            <w:tcBorders>
              <w:left w:val="single" w:sz="9" w:space="0" w:color="D2D2D2"/>
              <w:right w:val="single" w:sz="4" w:space="0" w:color="000000"/>
            </w:tcBorders>
          </w:tcPr>
          <w:p>
            <w:pPr/>
          </w:p>
        </w:tc>
        <w:tc>
          <w:tcPr>
            <w:tcW w:w="755"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91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755"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130"/>
        <w:jc w:val="left"/>
      </w:pPr>
      <w:r>
        <w:rPr/>
        <w:t>股份变动的原因</w:t>
      </w:r>
    </w:p>
    <w:p>
      <w:pPr>
        <w:pStyle w:val="BodyText"/>
        <w:spacing w:line="338" w:lineRule="auto" w:before="117"/>
        <w:ind w:left="51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3"/>
        </w:rPr>
        <w:t>1</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5</w:t>
      </w:r>
      <w:r>
        <w:rPr>
          <w:spacing w:val="-3"/>
        </w:rPr>
        <w:t>日，公司完成了方笑求、蓝顺明</w:t>
      </w:r>
      <w:r>
        <w:rPr>
          <w:rFonts w:ascii="宋体" w:hAnsi="宋体" w:cs="宋体" w:eastAsia="宋体" w:hint="default"/>
          <w:spacing w:val="-3"/>
        </w:rPr>
        <w:t>2016</w:t>
      </w:r>
      <w:r>
        <w:rPr>
          <w:spacing w:val="-3"/>
        </w:rPr>
        <w:t>年度合计应补偿股份</w:t>
      </w:r>
      <w:r>
        <w:rPr>
          <w:rFonts w:ascii="宋体" w:hAnsi="宋体" w:cs="宋体" w:eastAsia="宋体" w:hint="default"/>
          <w:spacing w:val="-3"/>
        </w:rPr>
        <w:t>225.0158</w:t>
      </w:r>
      <w:r>
        <w:rPr>
          <w:spacing w:val="-3"/>
        </w:rPr>
        <w:t>万股的回购注销事项</w:t>
      </w:r>
      <w:r>
        <w:rPr>
          <w:rFonts w:ascii="宋体" w:hAnsi="宋体" w:cs="宋体" w:eastAsia="宋体" w:hint="default"/>
          <w:spacing w:val="-3"/>
        </w:rPr>
        <w:t>;</w:t>
      </w:r>
      <w:r>
        <w:rPr>
          <w:spacing w:val="-3"/>
        </w:rPr>
        <w:t>回购注销完成后，</w:t>
      </w:r>
    </w:p>
    <w:p>
      <w:pPr>
        <w:pStyle w:val="BodyText"/>
        <w:spacing w:line="360" w:lineRule="auto" w:before="2"/>
        <w:ind w:left="514" w:right="6072" w:hanging="360"/>
        <w:jc w:val="left"/>
      </w:pPr>
      <w:r>
        <w:rPr/>
        <w:t>公司总股本将由</w:t>
      </w:r>
      <w:r>
        <w:rPr>
          <w:rFonts w:ascii="宋体" w:hAnsi="宋体" w:cs="宋体" w:eastAsia="宋体" w:hint="default"/>
        </w:rPr>
        <w:t>27,703.0616</w:t>
      </w:r>
      <w:r>
        <w:rPr/>
        <w:t>万元减少至</w:t>
      </w:r>
      <w:r>
        <w:rPr>
          <w:rFonts w:ascii="宋体" w:hAnsi="宋体" w:cs="宋体" w:eastAsia="宋体" w:hint="default"/>
        </w:rPr>
        <w:t>27,478.0458</w:t>
      </w:r>
      <w:r>
        <w:rPr/>
        <w:t>万元。 </w:t>
      </w:r>
      <w:r>
        <w:rPr>
          <w:rFonts w:ascii="宋体" w:hAnsi="宋体" w:cs="宋体" w:eastAsia="宋体" w:hint="default"/>
        </w:rPr>
        <w:t>2</w:t>
      </w:r>
      <w:r>
        <w:rPr/>
        <w:t>、报告期内</w:t>
      </w:r>
      <w:r>
        <w:rPr>
          <w:rFonts w:ascii="宋体" w:hAnsi="宋体" w:cs="宋体" w:eastAsia="宋体" w:hint="default"/>
        </w:rPr>
        <w:t>,</w:t>
      </w:r>
      <w:r>
        <w:rPr/>
        <w:t>公司高管离职</w:t>
      </w:r>
      <w:r>
        <w:rPr>
          <w:rFonts w:ascii="宋体" w:hAnsi="宋体" w:cs="宋体" w:eastAsia="宋体" w:hint="default"/>
        </w:rPr>
        <w:t>,</w:t>
      </w:r>
      <w:r>
        <w:rPr/>
        <w:t>按照相关规定股份解锁。</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1130"/>
        <w:jc w:val="left"/>
      </w:pPr>
      <w:r>
        <w:rPr/>
        <w:t>股份变动的批准情况</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日，第四届董事会</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1</w:t>
      </w:r>
      <w:r>
        <w:rPr>
          <w:spacing w:val="-2"/>
        </w:rPr>
        <w:t>次定期会议审议通过了《关于提请股东大会授权董事会全权办理回购、注销相</w:t>
      </w:r>
      <w:r>
        <w:rPr/>
        <w:t> </w:t>
      </w:r>
      <w:r>
        <w:rPr>
          <w:spacing w:val="5"/>
        </w:rPr>
        <w:t>关事项并修改公司章程的议案》，同意公司回购注销</w:t>
      </w:r>
      <w:r>
        <w:rPr>
          <w:rFonts w:ascii="Times New Roman" w:hAnsi="Times New Roman" w:cs="Times New Roman" w:eastAsia="Times New Roman" w:hint="default"/>
          <w:spacing w:val="5"/>
        </w:rPr>
        <w:t>225.0158</w:t>
      </w:r>
      <w:r>
        <w:rPr>
          <w:spacing w:val="5"/>
        </w:rPr>
        <w:t>万股，</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5</w:t>
      </w:r>
      <w:r>
        <w:rPr>
          <w:spacing w:val="5"/>
        </w:rPr>
        <w:t>日，回购注销完成后，公司总股本将由</w:t>
      </w:r>
      <w:r>
        <w:rPr>
          <w:spacing w:val="-78"/>
        </w:rPr>
        <w:t> </w:t>
      </w:r>
      <w:r>
        <w:rPr>
          <w:spacing w:val="-78"/>
        </w:rPr>
      </w:r>
      <w:r>
        <w:rPr>
          <w:rFonts w:ascii="Times New Roman" w:hAnsi="Times New Roman" w:cs="Times New Roman" w:eastAsia="Times New Roman" w:hint="default"/>
        </w:rPr>
        <w:t>27,703.0616</w:t>
      </w:r>
      <w:r>
        <w:rPr/>
        <w:t>万元减少至</w:t>
      </w:r>
      <w:r>
        <w:rPr>
          <w:rFonts w:ascii="Times New Roman" w:hAnsi="Times New Roman" w:cs="Times New Roman" w:eastAsia="Times New Roman" w:hint="default"/>
        </w:rPr>
        <w:t>27,478.0458</w:t>
      </w:r>
      <w:r>
        <w:rPr/>
        <w:t>万元；本事项已经</w:t>
      </w:r>
      <w:r>
        <w:rPr>
          <w:rFonts w:ascii="Times New Roman" w:hAnsi="Times New Roman" w:cs="Times New Roman" w:eastAsia="Times New Roman" w:hint="default"/>
        </w:rPr>
        <w:t>2016</w:t>
      </w:r>
      <w:r>
        <w:rPr/>
        <w:t>年年度股东大会审议通过。该减资事项具体详情请见刊登于</w:t>
      </w:r>
      <w:r>
        <w:rPr>
          <w:rFonts w:ascii="Times New Roman" w:hAnsi="Times New Roman" w:cs="Times New Roman" w:eastAsia="Times New Roman" w:hint="default"/>
        </w:rPr>
        <w:t>2017</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日巨潮资讯网（</w:t>
      </w:r>
      <w:hyperlink r:id="rId12">
        <w:r>
          <w:rPr>
            <w:rFonts w:ascii="Times New Roman" w:hAnsi="Times New Roman" w:cs="Times New Roman" w:eastAsia="Times New Roman" w:hint="default"/>
          </w:rPr>
          <w:t>http://www.cninfo.com.cn</w:t>
        </w:r>
      </w:hyperlink>
      <w:r>
        <w:rPr/>
        <w:t>）。公司已完成了变更工商信息程序，具体详情请见刊登于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w:t>
      </w:r>
      <w:r>
        <w:rPr>
          <w:w w:val="99"/>
        </w:rPr>
        <w:t> </w:t>
      </w:r>
      <w:r>
        <w:rPr/>
        <w:t>巨潮资讯网（</w:t>
      </w:r>
      <w:hyperlink r:id="rId12">
        <w:r>
          <w:rPr>
            <w:rFonts w:ascii="Times New Roman" w:hAnsi="Times New Roman" w:cs="Times New Roman" w:eastAsia="Times New Roman" w:hint="default"/>
          </w:rPr>
          <w:t>http://www.cninfo.com.cn</w:t>
        </w:r>
      </w:hyperlink>
      <w:r>
        <w:rPr/>
        <w:t>）。</w:t>
      </w:r>
    </w:p>
    <w:p>
      <w:pPr>
        <w:spacing w:line="240" w:lineRule="auto" w:before="0"/>
        <w:rPr>
          <w:rFonts w:ascii="宋体" w:hAnsi="宋体" w:cs="宋体" w:eastAsia="宋体" w:hint="default"/>
          <w:sz w:val="18"/>
          <w:szCs w:val="18"/>
        </w:rPr>
      </w:pPr>
    </w:p>
    <w:p>
      <w:pPr>
        <w:pStyle w:val="BodyText"/>
        <w:spacing w:line="240" w:lineRule="auto" w:before="130"/>
        <w:ind w:right="1130"/>
        <w:jc w:val="left"/>
      </w:pPr>
      <w:r>
        <w:rPr/>
        <w:t>股份变动的过户情况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日，公司完成了方笑求、蓝顺明</w:t>
      </w:r>
      <w:r>
        <w:rPr>
          <w:rFonts w:ascii="Times New Roman" w:hAnsi="Times New Roman" w:cs="Times New Roman" w:eastAsia="Times New Roman" w:hint="default"/>
          <w:spacing w:val="-2"/>
        </w:rPr>
        <w:t>2016</w:t>
      </w:r>
      <w:r>
        <w:rPr>
          <w:spacing w:val="-2"/>
        </w:rPr>
        <w:t>年度合计应补偿股份</w:t>
      </w:r>
      <w:r>
        <w:rPr>
          <w:rFonts w:ascii="Times New Roman" w:hAnsi="Times New Roman" w:cs="Times New Roman" w:eastAsia="Times New Roman" w:hint="default"/>
          <w:spacing w:val="-2"/>
        </w:rPr>
        <w:t>225.0158</w:t>
      </w:r>
      <w:r>
        <w:rPr>
          <w:spacing w:val="-2"/>
        </w:rPr>
        <w:t>万股的回购注销事项</w:t>
      </w:r>
      <w:r>
        <w:rPr>
          <w:rFonts w:ascii="Times New Roman" w:hAnsi="Times New Roman" w:cs="Times New Roman" w:eastAsia="Times New Roman" w:hint="default"/>
          <w:spacing w:val="-2"/>
        </w:rPr>
        <w:t>;</w:t>
      </w:r>
      <w:r>
        <w:rPr>
          <w:spacing w:val="-2"/>
        </w:rPr>
        <w:t>回购注销完成后，公</w:t>
      </w:r>
      <w:r>
        <w:rPr/>
        <w:t> 司</w:t>
      </w:r>
      <w:r>
        <w:rPr>
          <w:spacing w:val="-44"/>
        </w:rPr>
        <w:t> </w:t>
      </w:r>
      <w:r>
        <w:rPr/>
        <w:t>总</w:t>
      </w:r>
      <w:r>
        <w:rPr>
          <w:spacing w:val="-44"/>
        </w:rPr>
        <w:t> </w:t>
      </w:r>
      <w:r>
        <w:rPr/>
        <w:t>股</w:t>
      </w:r>
      <w:r>
        <w:rPr>
          <w:spacing w:val="-44"/>
        </w:rPr>
        <w:t> </w:t>
      </w:r>
      <w:r>
        <w:rPr/>
        <w:t>本</w:t>
      </w:r>
      <w:r>
        <w:rPr>
          <w:spacing w:val="-44"/>
        </w:rPr>
        <w:t> </w:t>
      </w:r>
      <w:r>
        <w:rPr/>
        <w:t>将</w:t>
      </w:r>
      <w:r>
        <w:rPr>
          <w:spacing w:val="-45"/>
        </w:rPr>
        <w:t> </w:t>
      </w:r>
      <w:r>
        <w:rPr/>
        <w:t>由</w:t>
      </w:r>
      <w:r>
        <w:rPr>
          <w:spacing w:val="-42"/>
        </w:rPr>
        <w:t> </w:t>
      </w:r>
      <w:r>
        <w:rPr>
          <w:rFonts w:ascii="Times New Roman" w:hAnsi="Times New Roman" w:cs="Times New Roman" w:eastAsia="Times New Roman" w:hint="default"/>
        </w:rPr>
        <w:t>27,703.0616</w:t>
      </w:r>
      <w:r>
        <w:rPr>
          <w:rFonts w:ascii="Times New Roman" w:hAnsi="Times New Roman" w:cs="Times New Roman" w:eastAsia="Times New Roman" w:hint="default"/>
          <w:spacing w:val="1"/>
        </w:rPr>
        <w:t> </w:t>
      </w:r>
      <w:r>
        <w:rPr>
          <w:spacing w:val="36"/>
        </w:rPr>
        <w:t>万元减少至</w:t>
      </w:r>
      <w:r>
        <w:rPr>
          <w:spacing w:val="-44"/>
        </w:rPr>
        <w:t> </w:t>
      </w:r>
      <w:r>
        <w:rPr>
          <w:rFonts w:ascii="Times New Roman" w:hAnsi="Times New Roman" w:cs="Times New Roman" w:eastAsia="Times New Roman" w:hint="default"/>
        </w:rPr>
        <w:t>27,478.0458</w:t>
      </w:r>
      <w:r>
        <w:rPr>
          <w:rFonts w:ascii="Times New Roman" w:hAnsi="Times New Roman" w:cs="Times New Roman" w:eastAsia="Times New Roman" w:hint="default"/>
          <w:spacing w:val="1"/>
        </w:rPr>
        <w:t> </w:t>
      </w:r>
      <w:r>
        <w:rPr/>
        <w:t>万</w:t>
      </w:r>
      <w:r>
        <w:rPr>
          <w:spacing w:val="-45"/>
        </w:rPr>
        <w:t> </w:t>
      </w:r>
      <w:r>
        <w:rPr/>
        <w:t>元</w:t>
      </w:r>
      <w:r>
        <w:rPr>
          <w:spacing w:val="-44"/>
        </w:rPr>
        <w:t> </w:t>
      </w:r>
      <w:r>
        <w:rPr/>
        <w:t>。</w:t>
      </w:r>
      <w:r>
        <w:rPr>
          <w:spacing w:val="-44"/>
        </w:rPr>
        <w:t> </w:t>
      </w:r>
      <w:r>
        <w:rPr/>
        <w:t>具</w:t>
      </w:r>
      <w:r>
        <w:rPr>
          <w:spacing w:val="-44"/>
        </w:rPr>
        <w:t> </w:t>
      </w:r>
      <w:r>
        <w:rPr/>
        <w:t>体</w:t>
      </w:r>
      <w:r>
        <w:rPr>
          <w:spacing w:val="-44"/>
        </w:rPr>
        <w:t> </w:t>
      </w:r>
      <w:r>
        <w:rPr/>
        <w:t>详</w:t>
      </w:r>
      <w:r>
        <w:rPr>
          <w:spacing w:val="-45"/>
        </w:rPr>
        <w:t> </w:t>
      </w:r>
      <w:r>
        <w:rPr/>
        <w:t>情</w:t>
      </w:r>
      <w:r>
        <w:rPr>
          <w:spacing w:val="-44"/>
        </w:rPr>
        <w:t> </w:t>
      </w:r>
      <w:r>
        <w:rPr/>
        <w:t>请</w:t>
      </w:r>
      <w:r>
        <w:rPr>
          <w:spacing w:val="-44"/>
        </w:rPr>
        <w:t> </w:t>
      </w:r>
      <w:r>
        <w:rPr/>
        <w:t>见</w:t>
      </w:r>
      <w:r>
        <w:rPr>
          <w:spacing w:val="-44"/>
        </w:rPr>
        <w:t> </w:t>
      </w:r>
      <w:r>
        <w:rPr/>
        <w:t>刊</w:t>
      </w:r>
      <w:r>
        <w:rPr>
          <w:spacing w:val="-44"/>
        </w:rPr>
        <w:t> </w:t>
      </w:r>
      <w:r>
        <w:rPr/>
        <w:t>登</w:t>
      </w:r>
      <w:r>
        <w:rPr>
          <w:spacing w:val="-45"/>
        </w:rPr>
        <w:t> </w:t>
      </w:r>
      <w:r>
        <w:rPr/>
        <w:t>于</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r>
        <w:rPr>
          <w:spacing w:val="-44"/>
        </w:rPr>
        <w:t> </w:t>
      </w:r>
      <w:r>
        <w:rPr/>
        <w:t>巨</w:t>
      </w:r>
      <w:r>
        <w:rPr>
          <w:spacing w:val="-44"/>
        </w:rPr>
        <w:t> </w:t>
      </w:r>
      <w:r>
        <w:rPr/>
        <w:t>潮</w:t>
      </w:r>
      <w:r>
        <w:rPr>
          <w:spacing w:val="-44"/>
        </w:rPr>
        <w:t> </w:t>
      </w:r>
      <w:r>
        <w:rPr/>
        <w:t>资</w:t>
      </w:r>
      <w:r>
        <w:rPr>
          <w:spacing w:val="-45"/>
        </w:rPr>
        <w:t> </w:t>
      </w:r>
      <w:r>
        <w:rPr/>
        <w:t>讯</w:t>
      </w:r>
      <w:r>
        <w:rPr>
          <w:spacing w:val="-44"/>
        </w:rPr>
        <w:t> </w:t>
      </w:r>
      <w:r>
        <w:rPr/>
        <w:t>网</w:t>
      </w:r>
    </w:p>
    <w:p>
      <w:pPr>
        <w:pStyle w:val="BodyText"/>
        <w:spacing w:line="240" w:lineRule="auto" w:before="13"/>
        <w:ind w:right="1130"/>
        <w:jc w:val="left"/>
      </w:pPr>
      <w:r>
        <w:rPr/>
        <w:t>（</w:t>
      </w:r>
      <w:hyperlink r:id="rId12">
        <w:r>
          <w:rPr>
            <w:rFonts w:ascii="Times New Roman" w:hAnsi="Times New Roman" w:cs="Times New Roman" w:eastAsia="Times New Roman" w:hint="default"/>
          </w:rPr>
          <w:t>http://www.cninfo.com.cn</w:t>
        </w:r>
      </w:hyperlink>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4" w:right="1130"/>
        <w:jc w:val="left"/>
      </w:pPr>
      <w:r>
        <w:rPr/>
        <w:t>股份变动对最近一年和最近一期基本每股收益和稀释每股收益、归属于公司普通股股东的每股净资产等财务指标的影响</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136"/>
        <w:jc w:val="right"/>
      </w:pPr>
      <w:r>
        <w:rPr/>
        <w:pict>
          <v:shape style="position:absolute;margin-left:56.459999pt;margin-top:-52.14827pt;width:479.35pt;height:290.7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1183"/>
                    <w:gridCol w:w="1551"/>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6,895,994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6,895,994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日解锁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日后解锁</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9,194,658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8,069,579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3,116,650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3,116,650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3,116,650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首发后个人类限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r>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罗宏健</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z w:val="18"/>
                            <w:szCs w:val="18"/>
                          </w:rPr>
                          <w:t>罗宏健先生因个</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183"/>
        <w:gridCol w:w="1551"/>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人原因离职</w:t>
            </w:r>
            <w:r>
              <w:rPr>
                <w:rFonts w:ascii="Times New Roman" w:hAnsi="Times New Roman" w:cs="Times New Roman" w:eastAsia="Times New Roman" w:hint="default"/>
                <w:sz w:val="18"/>
                <w:szCs w:val="18"/>
              </w:rPr>
              <w:t>,</w:t>
            </w:r>
            <w:r>
              <w:rPr>
                <w:rFonts w:ascii="宋体" w:hAnsi="宋体" w:cs="宋体" w:eastAsia="宋体" w:hint="default"/>
                <w:sz w:val="18"/>
                <w:szCs w:val="18"/>
              </w:rPr>
              <w:t>按相</w:t>
            </w:r>
            <w:r>
              <w:rPr>
                <w:rFonts w:ascii="宋体" w:hAnsi="宋体" w:cs="宋体" w:eastAsia="宋体" w:hint="default"/>
                <w:spacing w:val="-2"/>
                <w:sz w:val="18"/>
                <w:szCs w:val="18"/>
              </w:rPr>
              <w:t> </w:t>
            </w:r>
            <w:r>
              <w:rPr>
                <w:rFonts w:ascii="宋体" w:hAnsi="宋体" w:cs="宋体" w:eastAsia="宋体" w:hint="default"/>
                <w:sz w:val="18"/>
                <w:szCs w:val="18"/>
              </w:rPr>
              <w:t>关规定解除限</w:t>
            </w:r>
            <w:r>
              <w:rPr>
                <w:rFonts w:ascii="宋体" w:hAnsi="宋体" w:cs="宋体" w:eastAsia="宋体" w:hint="default"/>
                <w:sz w:val="18"/>
                <w:szCs w:val="18"/>
              </w:rPr>
              <w:t> 售。</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7" w:lineRule="auto" w:before="62"/>
              <w:ind w:left="22" w:right="28"/>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方吉槟先生因 任期满离任</w:t>
            </w:r>
            <w:r>
              <w:rPr>
                <w:rFonts w:ascii="Times New Roman" w:hAnsi="Times New Roman" w:cs="Times New Roman" w:eastAsia="Times New Roman" w:hint="default"/>
                <w:sz w:val="18"/>
                <w:szCs w:val="18"/>
              </w:rPr>
              <w:t>,</w:t>
            </w:r>
            <w:r>
              <w:rPr>
                <w:rFonts w:ascii="宋体" w:hAnsi="宋体" w:cs="宋体" w:eastAsia="宋体" w:hint="default"/>
                <w:sz w:val="18"/>
                <w:szCs w:val="18"/>
              </w:rPr>
              <w:t>按相</w:t>
            </w:r>
            <w:r>
              <w:rPr>
                <w:rFonts w:ascii="宋体" w:hAnsi="宋体" w:cs="宋体" w:eastAsia="宋体" w:hint="default"/>
                <w:spacing w:val="-2"/>
                <w:sz w:val="18"/>
                <w:szCs w:val="18"/>
              </w:rPr>
              <w:t> </w:t>
            </w:r>
            <w:r>
              <w:rPr>
                <w:rFonts w:ascii="宋体" w:hAnsi="宋体" w:cs="宋体" w:eastAsia="宋体" w:hint="default"/>
                <w:sz w:val="18"/>
                <w:szCs w:val="18"/>
              </w:rPr>
              <w:t>关规定解除限</w:t>
            </w:r>
            <w:r>
              <w:rPr>
                <w:rFonts w:ascii="宋体" w:hAnsi="宋体" w:cs="宋体" w:eastAsia="宋体" w:hint="default"/>
                <w:sz w:val="18"/>
                <w:szCs w:val="18"/>
              </w:rPr>
              <w:t> 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63,035,660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63,035,660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85,381,612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84,247,033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18"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日，第四届董事会</w:t>
      </w:r>
      <w:r>
        <w:rPr>
          <w:rFonts w:ascii="Times New Roman" w:hAnsi="Times New Roman" w:cs="Times New Roman" w:eastAsia="Times New Roman" w:hint="default"/>
          <w:spacing w:val="-2"/>
        </w:rPr>
        <w:t>2017</w:t>
      </w:r>
      <w:r>
        <w:rPr>
          <w:spacing w:val="-2"/>
        </w:rPr>
        <w:t>年第</w:t>
      </w:r>
      <w:r>
        <w:rPr>
          <w:rFonts w:ascii="Times New Roman" w:hAnsi="Times New Roman" w:cs="Times New Roman" w:eastAsia="Times New Roman" w:hint="default"/>
          <w:spacing w:val="-2"/>
        </w:rPr>
        <w:t>1</w:t>
      </w:r>
      <w:r>
        <w:rPr>
          <w:spacing w:val="-2"/>
        </w:rPr>
        <w:t>次定期会议审议通过了《关于提请股东大会授权董事会全权办理回购、注销相</w:t>
      </w:r>
      <w:r>
        <w:rPr/>
        <w:t> 关事项并修改公司章程的议案》，同意公司回购注销</w:t>
      </w:r>
      <w:r>
        <w:rPr>
          <w:rFonts w:ascii="Times New Roman" w:hAnsi="Times New Roman" w:cs="Times New Roman" w:eastAsia="Times New Roman" w:hint="default"/>
        </w:rPr>
        <w:t>225.0158</w:t>
      </w:r>
      <w:r>
        <w:rPr/>
        <w:t>万股，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日，回购注销完成后，公司总股本将由 </w:t>
      </w:r>
      <w:r>
        <w:rPr>
          <w:rFonts w:ascii="Times New Roman" w:hAnsi="Times New Roman" w:cs="Times New Roman" w:eastAsia="Times New Roman" w:hint="default"/>
        </w:rPr>
        <w:t>27,703.0616</w:t>
      </w:r>
      <w:r>
        <w:rPr/>
        <w:t>万元减少至</w:t>
      </w:r>
      <w:r>
        <w:rPr>
          <w:rFonts w:ascii="Times New Roman" w:hAnsi="Times New Roman" w:cs="Times New Roman" w:eastAsia="Times New Roman" w:hint="default"/>
        </w:rPr>
        <w:t>27,478.0458</w:t>
      </w:r>
      <w:r>
        <w:rPr/>
        <w:t>万元；本事项已经</w:t>
      </w:r>
      <w:r>
        <w:rPr>
          <w:rFonts w:ascii="Times New Roman" w:hAnsi="Times New Roman" w:cs="Times New Roman" w:eastAsia="Times New Roman" w:hint="default"/>
        </w:rPr>
        <w:t>2016</w:t>
      </w:r>
      <w:r>
        <w:rPr/>
        <w:t>年年度股东大会审议通过。该减资事项具体详情请见刊登于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日巨潮资讯网（</w:t>
      </w:r>
      <w:hyperlink r:id="rId12">
        <w:r>
          <w:rPr>
            <w:rFonts w:ascii="Times New Roman" w:hAnsi="Times New Roman" w:cs="Times New Roman" w:eastAsia="Times New Roman" w:hint="default"/>
          </w:rPr>
          <w:t>http://www.cninfo.com.cn</w:t>
        </w:r>
      </w:hyperlink>
      <w:r>
        <w:rPr/>
        <w:t>）。公司已完成了变更工商信息程序，具体详情请见刊登于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w:t>
      </w:r>
      <w:r>
        <w:rPr>
          <w:w w:val="99"/>
        </w:rPr>
        <w:t> </w:t>
      </w:r>
      <w:r>
        <w:rPr/>
        <w:t>巨潮资讯网（</w:t>
      </w:r>
      <w:hyperlink r:id="rId12">
        <w:r>
          <w:rPr>
            <w:rFonts w:ascii="Times New Roman" w:hAnsi="Times New Roman" w:cs="Times New Roman" w:eastAsia="Times New Roman" w:hint="default"/>
          </w:rPr>
          <w:t>http://www.cninfo.com.cn</w:t>
        </w:r>
      </w:hyperlink>
      <w:r>
        <w:rPr/>
        <w:t>）。</w:t>
      </w:r>
    </w:p>
    <w:p>
      <w:pPr>
        <w:spacing w:line="240" w:lineRule="auto" w:before="10"/>
        <w:rPr>
          <w:rFonts w:ascii="宋体" w:hAnsi="宋体" w:cs="宋体" w:eastAsia="宋体" w:hint="default"/>
          <w:sz w:val="22"/>
          <w:szCs w:val="22"/>
        </w:rPr>
      </w:pPr>
    </w:p>
    <w:p>
      <w:pPr>
        <w:pStyle w:val="Heading3"/>
        <w:spacing w:line="240" w:lineRule="auto"/>
        <w:ind w:right="113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74"/>
        <w:gridCol w:w="1218"/>
        <w:gridCol w:w="1173"/>
        <w:gridCol w:w="1220"/>
        <w:gridCol w:w="1173"/>
        <w:gridCol w:w="1207"/>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8"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32,320</w:t>
            </w:r>
          </w:p>
        </w:tc>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218"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28,986</w:t>
            </w:r>
          </w:p>
        </w:tc>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9" w:space="0" w:color="D2D2D2"/>
            </w:tcBorders>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9" w:space="0" w:color="D2D2D2"/>
              <w:right w:val="single" w:sz="9" w:space="0" w:color="D2D2D2"/>
            </w:tcBorders>
          </w:tcPr>
          <w:p>
            <w:pPr/>
          </w:p>
        </w:tc>
        <w:tc>
          <w:tcPr>
            <w:tcW w:w="11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71"/>
              <w:jc w:val="both"/>
              <w:rPr>
                <w:rFonts w:ascii="宋体" w:hAnsi="宋体" w:cs="宋体" w:eastAsia="宋体" w:hint="default"/>
                <w:sz w:val="18"/>
                <w:szCs w:val="18"/>
              </w:rPr>
            </w:pPr>
            <w:r>
              <w:rPr>
                <w:rFonts w:ascii="宋体" w:hAnsi="宋体" w:cs="宋体" w:eastAsia="宋体" w:hint="default"/>
                <w:sz w:val="18"/>
                <w:szCs w:val="18"/>
              </w:rPr>
              <w:t>（如有）（参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10" w:space="0" w:color="D2D2D2"/>
              <w:right w:val="single" w:sz="9" w:space="0" w:color="D2D2D2"/>
            </w:tcBorders>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vMerge/>
            <w:tcBorders>
              <w:left w:val="single" w:sz="9" w:space="0" w:color="D2D2D2"/>
              <w:right w:val="single" w:sz="9"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20" w:type="dxa"/>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vMerge/>
            <w:tcBorders>
              <w:left w:val="single" w:sz="10" w:space="0" w:color="D2D2D2"/>
              <w:right w:val="single" w:sz="9" w:space="0" w:color="D2D2D2"/>
            </w:tcBorders>
          </w:tcPr>
          <w:p>
            <w:pPr/>
          </w:p>
        </w:tc>
        <w:tc>
          <w:tcPr>
            <w:tcW w:w="1174" w:type="dxa"/>
            <w:vMerge/>
            <w:tcBorders>
              <w:left w:val="single" w:sz="4" w:space="0" w:color="000000"/>
              <w:right w:val="single" w:sz="4" w:space="0" w:color="000000"/>
            </w:tcBorders>
            <w:shd w:val="clear" w:color="auto" w:fill="D2D2D2"/>
          </w:tcPr>
          <w:p>
            <w:pPr/>
          </w:p>
        </w:tc>
        <w:tc>
          <w:tcPr>
            <w:tcW w:w="1218" w:type="dxa"/>
            <w:vMerge/>
            <w:tcBorders>
              <w:left w:val="single" w:sz="9" w:space="0" w:color="D2D2D2"/>
              <w:right w:val="single" w:sz="9"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20" w:type="dxa"/>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tcBorders>
              <w:left w:val="single" w:sz="10" w:space="0" w:color="D2D2D2"/>
              <w:right w:val="single" w:sz="9" w:space="0" w:color="D2D2D2"/>
            </w:tcBorders>
          </w:tcPr>
          <w:p>
            <w:pPr/>
          </w:p>
        </w:tc>
        <w:tc>
          <w:tcPr>
            <w:tcW w:w="1174"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9" w:space="0" w:color="D2D2D2"/>
              <w:right w:val="single" w:sz="9"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20" w:type="dxa"/>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9" w:space="0" w:color="D2D2D2"/>
            </w:tcBorders>
          </w:tcPr>
          <w:p>
            <w:pPr/>
          </w:p>
        </w:tc>
        <w:tc>
          <w:tcPr>
            <w:tcW w:w="1174" w:type="dxa"/>
            <w:vMerge w:val="restart"/>
            <w:tcBorders>
              <w:top w:val="nil" w:sz="6" w:space="0" w:color="auto"/>
              <w:left w:val="single" w:sz="4" w:space="0" w:color="000000"/>
              <w:right w:val="single" w:sz="4" w:space="0" w:color="000000"/>
            </w:tcBorders>
            <w:shd w:val="clear" w:color="auto" w:fill="D2D2D2"/>
          </w:tcPr>
          <w:p>
            <w:pPr/>
          </w:p>
        </w:tc>
        <w:tc>
          <w:tcPr>
            <w:tcW w:w="1218" w:type="dxa"/>
            <w:vMerge/>
            <w:tcBorders>
              <w:left w:val="single" w:sz="9" w:space="0" w:color="D2D2D2"/>
              <w:right w:val="single" w:sz="9" w:space="0" w:color="D2D2D2"/>
            </w:tcBorders>
          </w:tcPr>
          <w:p>
            <w:pPr/>
          </w:p>
        </w:tc>
        <w:tc>
          <w:tcPr>
            <w:tcW w:w="1173"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9" w:space="0" w:color="D2D2D2"/>
              <w:right w:val="single" w:sz="13"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9" w:space="0" w:color="D2D2D2"/>
            </w:tcBorders>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9" w:space="0" w:color="D2D2D2"/>
            </w:tcBorders>
          </w:tcPr>
          <w:p>
            <w:pPr/>
          </w:p>
        </w:tc>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9" w:space="0" w:color="D2D2D2"/>
              <w:bottom w:val="single" w:sz="4" w:space="0" w:color="000000"/>
              <w:right w:val="single" w:sz="13" w:space="0" w:color="D2D2D2"/>
            </w:tcBorders>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7" w:hRule="exact"/>
        </w:trPr>
        <w:tc>
          <w:tcPr>
            <w:tcW w:w="955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225"/>
        <w:gridCol w:w="187"/>
        <w:gridCol w:w="662"/>
        <w:gridCol w:w="912"/>
        <w:gridCol w:w="788"/>
        <w:gridCol w:w="787"/>
        <w:gridCol w:w="840"/>
        <w:gridCol w:w="1349"/>
        <w:gridCol w:w="1348"/>
      </w:tblGrid>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1" w:right="89"/>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 w:right="2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3"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225"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30.59%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84,047,547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63,035,66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21,011,88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深圳德旺投资发 展有限公司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4.24%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11,639,653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11,639,65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2.94%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8,069,579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-1125079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6,895,994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1,173,585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2.94%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8,069,579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-1125079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8,069,579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罗伟莹</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1.92%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5,280,508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5280508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5,280,508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宗佩民</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1.13%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3,116,650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3,116,650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1.13%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3,116,650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3,116,650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谢国中</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1.13%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3,099,800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3099800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国民信托有限公 司－国民信托</w:t>
            </w:r>
            <w:r>
              <w:rPr>
                <w:rFonts w:ascii="Times New Roman" w:hAnsi="Times New Roman" w:cs="Times New Roman" w:eastAsia="Times New Roman" w:hint="default"/>
                <w:sz w:val="18"/>
                <w:szCs w:val="18"/>
              </w:rPr>
              <w:t>·</w:t>
            </w:r>
            <w:r>
              <w:rPr>
                <w:rFonts w:ascii="宋体" w:hAnsi="宋体" w:cs="宋体" w:eastAsia="宋体" w:hint="default"/>
                <w:sz w:val="18"/>
                <w:szCs w:val="18"/>
              </w:rPr>
              <w:t>茂 硕电源</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 金信托计划</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2" w:right="0"/>
              <w:jc w:val="left"/>
              <w:rPr>
                <w:rFonts w:ascii="Times New Roman" w:hAnsi="Times New Roman" w:cs="Times New Roman" w:eastAsia="Times New Roman" w:hint="default"/>
                <w:sz w:val="18"/>
                <w:szCs w:val="18"/>
              </w:rPr>
            </w:pPr>
            <w:r>
              <w:rPr>
                <w:rFonts w:ascii="Times New Roman"/>
                <w:sz w:val="18"/>
              </w:rPr>
              <w:t>0.88%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2,430,103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2,430,103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深圳市前海宜涛 资产管理有限公 司－前海宜涛红 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号证券投资私 募基金</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2,084,053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2084053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2,084,053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302"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，为茂硕电源科 技股份有限公司的控股股东和实际控制人。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、方笑求先生与蓝顺明女士为配偶关系。</w:t>
            </w: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3"/>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21,011,887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21,011,887</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11,639,653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11,639,653</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罗伟莹</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5,280,508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5,280,508</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谢国中</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3,099,800</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国民信托有限公司－国民信托</w:t>
            </w:r>
            <w:r>
              <w:rPr>
                <w:rFonts w:ascii="Times New Roman" w:hAnsi="Times New Roman" w:cs="Times New Roman" w:eastAsia="Times New Roman" w:hint="default"/>
                <w:sz w:val="18"/>
                <w:szCs w:val="18"/>
              </w:rPr>
              <w:t>·</w:t>
            </w:r>
            <w:r>
              <w:rPr>
                <w:rFonts w:ascii="宋体" w:hAnsi="宋体" w:cs="宋体" w:eastAsia="宋体" w:hint="default"/>
                <w:sz w:val="18"/>
                <w:szCs w:val="18"/>
              </w:rPr>
              <w:t>茂硕 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2,430,103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2,430,103</w:t>
            </w:r>
          </w:p>
        </w:tc>
      </w:tr>
      <w:tr>
        <w:trPr>
          <w:trHeight w:val="1026"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深圳市前海宜涛资产管理有限公司</w:t>
            </w:r>
          </w:p>
          <w:p>
            <w:pPr>
              <w:pStyle w:val="TableParagraph"/>
              <w:spacing w:line="302" w:lineRule="auto" w:before="77"/>
              <w:ind w:left="22" w:right="146"/>
              <w:jc w:val="left"/>
              <w:rPr>
                <w:rFonts w:ascii="宋体" w:hAnsi="宋体" w:cs="宋体" w:eastAsia="宋体" w:hint="default"/>
                <w:sz w:val="18"/>
                <w:szCs w:val="18"/>
              </w:rPr>
            </w:pPr>
            <w:r>
              <w:rPr>
                <w:rFonts w:ascii="宋体" w:hAnsi="宋体" w:cs="宋体" w:eastAsia="宋体" w:hint="default"/>
                <w:sz w:val="18"/>
                <w:szCs w:val="18"/>
              </w:rPr>
              <w:t>－前海宜涛红树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号证券投资私募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2,084,053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2,084,053</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顾伟</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1,731,300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1,731,300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1,725,900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1,725,900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蓝顺明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1,173,585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1,173,585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皮远军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1,046,500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、顾永德先生直接持有深圳德旺投资发展有限公司的股权比例为</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，为茂硕电源</w:t>
            </w:r>
            <w:r>
              <w:rPr>
                <w:rFonts w:ascii="宋体" w:hAnsi="宋体" w:cs="宋体" w:eastAsia="宋体" w:hint="default"/>
                <w:sz w:val="18"/>
                <w:szCs w:val="18"/>
              </w:rPr>
              <w:t> 科技股份有限公司的控股股东和实际控制人。</w:t>
            </w:r>
            <w:r>
              <w:rPr>
                <w:rFonts w:ascii="Times New Roman" w:hAnsi="Times New Roman" w:cs="Times New Roman" w:eastAsia="Times New Roman" w:hint="default"/>
                <w:sz w:val="18"/>
                <w:szCs w:val="18"/>
              </w:rPr>
              <w:t>2</w:t>
            </w:r>
            <w:r>
              <w:rPr>
                <w:rFonts w:ascii="宋体" w:hAnsi="宋体" w:cs="宋体" w:eastAsia="宋体" w:hint="default"/>
                <w:sz w:val="18"/>
                <w:szCs w:val="18"/>
              </w:rPr>
              <w:t>、方笑求先生与蓝顺明女士为配偶关 系。</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务情况说明（如有）（参见注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罗伟莹通过普通证券账户持有本公司股份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股，通过信用证券账户持有本公司股份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5,280,508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5,280,508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股；谢国中通过普通证券账户持有本公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股，通过信用证券账户持有本公司股份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3,099,800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股，合计持有本公司股份</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3,099,800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股；顾伟通过普通证券账户持有本公司股份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股，通过信用证券账户持有本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1,731,300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1,731,300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113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3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2"/>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茂硕电源董事长、总经理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113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1"/>
          <w:szCs w:val="21"/>
        </w:rPr>
      </w:pPr>
    </w:p>
    <w:p>
      <w:pPr>
        <w:pStyle w:val="Heading3"/>
        <w:spacing w:line="240" w:lineRule="auto"/>
        <w:ind w:right="1130"/>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2"/>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茂硕电源董事长、总经理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54" w:right="1130"/>
        <w:jc w:val="left"/>
      </w:pPr>
      <w:r>
        <w:rPr/>
        <w:t>实际控制人报告期内变更</w:t>
      </w:r>
    </w:p>
    <w:p>
      <w:pPr>
        <w:pStyle w:val="BodyText"/>
        <w:spacing w:line="338" w:lineRule="auto" w:before="117"/>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公司与实际控制人之间的产权及控制关系的方框图</w:t>
      </w:r>
    </w:p>
    <w:p>
      <w:pPr>
        <w:spacing w:line="240" w:lineRule="auto" w:before="7"/>
        <w:rPr>
          <w:rFonts w:ascii="宋体" w:hAnsi="宋体" w:cs="宋体" w:eastAsia="宋体" w:hint="default"/>
          <w:sz w:val="22"/>
          <w:szCs w:val="22"/>
        </w:rPr>
      </w:pPr>
    </w:p>
    <w:p>
      <w:pPr>
        <w:spacing w:line="3990" w:lineRule="exact"/>
        <w:ind w:left="1356" w:right="0" w:firstLine="0"/>
        <w:rPr>
          <w:rFonts w:ascii="宋体" w:hAnsi="宋体" w:cs="宋体" w:eastAsia="宋体" w:hint="default"/>
          <w:sz w:val="20"/>
          <w:szCs w:val="20"/>
        </w:rPr>
      </w:pPr>
      <w:r>
        <w:rPr>
          <w:rFonts w:ascii="宋体" w:hAnsi="宋体" w:cs="宋体" w:eastAsia="宋体" w:hint="default"/>
          <w:position w:val="-79"/>
          <w:sz w:val="20"/>
          <w:szCs w:val="20"/>
        </w:rPr>
        <w:drawing>
          <wp:inline distT="0" distB="0" distL="0" distR="0">
            <wp:extent cx="4590138" cy="25336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5" cstate="print"/>
                    <a:stretch>
                      <a:fillRect/>
                    </a:stretch>
                  </pic:blipFill>
                  <pic:spPr>
                    <a:xfrm>
                      <a:off x="0" y="0"/>
                      <a:ext cx="4590138" cy="2533650"/>
                    </a:xfrm>
                    <a:prstGeom prst="rect">
                      <a:avLst/>
                    </a:prstGeom>
                  </pic:spPr>
                </pic:pic>
              </a:graphicData>
            </a:graphic>
          </wp:inline>
        </w:drawing>
      </w:r>
      <w:r>
        <w:rPr>
          <w:rFonts w:ascii="宋体" w:hAnsi="宋体" w:cs="宋体" w:eastAsia="宋体" w:hint="default"/>
          <w:position w:val="-79"/>
          <w:sz w:val="20"/>
          <w:szCs w:val="20"/>
        </w:rPr>
      </w:r>
    </w:p>
    <w:p>
      <w:pPr>
        <w:spacing w:line="240" w:lineRule="auto" w:before="11"/>
        <w:rPr>
          <w:rFonts w:ascii="宋体" w:hAnsi="宋体" w:cs="宋体" w:eastAsia="宋体" w:hint="default"/>
          <w:sz w:val="18"/>
          <w:szCs w:val="18"/>
        </w:rPr>
      </w:pPr>
    </w:p>
    <w:p>
      <w:pPr>
        <w:pStyle w:val="BodyText"/>
        <w:spacing w:line="240" w:lineRule="auto"/>
        <w:ind w:right="113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30"/>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3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3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84,047,54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84,047,54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书、副总 经理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9,194,658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8,069,579</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93,254,20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1,125,079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92,129,12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3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44"/>
        <w:ind w:left="0" w:right="1140"/>
        <w:jc w:val="right"/>
      </w:pPr>
      <w:r>
        <w:rPr/>
        <w:pict>
          <v:shape style="position:absolute;margin-left:56.459999pt;margin-top:-20.978273pt;width:479.2pt;height:386.3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1"/>
                    <w:gridCol w:w="1168"/>
                    <w:gridCol w:w="1492"/>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58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肖明女士申请辞去监事会主席职务</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经第三届董事会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r>
                          <w:rPr>
                            <w:rFonts w:ascii="宋体" w:hAnsi="宋体" w:cs="宋体" w:eastAsia="宋体" w:hint="default"/>
                            <w:spacing w:val="1"/>
                            <w:sz w:val="18"/>
                            <w:szCs w:val="18"/>
                          </w:rPr>
                          <w:t>定</w:t>
                        </w:r>
                        <w:r>
                          <w:rPr>
                            <w:rFonts w:ascii="宋体" w:hAnsi="宋体" w:cs="宋体" w:eastAsia="宋体" w:hint="default"/>
                            <w:sz w:val="18"/>
                            <w:szCs w:val="18"/>
                          </w:rPr>
                          <w:t>期</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会议审议通过为公司副总经理，任期为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次临时会议审议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次临时股东大会审议通过为公司</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副总经理。任期为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第三届董事会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次临时</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会议审议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次临时股东大</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会审议通过为公司独立董事。任期为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 w:right="110"/>
                          <w:jc w:val="left"/>
                          <w:rPr>
                            <w:rFonts w:ascii="宋体" w:hAnsi="宋体" w:cs="宋体" w:eastAsia="宋体" w:hint="default"/>
                            <w:sz w:val="18"/>
                            <w:szCs w:val="18"/>
                          </w:rPr>
                        </w:pPr>
                        <w:r>
                          <w:rPr>
                            <w:rFonts w:ascii="宋体" w:hAnsi="宋体" w:cs="宋体" w:eastAsia="宋体" w:hint="default"/>
                            <w:spacing w:val="-11"/>
                            <w:sz w:val="18"/>
                            <w:szCs w:val="18"/>
                          </w:rPr>
                          <w:t>董事、副总经理</w:t>
                        </w:r>
                        <w:r>
                          <w:rPr>
                            <w:rFonts w:ascii="宋体" w:hAnsi="宋体" w:cs="宋体" w:eastAsia="宋体" w:hint="default"/>
                            <w:sz w:val="18"/>
                            <w:szCs w:val="18"/>
                          </w:rPr>
                          <w:t> 董事会秘书</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第三届董事会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次临时</w:t>
                        </w:r>
                      </w:p>
                      <w:p>
                        <w:pPr>
                          <w:pStyle w:val="TableParagraph"/>
                          <w:spacing w:line="300" w:lineRule="auto" w:before="61"/>
                          <w:ind w:left="23" w:right="22"/>
                          <w:jc w:val="both"/>
                          <w:rPr>
                            <w:rFonts w:ascii="宋体" w:hAnsi="宋体" w:cs="宋体" w:eastAsia="宋体" w:hint="default"/>
                            <w:sz w:val="18"/>
                            <w:szCs w:val="18"/>
                          </w:rPr>
                        </w:pPr>
                        <w:r>
                          <w:rPr>
                            <w:rFonts w:ascii="宋体" w:hAnsi="宋体" w:cs="宋体" w:eastAsia="宋体" w:hint="default"/>
                            <w:sz w:val="18"/>
                            <w:szCs w:val="18"/>
                          </w:rPr>
                          <w:t>会议审议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次临时股东大 会审议通过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方吉槟先生将不再担任公司第四届董事、 副总经理、董事会秘书。</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第三届董事会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次临时</w:t>
                        </w:r>
                      </w:p>
                      <w:p>
                        <w:pPr>
                          <w:pStyle w:val="TableParagraph"/>
                          <w:spacing w:line="302" w:lineRule="auto" w:before="61"/>
                          <w:ind w:left="23" w:right="22"/>
                          <w:jc w:val="both"/>
                          <w:rPr>
                            <w:rFonts w:ascii="宋体" w:hAnsi="宋体" w:cs="宋体" w:eastAsia="宋体" w:hint="default"/>
                            <w:sz w:val="18"/>
                            <w:szCs w:val="18"/>
                          </w:rPr>
                        </w:pPr>
                        <w:r>
                          <w:rPr>
                            <w:rFonts w:ascii="宋体" w:hAnsi="宋体" w:cs="宋体" w:eastAsia="宋体" w:hint="default"/>
                            <w:sz w:val="18"/>
                            <w:szCs w:val="18"/>
                          </w:rPr>
                          <w:t>会议审议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次临时股东大 会审议通过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张新明先生将不再担任公司第四届独立董 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35"/>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29"/>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会议审议通过为公司副总经理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董事会秘书。任期为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line="870" w:lineRule="exact"/>
        <w:ind w:left="2819"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57.95pt;height:43.55pt;mso-position-horizontal-relative:char;mso-position-vertical-relative:line" coordorigin="0,0" coordsize="1159,871">
            <v:group style="position:absolute;left:0;top:0;width:1159;height:468" coordorigin="0,0" coordsize="1159,468">
              <v:shape style="position:absolute;left:0;top:0;width:1159;height:468" coordorigin="0,0" coordsize="1159,468" path="m0,468l1158,468,1158,0,0,0,0,468xe" filled="true" fillcolor="#ffffff" stroked="false">
                <v:path arrowok="t"/>
                <v:fill type="solid"/>
              </v:shape>
            </v:group>
            <v:group style="position:absolute;left:11;top:468;width:2;height:392" coordorigin="11,468" coordsize="2,392">
              <v:shape style="position:absolute;left:11;top:468;width:2;height:392" coordorigin="11,468" coordsize="0,392" path="m11,468l11,859e" filled="false" stroked="true" strokeweight="1.140pt" strokecolor="#ffffff">
                <v:path arrowok="t"/>
              </v:shape>
            </v:group>
            <v:group style="position:absolute;left:23;top:468;width:1113;height:392" coordorigin="23,468" coordsize="1113,392">
              <v:shape style="position:absolute;left:23;top:468;width:1113;height:392" coordorigin="23,468" coordsize="1113,392" path="m23,859l1136,859,1136,468,23,468,23,859xe" filled="true" fillcolor="#ffffff" stroked="false">
                <v:path arrowok="t"/>
                <v:fill type="solid"/>
              </v:shape>
            </v:group>
          </v:group>
        </w:pict>
      </w:r>
      <w:r>
        <w:rPr>
          <w:rFonts w:ascii="宋体" w:hAnsi="宋体" w:cs="宋体" w:eastAsia="宋体" w:hint="default"/>
          <w:position w:val="-16"/>
          <w:sz w:val="20"/>
          <w:szCs w:val="20"/>
        </w:rPr>
      </w:r>
    </w:p>
    <w:p>
      <w:pPr>
        <w:spacing w:after="0" w:line="87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w:t>
            </w:r>
          </w:p>
          <w:p>
            <w:pPr>
              <w:pStyle w:val="TableParagraph"/>
              <w:spacing w:line="302" w:lineRule="auto" w:before="61"/>
              <w:ind w:left="23" w:right="73"/>
              <w:jc w:val="left"/>
              <w:rPr>
                <w:rFonts w:ascii="宋体" w:hAnsi="宋体" w:cs="宋体" w:eastAsia="宋体" w:hint="default"/>
                <w:sz w:val="18"/>
                <w:szCs w:val="18"/>
              </w:rPr>
            </w:pPr>
            <w:r>
              <w:rPr>
                <w:rFonts w:ascii="宋体" w:hAnsi="宋体" w:cs="宋体" w:eastAsia="宋体" w:hint="default"/>
                <w:sz w:val="18"/>
                <w:szCs w:val="18"/>
              </w:rPr>
              <w:t>时会议审议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次临时股 东大会审议通过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方笑求先生不再担任公司董事。</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w:t>
            </w:r>
          </w:p>
          <w:p>
            <w:pPr>
              <w:pStyle w:val="TableParagraph"/>
              <w:spacing w:line="302" w:lineRule="auto" w:before="61"/>
              <w:ind w:left="23" w:right="73"/>
              <w:jc w:val="left"/>
              <w:rPr>
                <w:rFonts w:ascii="宋体" w:hAnsi="宋体" w:cs="宋体" w:eastAsia="宋体" w:hint="default"/>
                <w:sz w:val="18"/>
                <w:szCs w:val="18"/>
              </w:rPr>
            </w:pPr>
            <w:r>
              <w:rPr>
                <w:rFonts w:ascii="宋体" w:hAnsi="宋体" w:cs="宋体" w:eastAsia="宋体" w:hint="default"/>
                <w:sz w:val="18"/>
                <w:szCs w:val="18"/>
              </w:rPr>
              <w:t>时会议审议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次临时股 东大会审议通过为公司董事。</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19" w:lineRule="auto" w:before="116"/>
        <w:ind w:right="1073"/>
        <w:jc w:val="left"/>
      </w:pPr>
      <w:r>
        <w:rPr>
          <w:rFonts w:ascii="Times New Roman" w:hAnsi="Times New Roman" w:cs="Times New Roman" w:eastAsia="Times New Roman" w:hint="default"/>
        </w:rPr>
        <w:t>1</w:t>
      </w:r>
      <w:r>
        <w:rPr/>
        <w:t>、董事： 顾永德，男，汉族，</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月出生，江苏省无锡人。清华大学深圳研究院</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月参加工作，</w:t>
      </w:r>
      <w:r>
        <w:rPr>
          <w:rFonts w:ascii="Times New Roman" w:hAnsi="Times New Roman" w:cs="Times New Roman" w:eastAsia="Times New Roman" w:hint="default"/>
        </w:rPr>
        <w:t>2001</w:t>
      </w:r>
      <w:r>
        <w:rPr/>
        <w:t>年被深圳市政 府评为</w:t>
      </w:r>
      <w:r>
        <w:rPr>
          <w:rFonts w:ascii="Times New Roman" w:hAnsi="Times New Roman" w:cs="Times New Roman" w:eastAsia="Times New Roman" w:hint="default"/>
        </w:rPr>
        <w:t>“</w:t>
      </w:r>
      <w:r>
        <w:rPr/>
        <w:t>优秀外来深建设者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2005</w:t>
      </w:r>
      <w:r>
        <w:rPr/>
        <w:t>年被评为</w:t>
      </w:r>
      <w:r>
        <w:rPr>
          <w:rFonts w:ascii="Times New Roman" w:hAnsi="Times New Roman" w:cs="Times New Roman" w:eastAsia="Times New Roman" w:hint="default"/>
        </w:rPr>
        <w:t>“</w:t>
      </w:r>
      <w:r>
        <w:rPr/>
        <w:t>优秀民营企业家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月担任深圳锡星电子有限公司总经理；</w:t>
      </w:r>
    </w:p>
    <w:p>
      <w:pPr>
        <w:pStyle w:val="BodyText"/>
        <w:spacing w:line="302" w:lineRule="auto"/>
        <w:ind w:right="1129"/>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月至今，担任茂硕电源科技股份有限公司董事长。深圳市第七届工商联（总商会）副会长；深圳市第三届南山区工 商联（总商会）副会长；深圳市江苏商会副会长；深圳市无锡商会常务副会长；深圳市第五届、第六届人大代表。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12" w:lineRule="auto"/>
        <w:ind w:left="154" w:right="1129"/>
        <w:jc w:val="both"/>
      </w:pPr>
      <w:r>
        <w:rPr>
          <w:spacing w:val="-2"/>
        </w:rPr>
        <w:t>刘爱民，男，</w:t>
      </w:r>
      <w:r>
        <w:rPr>
          <w:rFonts w:ascii="Times New Roman" w:hAnsi="Times New Roman" w:cs="Times New Roman" w:eastAsia="Times New Roman" w:hint="default"/>
          <w:spacing w:val="-2"/>
        </w:rPr>
        <w:t>1976</w:t>
      </w:r>
      <w:r>
        <w:rPr>
          <w:spacing w:val="-2"/>
        </w:rPr>
        <w:t>年出生，中国国籍，无境外永久居留权，本科学历，会计师。曾任职</w:t>
      </w:r>
      <w:r>
        <w:rPr>
          <w:rFonts w:ascii="Times New Roman" w:hAnsi="Times New Roman" w:cs="Times New Roman" w:eastAsia="Times New Roman" w:hint="default"/>
          <w:spacing w:val="-2"/>
        </w:rPr>
        <w:t>TCL</w:t>
      </w:r>
      <w:r>
        <w:rPr>
          <w:spacing w:val="-2"/>
        </w:rPr>
        <w:t>集团子公司财务总监，三九集团</w:t>
      </w:r>
      <w:r>
        <w:rPr>
          <w:spacing w:val="-43"/>
        </w:rPr>
        <w:t> </w:t>
      </w:r>
      <w:r>
        <w:rPr>
          <w:spacing w:val="-43"/>
        </w:rPr>
      </w:r>
      <w:r>
        <w:rPr>
          <w:spacing w:val="-2"/>
        </w:rPr>
        <w:t>子公司财务经理，深圳市实益达科技股份有限公司（现更名为深圳市麦达数字股份有限公司）董事、副总裁、财务总监，前</w:t>
      </w:r>
      <w:r>
        <w:rPr>
          <w:spacing w:val="-67"/>
        </w:rPr>
        <w:t> </w:t>
      </w:r>
      <w:r>
        <w:rPr>
          <w:spacing w:val="-67"/>
        </w:rPr>
      </w:r>
      <w:r>
        <w:rPr>
          <w:spacing w:val="-2"/>
        </w:rPr>
        <w:t>海实益达董事、总经理，新余久益投资管理合伙企业（有限合伙）总裁，九派凯阳有限合伙人，深圳市宇顺电子股份有限公</w:t>
      </w:r>
      <w:r>
        <w:rPr>
          <w:spacing w:val="-68"/>
        </w:rPr>
        <w:t> </w:t>
      </w:r>
      <w:r>
        <w:rPr>
          <w:spacing w:val="-68"/>
        </w:rPr>
      </w:r>
      <w:r>
        <w:rPr/>
        <w:t>司副总经理、财务总监。</w:t>
      </w:r>
    </w:p>
    <w:p>
      <w:pPr>
        <w:spacing w:line="240" w:lineRule="auto" w:before="8"/>
        <w:rPr>
          <w:rFonts w:ascii="宋体" w:hAnsi="宋体" w:cs="宋体" w:eastAsia="宋体" w:hint="default"/>
          <w:sz w:val="25"/>
          <w:szCs w:val="25"/>
        </w:rPr>
      </w:pPr>
    </w:p>
    <w:p>
      <w:pPr>
        <w:pStyle w:val="BodyText"/>
        <w:spacing w:line="300" w:lineRule="auto"/>
        <w:ind w:right="1129"/>
        <w:jc w:val="both"/>
      </w:pPr>
      <w:r>
        <w:rPr/>
        <w:t>肖明，女，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月出生，毕业于天津科技大学，本科学历；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月，供职于深圳金士吉床上用品有限公</w:t>
      </w:r>
      <w:r>
        <w:rPr>
          <w:spacing w:val="-83"/>
        </w:rPr>
        <w:t> </w:t>
      </w:r>
      <w:r>
        <w:rPr>
          <w:spacing w:val="-83"/>
        </w:rPr>
      </w:r>
      <w:r>
        <w:rPr/>
        <w:t>司任人事行政经理和总助；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月，供职于深圳立升净水科技有限公司任总助；</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spacing w:val="-83"/>
        </w:rPr>
        <w:t> </w:t>
      </w:r>
      <w:r>
        <w:rPr>
          <w:spacing w:val="-1"/>
        </w:rPr>
        <w:t>供职于彼德</w:t>
      </w:r>
      <w:r>
        <w:rPr>
          <w:rFonts w:ascii="Times New Roman" w:hAnsi="Times New Roman" w:cs="Times New Roman" w:eastAsia="Times New Roman" w:hint="default"/>
          <w:spacing w:val="-1"/>
        </w:rPr>
        <w:t>•</w:t>
      </w:r>
      <w:r>
        <w:rPr>
          <w:spacing w:val="-1"/>
        </w:rPr>
        <w:t>德鲁克学院深圳教学中心任顾问；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月，供职于茂硕电源先后任总经理助理、监事会主席等</w:t>
      </w:r>
      <w:r>
        <w:rPr>
          <w:spacing w:val="-85"/>
        </w:rPr>
        <w:t> </w:t>
      </w:r>
      <w:r>
        <w:rPr>
          <w:spacing w:val="-85"/>
        </w:rPr>
      </w:r>
      <w:r>
        <w:rPr/>
        <w:t>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月，当选为深圳市南山区第七届人大代表；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月起至今，担任茂硕电源副总经理、董事，子公司加码</w:t>
      </w:r>
      <w:r>
        <w:rPr>
          <w:spacing w:val="-83"/>
        </w:rPr>
        <w:t> </w:t>
      </w:r>
      <w:r>
        <w:rPr>
          <w:spacing w:val="-83"/>
        </w:rPr>
      </w:r>
      <w:r>
        <w:rPr/>
        <w:t>技术有限公司董事长。</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00" w:lineRule="auto"/>
        <w:ind w:right="0"/>
        <w:jc w:val="left"/>
      </w:pPr>
      <w:r>
        <w:rPr/>
        <w:t>施伟力，男，</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4</w:t>
      </w:r>
      <w:r>
        <w:rPr/>
        <w:t>月出生，中国国籍，无境外永久居留权。毕业于武汉大学公共关系专业，经济师，</w:t>
      </w:r>
      <w:r>
        <w:rPr>
          <w:rFonts w:ascii="Times New Roman" w:hAnsi="Times New Roman" w:cs="Times New Roman" w:eastAsia="Times New Roman" w:hint="default"/>
        </w:rPr>
        <w:t>1974</w:t>
      </w:r>
      <w:r>
        <w:rPr/>
        <w:t>年至</w:t>
      </w:r>
      <w:r>
        <w:rPr>
          <w:rFonts w:ascii="Times New Roman" w:hAnsi="Times New Roman" w:cs="Times New Roman" w:eastAsia="Times New Roman" w:hint="default"/>
        </w:rPr>
        <w:t>1982</w:t>
      </w:r>
      <w:r>
        <w:rPr/>
        <w:t>年在 </w:t>
      </w:r>
      <w:r>
        <w:rPr>
          <w:spacing w:val="-2"/>
        </w:rPr>
        <w:t>泉州无线电五厂任副厂长；</w:t>
      </w:r>
      <w:r>
        <w:rPr>
          <w:rFonts w:ascii="Times New Roman" w:hAnsi="Times New Roman" w:cs="Times New Roman" w:eastAsia="Times New Roman" w:hint="default"/>
          <w:spacing w:val="-2"/>
        </w:rPr>
        <w:t>1983</w:t>
      </w:r>
      <w:r>
        <w:rPr>
          <w:spacing w:val="-2"/>
        </w:rPr>
        <w:t>年至</w:t>
      </w:r>
      <w:r>
        <w:rPr>
          <w:rFonts w:ascii="Times New Roman" w:hAnsi="Times New Roman" w:cs="Times New Roman" w:eastAsia="Times New Roman" w:hint="default"/>
          <w:spacing w:val="-2"/>
        </w:rPr>
        <w:t>1984</w:t>
      </w:r>
      <w:r>
        <w:rPr>
          <w:spacing w:val="-2"/>
        </w:rPr>
        <w:t>年在厦门闽厦教学设备公司任经理；</w:t>
      </w:r>
      <w:r>
        <w:rPr>
          <w:rFonts w:ascii="Times New Roman" w:hAnsi="Times New Roman" w:cs="Times New Roman" w:eastAsia="Times New Roman" w:hint="default"/>
          <w:spacing w:val="-2"/>
        </w:rPr>
        <w:t>1985</w:t>
      </w:r>
      <w:r>
        <w:rPr>
          <w:spacing w:val="-2"/>
        </w:rPr>
        <w:t>年至</w:t>
      </w:r>
      <w:r>
        <w:rPr>
          <w:rFonts w:ascii="Times New Roman" w:hAnsi="Times New Roman" w:cs="Times New Roman" w:eastAsia="Times New Roman" w:hint="default"/>
          <w:spacing w:val="-2"/>
        </w:rPr>
        <w:t>1992</w:t>
      </w:r>
      <w:r>
        <w:rPr>
          <w:spacing w:val="-2"/>
        </w:rPr>
        <w:t>年在中外合资东泉电子有限公司</w:t>
      </w:r>
      <w:r>
        <w:rPr>
          <w:spacing w:val="-48"/>
        </w:rPr>
        <w:t> </w:t>
      </w:r>
      <w:r>
        <w:rPr>
          <w:spacing w:val="-3"/>
        </w:rPr>
        <w:t>任总经理；</w:t>
      </w:r>
      <w:r>
        <w:rPr>
          <w:rFonts w:ascii="Times New Roman" w:hAnsi="Times New Roman" w:cs="Times New Roman" w:eastAsia="Times New Roman" w:hint="default"/>
          <w:spacing w:val="-3"/>
        </w:rPr>
        <w:t>1993</w:t>
      </w:r>
      <w:r>
        <w:rPr>
          <w:spacing w:val="-3"/>
        </w:rPr>
        <w:t>年至</w:t>
      </w:r>
      <w:r>
        <w:rPr>
          <w:rFonts w:ascii="Times New Roman" w:hAnsi="Times New Roman" w:cs="Times New Roman" w:eastAsia="Times New Roman" w:hint="default"/>
          <w:spacing w:val="-3"/>
        </w:rPr>
        <w:t>1994</w:t>
      </w:r>
      <w:r>
        <w:rPr>
          <w:spacing w:val="-3"/>
        </w:rPr>
        <w:t>年任香港南方国际电子有限公司副总经理；</w:t>
      </w:r>
      <w:r>
        <w:rPr>
          <w:rFonts w:ascii="Times New Roman" w:hAnsi="Times New Roman" w:cs="Times New Roman" w:eastAsia="Times New Roman" w:hint="default"/>
          <w:spacing w:val="-3"/>
        </w:rPr>
        <w:t>1995</w:t>
      </w:r>
      <w:r>
        <w:rPr>
          <w:spacing w:val="-3"/>
        </w:rPr>
        <w:t>年至</w:t>
      </w:r>
      <w:r>
        <w:rPr>
          <w:rFonts w:ascii="Times New Roman" w:hAnsi="Times New Roman" w:cs="Times New Roman" w:eastAsia="Times New Roman" w:hint="default"/>
          <w:spacing w:val="-3"/>
        </w:rPr>
        <w:t>2001</w:t>
      </w:r>
      <w:r>
        <w:rPr>
          <w:spacing w:val="-3"/>
        </w:rPr>
        <w:t>年先后任香港华刚光电零件有限公司经理、</w:t>
      </w:r>
      <w:r>
        <w:rPr>
          <w:spacing w:val="-73"/>
        </w:rPr>
        <w:t> </w:t>
      </w:r>
      <w:r>
        <w:rPr/>
        <w:t>厂长、中国市场部经理；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月任鑫谷光电股份有限公司副总经理；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月任大连路美芯片科 技有限公司高级顾问、副总经理；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月任大连九久光电科技有限公司董事总经理；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 </w:t>
      </w:r>
      <w:r>
        <w:rPr>
          <w:spacing w:val="-2"/>
        </w:rPr>
        <w:t>月任上海曼斯雷德光电有限公司董事长；</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月担任山西光宇半导体照明股份有限公司独立董事；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3"/>
        </w:rPr>
        <w:t> </w:t>
      </w:r>
      <w:r>
        <w:rPr/>
        <w:t>月至今担任聚灿光电科技股份有限公司独立董事；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月至今担任茂硕电源科技股份有限公司独立董事。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12" w:lineRule="auto"/>
        <w:ind w:left="154" w:right="1133"/>
        <w:jc w:val="both"/>
      </w:pPr>
      <w:r>
        <w:rPr>
          <w:spacing w:val="-2"/>
        </w:rPr>
        <w:t>郭新梅，女，</w:t>
      </w:r>
      <w:r>
        <w:rPr>
          <w:rFonts w:ascii="Times New Roman" w:hAnsi="Times New Roman" w:cs="Times New Roman" w:eastAsia="Times New Roman" w:hint="default"/>
          <w:spacing w:val="-2"/>
        </w:rPr>
        <w:t>1972</w:t>
      </w:r>
      <w:r>
        <w:rPr>
          <w:spacing w:val="-2"/>
        </w:rPr>
        <w:t>年出生，中国国籍，无境外永久居留权，硕士研究生，高级会计师。曾任深圳市亚美进出口贸易有限公司</w:t>
      </w:r>
      <w:r>
        <w:rPr>
          <w:spacing w:val="-67"/>
        </w:rPr>
        <w:t> </w:t>
      </w:r>
      <w:r>
        <w:rPr>
          <w:spacing w:val="-67"/>
        </w:rPr>
      </w:r>
      <w:r>
        <w:rPr>
          <w:spacing w:val="-2"/>
        </w:rPr>
        <w:t>财务负责人、深圳新合程国际物流股份有限公司会计经理、悦丰集团有限公司财务总监、深圳丹邦科技股份有限公司财务总</w:t>
      </w:r>
      <w:r>
        <w:rPr>
          <w:spacing w:val="-66"/>
        </w:rPr>
        <w:t> </w:t>
      </w:r>
      <w:r>
        <w:rPr>
          <w:spacing w:val="-66"/>
        </w:rPr>
      </w:r>
      <w:r>
        <w:rPr>
          <w:spacing w:val="-2"/>
        </w:rPr>
        <w:t>监，现任深圳市锦瑞生物科技有限公司财务总监，茂硕电源科技股份有限公司独立董事，惠州市惠德瑞锂电科技股份有限公</w:t>
      </w:r>
      <w:r>
        <w:rPr>
          <w:spacing w:val="-66"/>
        </w:rPr>
        <w:t> </w:t>
      </w:r>
      <w:r>
        <w:rPr>
          <w:spacing w:val="-66"/>
        </w:rPr>
      </w:r>
      <w:r>
        <w:rPr/>
        <w:t>司独立董事。</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2</w:t>
      </w:r>
      <w:r>
        <w:rPr/>
        <w:t>、监事：</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t>廖青莲，女，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11</w:t>
      </w:r>
      <w:r>
        <w:rPr/>
        <w:t>月出生，中国国籍，毕业于西南政法大学经济法专业，本科学历；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月取得律师资格证书，近 五年来一直从事法务工作。</w:t>
      </w:r>
    </w:p>
    <w:p>
      <w:pPr>
        <w:spacing w:line="240" w:lineRule="auto" w:before="3"/>
        <w:rPr>
          <w:rFonts w:ascii="宋体" w:hAnsi="宋体" w:cs="宋体" w:eastAsia="宋体" w:hint="default"/>
          <w:sz w:val="26"/>
          <w:szCs w:val="26"/>
        </w:rPr>
      </w:pPr>
    </w:p>
    <w:p>
      <w:pPr>
        <w:pStyle w:val="BodyText"/>
        <w:spacing w:line="300" w:lineRule="auto"/>
        <w:ind w:right="1129"/>
        <w:jc w:val="both"/>
      </w:pPr>
      <w:r>
        <w:rPr/>
        <w:t>成水英，女，中国国籍，</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月出生，毕业于湖南农业大学，本科学历。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月于深圳市荣丰包装制品</w:t>
      </w:r>
      <w:r>
        <w:rPr>
          <w:spacing w:val="-83"/>
        </w:rPr>
        <w:t> </w:t>
      </w:r>
      <w:r>
        <w:rPr>
          <w:spacing w:val="-83"/>
        </w:rPr>
      </w:r>
      <w:r>
        <w:rPr>
          <w:spacing w:val="-2"/>
        </w:rPr>
        <w:t>有限公任物控专员，</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月于深圳市众成纸品有限公司任总经理助理，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月于深圳市富雅</w:t>
      </w:r>
      <w:r>
        <w:rPr>
          <w:spacing w:val="-44"/>
        </w:rPr>
        <w:t> </w:t>
      </w:r>
      <w:r>
        <w:rPr/>
        <w:t>分色印刷有限公司任高级客户代表，</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月至今先后任茂硕电源董事长秘书、总裁助理、人力资源总监、监事。</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302" w:lineRule="auto"/>
        <w:ind w:right="1123"/>
        <w:jc w:val="left"/>
      </w:pPr>
      <w:r>
        <w:rPr/>
        <w:t>洪丹，女，</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11</w:t>
      </w:r>
      <w:r>
        <w:rPr/>
        <w:t>月出生，中国国籍，毕业于上饶师范学院，大学本科学历，学士学位。</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月至今任职于茂硕电源 科技股份有限公司人力资源中心，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月担任公司监事。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19" w:lineRule="auto"/>
        <w:ind w:right="1073"/>
        <w:jc w:val="left"/>
      </w:pPr>
      <w:r>
        <w:rPr>
          <w:rFonts w:ascii="Times New Roman" w:hAnsi="Times New Roman" w:cs="Times New Roman" w:eastAsia="Times New Roman" w:hint="default"/>
        </w:rPr>
        <w:t>3</w:t>
      </w:r>
      <w:r>
        <w:rPr/>
        <w:t>、高级管理人员： 顾永德，男，汉族，</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月出生，江苏省无锡人。清华大学深圳研究院</w:t>
      </w:r>
      <w:r>
        <w:rPr>
          <w:rFonts w:ascii="Times New Roman" w:hAnsi="Times New Roman" w:cs="Times New Roman" w:eastAsia="Times New Roman" w:hint="default"/>
        </w:rPr>
        <w:t>MBA</w:t>
      </w:r>
      <w:r>
        <w:rPr/>
        <w:t>。</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月参加工作，</w:t>
      </w:r>
      <w:r>
        <w:rPr>
          <w:rFonts w:ascii="Times New Roman" w:hAnsi="Times New Roman" w:cs="Times New Roman" w:eastAsia="Times New Roman" w:hint="default"/>
        </w:rPr>
        <w:t>2001</w:t>
      </w:r>
      <w:r>
        <w:rPr/>
        <w:t>年被深圳市政 府评为</w:t>
      </w:r>
      <w:r>
        <w:rPr>
          <w:rFonts w:ascii="Times New Roman" w:hAnsi="Times New Roman" w:cs="Times New Roman" w:eastAsia="Times New Roman" w:hint="default"/>
        </w:rPr>
        <w:t>“</w:t>
      </w:r>
      <w:r>
        <w:rPr/>
        <w:t>优秀外来深建设者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2005</w:t>
      </w:r>
      <w:r>
        <w:rPr/>
        <w:t>年被评为</w:t>
      </w:r>
      <w:r>
        <w:rPr>
          <w:rFonts w:ascii="Times New Roman" w:hAnsi="Times New Roman" w:cs="Times New Roman" w:eastAsia="Times New Roman" w:hint="default"/>
        </w:rPr>
        <w:t>“</w:t>
      </w:r>
      <w:r>
        <w:rPr/>
        <w:t>优秀民营企业家</w:t>
      </w:r>
      <w:r>
        <w:rPr>
          <w:rFonts w:ascii="Times New Roman" w:hAnsi="Times New Roman" w:cs="Times New Roman" w:eastAsia="Times New Roman" w:hint="default"/>
        </w:rPr>
        <w:t>”</w:t>
      </w:r>
      <w:r>
        <w:rPr/>
        <w:t>。</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月担任深圳锡星电子有限公司总经理；</w:t>
      </w:r>
    </w:p>
    <w:p>
      <w:pPr>
        <w:pStyle w:val="BodyText"/>
        <w:spacing w:line="302" w:lineRule="auto"/>
        <w:ind w:right="1123"/>
        <w:jc w:val="left"/>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月至今，担任茂硕电源科技股份有限公司董事长。深圳市第七届工商联（总商会）副会长；深圳市第三届南山区工 商联（总商会）副会长；深圳市江苏商会副会长；深圳市无锡商会常务副会长；深圳市第五届、第六届人大代表。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00" w:lineRule="auto"/>
        <w:ind w:right="0"/>
        <w:jc w:val="left"/>
      </w:pPr>
      <w:r>
        <w:rPr>
          <w:spacing w:val="-5"/>
        </w:rPr>
        <w:t>潘晓平，男，</w:t>
      </w:r>
      <w:r>
        <w:rPr>
          <w:rFonts w:ascii="Times New Roman" w:hAnsi="Times New Roman" w:cs="Times New Roman" w:eastAsia="Times New Roman" w:hint="default"/>
          <w:spacing w:val="-5"/>
        </w:rPr>
        <w:t>1966</w:t>
      </w:r>
      <w:r>
        <w:rPr>
          <w:spacing w:val="-5"/>
        </w:rPr>
        <w:t>年</w:t>
      </w:r>
      <w:r>
        <w:rPr>
          <w:rFonts w:ascii="Times New Roman" w:hAnsi="Times New Roman" w:cs="Times New Roman" w:eastAsia="Times New Roman" w:hint="default"/>
          <w:spacing w:val="-5"/>
        </w:rPr>
        <w:t>3</w:t>
      </w:r>
      <w:r>
        <w:rPr>
          <w:spacing w:val="-5"/>
        </w:rPr>
        <w:t>月出生，中国国籍，毕业于中国纺织大学机械工程系供热与通风专业，工学学士学位。</w:t>
      </w:r>
      <w:r>
        <w:rPr>
          <w:rFonts w:ascii="Times New Roman" w:hAnsi="Times New Roman" w:cs="Times New Roman" w:eastAsia="Times New Roman" w:hint="default"/>
          <w:spacing w:val="-5"/>
        </w:rPr>
        <w:t>1988</w:t>
      </w:r>
      <w:r>
        <w:rPr>
          <w:spacing w:val="-5"/>
        </w:rPr>
        <w:t>年</w:t>
      </w:r>
      <w:r>
        <w:rPr>
          <w:rFonts w:ascii="Times New Roman" w:hAnsi="Times New Roman" w:cs="Times New Roman" w:eastAsia="Times New Roman" w:hint="default"/>
          <w:spacing w:val="-5"/>
        </w:rPr>
        <w:t>7</w:t>
      </w:r>
      <w:r>
        <w:rPr>
          <w:spacing w:val="-5"/>
        </w:rPr>
        <w:t>月至</w:t>
      </w:r>
      <w:r>
        <w:rPr>
          <w:rFonts w:ascii="Times New Roman" w:hAnsi="Times New Roman" w:cs="Times New Roman" w:eastAsia="Times New Roman" w:hint="default"/>
          <w:spacing w:val="-5"/>
        </w:rPr>
        <w:t>1992</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3</w:t>
      </w:r>
      <w:r>
        <w:rPr>
          <w:spacing w:val="-2"/>
        </w:rPr>
        <w:t>月担任苏州太仓针织总厂动力分厂技术员、副厂长；</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月担任安莉芳集团有限公司经理；</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月至</w:t>
      </w:r>
      <w:r>
        <w:rPr>
          <w:spacing w:val="-49"/>
        </w:rPr>
        <w:t> </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3</w:t>
      </w:r>
      <w:r>
        <w:rPr>
          <w:spacing w:val="-3"/>
        </w:rPr>
        <w:t>月担任深圳经济特区免税商品企业公司经理；</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8</w:t>
      </w:r>
      <w:r>
        <w:rPr>
          <w:spacing w:val="-3"/>
        </w:rPr>
        <w:t>月担任安兴纸业（深圳）有限公司副总经理；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月担任三和国际有限公司副总经理；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月担任崧顺电子（深圳）有限公司总经理；</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月担任豪鹏国际股份有限公司副总经理；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月至今担任茂硕电源科技股份有限公司副总经理。</w:t>
      </w:r>
    </w:p>
    <w:p>
      <w:pPr>
        <w:spacing w:line="240" w:lineRule="auto" w:before="0"/>
        <w:rPr>
          <w:rFonts w:ascii="宋体" w:hAnsi="宋体" w:cs="宋体" w:eastAsia="宋体" w:hint="default"/>
          <w:sz w:val="18"/>
          <w:szCs w:val="18"/>
        </w:rPr>
      </w:pPr>
    </w:p>
    <w:p>
      <w:pPr>
        <w:pStyle w:val="BodyText"/>
        <w:spacing w:line="300" w:lineRule="auto" w:before="129"/>
        <w:ind w:right="1129"/>
        <w:jc w:val="both"/>
      </w:pPr>
      <w:r>
        <w:rPr/>
        <w:t>肖明，女，</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月出生，毕业于天津科技大学，本科学历；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月，供职于深圳金士吉床上用品有限公</w:t>
      </w:r>
      <w:r>
        <w:rPr>
          <w:spacing w:val="-83"/>
        </w:rPr>
        <w:t> </w:t>
      </w:r>
      <w:r>
        <w:rPr>
          <w:spacing w:val="-83"/>
        </w:rPr>
      </w:r>
      <w:r>
        <w:rPr/>
        <w:t>司任人事行政经理和总助；</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月，供职于深圳立升净水科技有限公司任总助；</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spacing w:val="-83"/>
        </w:rPr>
        <w:t> </w:t>
      </w:r>
      <w:r>
        <w:rPr>
          <w:spacing w:val="-1"/>
        </w:rPr>
        <w:t>供职于彼德</w:t>
      </w:r>
      <w:r>
        <w:rPr>
          <w:rFonts w:ascii="Times New Roman" w:hAnsi="Times New Roman" w:cs="Times New Roman" w:eastAsia="Times New Roman" w:hint="default"/>
          <w:spacing w:val="-1"/>
        </w:rPr>
        <w:t>•</w:t>
      </w:r>
      <w:r>
        <w:rPr>
          <w:spacing w:val="-1"/>
        </w:rPr>
        <w:t>德鲁克学院深圳教学中心任顾问；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月，供职于茂硕电源先后任总经理助理、监事会主席等</w:t>
      </w:r>
      <w:r>
        <w:rPr>
          <w:spacing w:val="-85"/>
        </w:rPr>
        <w:t> </w:t>
      </w:r>
      <w:r>
        <w:rPr>
          <w:spacing w:val="-85"/>
        </w:rPr>
      </w:r>
      <w:r>
        <w:rPr/>
        <w:t>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月，当选为深圳市南山区第七届人大代表，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月起至今，担任茂硕电源副总经理、董事；子公司加码</w:t>
      </w:r>
      <w:r>
        <w:rPr>
          <w:spacing w:val="-83"/>
        </w:rPr>
        <w:t> </w:t>
      </w:r>
      <w:r>
        <w:rPr>
          <w:spacing w:val="-83"/>
        </w:rPr>
      </w:r>
      <w:r>
        <w:rPr/>
        <w:t>技术有限公司董事长。</w:t>
      </w:r>
    </w:p>
    <w:p>
      <w:pPr>
        <w:spacing w:line="240" w:lineRule="auto" w:before="3"/>
        <w:rPr>
          <w:rFonts w:ascii="宋体" w:hAnsi="宋体" w:cs="宋体" w:eastAsia="宋体" w:hint="default"/>
          <w:sz w:val="26"/>
          <w:szCs w:val="26"/>
        </w:rPr>
      </w:pPr>
    </w:p>
    <w:p>
      <w:pPr>
        <w:pStyle w:val="BodyText"/>
        <w:spacing w:line="300" w:lineRule="auto"/>
        <w:ind w:right="1033"/>
        <w:jc w:val="left"/>
      </w:pPr>
      <w:r>
        <w:rPr>
          <w:spacing w:val="-5"/>
        </w:rPr>
        <w:t>谢春华，男，出生于</w:t>
      </w:r>
      <w:r>
        <w:rPr>
          <w:rFonts w:ascii="Times New Roman" w:hAnsi="Times New Roman" w:cs="Times New Roman" w:eastAsia="Times New Roman" w:hint="default"/>
          <w:spacing w:val="-5"/>
        </w:rPr>
        <w:t>1973</w:t>
      </w:r>
      <w:r>
        <w:rPr>
          <w:spacing w:val="-5"/>
        </w:rPr>
        <w:t>年</w:t>
      </w:r>
      <w:r>
        <w:rPr>
          <w:rFonts w:ascii="Times New Roman" w:hAnsi="Times New Roman" w:cs="Times New Roman" w:eastAsia="Times New Roman" w:hint="default"/>
          <w:spacing w:val="-5"/>
        </w:rPr>
        <w:t>6</w:t>
      </w:r>
      <w:r>
        <w:rPr>
          <w:spacing w:val="-5"/>
        </w:rPr>
        <w:t>月，中国国籍，</w:t>
      </w:r>
      <w:r>
        <w:rPr>
          <w:rFonts w:ascii="Times New Roman" w:hAnsi="Times New Roman" w:cs="Times New Roman" w:eastAsia="Times New Roman" w:hint="default"/>
          <w:spacing w:val="-5"/>
        </w:rPr>
        <w:t>1993</w:t>
      </w:r>
      <w:r>
        <w:rPr>
          <w:spacing w:val="-5"/>
        </w:rPr>
        <w:t>年毕业于江苏理工学院，本科学历，管理学士，拥有注册会计师资格</w:t>
      </w:r>
      <w:r>
        <w:rPr>
          <w:rFonts w:ascii="Times New Roman" w:hAnsi="Times New Roman" w:cs="Times New Roman" w:eastAsia="Times New Roman" w:hint="default"/>
          <w:spacing w:val="-5"/>
        </w:rPr>
        <w:t>(CICPA)</w:t>
      </w:r>
      <w:r>
        <w:rPr>
          <w:rFonts w:ascii="Times New Roman" w:hAnsi="Times New Roman" w:cs="Times New Roman" w:eastAsia="Times New Roman" w:hint="default"/>
          <w:spacing w:val="-15"/>
        </w:rPr>
        <w:t> </w:t>
      </w:r>
      <w:r>
        <w:rPr/>
        <w:t>与 资深特许公认会计师资格（</w:t>
      </w:r>
      <w:r>
        <w:rPr>
          <w:rFonts w:ascii="Times New Roman" w:hAnsi="Times New Roman" w:cs="Times New Roman" w:eastAsia="Times New Roman" w:hint="default"/>
        </w:rPr>
        <w:t>ACCA</w:t>
      </w:r>
      <w:r>
        <w:rPr/>
        <w:t>）</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美国索菲亚大学</w:t>
      </w:r>
      <w:r>
        <w:rPr>
          <w:rFonts w:ascii="Times New Roman" w:hAnsi="Times New Roman" w:cs="Times New Roman" w:eastAsia="Times New Roman" w:hint="default"/>
        </w:rPr>
        <w:t>MBA</w:t>
      </w:r>
      <w:r>
        <w:rPr/>
        <w:t>在读。参加工作后先后在沃尔玛中国咨询有限公司、杜邦中 国有限公司等外资企业工作；</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月，在广州百佳超级市场有限公司担任中国区财务经理；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spacing w:val="-46"/>
        </w:rPr>
        <w:t> </w:t>
      </w:r>
      <w:r>
        <w:rPr/>
        <w:t>至</w:t>
      </w:r>
      <w:r>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spacing w:val="14"/>
        </w:rPr>
        <w:t> </w:t>
      </w:r>
      <w:r>
        <w:rPr>
          <w:spacing w:val="-2"/>
        </w:rPr>
        <w:t>，在顺丰速运有限公司担任集团税务总监、事业部财务总监等职务；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月加入茂硕电源科技股份有限公司，</w:t>
      </w:r>
      <w:r>
        <w:rPr>
          <w:spacing w:val="-86"/>
        </w:rPr>
        <w:t> </w:t>
      </w:r>
      <w:r>
        <w:rPr/>
        <w:t>目前在公司担任董事会秘书、副总经理。</w:t>
      </w:r>
    </w:p>
    <w:p>
      <w:pPr>
        <w:spacing w:line="240" w:lineRule="auto" w:before="3"/>
        <w:rPr>
          <w:rFonts w:ascii="宋体" w:hAnsi="宋体" w:cs="宋体" w:eastAsia="宋体" w:hint="default"/>
          <w:sz w:val="26"/>
          <w:szCs w:val="26"/>
        </w:rPr>
      </w:pPr>
    </w:p>
    <w:p>
      <w:pPr>
        <w:pStyle w:val="BodyText"/>
        <w:spacing w:line="300" w:lineRule="auto"/>
        <w:ind w:right="1168"/>
        <w:jc w:val="left"/>
      </w:pPr>
      <w:r>
        <w:rPr/>
        <w:t>秦利红，女，</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12</w:t>
      </w:r>
      <w:r>
        <w:rPr/>
        <w:t>月出生，中国国籍，毕业于湖南大学会计专业，会计专业中级职称，注册会计师</w:t>
      </w:r>
      <w:r>
        <w:rPr>
          <w:rFonts w:ascii="Times New Roman" w:hAnsi="Times New Roman" w:cs="Times New Roman" w:eastAsia="Times New Roman" w:hint="default"/>
        </w:rPr>
        <w:t>,</w:t>
      </w:r>
      <w:r>
        <w:rPr/>
        <w:t>税务师。</w:t>
      </w:r>
      <w:r>
        <w:rPr>
          <w:rFonts w:ascii="Times New Roman" w:hAnsi="Times New Roman" w:cs="Times New Roman" w:eastAsia="Times New Roman" w:hint="default"/>
        </w:rPr>
        <w:t>2010</w:t>
      </w:r>
      <w:r>
        <w:rPr/>
        <w:t>年加 入茂硕电源科技股份有限公司，自</w:t>
      </w:r>
      <w:r>
        <w:rPr>
          <w:rFonts w:ascii="Times New Roman" w:hAnsi="Times New Roman" w:cs="Times New Roman" w:eastAsia="Times New Roman" w:hint="default"/>
        </w:rPr>
        <w:t>2012</w:t>
      </w:r>
      <w:r>
        <w:rPr/>
        <w:t>年起至今先后担任茂硕电源科技股份有限公司财务经理、财务总监。</w:t>
      </w:r>
    </w:p>
    <w:p>
      <w:pPr>
        <w:spacing w:line="240" w:lineRule="auto" w:before="0"/>
        <w:rPr>
          <w:rFonts w:ascii="宋体" w:hAnsi="宋体" w:cs="宋体" w:eastAsia="宋体" w:hint="default"/>
          <w:sz w:val="18"/>
          <w:szCs w:val="18"/>
        </w:rPr>
      </w:pPr>
    </w:p>
    <w:p>
      <w:pPr>
        <w:pStyle w:val="BodyText"/>
        <w:spacing w:line="240" w:lineRule="auto" w:before="130"/>
        <w:ind w:right="1130"/>
        <w:jc w:val="left"/>
      </w:pPr>
      <w:r>
        <w:rPr/>
        <w:t>在股东单位任职情况</w:t>
      </w:r>
    </w:p>
    <w:p>
      <w:pPr>
        <w:pStyle w:val="BodyText"/>
        <w:spacing w:line="240" w:lineRule="auto" w:before="116"/>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6"/>
              <w:jc w:val="righ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107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7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674"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总经理、执行</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10"/>
                <w:sz w:val="18"/>
                <w:szCs w:val="18"/>
              </w:rPr>
              <w:t>（常务）董事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顾永德先生为茂硕电源科技股份有限公司董事长、实际控制人</w:t>
            </w:r>
          </w:p>
        </w:tc>
      </w:tr>
    </w:tbl>
    <w:p>
      <w:pPr>
        <w:pStyle w:val="BodyText"/>
        <w:spacing w:line="240" w:lineRule="auto" w:before="51"/>
        <w:ind w:left="154" w:right="1130"/>
        <w:jc w:val="left"/>
      </w:pPr>
      <w:r>
        <w:rPr/>
        <w:t>在其他单位任职情况</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both"/>
              <w:rPr>
                <w:rFonts w:ascii="宋体" w:hAnsi="宋体" w:cs="宋体" w:eastAsia="宋体" w:hint="default"/>
                <w:sz w:val="18"/>
                <w:szCs w:val="18"/>
              </w:rPr>
            </w:pPr>
            <w:r>
              <w:rPr>
                <w:rFonts w:ascii="宋体" w:hAnsi="宋体" w:cs="宋体" w:eastAsia="宋体" w:hint="default"/>
                <w:sz w:val="18"/>
                <w:szCs w:val="18"/>
              </w:rPr>
              <w:t>法定代表人、 </w:t>
            </w:r>
            <w:r>
              <w:rPr>
                <w:rFonts w:ascii="宋体" w:hAnsi="宋体" w:cs="宋体" w:eastAsia="宋体" w:hint="default"/>
                <w:spacing w:val="-8"/>
                <w:sz w:val="18"/>
                <w:szCs w:val="18"/>
              </w:rPr>
              <w:t>总经理、执行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GLAMORSKY</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海宁茂硕诺华能源有限公司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总经理</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聚灿光电科技股份有限公司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深圳市锦瑞生物科技有限公司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惠州市惠德瑞锂电科技股份有限公司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执行董事</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加码技术有限公司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深圳市慧闪物联网络科技有限公司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深圳市明恒管理咨询有限公司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湖南茂硕新能源科技有限公司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30"/>
        <w:jc w:val="left"/>
      </w:pPr>
      <w:r>
        <w:rPr/>
        <w:t>公司现任及报告期内离任董事、监事和高级管理人员近三年证券监管机构处罚的情况</w:t>
      </w:r>
    </w:p>
    <w:p>
      <w:pPr>
        <w:pStyle w:val="BodyText"/>
        <w:spacing w:line="240"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left"/>
      </w:pPr>
      <w:r>
        <w:rPr/>
        <w:t>董事、监事、高级管理人员报酬的决策程序、确定依据、实际支付情况</w:t>
      </w:r>
    </w:p>
    <w:p>
      <w:pPr>
        <w:pStyle w:val="BodyText"/>
        <w:spacing w:line="240" w:lineRule="auto" w:before="116"/>
        <w:ind w:right="1130"/>
        <w:jc w:val="left"/>
      </w:pPr>
      <w:r>
        <w:rPr>
          <w:rFonts w:ascii="Times New Roman" w:hAnsi="Times New Roman" w:cs="Times New Roman" w:eastAsia="Times New Roman" w:hint="default"/>
        </w:rPr>
        <w:t>1</w:t>
      </w:r>
      <w:r>
        <w:rPr/>
        <w:t>、董事、监事、高级管理人员报酬的决策程序</w:t>
      </w:r>
    </w:p>
    <w:p>
      <w:pPr>
        <w:pStyle w:val="BodyText"/>
        <w:spacing w:line="304" w:lineRule="auto" w:before="103"/>
        <w:ind w:right="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日，公司第四届董事会</w:t>
      </w:r>
      <w:r>
        <w:rPr>
          <w:rFonts w:ascii="Times New Roman" w:hAnsi="Times New Roman" w:cs="Times New Roman" w:eastAsia="Times New Roman" w:hint="default"/>
          <w:spacing w:val="-2"/>
        </w:rPr>
        <w:t>2018</w:t>
      </w:r>
      <w:r>
        <w:rPr>
          <w:spacing w:val="-2"/>
        </w:rPr>
        <w:t>年第</w:t>
      </w:r>
      <w:r>
        <w:rPr>
          <w:rFonts w:ascii="Times New Roman" w:hAnsi="Times New Roman" w:cs="Times New Roman" w:eastAsia="Times New Roman" w:hint="default"/>
          <w:spacing w:val="-2"/>
        </w:rPr>
        <w:t>1</w:t>
      </w:r>
      <w:r>
        <w:rPr>
          <w:spacing w:val="-2"/>
        </w:rPr>
        <w:t>次定期会议审议通过关于公司</w:t>
      </w:r>
      <w:r>
        <w:rPr>
          <w:rFonts w:ascii="Times New Roman" w:hAnsi="Times New Roman" w:cs="Times New Roman" w:eastAsia="Times New Roman" w:hint="default"/>
          <w:spacing w:val="-2"/>
        </w:rPr>
        <w:t>&lt;2018</w:t>
      </w:r>
      <w:r>
        <w:rPr>
          <w:spacing w:val="-2"/>
        </w:rPr>
        <w:t>年度董事、监事、高级管理人员薪酬方案</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25"/>
        </w:rPr>
        <w:t> </w:t>
      </w:r>
      <w:r>
        <w:rPr>
          <w:spacing w:val="-2"/>
        </w:rPr>
        <w:t>的议案》，后经股东大会审议通过后生效；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月，由公司董事会薪酬与考核委员会审核确定</w:t>
      </w:r>
      <w:r>
        <w:rPr>
          <w:rFonts w:ascii="Times New Roman" w:hAnsi="Times New Roman" w:cs="Times New Roman" w:eastAsia="Times New Roman" w:hint="default"/>
          <w:spacing w:val="-2"/>
        </w:rPr>
        <w:t>2018</w:t>
      </w:r>
      <w:r>
        <w:rPr>
          <w:spacing w:val="-2"/>
        </w:rPr>
        <w:t>年度公司董事、监事、</w:t>
      </w:r>
      <w:r>
        <w:rPr>
          <w:spacing w:val="-56"/>
        </w:rPr>
        <w:t> </w:t>
      </w:r>
      <w:r>
        <w:rPr>
          <w:spacing w:val="-56"/>
        </w:rPr>
      </w:r>
      <w:r>
        <w:rPr/>
        <w:t>高级管理人员合计薪酬总额为人民币</w:t>
      </w:r>
      <w:r>
        <w:rPr>
          <w:spacing w:val="-18"/>
        </w:rPr>
        <w:t> </w:t>
      </w:r>
      <w:r>
        <w:rPr>
          <w:rFonts w:ascii="Times New Roman" w:hAnsi="Times New Roman" w:cs="Times New Roman" w:eastAsia="Times New Roman" w:hint="default"/>
          <w:sz w:val="21"/>
          <w:szCs w:val="21"/>
        </w:rPr>
        <w:t>310</w:t>
      </w:r>
      <w:r>
        <w:rPr/>
        <w:t>万元。</w:t>
      </w:r>
    </w:p>
    <w:p>
      <w:pPr>
        <w:pStyle w:val="BodyText"/>
        <w:spacing w:line="328" w:lineRule="auto" w:before="27"/>
        <w:ind w:left="154" w:right="1130"/>
        <w:jc w:val="left"/>
      </w:pPr>
      <w:r>
        <w:rPr>
          <w:rFonts w:ascii="Times New Roman" w:hAnsi="Times New Roman" w:cs="Times New Roman" w:eastAsia="Times New Roman" w:hint="default"/>
        </w:rPr>
        <w:t>2</w:t>
      </w:r>
      <w:r>
        <w:rPr/>
        <w:t>、董事、监事、高级管理人员报酬确定依据 </w:t>
      </w:r>
      <w:r>
        <w:rPr>
          <w:spacing w:val="-2"/>
        </w:rPr>
        <w:t>根据《公司章程》、《董事、监事、高级管理人员薪酬制度》等公司相关制度，结合公司经营规模等实际情况并参照行业薪</w:t>
      </w:r>
      <w:r>
        <w:rPr>
          <w:spacing w:val="-67"/>
        </w:rPr>
        <w:t> </w:t>
      </w:r>
      <w:r>
        <w:rPr>
          <w:spacing w:val="-67"/>
        </w:rPr>
      </w:r>
      <w:r>
        <w:rPr/>
        <w:t>酬水平确定。</w:t>
      </w:r>
    </w:p>
    <w:p>
      <w:pPr>
        <w:spacing w:line="240" w:lineRule="auto" w:before="4"/>
        <w:rPr>
          <w:rFonts w:ascii="宋体" w:hAnsi="宋体" w:cs="宋体" w:eastAsia="宋体" w:hint="default"/>
          <w:sz w:val="27"/>
          <w:szCs w:val="27"/>
        </w:rPr>
      </w:pPr>
    </w:p>
    <w:p>
      <w:pPr>
        <w:pStyle w:val="BodyText"/>
        <w:spacing w:line="240" w:lineRule="auto" w:before="44"/>
        <w:ind w:right="113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刘爱民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成水英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廖青莲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潘晓平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秦利红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方吉槟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公司董事、高级管理人员报告期内被授予的股权激励情况</w:t>
      </w:r>
    </w:p>
    <w:p>
      <w:pPr>
        <w:pStyle w:val="BodyText"/>
        <w:spacing w:line="240" w:lineRule="auto" w:before="117"/>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0"/>
        <w:jc w:val="left"/>
        <w:rPr>
          <w:b w:val="0"/>
          <w:bCs w:val="0"/>
        </w:rPr>
      </w:pPr>
      <w:bookmarkStart w:name="五、公司员工情况" w:id="128"/>
      <w:bookmarkEnd w:id="128"/>
      <w:r>
        <w:rPr>
          <w:b w:val="0"/>
          <w:bCs w:val="0"/>
        </w:rPr>
      </w:r>
      <w:r>
        <w:rPr/>
        <w:t>五、公司员工情况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2,622</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2,622</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2,622</w:t>
            </w:r>
          </w:p>
        </w:tc>
      </w:tr>
    </w:tbl>
    <w:p>
      <w:pPr>
        <w:spacing w:line="240" w:lineRule="auto" w:before="8"/>
        <w:rPr>
          <w:rFonts w:ascii="宋体" w:hAnsi="宋体" w:cs="宋体" w:eastAsia="宋体" w:hint="default"/>
          <w:b/>
          <w:bCs/>
          <w:sz w:val="19"/>
          <w:szCs w:val="19"/>
        </w:rPr>
      </w:pPr>
    </w:p>
    <w:p>
      <w:pPr>
        <w:pStyle w:val="Heading3"/>
        <w:spacing w:line="240" w:lineRule="auto" w:before="38"/>
        <w:ind w:left="154" w:right="113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26"/>
          <w:szCs w:val="26"/>
        </w:rPr>
      </w:pPr>
    </w:p>
    <w:p>
      <w:pPr>
        <w:pStyle w:val="BodyText"/>
        <w:spacing w:line="316" w:lineRule="auto"/>
        <w:ind w:left="154" w:right="1032"/>
        <w:jc w:val="left"/>
      </w:pPr>
      <w:r>
        <w:rPr>
          <w:spacing w:val="-4"/>
        </w:rPr>
        <w:t>公司在严格遵守《劳动法》、《劳动合同法》等有关法律法规、部门规章和规范性文件的基础上，结合行业及公司经营特点，</w:t>
      </w:r>
      <w:r>
        <w:rPr>
          <w:spacing w:val="-46"/>
        </w:rPr>
        <w:t> </w:t>
      </w:r>
      <w:r>
        <w:rPr>
          <w:spacing w:val="-46"/>
        </w:rPr>
      </w:r>
      <w:r>
        <w:rPr>
          <w:spacing w:val="-2"/>
        </w:rPr>
        <w:t>充分考虑公平性和竞争力，制定了较为完善的薪酬管理制度及激励机制。报告期内，公司深入推进绩效考核工作，充分评价</w:t>
      </w:r>
      <w:r>
        <w:rPr>
          <w:spacing w:val="-66"/>
        </w:rPr>
        <w:t> </w:t>
      </w:r>
      <w:r>
        <w:rPr>
          <w:spacing w:val="-66"/>
        </w:rPr>
      </w:r>
      <w:r>
        <w:rPr/>
        <w:t>团队和个人的工作业绩，向员工提供富有竞争力的薪酬，有效提升了员工执行力和责任意识，有利于留住和吸引优秀人才， 为公司发展提供人力资源保障。</w:t>
      </w:r>
    </w:p>
    <w:p>
      <w:pPr>
        <w:spacing w:after="0" w:line="316"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0"/>
        <w:jc w:val="both"/>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132"/>
        <w:jc w:val="both"/>
      </w:pPr>
      <w:r>
        <w:rPr>
          <w:spacing w:val="-2"/>
        </w:rPr>
        <w:t>公司注重员工培养和人才储备，积极寻求各种培训资源和渠道，建立了较为完善的培训体系，以内部培训、外部培训、员工</w:t>
      </w:r>
      <w:r>
        <w:rPr>
          <w:spacing w:val="-66"/>
        </w:rPr>
        <w:t> </w:t>
      </w:r>
      <w:r>
        <w:rPr>
          <w:spacing w:val="-66"/>
        </w:rPr>
      </w:r>
      <w:r>
        <w:rPr>
          <w:spacing w:val="-2"/>
        </w:rPr>
        <w:t>自我学习培训等多种形式，提升全体员工岗位技能和专业知识。公司每年根据发展需求制定具体的培训计划，进行定期或不</w:t>
      </w:r>
      <w:r>
        <w:rPr>
          <w:spacing w:val="-66"/>
        </w:rPr>
        <w:t> </w:t>
      </w:r>
      <w:r>
        <w:rPr>
          <w:spacing w:val="-66"/>
        </w:rPr>
      </w:r>
      <w:r>
        <w:rPr>
          <w:spacing w:val="-2"/>
        </w:rPr>
        <w:t>定期的培训，有针对性地开展如新员工入职培训、在职人员业务培训、管理者提升培训、安全培训等，将公司的高层管理团</w:t>
      </w:r>
      <w:r>
        <w:rPr>
          <w:spacing w:val="-66"/>
        </w:rPr>
        <w:t> </w:t>
      </w:r>
      <w:r>
        <w:rPr>
          <w:spacing w:val="-66"/>
        </w:rPr>
      </w:r>
      <w:r>
        <w:rPr>
          <w:spacing w:val="-2"/>
        </w:rPr>
        <w:t>队、中层管理者、骨干员工及后备人才培养统一纳入到体系化的人才成长快车道，有效地提高了员工的整体素质和企业的经</w:t>
      </w:r>
      <w:r>
        <w:rPr>
          <w:spacing w:val="-66"/>
        </w:rPr>
        <w:t> </w:t>
      </w:r>
      <w:r>
        <w:rPr>
          <w:spacing w:val="-66"/>
        </w:rPr>
      </w:r>
      <w:r>
        <w:rPr/>
        <w:t>营管理水平。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0"/>
        <w:jc w:val="both"/>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6,424,421.29</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98,157,556.06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73"/>
        <w:jc w:val="both"/>
      </w:pPr>
      <w:r>
        <w:rPr/>
        <w:t>报告期内，公司严格按照《公司法》《证券法》《上市公司治理准则》和中国证监会、深圳证券交易所有关要求，加强信 </w:t>
      </w:r>
      <w:r>
        <w:rPr>
          <w:spacing w:val="-2"/>
        </w:rPr>
        <w:t>息披露工作，不断完善公司法人治理结构，建立健全内部控制制度，规范公司运作，切实维护公司及全体股东利益。公司股</w:t>
      </w:r>
      <w:r>
        <w:rPr>
          <w:spacing w:val="-66"/>
        </w:rPr>
        <w:t> </w:t>
      </w:r>
      <w:r>
        <w:rPr>
          <w:spacing w:val="-66"/>
        </w:rPr>
      </w:r>
      <w:r>
        <w:rPr>
          <w:spacing w:val="-2"/>
        </w:rPr>
        <w:t>东大会、董事会、监事会、各经营层职责明确，各董事、监事和高级管理人员勤勉尽责，确保了公司安全、稳定、健康、持</w:t>
      </w:r>
      <w:r>
        <w:rPr>
          <w:spacing w:val="-70"/>
        </w:rPr>
        <w:t> </w:t>
      </w:r>
      <w:r>
        <w:rPr>
          <w:spacing w:val="-70"/>
        </w:rPr>
      </w:r>
      <w:r>
        <w:rPr/>
        <w:t>续的发展。截至报告期末，公司治理情况符合中国证监会、深圳证券交易所上市公司治理规范性文件规定。</w:t>
      </w:r>
    </w:p>
    <w:p>
      <w:pPr>
        <w:pStyle w:val="BodyText"/>
        <w:spacing w:line="240" w:lineRule="auto" w:before="59"/>
        <w:ind w:left="354" w:right="1130"/>
        <w:jc w:val="left"/>
      </w:pPr>
      <w:r>
        <w:rPr/>
        <w:t>（一）关于股东和股东大会</w:t>
      </w:r>
    </w:p>
    <w:p>
      <w:pPr>
        <w:pStyle w:val="BodyText"/>
        <w:spacing w:line="309" w:lineRule="auto" w:before="116"/>
        <w:ind w:right="1132" w:firstLine="200"/>
        <w:jc w:val="both"/>
      </w:pPr>
      <w:r>
        <w:rPr>
          <w:rFonts w:ascii="Times New Roman" w:hAnsi="Times New Roman" w:cs="Times New Roman" w:eastAsia="Times New Roman" w:hint="default"/>
        </w:rPr>
        <w:t>2017</w:t>
      </w:r>
      <w:r>
        <w:rPr/>
        <w:t>年，公司严格按照《公司法》、《公司章程》、《股东大会议事规则》等规定和要求召集、召开股东大会，并在股 </w:t>
      </w:r>
      <w:r>
        <w:rPr>
          <w:spacing w:val="-2"/>
        </w:rPr>
        <w:t>东大会审议影响中小投资者利益的重大事项时，对中小投资者的表决进行单独计票。报告期内召开的股东大会均由董事会召</w:t>
      </w:r>
      <w:r>
        <w:rPr>
          <w:spacing w:val="-64"/>
        </w:rPr>
        <w:t> </w:t>
      </w:r>
      <w:r>
        <w:rPr>
          <w:spacing w:val="-64"/>
        </w:rPr>
      </w:r>
      <w:r>
        <w:rPr/>
        <w:t>集召开，并聘请律师进行现场见证。</w:t>
      </w:r>
    </w:p>
    <w:p>
      <w:pPr>
        <w:pStyle w:val="BodyText"/>
        <w:spacing w:line="357" w:lineRule="auto" w:before="64"/>
        <w:ind w:left="354" w:right="1130"/>
        <w:jc w:val="left"/>
      </w:pPr>
      <w:r>
        <w:rPr/>
        <w:t>（二）关于董事和董事会 公司按照《公司法》、《公司章程》等规定选举董事，董事会的人数和人员构成符合法律法规的要求；公司董事会职责</w:t>
      </w:r>
    </w:p>
    <w:p>
      <w:pPr>
        <w:pStyle w:val="BodyText"/>
        <w:spacing w:line="224" w:lineRule="exact"/>
        <w:ind w:right="0"/>
        <w:jc w:val="both"/>
      </w:pPr>
      <w:r>
        <w:rPr/>
        <w:t>清晰，公司各位董事能够依据《董事会议事规则》等制度，认真出席董事会会议。每位独立董事均严格遵守《独立董事工作</w:t>
      </w:r>
    </w:p>
    <w:p>
      <w:pPr>
        <w:pStyle w:val="BodyText"/>
        <w:spacing w:line="319" w:lineRule="auto" w:before="76"/>
        <w:ind w:right="1131"/>
        <w:jc w:val="both"/>
      </w:pPr>
      <w:r>
        <w:rPr>
          <w:spacing w:val="-2"/>
        </w:rPr>
        <w:t>制度》，认真负责、勤勉诚信地履行各自的职责。公司董事会下设审计委员会、战略委员会、提名委员会、薪酬与考核委员</w:t>
      </w:r>
      <w:r>
        <w:rPr>
          <w:spacing w:val="-72"/>
        </w:rPr>
        <w:t> </w:t>
      </w:r>
      <w:r>
        <w:rPr>
          <w:spacing w:val="-72"/>
        </w:rPr>
      </w:r>
      <w:r>
        <w:rPr>
          <w:spacing w:val="-2"/>
        </w:rPr>
        <w:t>会等四个专业委员会，其成员组成合理。专业委员会设立以来，均严格按照相应工作条例开展工作，已在公司的经营管理中</w:t>
      </w:r>
      <w:r>
        <w:rPr>
          <w:spacing w:val="-66"/>
        </w:rPr>
        <w:t> </w:t>
      </w:r>
      <w:r>
        <w:rPr>
          <w:spacing w:val="-66"/>
        </w:rPr>
      </w:r>
      <w:r>
        <w:rPr/>
        <w:t>充分发挥了其专业性作用。</w:t>
      </w:r>
    </w:p>
    <w:p>
      <w:pPr>
        <w:pStyle w:val="BodyText"/>
        <w:spacing w:line="357" w:lineRule="auto" w:before="56"/>
        <w:ind w:left="354" w:right="0"/>
        <w:jc w:val="left"/>
      </w:pPr>
      <w:r>
        <w:rPr/>
        <w:t>（三）关于监事和监事会 </w:t>
      </w:r>
      <w:r>
        <w:rPr>
          <w:spacing w:val="-4"/>
        </w:rPr>
        <w:t>公司监事会人数和人员构成符合法律、法规的要求，能够依据《监事会议事规则》等制度，各监事严格按照《公司章程》、</w:t>
      </w:r>
    </w:p>
    <w:p>
      <w:pPr>
        <w:pStyle w:val="BodyText"/>
        <w:spacing w:line="224" w:lineRule="exact"/>
        <w:ind w:right="0"/>
        <w:jc w:val="both"/>
      </w:pPr>
      <w:r>
        <w:rPr/>
        <w:t>《公司监事会议事规则》等相关内部制度行使职权，认真履行自己的职责，出席股东大会、列席董事会会议，对董事会决策</w:t>
      </w:r>
    </w:p>
    <w:p>
      <w:pPr>
        <w:pStyle w:val="BodyText"/>
        <w:spacing w:line="319" w:lineRule="auto" w:before="76"/>
        <w:ind w:right="1134"/>
        <w:jc w:val="both"/>
      </w:pPr>
      <w:r>
        <w:rPr>
          <w:spacing w:val="-2"/>
        </w:rPr>
        <w:t>程序、决议事项及公司依法运作情况实施监督，全体监事能够切实履行职责，诚信、勤勉、尽责，监事会的召集、召开、表</w:t>
      </w:r>
      <w:r>
        <w:rPr>
          <w:spacing w:val="-68"/>
        </w:rPr>
        <w:t> </w:t>
      </w:r>
      <w:r>
        <w:rPr>
          <w:spacing w:val="-68"/>
        </w:rPr>
      </w:r>
      <w:r>
        <w:rPr/>
        <w:t>决及信息披露程序符合相关规定。</w:t>
      </w:r>
    </w:p>
    <w:p>
      <w:pPr>
        <w:pStyle w:val="BodyText"/>
        <w:spacing w:line="357" w:lineRule="auto" w:before="58"/>
        <w:ind w:left="354" w:right="1130"/>
        <w:jc w:val="left"/>
      </w:pPr>
      <w:r>
        <w:rPr/>
        <w:t>（四）关于信息披露和透明度 公司严格按照有关法律法规及公司制定的《公司信息披露管理制度》的要求，真实、准确、完整、及时地通过《证券时</w:t>
      </w:r>
    </w:p>
    <w:p>
      <w:pPr>
        <w:pStyle w:val="BodyText"/>
        <w:spacing w:line="224" w:lineRule="exact"/>
        <w:ind w:right="0"/>
        <w:jc w:val="both"/>
      </w:pPr>
      <w:r>
        <w:rPr/>
        <w:t>报》、《上海证券报》、《中国证券报》、《证券日报》和巨潮资讯网为公司信息披露的报纸、网站切实履行上市公司信息</w:t>
      </w:r>
    </w:p>
    <w:p>
      <w:pPr>
        <w:pStyle w:val="BodyText"/>
        <w:spacing w:line="319" w:lineRule="auto" w:before="76"/>
        <w:ind w:right="1130"/>
        <w:jc w:val="both"/>
      </w:pPr>
      <w:r>
        <w:rPr>
          <w:spacing w:val="-2"/>
        </w:rPr>
        <w:t>披露的义务，并做好信息披露前的保密工作，保证公司信息披露的公开、公平、公正，积极维护公司和投资者，尤其是中小</w:t>
      </w:r>
      <w:r>
        <w:rPr>
          <w:spacing w:val="-68"/>
        </w:rPr>
        <w:t> </w:t>
      </w:r>
      <w:r>
        <w:rPr>
          <w:spacing w:val="-68"/>
        </w:rPr>
      </w:r>
      <w:r>
        <w:rPr/>
        <w:t>股东的合法权益。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4" w:firstLine="73"/>
        <w:jc w:val="both"/>
      </w:pPr>
      <w:r>
        <w:rPr/>
        <w:t>公司自成立以来严格按照《公司法》、</w:t>
      </w:r>
      <w:r>
        <w:rPr>
          <w:spacing w:val="-65"/>
        </w:rPr>
        <w:t> </w:t>
      </w:r>
      <w:r>
        <w:rPr/>
        <w:t>《证券法》等有关法律、法规和《公司章程》的要求规范运作，在业务、资产、人</w:t>
      </w:r>
      <w:r>
        <w:rPr/>
        <w:t> 员、机构和财务等方面相互独立，拥有独立完整的生产、销售、研发系统，具备面向市场自主经营的能力。</w:t>
      </w:r>
    </w:p>
    <w:p>
      <w:pPr>
        <w:pStyle w:val="BodyText"/>
        <w:spacing w:line="300" w:lineRule="auto" w:before="19"/>
        <w:ind w:left="511" w:right="1130" w:firstLine="2"/>
        <w:jc w:val="left"/>
      </w:pPr>
      <w:r>
        <w:rPr>
          <w:rFonts w:ascii="Times New Roman" w:hAnsi="Times New Roman" w:cs="Times New Roman" w:eastAsia="Times New Roman" w:hint="default"/>
        </w:rPr>
        <w:t>1</w:t>
      </w:r>
      <w:r>
        <w:rPr/>
        <w:t>、业务独立 </w:t>
      </w:r>
      <w:r>
        <w:rPr>
          <w:spacing w:val="-2"/>
        </w:rPr>
        <w:t>公司业务独立于控股股东及其下属企业，拥有独立的研发、生产、销售业务体系，拥有完整的法人财产权，能够独立支</w:t>
      </w:r>
    </w:p>
    <w:p>
      <w:pPr>
        <w:pStyle w:val="BodyText"/>
        <w:spacing w:line="240" w:lineRule="auto" w:before="31"/>
        <w:ind w:left="154" w:right="0"/>
        <w:jc w:val="both"/>
      </w:pPr>
      <w:r>
        <w:rPr/>
        <w:t>配和使用人、财、物等生产要素，顺利组织和实施生产经营活动，能完全独立有序地开展所有业务。公司的业务完全独立于</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控股股东、实际控制人及其控制的其他企业，与控股股东、实际控制人及其控制的其他企业不存在同业竞争或显失公平的关</w:t>
      </w:r>
      <w:r>
        <w:rPr>
          <w:spacing w:val="-66"/>
        </w:rPr>
        <w:t> </w:t>
      </w:r>
      <w:r>
        <w:rPr>
          <w:spacing w:val="-66"/>
        </w:rPr>
      </w:r>
      <w:r>
        <w:rPr/>
        <w:t>联交易。</w:t>
      </w:r>
    </w:p>
    <w:p>
      <w:pPr>
        <w:pStyle w:val="BodyText"/>
        <w:spacing w:line="300" w:lineRule="auto" w:before="19"/>
        <w:ind w:left="511" w:right="1130"/>
        <w:jc w:val="left"/>
      </w:pPr>
      <w:r>
        <w:rPr>
          <w:rFonts w:ascii="Times New Roman" w:hAnsi="Times New Roman" w:cs="Times New Roman" w:eastAsia="Times New Roman" w:hint="default"/>
        </w:rPr>
        <w:t>2</w:t>
      </w:r>
      <w:r>
        <w:rPr/>
        <w:t>、资产完整 </w:t>
      </w:r>
      <w:r>
        <w:rPr>
          <w:spacing w:val="-2"/>
        </w:rPr>
        <w:t>公司为依法整体变更设立的股份有限公司，拥有独立、完整的资产，具有与生产经营有关的生产系统、辅助生产系统和</w:t>
      </w:r>
    </w:p>
    <w:p>
      <w:pPr>
        <w:pStyle w:val="BodyText"/>
        <w:spacing w:line="316" w:lineRule="auto" w:before="32"/>
        <w:ind w:right="0"/>
        <w:jc w:val="left"/>
      </w:pPr>
      <w:r>
        <w:rPr>
          <w:spacing w:val="-4"/>
        </w:rPr>
        <w:t>配套设施，合法拥有与生产经营有关的土地、厂房、机器设备以及商标、专利、非专利技术的所有权和使用权，且产权清晰；</w:t>
      </w:r>
      <w:r>
        <w:rPr>
          <w:spacing w:val="-44"/>
        </w:rPr>
        <w:t> </w:t>
      </w:r>
      <w:r>
        <w:rPr>
          <w:spacing w:val="-44"/>
        </w:rPr>
      </w:r>
      <w:r>
        <w:rPr>
          <w:spacing w:val="-2"/>
        </w:rPr>
        <w:t>公司对所有资产有完全的控制支配权，不存在与股东共同使用财产或相互提供服务等情形，不存在资产、资金被控股股东占</w:t>
      </w:r>
      <w:r>
        <w:rPr>
          <w:spacing w:val="-66"/>
        </w:rPr>
        <w:t> </w:t>
      </w:r>
      <w:r>
        <w:rPr>
          <w:spacing w:val="-66"/>
        </w:rPr>
      </w:r>
      <w:r>
        <w:rPr/>
        <w:t>用而损害公司利益的情况。</w:t>
      </w:r>
    </w:p>
    <w:p>
      <w:pPr>
        <w:pStyle w:val="BodyText"/>
        <w:spacing w:line="300" w:lineRule="auto" w:before="19"/>
        <w:ind w:left="511" w:right="1033"/>
        <w:jc w:val="left"/>
      </w:pPr>
      <w:r>
        <w:rPr>
          <w:rFonts w:ascii="Times New Roman" w:hAnsi="Times New Roman" w:cs="Times New Roman" w:eastAsia="Times New Roman" w:hint="default"/>
        </w:rPr>
        <w:t>3</w:t>
      </w:r>
      <w:r>
        <w:rPr/>
        <w:t>、人员独立 </w:t>
      </w:r>
      <w:r>
        <w:rPr>
          <w:spacing w:val="-4"/>
        </w:rPr>
        <w:t>公司独立招聘员工，设有独立的劳动、人事、工资管理体系。本公司董事、监事、高级管理人员均严格按照《公司法》、</w:t>
      </w:r>
    </w:p>
    <w:p>
      <w:pPr>
        <w:pStyle w:val="BodyText"/>
        <w:spacing w:line="316" w:lineRule="auto" w:before="31"/>
        <w:ind w:right="1131"/>
        <w:jc w:val="both"/>
      </w:pPr>
      <w:r>
        <w:rPr>
          <w:spacing w:val="-2"/>
        </w:rPr>
        <w:t>《公司章程》的有关规定经选举产生和聘任。公司总经理、副总经理、财务负责人、董事会秘书均在公司专职工作并领取薪</w:t>
      </w:r>
      <w:r>
        <w:rPr>
          <w:spacing w:val="-66"/>
        </w:rPr>
        <w:t> </w:t>
      </w:r>
      <w:r>
        <w:rPr>
          <w:spacing w:val="-66"/>
        </w:rPr>
      </w:r>
      <w:r>
        <w:rPr>
          <w:spacing w:val="-2"/>
        </w:rPr>
        <w:t>酬，未在控股股东及其它下属企业担任除董事、监事之外的任何职务；本公司的财务人员没有在控股股东、实际控制人及其</w:t>
      </w:r>
      <w:r>
        <w:rPr>
          <w:spacing w:val="-66"/>
        </w:rPr>
        <w:t> </w:t>
      </w:r>
      <w:r>
        <w:rPr>
          <w:spacing w:val="-66"/>
        </w:rPr>
      </w:r>
      <w:r>
        <w:rPr>
          <w:spacing w:val="-2"/>
        </w:rPr>
        <w:t>控制的其他企业中兼职。公司的董事、监事、高级管理人员及其近亲属所从事的工作均不存在与公司利益相冲突的情形，也</w:t>
      </w:r>
      <w:r>
        <w:rPr>
          <w:spacing w:val="-66"/>
        </w:rPr>
        <w:t> </w:t>
      </w:r>
      <w:r>
        <w:rPr>
          <w:spacing w:val="-66"/>
        </w:rPr>
      </w:r>
      <w:r>
        <w:rPr/>
        <w:t>未在与公司业务相同或相似的企业任职。</w:t>
      </w:r>
    </w:p>
    <w:p>
      <w:pPr>
        <w:pStyle w:val="BodyText"/>
        <w:spacing w:line="300" w:lineRule="auto" w:before="19"/>
        <w:ind w:left="511" w:right="1130"/>
        <w:jc w:val="left"/>
      </w:pPr>
      <w:r>
        <w:rPr>
          <w:rFonts w:ascii="Times New Roman" w:hAnsi="Times New Roman" w:cs="Times New Roman" w:eastAsia="Times New Roman" w:hint="default"/>
        </w:rPr>
        <w:t>4</w:t>
      </w:r>
      <w:r>
        <w:rPr/>
        <w:t>、机构独立 </w:t>
      </w:r>
      <w:r>
        <w:rPr>
          <w:spacing w:val="-2"/>
        </w:rPr>
        <w:t>公司设立了健全的组织机构体系，独立运作，不存在与控股股东或其职能部门之间的从属关系。公司建立了适应自身经</w:t>
      </w:r>
    </w:p>
    <w:p>
      <w:pPr>
        <w:pStyle w:val="BodyText"/>
        <w:spacing w:line="316" w:lineRule="auto" w:before="31"/>
        <w:ind w:right="1130"/>
        <w:jc w:val="left"/>
      </w:pPr>
      <w:r>
        <w:rPr>
          <w:spacing w:val="-2"/>
        </w:rPr>
        <w:t>营发展需要的组织结构，按照《公司法》的要求，建立健全了股东大会、董事会、监事会和经营管理层的组织结构体系，各</w:t>
      </w:r>
      <w:r>
        <w:rPr>
          <w:spacing w:val="-71"/>
        </w:rPr>
        <w:t> </w:t>
      </w:r>
      <w:r>
        <w:rPr>
          <w:spacing w:val="-71"/>
        </w:rPr>
      </w:r>
      <w:r>
        <w:rPr/>
        <w:t>机构均独立运作。公司的生产经营和办公机构与控股股东完全独立，不存在混合经营、合署办公的情形。</w:t>
      </w:r>
    </w:p>
    <w:p>
      <w:pPr>
        <w:pStyle w:val="BodyText"/>
        <w:spacing w:line="340" w:lineRule="auto" w:before="19"/>
        <w:ind w:left="444" w:right="1130" w:firstLine="67"/>
        <w:jc w:val="left"/>
      </w:pPr>
      <w:r>
        <w:rPr>
          <w:rFonts w:ascii="Times New Roman" w:hAnsi="Times New Roman" w:cs="Times New Roman" w:eastAsia="Times New Roman" w:hint="default"/>
        </w:rPr>
        <w:t>5</w:t>
      </w:r>
      <w:r>
        <w:rPr/>
        <w:t>、财务独立 </w:t>
      </w:r>
      <w:r>
        <w:rPr>
          <w:spacing w:val="-1"/>
        </w:rPr>
        <w:t>本公司作为独立纳税人，依法独立纳税。公司建立了独立的财务核算体系，具有规范的、符合上市公司要求的财务会计</w:t>
      </w:r>
    </w:p>
    <w:p>
      <w:pPr>
        <w:pStyle w:val="BodyText"/>
        <w:spacing w:line="319" w:lineRule="auto"/>
        <w:ind w:right="1033"/>
        <w:jc w:val="left"/>
      </w:pPr>
      <w:r>
        <w:rPr>
          <w:spacing w:val="-2"/>
        </w:rPr>
        <w:t>制度和对分公司、子公司的财务管理制度；公司能独立作出财务决策，不存在控制人干预公司资金使用的情况，不存在以资</w:t>
      </w:r>
      <w:r>
        <w:rPr>
          <w:spacing w:val="-66"/>
        </w:rPr>
        <w:t> </w:t>
      </w:r>
      <w:r>
        <w:rPr>
          <w:spacing w:val="-66"/>
        </w:rPr>
      </w:r>
      <w:r>
        <w:rPr>
          <w:spacing w:val="-2"/>
        </w:rPr>
        <w:t>产、权益或信誉为股东提供债务担保的情况，也不存在资产被股东占用而损害公司利益的情况。本公司财务负责人、财务会</w:t>
      </w:r>
      <w:r>
        <w:rPr>
          <w:spacing w:val="-66"/>
        </w:rPr>
        <w:t> </w:t>
      </w:r>
      <w:r>
        <w:rPr>
          <w:spacing w:val="-66"/>
        </w:rPr>
      </w:r>
      <w:r>
        <w:rPr/>
        <w:t>计人员均系专职工作人员，不存在在控股股东及其控制的其他企业兼职的情况。本公司独立开立基本存款账户，独立纳税， 不存在与控股股东、实际控制人及其控制的其他企业共用银行账户的情形。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113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3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日刊登的</w:t>
            </w:r>
            <w:r>
              <w:rPr>
                <w:rFonts w:ascii="宋体" w:hAnsi="宋体" w:cs="宋体" w:eastAsia="宋体" w:hint="default"/>
                <w:spacing w:val="-82"/>
                <w:sz w:val="18"/>
                <w:szCs w:val="18"/>
              </w:rPr>
              <w:t>：</w:t>
            </w:r>
            <w:r>
              <w:rPr>
                <w:rFonts w:ascii="宋体" w:hAnsi="宋体" w:cs="宋体" w:eastAsia="宋体" w:hint="default"/>
                <w:sz w:val="18"/>
                <w:szCs w:val="18"/>
              </w:rPr>
              <w:t>茂硕电源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会决议的公告。巨潮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240" w:lineRule="auto" w:before="24"/>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10"/>
                <w:sz w:val="18"/>
                <w:szCs w:val="18"/>
              </w:rPr>
              <w:t>日刊登的：茂硕电源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股东大会决议的公 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临时股东大会决议 </w:t>
            </w:r>
            <w:r>
              <w:rPr>
                <w:rFonts w:ascii="宋体" w:hAnsi="宋体" w:cs="宋体" w:eastAsia="宋体" w:hint="default"/>
                <w:spacing w:val="-10"/>
                <w:sz w:val="18"/>
                <w:szCs w:val="18"/>
              </w:rPr>
              <w:t>的公告。巨潮资讯网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电源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临时股东大会决议 </w:t>
            </w:r>
            <w:r>
              <w:rPr>
                <w:rFonts w:ascii="宋体" w:hAnsi="宋体" w:cs="宋体" w:eastAsia="宋体" w:hint="default"/>
                <w:spacing w:val="-10"/>
                <w:sz w:val="18"/>
                <w:szCs w:val="18"/>
              </w:rPr>
              <w:t>的公告。巨潮资讯网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Times New Roman" w:hAnsi="Times New Roman" w:cs="Times New Roman" w:eastAsia="Times New Roman" w:hint="default"/>
          <w:sz w:val="28"/>
          <w:szCs w:val="28"/>
        </w:rPr>
      </w:pPr>
    </w:p>
    <w:p>
      <w:pPr>
        <w:pStyle w:val="Heading3"/>
        <w:spacing w:line="240" w:lineRule="auto" w:before="38"/>
        <w:ind w:right="113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3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施伟力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郭新梅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张新明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113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3"/>
        <w:ind w:left="154" w:right="113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54" w:right="113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9"/>
        <w:rPr>
          <w:rFonts w:ascii="宋体" w:hAnsi="宋体" w:cs="宋体" w:eastAsia="宋体" w:hint="default"/>
          <w:sz w:val="21"/>
          <w:szCs w:val="21"/>
        </w:rPr>
      </w:pPr>
    </w:p>
    <w:p>
      <w:pPr>
        <w:pStyle w:val="Heading3"/>
        <w:spacing w:line="240" w:lineRule="auto"/>
        <w:ind w:right="113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033" w:firstLine="360"/>
        <w:jc w:val="left"/>
      </w:pPr>
      <w:r>
        <w:rPr/>
        <w:t>报告期内，公司独立董事严格按照《公司章程》、《独立董事工作制度》等的相关规定勤勉履行职责，忠实履行职务， </w:t>
      </w:r>
      <w:r>
        <w:rPr>
          <w:spacing w:val="-2"/>
        </w:rPr>
        <w:t>积极参加历次董事会，审议各项议案，对公司相关事项发表独立意见对公司的制度完善和经营发展决策等方面提出了许多宝</w:t>
      </w:r>
      <w:r>
        <w:rPr>
          <w:spacing w:val="-64"/>
        </w:rPr>
        <w:t> </w:t>
      </w:r>
      <w:r>
        <w:rPr>
          <w:spacing w:val="-64"/>
        </w:rPr>
      </w:r>
      <w:r>
        <w:rPr>
          <w:spacing w:val="-2"/>
        </w:rPr>
        <w:t>贵的专业性意见。通过出席董事会、股东大会、现场办公等方式，深入了解公司生产经营状况和内部控制的建设及董事会各</w:t>
      </w:r>
      <w:r>
        <w:rPr>
          <w:spacing w:val="-66"/>
        </w:rPr>
        <w:t> </w:t>
      </w:r>
      <w:r>
        <w:rPr>
          <w:spacing w:val="-66"/>
        </w:rPr>
      </w:r>
      <w:r>
        <w:rPr>
          <w:spacing w:val="-2"/>
        </w:rPr>
        <w:t>项决议执行情况，并利用自已的专业优势为公司经营和发展提出了合理化的意见和建议，对公司经营决策及保护中小投资者</w:t>
      </w:r>
      <w:r>
        <w:rPr>
          <w:spacing w:val="-64"/>
        </w:rPr>
        <w:t> </w:t>
      </w:r>
      <w:r>
        <w:rPr>
          <w:spacing w:val="-64"/>
        </w:rPr>
      </w:r>
      <w:r>
        <w:rPr/>
        <w:t>利益起到了发挥了积极作用。</w:t>
      </w:r>
    </w:p>
    <w:p>
      <w:pPr>
        <w:spacing w:line="240" w:lineRule="auto" w:before="10"/>
        <w:rPr>
          <w:rFonts w:ascii="宋体" w:hAnsi="宋体" w:cs="宋体" w:eastAsia="宋体" w:hint="default"/>
          <w:sz w:val="20"/>
          <w:szCs w:val="20"/>
        </w:rPr>
      </w:pPr>
    </w:p>
    <w:p>
      <w:pPr>
        <w:pStyle w:val="Heading2"/>
        <w:spacing w:line="240" w:lineRule="auto"/>
        <w:ind w:right="113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公司董事会下设四个专门委员会，分别为审计委员会、提名委员会、薪酬与考核委员会、战略委员会。各专门委员会职</w:t>
      </w:r>
      <w:r>
        <w:rPr/>
        <w:t> </w:t>
      </w:r>
      <w:r>
        <w:rPr>
          <w:spacing w:val="-2"/>
        </w:rPr>
        <w:t>责明确，依据公司董事会制定的各专门委员会工作制度履行职责，就专业性事项进行研究，提出意见及建议，为董事会决策</w:t>
      </w:r>
      <w:r>
        <w:rPr>
          <w:spacing w:val="-66"/>
        </w:rPr>
        <w:t> </w:t>
      </w:r>
      <w:r>
        <w:rPr>
          <w:spacing w:val="-66"/>
        </w:rPr>
      </w:r>
      <w:r>
        <w:rPr/>
        <w:t>提供参考，</w:t>
      </w:r>
      <w:r>
        <w:rPr>
          <w:rFonts w:ascii="Times New Roman" w:hAnsi="Times New Roman" w:cs="Times New Roman" w:eastAsia="Times New Roman" w:hint="default"/>
        </w:rPr>
        <w:t>2017</w:t>
      </w:r>
      <w:r>
        <w:rPr/>
        <w:t>年度各专门委员会履职情况如下：</w:t>
      </w:r>
    </w:p>
    <w:p>
      <w:pPr>
        <w:pStyle w:val="BodyText"/>
        <w:spacing w:line="316" w:lineRule="auto"/>
        <w:ind w:left="514" w:right="1130"/>
        <w:jc w:val="left"/>
      </w:pPr>
      <w:r>
        <w:rPr/>
        <w:t>（一）审计委员会 </w:t>
      </w:r>
      <w:r>
        <w:rPr>
          <w:spacing w:val="-2"/>
        </w:rPr>
        <w:t>公司审计委员会由三名董事组成，其中独立董事两名，并由会计专业的独立董事担任召集人。报告期内，公司董事会审</w:t>
      </w:r>
    </w:p>
    <w:p>
      <w:pPr>
        <w:pStyle w:val="BodyText"/>
        <w:spacing w:line="240" w:lineRule="auto" w:before="19"/>
        <w:ind w:left="154" w:right="0"/>
        <w:jc w:val="left"/>
      </w:pPr>
      <w:r>
        <w:rPr/>
        <w:t>计委员会根据《公司法》、《证券法》、《上市公司治理准则》、公司《董事会审计委员会工作制度》等有关规定，认真履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both"/>
      </w:pPr>
      <w:r>
        <w:rPr>
          <w:spacing w:val="-2"/>
        </w:rPr>
        <w:t>行职责，持续关注公司情况和重大事项进展，指导公司审计部在内部审计过程中应重点关注和检查的事项，督促公司内部控</w:t>
      </w:r>
      <w:r>
        <w:rPr>
          <w:spacing w:val="-66"/>
        </w:rPr>
        <w:t> </w:t>
      </w:r>
      <w:r>
        <w:rPr>
          <w:spacing w:val="-66"/>
        </w:rPr>
      </w:r>
      <w:r>
        <w:rPr>
          <w:spacing w:val="-2"/>
        </w:rPr>
        <w:t>制的有效执行。与公司聘任的审计机构积极沟通、加强联系，督促其提高审计效率，按计划进行审计工作，切实履行了审计</w:t>
      </w:r>
      <w:r>
        <w:rPr>
          <w:spacing w:val="-66"/>
        </w:rPr>
        <w:t> </w:t>
      </w:r>
      <w:r>
        <w:rPr>
          <w:spacing w:val="-66"/>
        </w:rPr>
      </w:r>
      <w:r>
        <w:rPr/>
        <w:t>委员会的职责。</w:t>
      </w:r>
    </w:p>
    <w:p>
      <w:pPr>
        <w:pStyle w:val="BodyText"/>
        <w:spacing w:line="319" w:lineRule="auto" w:before="19"/>
        <w:ind w:left="513" w:right="1130"/>
        <w:jc w:val="left"/>
      </w:pPr>
      <w:r>
        <w:rPr/>
        <w:t>（二）提名委员会 </w:t>
      </w:r>
      <w:r>
        <w:rPr>
          <w:spacing w:val="-2"/>
        </w:rPr>
        <w:t>提名委员会成员由三名董事组成，其中独立董事两名，</w:t>
      </w:r>
      <w:r>
        <w:rPr>
          <w:rFonts w:ascii="Times New Roman" w:hAnsi="Times New Roman" w:cs="Times New Roman" w:eastAsia="Times New Roman" w:hint="default"/>
          <w:spacing w:val="-2"/>
        </w:rPr>
        <w:t>2017</w:t>
      </w:r>
      <w:r>
        <w:rPr>
          <w:spacing w:val="-2"/>
        </w:rPr>
        <w:t>年度，公司提名委员会各委员积极履行职责，为公司第四届</w:t>
      </w:r>
    </w:p>
    <w:p>
      <w:pPr>
        <w:pStyle w:val="BodyText"/>
        <w:spacing w:line="233" w:lineRule="exact"/>
        <w:ind w:right="0"/>
        <w:jc w:val="both"/>
      </w:pPr>
      <w:r>
        <w:rPr/>
        <w:t>董事会的董事的聘任，提供了专业的建议和意见，协助公司顺利完成董事的任免工作。</w:t>
      </w:r>
    </w:p>
    <w:p>
      <w:pPr>
        <w:pStyle w:val="BodyText"/>
        <w:spacing w:line="316" w:lineRule="auto" w:before="76"/>
        <w:ind w:left="513" w:right="1130"/>
        <w:jc w:val="left"/>
      </w:pPr>
      <w:r>
        <w:rPr/>
        <w:t>（三）薪酬与考核委员会 </w:t>
      </w:r>
      <w:r>
        <w:rPr>
          <w:spacing w:val="-2"/>
        </w:rPr>
        <w:t>薪酬与考核委员会成员由三名董事组成，其中独立董事两名，</w:t>
      </w:r>
      <w:r>
        <w:rPr>
          <w:rFonts w:ascii="Times New Roman" w:hAnsi="Times New Roman" w:cs="Times New Roman" w:eastAsia="Times New Roman" w:hint="default"/>
          <w:spacing w:val="-2"/>
        </w:rPr>
        <w:t>2017</w:t>
      </w:r>
      <w:r>
        <w:rPr>
          <w:spacing w:val="-2"/>
        </w:rPr>
        <w:t>年度，各位委员认真履行其职责，对公司董事、监事</w:t>
      </w:r>
    </w:p>
    <w:p>
      <w:pPr>
        <w:pStyle w:val="BodyText"/>
        <w:spacing w:line="235" w:lineRule="exact"/>
        <w:ind w:right="0"/>
        <w:jc w:val="both"/>
      </w:pPr>
      <w:r>
        <w:rPr/>
        <w:t>和高级管理人员薪酬情况等事项进行了审议。</w:t>
      </w:r>
    </w:p>
    <w:p>
      <w:pPr>
        <w:pStyle w:val="BodyText"/>
        <w:spacing w:line="360" w:lineRule="auto" w:before="76"/>
        <w:ind w:left="444" w:right="1130" w:firstLine="69"/>
        <w:jc w:val="left"/>
      </w:pPr>
      <w:r>
        <w:rPr/>
        <w:t>（四）战略委员会 </w:t>
      </w:r>
      <w:r>
        <w:rPr>
          <w:spacing w:val="-1"/>
        </w:rPr>
        <w:t>战略委员会成员由三名董事组成，其中独立董事两名，公司董事会战略委员会按照相关法律法规及《公司章程》、公司</w:t>
      </w:r>
    </w:p>
    <w:p>
      <w:pPr>
        <w:pStyle w:val="BodyText"/>
        <w:spacing w:line="221" w:lineRule="exact"/>
        <w:ind w:right="0"/>
        <w:jc w:val="both"/>
      </w:pPr>
      <w:r>
        <w:rPr/>
        <w:t>《董事会战略委员会工作制度》等相关制度的规定，战略委员会各委员认真履行职责，利用自身的专业知识，积极探讨符合</w:t>
      </w:r>
    </w:p>
    <w:p>
      <w:pPr>
        <w:pStyle w:val="BodyText"/>
        <w:spacing w:line="319" w:lineRule="auto" w:before="76"/>
        <w:ind w:right="1130"/>
        <w:jc w:val="left"/>
      </w:pPr>
      <w:r>
        <w:rPr>
          <w:spacing w:val="-2"/>
        </w:rPr>
        <w:t>公司发展方向的战略布局，对公司的战略发展及业务扩展等方面提出宝贵建议，为公司实现快速、持续、健康的发展积极出</w:t>
      </w:r>
      <w:r>
        <w:rPr>
          <w:spacing w:val="-66"/>
        </w:rPr>
        <w:t> </w:t>
      </w:r>
      <w:r>
        <w:rPr>
          <w:spacing w:val="-66"/>
        </w:rPr>
      </w:r>
      <w:r>
        <w:rPr/>
        <w:t>谋划策。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0"/>
        <w:jc w:val="left"/>
      </w:pPr>
      <w:r>
        <w:rPr>
          <w:spacing w:val="-2"/>
        </w:rPr>
        <w:t>根据《公司章程》、《董事、监事、高级管理人员薪酬制度》对董事、监事、高级管理人员进行考核，以上人员薪酬包括基</w:t>
      </w:r>
      <w:r>
        <w:rPr>
          <w:spacing w:val="-70"/>
        </w:rPr>
        <w:t> </w:t>
      </w:r>
      <w:r>
        <w:rPr>
          <w:spacing w:val="-70"/>
        </w:rPr>
      </w:r>
      <w:r>
        <w:rPr/>
        <w:t>本工资和年度绩效奖金两部分，年度绩效奖金与公司年度经营指标完成情况以及个人绩效评价相挂钩。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both"/>
        <w:rPr>
          <w:b w:val="0"/>
          <w:bCs w:val="0"/>
        </w:rPr>
      </w:pPr>
      <w:bookmarkStart w:name="九、内部控制评价报告" w:id="148"/>
      <w:bookmarkEnd w:id="148"/>
      <w:r>
        <w:rPr>
          <w:b w:val="0"/>
          <w:bCs w:val="0"/>
        </w:rPr>
      </w:r>
      <w:r>
        <w:rPr/>
        <w:t>九、内部控制评价报告</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both"/>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日刊登的：茂硕电源内部控制评价报告。巨潮资讯网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7.634003pt;margin-top:112.679985pt;width:257.3pt;height:39.050pt;mso-position-horizontal-relative:page;mso-position-vertical-relative:page;z-index:-1317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高级管理人员的舞弊行为；</w:t>
                  </w:r>
                </w:p>
              </w:txbxContent>
            </v:textbox>
            <w10:wrap type="none"/>
          </v:shape>
        </w:pict>
      </w:r>
      <w:r>
        <w:rPr/>
        <w:pict>
          <v:group style="position:absolute;margin-left:382.839996pt;margin-top:112.679985pt;width:152.1pt;height:39.050pt;mso-position-horizontal-relative:page;mso-position-vertical-relative:page;z-index:-1317664" coordorigin="7657,2254" coordsize="3042,781">
            <v:shape style="position:absolute;left:7657;top:2254;width:3042;height:781" coordorigin="7657,2254" coordsize="3042,781" path="m7657,3034l10698,3034,10698,2254,7657,2254,7657,3034xe" filled="true" fillcolor="#ffffff" stroked="false">
              <v:path arrowok="t"/>
              <v:fill type="solid"/>
            </v:shape>
            <w10:wrap type="none"/>
          </v:group>
        </w:pict>
      </w:r>
      <w:r>
        <w:rPr/>
        <w:pict>
          <v:group style="position:absolute;margin-left:383.980011pt;margin-top:231.73999pt;width:149.8pt;height:31.2pt;mso-position-horizontal-relative:page;mso-position-vertical-relative:page;z-index:-1317640" coordorigin="7680,4635" coordsize="2996,624">
            <v:group style="position:absolute;left:7680;top:4635;width:2996;height:312" coordorigin="7680,4635" coordsize="2996,312">
              <v:shape style="position:absolute;left:7680;top:4635;width:2996;height:312" coordorigin="7680,4635" coordsize="2996,312" path="m7680,4947l10675,4947,10675,4635,7680,4635,7680,4947xe" filled="true" fillcolor="#ffffff" stroked="false">
                <v:path arrowok="t"/>
                <v:fill type="solid"/>
              </v:shape>
            </v:group>
            <v:group style="position:absolute;left:7680;top:4947;width:2996;height:312" coordorigin="7680,4947" coordsize="2996,312">
              <v:shape style="position:absolute;left:7680;top:4947;width:2996;height:312" coordorigin="7680,4947" coordsize="2996,312" path="m7680,5259l10675,5259,10675,4947,7680,4947,7680,5259xe" filled="true" fillcolor="#ffffff" stroked="false">
                <v:path arrowok="t"/>
                <v:fill type="solid"/>
              </v:shape>
            </v:group>
            <w10:wrap type="none"/>
          </v:group>
        </w:pict>
      </w:r>
      <w:r>
        <w:rPr/>
        <w:pict>
          <v:group style="position:absolute;margin-left:383.980011pt;margin-top:415.639984pt;width:149.8pt;height:31.25pt;mso-position-horizontal-relative:page;mso-position-vertical-relative:page;z-index:-1317616" coordorigin="7680,8313" coordsize="2996,625">
            <v:group style="position:absolute;left:7680;top:8313;width:2996;height:313" coordorigin="7680,8313" coordsize="2996,313">
              <v:shape style="position:absolute;left:7680;top:8313;width:2996;height:313" coordorigin="7680,8313" coordsize="2996,313" path="m7680,8625l10675,8625,10675,8313,7680,8313,7680,8625xe" filled="true" fillcolor="#ffffff" stroked="false">
                <v:path arrowok="t"/>
                <v:fill type="solid"/>
              </v:shape>
            </v:group>
            <v:group style="position:absolute;left:7680;top:8625;width:2996;height:312" coordorigin="7680,8625" coordsize="2996,312">
              <v:shape style="position:absolute;left:7680;top:8625;width:2996;height:312" coordorigin="7680,8625" coordsize="2996,312" path="m7680,8937l10675,8937,10675,8625,7680,8625,7680,8937xe" filled="true" fillcolor="#ffffff" stroked="false">
                <v:path arrowok="t"/>
                <v:fill type="solid"/>
              </v:shape>
            </v:group>
            <w10:wrap type="none"/>
          </v:group>
        </w:pict>
      </w:r>
      <w:r>
        <w:rPr/>
        <w:pict>
          <v:group style="position:absolute;margin-left:383.980011pt;margin-top:524.859985pt;width:149.8pt;height:31.2pt;mso-position-horizontal-relative:page;mso-position-vertical-relative:page;z-index:-1317592" coordorigin="7680,10497" coordsize="2996,624">
            <v:group style="position:absolute;left:7680;top:10497;width:2996;height:312" coordorigin="7680,10497" coordsize="2996,312">
              <v:shape style="position:absolute;left:7680;top:10497;width:2996;height:312" coordorigin="7680,10497" coordsize="2996,312" path="m7680,10809l10675,10809,10675,10497,7680,10497,7680,10809xe" filled="true" fillcolor="#ffffff" stroked="false">
                <v:path arrowok="t"/>
                <v:fill type="solid"/>
              </v:shape>
            </v:group>
            <v:group style="position:absolute;left:7680;top:10809;width:2996;height:312" coordorigin="7680,10809" coordsize="2996,312">
              <v:shape style="position:absolute;left:7680;top:10809;width:2996;height:312" coordorigin="7680,10809" coordsize="2996,312" path="m7680,11121l10675,11121,10675,10809,7680,10809,7680,111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5"/>
        <w:gridCol w:w="3323"/>
        <w:gridCol w:w="3051"/>
      </w:tblGrid>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9" w:space="0" w:color="FFFFFF"/>
            </w:tcBorders>
          </w:tcPr>
          <w:p>
            <w:pPr>
              <w:pStyle w:val="TableParagraph"/>
              <w:spacing w:line="300" w:lineRule="auto" w:before="51"/>
              <w:ind w:left="16" w:right="41"/>
              <w:jc w:val="left"/>
              <w:rPr>
                <w:rFonts w:ascii="宋体" w:hAnsi="宋体" w:cs="宋体" w:eastAsia="宋体" w:hint="default"/>
                <w:sz w:val="18"/>
                <w:szCs w:val="18"/>
              </w:rPr>
            </w:pPr>
            <w:r>
              <w:rPr>
                <w:rFonts w:ascii="宋体" w:hAnsi="宋体" w:cs="宋体" w:eastAsia="宋体" w:hint="default"/>
                <w:sz w:val="18"/>
                <w:szCs w:val="18"/>
              </w:rPr>
              <w:t>财务报告重大缺陷的迹象包括：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）公 </w:t>
            </w:r>
            <w:r>
              <w:rPr>
                <w:rFonts w:ascii="宋体" w:hAnsi="宋体" w:cs="宋体" w:eastAsia="宋体" w:hint="default"/>
                <w:spacing w:val="-9"/>
                <w:sz w:val="18"/>
                <w:szCs w:val="18"/>
              </w:rPr>
              <w:t>司董事、监事和</w:t>
            </w:r>
          </w:p>
          <w:p>
            <w:pPr>
              <w:pStyle w:val="TableParagraph"/>
              <w:spacing w:line="309" w:lineRule="auto" w:before="31"/>
              <w:ind w:left="16"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 （</w:t>
            </w:r>
            <w:r>
              <w:rPr>
                <w:rFonts w:ascii="Times New Roman" w:hAnsi="Times New Roman" w:cs="Times New Roman" w:eastAsia="Times New Roman" w:hint="default"/>
                <w:sz w:val="18"/>
                <w:szCs w:val="18"/>
              </w:rPr>
              <w:t>3</w:t>
            </w:r>
            <w:r>
              <w:rPr>
                <w:rFonts w:ascii="宋体" w:hAnsi="宋体" w:cs="宋体" w:eastAsia="宋体" w:hint="default"/>
                <w:sz w:val="18"/>
                <w:szCs w:val="18"/>
              </w:rPr>
              <w:t>） 注册会计师发现的却未被公司内部控制识 别的当期财务报告中的重大错报；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 审计委员会和审计部门对公司的对外财务 报告和财务报告内部控制监督无效。</w:t>
            </w:r>
            <w:r>
              <w:rPr>
                <w:rFonts w:ascii="宋体" w:hAnsi="宋体" w:cs="宋体" w:eastAsia="宋体" w:hint="default"/>
                <w:spacing w:val="-62"/>
                <w:sz w:val="18"/>
                <w:szCs w:val="18"/>
              </w:rPr>
              <w:t> </w:t>
            </w:r>
            <w:r>
              <w:rPr>
                <w:rFonts w:ascii="宋体" w:hAnsi="宋体" w:cs="宋体" w:eastAsia="宋体" w:hint="default"/>
                <w:sz w:val="18"/>
                <w:szCs w:val="18"/>
              </w:rPr>
              <w:t>财务</w:t>
            </w:r>
            <w:r>
              <w:rPr>
                <w:rFonts w:ascii="宋体" w:hAnsi="宋体" w:cs="宋体" w:eastAsia="宋体" w:hint="default"/>
                <w:sz w:val="18"/>
                <w:szCs w:val="18"/>
              </w:rPr>
              <w:t> 报告重要缺陷的迹象包括：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 公认会计准则选择和应用会计政策；</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未建立反舞弊程序和控制措施；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）对 于非常规或特殊交易的账务处理没有建立 相应的控制机制或没有实施且没有相应的 补偿性控制； （</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）对于期末财务报告过 程的控制存在一项或多项缺陷且不能合理 保证编制的财务报表达到真实、完整的目 标。</w:t>
            </w:r>
            <w:r>
              <w:rPr>
                <w:rFonts w:ascii="宋体" w:hAnsi="宋体" w:cs="宋体" w:eastAsia="宋体" w:hint="default"/>
                <w:spacing w:val="-45"/>
                <w:sz w:val="18"/>
                <w:szCs w:val="18"/>
              </w:rPr>
              <w:t> </w:t>
            </w:r>
            <w:r>
              <w:rPr>
                <w:rFonts w:ascii="宋体" w:hAnsi="宋体" w:cs="宋体" w:eastAsia="宋体" w:hint="default"/>
                <w:sz w:val="18"/>
                <w:szCs w:val="18"/>
              </w:rPr>
              <w:t>一般缺陷是指除上述重大缺陷、重要</w:t>
            </w:r>
            <w:r>
              <w:rPr>
                <w:rFonts w:ascii="宋体" w:hAnsi="宋体" w:cs="宋体" w:eastAsia="宋体" w:hint="default"/>
                <w:sz w:val="18"/>
                <w:szCs w:val="18"/>
              </w:rPr>
              <w:t> 缺陷之外的其他控制缺陷。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0" w:lineRule="atLeast" w:before="136"/>
              <w:ind w:left="16"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 如果缺陷发生的可能性较</w:t>
            </w:r>
          </w:p>
          <w:p>
            <w:pPr>
              <w:pStyle w:val="TableParagraph"/>
              <w:spacing w:line="116" w:lineRule="exact"/>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高，会显著降低工作效率或效果、或显</w:t>
            </w:r>
          </w:p>
          <w:p>
            <w:pPr>
              <w:pStyle w:val="TableParagraph"/>
              <w:spacing w:line="319" w:lineRule="auto" w:before="76"/>
              <w:ind w:left="16" w:right="21"/>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离预期目标为重要缺陷； 如果缺陷发 </w:t>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r>
              <w:rPr>
                <w:rFonts w:ascii="Times New Roman" w:hAnsi="Times New Roman" w:cs="Times New Roman" w:eastAsia="Times New Roman" w:hint="default"/>
                <w:sz w:val="18"/>
                <w:szCs w:val="18"/>
              </w:rPr>
              <w:t>.</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50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250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16" w:right="-31"/>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4"/>
                <w:sz w:val="18"/>
                <w:szCs w:val="18"/>
              </w:rPr>
              <w:t>失与利润表相关的，以营业收入指标衡量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，则认定为一般缺陷；如果超过营业 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 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，则认定为重大缺</w:t>
            </w:r>
            <w:r>
              <w:rPr>
                <w:rFonts w:ascii="宋体" w:hAnsi="宋体" w:cs="宋体" w:eastAsia="宋体" w:hint="default"/>
                <w:sz w:val="18"/>
                <w:szCs w:val="18"/>
              </w:rPr>
              <w:t> 陷。</w:t>
            </w:r>
            <w:r>
              <w:rPr>
                <w:rFonts w:ascii="宋体" w:hAnsi="宋体" w:cs="宋体" w:eastAsia="宋体" w:hint="default"/>
                <w:spacing w:val="-64"/>
                <w:sz w:val="18"/>
                <w:szCs w:val="18"/>
              </w:rPr>
              <w:t> </w:t>
            </w:r>
            <w:r>
              <w:rPr>
                <w:rFonts w:ascii="宋体" w:hAnsi="宋体" w:cs="宋体" w:eastAsia="宋体" w:hint="default"/>
                <w:sz w:val="18"/>
                <w:szCs w:val="18"/>
              </w:rPr>
              <w:t>内部控制缺陷可能导致或导致的损失</w:t>
            </w:r>
            <w:r>
              <w:rPr>
                <w:rFonts w:ascii="宋体" w:hAnsi="宋体" w:cs="宋体" w:eastAsia="宋体" w:hint="default"/>
                <w:sz w:val="18"/>
                <w:szCs w:val="18"/>
              </w:rPr>
              <w:t> </w:t>
            </w:r>
            <w:r>
              <w:rPr>
                <w:rFonts w:ascii="宋体" w:hAnsi="宋体" w:cs="宋体" w:eastAsia="宋体" w:hint="default"/>
                <w:spacing w:val="-4"/>
                <w:sz w:val="18"/>
                <w:szCs w:val="18"/>
              </w:rPr>
              <w:t>与资产管理相关的，以资产总额指标衡量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的财务报告错报金额小于资产总额的 </w:t>
            </w:r>
            <w:r>
              <w:rPr>
                <w:rFonts w:ascii="Times New Roman" w:hAnsi="Times New Roman" w:cs="Times New Roman" w:eastAsia="Times New Roman" w:hint="default"/>
                <w:spacing w:val="-4"/>
                <w:sz w:val="18"/>
                <w:szCs w:val="18"/>
              </w:rPr>
              <w:t>0.25%</w:t>
            </w:r>
            <w:r>
              <w:rPr>
                <w:rFonts w:ascii="宋体" w:hAnsi="宋体" w:cs="宋体" w:eastAsia="宋体" w:hint="default"/>
                <w:spacing w:val="-4"/>
                <w:sz w:val="18"/>
                <w:szCs w:val="18"/>
              </w:rPr>
              <w:t>，则认定为一般缺陷；如果超过资产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认定为重要缺 </w:t>
            </w:r>
            <w:r>
              <w:rPr>
                <w:rFonts w:ascii="宋体" w:hAnsi="宋体" w:cs="宋体" w:eastAsia="宋体" w:hint="default"/>
                <w:spacing w:val="-5"/>
                <w:sz w:val="18"/>
                <w:szCs w:val="18"/>
              </w:rPr>
              <w:t>陷；如果超过资产总额</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大缺陷。</w:t>
            </w:r>
          </w:p>
        </w:tc>
        <w:tc>
          <w:tcPr>
            <w:tcW w:w="3051" w:type="dxa"/>
            <w:vMerge w:val="restart"/>
            <w:tcBorders>
              <w:top w:val="single" w:sz="4" w:space="0" w:color="000000"/>
              <w:left w:val="single" w:sz="9" w:space="0" w:color="FFFFFF"/>
              <w:right w:val="single" w:sz="4" w:space="0" w:color="000000"/>
            </w:tcBorders>
          </w:tcPr>
          <w:p>
            <w:pPr>
              <w:pStyle w:val="TableParagraph"/>
              <w:spacing w:line="312" w:lineRule="exact" w:before="12"/>
              <w:ind w:left="16" w:right="21"/>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p>
          <w:p>
            <w:pPr>
              <w:pStyle w:val="TableParagraph"/>
              <w:spacing w:line="7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p>
          <w:p>
            <w:pPr>
              <w:pStyle w:val="TableParagraph"/>
              <w:spacing w:line="312" w:lineRule="exact" w:before="37"/>
              <w:ind w:left="16" w:right="23"/>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 陷；如果超过营业收入的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认定为重要缺陷；如果超过营业收 入的</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，则认定为重大缺陷。内部控</w:t>
            </w:r>
            <w:r>
              <w:rPr>
                <w:rFonts w:ascii="宋体" w:hAnsi="宋体" w:cs="宋体" w:eastAsia="宋体" w:hint="default"/>
                <w:sz w:val="18"/>
                <w:szCs w:val="18"/>
              </w:rPr>
              <w:t> 制缺陷可能导致或导致的损失与资产</w:t>
            </w:r>
          </w:p>
          <w:p>
            <w:pPr>
              <w:pStyle w:val="TableParagraph"/>
              <w:spacing w:line="7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pacing w:val="-4"/>
                <w:sz w:val="18"/>
                <w:szCs w:val="18"/>
              </w:rPr>
              <w:t>管理相关的，以资产总额指标衡量。如</w:t>
            </w:r>
          </w:p>
          <w:p>
            <w:pPr>
              <w:pStyle w:val="TableParagraph"/>
              <w:spacing w:line="312" w:lineRule="auto" w:before="76"/>
              <w:ind w:left="16" w:right="20"/>
              <w:jc w:val="left"/>
              <w:rPr>
                <w:rFonts w:ascii="宋体" w:hAnsi="宋体" w:cs="宋体" w:eastAsia="宋体" w:hint="default"/>
                <w:sz w:val="18"/>
                <w:szCs w:val="18"/>
              </w:rPr>
            </w:pPr>
            <w:r>
              <w:rPr>
                <w:rFonts w:ascii="宋体" w:hAnsi="宋体" w:cs="宋体" w:eastAsia="宋体" w:hint="default"/>
                <w:sz w:val="18"/>
                <w:szCs w:val="18"/>
              </w:rPr>
              <w:t>果该缺陷单独或连同其他缺陷可能导 致的财务报告错报金额小于资产总额 的</w:t>
            </w:r>
            <w:r>
              <w:rPr>
                <w:rFonts w:ascii="宋体" w:hAnsi="宋体" w:cs="宋体" w:eastAsia="宋体" w:hint="default"/>
                <w:spacing w:val="6"/>
                <w:sz w:val="18"/>
                <w:szCs w:val="18"/>
              </w:rPr>
              <w:t> </w:t>
            </w:r>
            <w:r>
              <w:rPr>
                <w:rFonts w:ascii="Times New Roman" w:hAnsi="Times New Roman" w:cs="Times New Roman" w:eastAsia="Times New Roman" w:hint="default"/>
                <w:spacing w:val="-5"/>
                <w:sz w:val="18"/>
                <w:szCs w:val="18"/>
              </w:rPr>
              <w:t>0.25%</w:t>
            </w:r>
            <w:r>
              <w:rPr>
                <w:rFonts w:ascii="宋体" w:hAnsi="宋体" w:cs="宋体" w:eastAsia="宋体" w:hint="default"/>
                <w:spacing w:val="-5"/>
                <w:sz w:val="18"/>
                <w:szCs w:val="18"/>
              </w:rPr>
              <w:t>，则认定为一般缺陷；如果超</w:t>
            </w:r>
            <w:r>
              <w:rPr>
                <w:rFonts w:ascii="宋体" w:hAnsi="宋体" w:cs="宋体" w:eastAsia="宋体" w:hint="default"/>
                <w:sz w:val="18"/>
                <w:szCs w:val="18"/>
              </w:rPr>
              <w:t> 过资产总额 </w:t>
            </w:r>
            <w:r>
              <w:rPr>
                <w:rFonts w:ascii="Times New Roman" w:hAnsi="Times New Roman" w:cs="Times New Roman" w:eastAsia="Times New Roman" w:hint="default"/>
                <w:sz w:val="18"/>
                <w:szCs w:val="18"/>
              </w:rPr>
              <w:t>0.25%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 定为重要缺陷；如果超过资产总额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，则认定为重大缺陷。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50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13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
              <w:jc w:val="left"/>
              <w:rPr>
                <w:rFonts w:ascii="宋体" w:hAnsi="宋体" w:cs="宋体" w:eastAsia="宋体" w:hint="default"/>
                <w:sz w:val="18"/>
                <w:szCs w:val="18"/>
              </w:rPr>
            </w:pPr>
            <w:r>
              <w:rPr>
                <w:rFonts w:ascii="宋体" w:hAnsi="宋体" w:cs="宋体" w:eastAsia="宋体" w:hint="default"/>
                <w:sz w:val="18"/>
                <w:szCs w:val="18"/>
              </w:rPr>
              <w:t>基于作为我们为了对上述财务报表整体发表审计意见之目的而实施的审计程序的一部分而对该说明中所述的与茂硕电源 公司上述财务报表编制相关的内部控制的研究和评价，我们未发现茂硕电源公司编写的《关于内部控制有关事项的说明》 中所述的与财务报表编制相关的内部控制的相关情况与我们对茂硕电源公司就上述财务报表的审计存在重大的不一致。</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参见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日刊登的：茂硕电源内部控制鉴证报告。巨潮资讯网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3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30"/>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130"/>
        <w:jc w:val="left"/>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3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[2018]004744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王建华 刘国军</w:t>
            </w:r>
          </w:p>
        </w:tc>
      </w:tr>
    </w:tbl>
    <w:p>
      <w:pPr>
        <w:pStyle w:val="BodyText"/>
        <w:spacing w:line="240" w:lineRule="auto" w:before="51"/>
        <w:ind w:left="0" w:right="976"/>
        <w:jc w:val="center"/>
      </w:pPr>
      <w:r>
        <w:rPr/>
        <w:t>审计报告正文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4"/>
        <w:spacing w:line="240" w:lineRule="auto"/>
        <w:ind w:left="0" w:right="976"/>
        <w:jc w:val="center"/>
        <w:rPr>
          <w:b w:val="0"/>
          <w:bCs w:val="0"/>
        </w:rPr>
      </w:pPr>
      <w:r>
        <w:rPr/>
        <w:t>审计报告</w:t>
      </w:r>
      <w:r>
        <w:rPr>
          <w:b w:val="0"/>
          <w:bCs w:val="0"/>
        </w:rPr>
      </w:r>
    </w:p>
    <w:p>
      <w:pPr>
        <w:spacing w:line="240" w:lineRule="auto" w:before="4"/>
        <w:rPr>
          <w:rFonts w:ascii="宋体" w:hAnsi="宋体" w:cs="宋体" w:eastAsia="宋体" w:hint="default"/>
          <w:b/>
          <w:bCs/>
          <w:sz w:val="26"/>
          <w:szCs w:val="26"/>
        </w:rPr>
      </w:pPr>
    </w:p>
    <w:p>
      <w:pPr>
        <w:pStyle w:val="Heading4"/>
        <w:spacing w:line="240" w:lineRule="auto" w:before="44"/>
        <w:ind w:left="0" w:right="1132"/>
        <w:jc w:val="right"/>
        <w:rPr>
          <w:b w:val="0"/>
          <w:bCs w:val="0"/>
        </w:rPr>
      </w:pPr>
      <w:r>
        <w:rPr>
          <w:w w:val="95"/>
        </w:rPr>
        <w:t>大华审字</w:t>
      </w:r>
      <w:r>
        <w:rPr>
          <w:rFonts w:ascii="Times New Roman" w:hAnsi="Times New Roman" w:cs="Times New Roman" w:eastAsia="Times New Roman" w:hint="default"/>
          <w:w w:val="95"/>
        </w:rPr>
        <w:t>[2018]004744</w:t>
      </w:r>
      <w:r>
        <w:rPr>
          <w:w w:val="95"/>
        </w:rPr>
        <w:t>号</w:t>
      </w:r>
      <w:r>
        <w:rPr>
          <w:b w:val="0"/>
          <w:bCs w:val="0"/>
        </w:rPr>
      </w:r>
    </w:p>
    <w:p>
      <w:pPr>
        <w:spacing w:line="240" w:lineRule="auto" w:before="0"/>
        <w:rPr>
          <w:rFonts w:ascii="宋体" w:hAnsi="宋体" w:cs="宋体" w:eastAsia="宋体" w:hint="default"/>
          <w:b/>
          <w:bCs/>
          <w:sz w:val="18"/>
          <w:szCs w:val="18"/>
        </w:rPr>
      </w:pPr>
    </w:p>
    <w:p>
      <w:pPr>
        <w:pStyle w:val="Heading4"/>
        <w:spacing w:line="316" w:lineRule="auto" w:before="139"/>
        <w:ind w:left="462" w:right="7681" w:hanging="309"/>
        <w:jc w:val="left"/>
        <w:rPr>
          <w:b w:val="0"/>
          <w:bCs w:val="0"/>
        </w:rPr>
      </w:pPr>
      <w:r>
        <w:rPr/>
        <w:t>茂硕电源科技股份有限公司全体股东：</w:t>
      </w:r>
      <w:r>
        <w:rPr>
          <w:w w:val="99"/>
        </w:rPr>
        <w:t> </w:t>
      </w:r>
      <w:r>
        <w:rPr/>
        <w:t>一、审计意见</w:t>
      </w:r>
      <w:r>
        <w:rPr>
          <w:b w:val="0"/>
          <w:bCs w:val="0"/>
        </w:rPr>
      </w:r>
    </w:p>
    <w:p>
      <w:pPr>
        <w:pStyle w:val="BodyText"/>
        <w:spacing w:line="300" w:lineRule="auto" w:before="19"/>
        <w:ind w:right="1033" w:firstLine="360"/>
        <w:jc w:val="left"/>
      </w:pPr>
      <w:r>
        <w:rPr/>
        <w:t>我们审计了茂硕电源科技股份有限公司</w:t>
      </w:r>
      <w:r>
        <w:rPr>
          <w:rFonts w:ascii="Times New Roman" w:hAnsi="Times New Roman" w:cs="Times New Roman" w:eastAsia="Times New Roman" w:hint="default"/>
        </w:rPr>
        <w:t>(</w:t>
      </w:r>
      <w:r>
        <w:rPr/>
        <w:t>以下简称茂硕电源公司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 债表，</w:t>
      </w:r>
      <w:r>
        <w:rPr>
          <w:rFonts w:ascii="Times New Roman" w:hAnsi="Times New Roman" w:cs="Times New Roman" w:eastAsia="Times New Roman" w:hint="default"/>
        </w:rPr>
        <w:t>2017</w:t>
      </w:r>
      <w:r>
        <w:rPr/>
        <w:t>年度的合并及母公司利润表、合并及母公司现金流量表、合并及母公司股东权益变动表以及相关财务报表附注。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我们认为，后附的财务报表在所有重大方面按照企业会计准则的规定编制，公允反映了茂硕电源公司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514" w:right="1130" w:hanging="5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1130"/>
        <w:jc w:val="left"/>
      </w:pPr>
      <w:r>
        <w:rPr>
          <w:spacing w:val="-2"/>
        </w:rPr>
        <w:t>阐述了我们在这些准则下的责任。按照中国注册会计师职业道德守则，我们独立于茂硕电源公司，并履行了职业道德方面的</w:t>
      </w:r>
      <w:r>
        <w:rPr>
          <w:spacing w:val="-65"/>
        </w:rPr>
        <w:t> </w:t>
      </w:r>
      <w:r>
        <w:rPr>
          <w:spacing w:val="-65"/>
        </w:rPr>
      </w:r>
      <w:r>
        <w:rPr/>
        <w:t>其他责任。我们相信，我们获取的审计证据是充分、适当的，为发表审计意见提供了基础。</w:t>
      </w:r>
    </w:p>
    <w:p>
      <w:pPr>
        <w:pStyle w:val="BodyText"/>
        <w:spacing w:line="316" w:lineRule="auto" w:before="19"/>
        <w:ind w:left="513" w:right="1130" w:hanging="5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16" w:lineRule="auto" w:before="19"/>
        <w:ind w:left="513" w:right="5533" w:hanging="360"/>
        <w:jc w:val="left"/>
      </w:pPr>
      <w:r>
        <w:rPr/>
        <w:t>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rPr>
        <w:t>1.</w:t>
      </w:r>
      <w:r>
        <w:rPr/>
        <w:t>应收账款减值；</w:t>
      </w:r>
    </w:p>
    <w:p>
      <w:pPr>
        <w:pStyle w:val="BodyText"/>
        <w:spacing w:line="248" w:lineRule="exact"/>
        <w:ind w:left="513" w:right="1130"/>
        <w:jc w:val="left"/>
      </w:pPr>
      <w:r>
        <w:rPr>
          <w:rFonts w:ascii="Times New Roman" w:hAnsi="Times New Roman" w:cs="Times New Roman" w:eastAsia="Times New Roman" w:hint="default"/>
        </w:rPr>
        <w:t>2.</w:t>
      </w:r>
      <w:r>
        <w:rPr/>
        <w:t>存货跌价准备。</w:t>
      </w:r>
    </w:p>
    <w:p>
      <w:pPr>
        <w:pStyle w:val="BodyText"/>
        <w:spacing w:line="240" w:lineRule="auto" w:before="63"/>
        <w:ind w:left="516" w:right="1130"/>
        <w:jc w:val="left"/>
      </w:pPr>
      <w:r>
        <w:rPr/>
        <w:t>（一）应收账款的减值</w:t>
      </w:r>
    </w:p>
    <w:p>
      <w:pPr>
        <w:pStyle w:val="BodyText"/>
        <w:spacing w:line="300" w:lineRule="auto" w:before="76"/>
        <w:ind w:left="513" w:right="1123"/>
        <w:jc w:val="left"/>
      </w:pPr>
      <w:r>
        <w:rPr>
          <w:rFonts w:ascii="Times New Roman" w:hAnsi="Times New Roman" w:cs="Times New Roman" w:eastAsia="Times New Roman" w:hint="default"/>
        </w:rPr>
        <w:t>1.</w:t>
      </w:r>
      <w:r>
        <w:rPr/>
        <w:t>事项描述 如茂硕电源合并财务报表附注六、注释</w:t>
      </w:r>
      <w:r>
        <w:rPr>
          <w:rFonts w:ascii="Times New Roman" w:hAnsi="Times New Roman" w:cs="Times New Roman" w:eastAsia="Times New Roman" w:hint="default"/>
        </w:rPr>
        <w:t>4</w:t>
      </w:r>
      <w:r>
        <w:rPr/>
        <w:t>所示，截至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日，茂硕电源应收账款账面余额为</w:t>
      </w:r>
      <w:r>
        <w:rPr>
          <w:rFonts w:ascii="Times New Roman" w:hAnsi="Times New Roman" w:cs="Times New Roman" w:eastAsia="Times New Roman" w:hint="default"/>
        </w:rPr>
        <w:t>54,083.25</w:t>
      </w:r>
      <w:r>
        <w:rPr/>
        <w:t>万元，占</w:t>
      </w:r>
    </w:p>
    <w:p>
      <w:pPr>
        <w:pStyle w:val="BodyText"/>
        <w:spacing w:line="300" w:lineRule="auto" w:before="13"/>
        <w:ind w:left="514" w:right="1130" w:hanging="360"/>
        <w:jc w:val="left"/>
      </w:pPr>
      <w:r>
        <w:rPr/>
        <w:t>资产总额的</w:t>
      </w:r>
      <w:r>
        <w:rPr>
          <w:rFonts w:ascii="Times New Roman" w:hAnsi="Times New Roman" w:cs="Times New Roman" w:eastAsia="Times New Roman" w:hint="default"/>
        </w:rPr>
        <w:t>26.41%</w:t>
      </w:r>
      <w:r>
        <w:rPr/>
        <w:t>，应收账款坏账准备为</w:t>
      </w:r>
      <w:r>
        <w:rPr>
          <w:rFonts w:ascii="Times New Roman" w:hAnsi="Times New Roman" w:cs="Times New Roman" w:eastAsia="Times New Roman" w:hint="default"/>
        </w:rPr>
        <w:t>6,105.07</w:t>
      </w:r>
      <w:r>
        <w:rPr/>
        <w:t>万元。 </w:t>
      </w:r>
      <w:r>
        <w:rPr>
          <w:spacing w:val="-2"/>
        </w:rPr>
        <w:t>管理层定期对重大客户进行单独的信用风险评估。对该等评估重点关注客户的历史结算记录及当前支付能力，并考虑客</w:t>
      </w:r>
    </w:p>
    <w:p>
      <w:pPr>
        <w:pStyle w:val="BodyText"/>
        <w:spacing w:line="316" w:lineRule="auto" w:before="31"/>
        <w:ind w:left="154" w:right="1130"/>
        <w:jc w:val="left"/>
      </w:pPr>
      <w:r>
        <w:rPr>
          <w:spacing w:val="-2"/>
        </w:rPr>
        <w:t>户自身及其所处行业的经济环境的特定信息。对于无须进行单独评估或单独评估未发生减值的应收账款，管理层在考虑该等</w:t>
      </w:r>
      <w:r>
        <w:rPr>
          <w:spacing w:val="-64"/>
        </w:rPr>
        <w:t> </w:t>
      </w:r>
      <w:r>
        <w:rPr>
          <w:spacing w:val="-64"/>
        </w:rPr>
      </w:r>
      <w:r>
        <w:rPr/>
        <w:t>客户组账龄分析及发生减值损失的历史记录基础上实施了组合减值评估。</w:t>
      </w:r>
    </w:p>
    <w:p>
      <w:pPr>
        <w:pStyle w:val="BodyText"/>
        <w:spacing w:line="240" w:lineRule="auto" w:before="19"/>
        <w:ind w:left="514" w:right="0"/>
        <w:jc w:val="left"/>
      </w:pPr>
      <w:r>
        <w:rPr/>
        <w:t>由于应收账款可收回性的确定需要管理层识别已发生减值的项目和客观证据</w:t>
      </w:r>
      <w:r>
        <w:rPr>
          <w:spacing w:val="-82"/>
        </w:rPr>
        <w:t>、</w:t>
      </w:r>
      <w:r>
        <w:rPr/>
        <w:t>评估预期未来可获取的现金流量并确定其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现值，涉及管理层运用重大会计估计和判断，且应收账款的可收回性对于财务报表具有重要性，因此，我们将应收账款的可</w:t>
      </w:r>
      <w:r>
        <w:rPr>
          <w:spacing w:val="-66"/>
        </w:rPr>
        <w:t> </w:t>
      </w:r>
      <w:r>
        <w:rPr>
          <w:spacing w:val="-66"/>
        </w:rPr>
      </w:r>
      <w:r>
        <w:rPr/>
        <w:t>收回性认定为关键审计事项。</w:t>
      </w:r>
    </w:p>
    <w:p>
      <w:pPr>
        <w:pStyle w:val="BodyText"/>
        <w:spacing w:line="300" w:lineRule="auto" w:before="19"/>
        <w:ind w:left="513" w:right="5353"/>
        <w:jc w:val="left"/>
      </w:pPr>
      <w:r>
        <w:rPr>
          <w:rFonts w:ascii="Times New Roman" w:hAnsi="Times New Roman" w:cs="Times New Roman" w:eastAsia="Times New Roman" w:hint="default"/>
        </w:rPr>
        <w:t>2.</w:t>
      </w:r>
      <w:r>
        <w:rPr/>
        <w:t>审计应对 我们针对应收账款的可收回性认定所实施的重要审计程序包括：</w:t>
      </w:r>
    </w:p>
    <w:p>
      <w:pPr>
        <w:pStyle w:val="BodyText"/>
        <w:spacing w:line="240" w:lineRule="auto" w:before="32"/>
        <w:ind w:left="513" w:right="1130"/>
        <w:jc w:val="left"/>
      </w:pPr>
      <w:r>
        <w:rPr/>
        <w:t>（</w:t>
      </w:r>
      <w:r>
        <w:rPr>
          <w:rFonts w:ascii="Times New Roman" w:hAnsi="Times New Roman" w:cs="Times New Roman" w:eastAsia="Times New Roman" w:hint="default"/>
        </w:rPr>
        <w:t>1</w:t>
      </w:r>
      <w:r>
        <w:rPr/>
        <w:t>）对与应收账款日常管理及可收回性评估相关的内部控制的设计及运行有效性进行了解、评估及测试；</w:t>
      </w:r>
    </w:p>
    <w:p>
      <w:pPr>
        <w:pStyle w:val="BodyText"/>
        <w:spacing w:line="300" w:lineRule="auto" w:before="63"/>
        <w:ind w:left="154" w:right="1122" w:firstLine="360"/>
        <w:jc w:val="left"/>
      </w:pPr>
      <w:r>
        <w:rPr/>
        <w:t>（</w:t>
      </w:r>
      <w:r>
        <w:rPr>
          <w:rFonts w:ascii="Times New Roman" w:hAnsi="Times New Roman" w:cs="Times New Roman" w:eastAsia="Times New Roman" w:hint="default"/>
        </w:rPr>
        <w:t>2</w:t>
      </w:r>
      <w:r>
        <w:rPr/>
        <w:t>）分析公司应收账款坏账准备会计估计的合理性，包括确定应收账款组合的依据、金额重大的判断、单独计提坏账 准备的判断等；</w:t>
      </w:r>
    </w:p>
    <w:p>
      <w:pPr>
        <w:pStyle w:val="BodyText"/>
        <w:spacing w:line="300" w:lineRule="auto" w:before="31"/>
        <w:ind w:left="154" w:right="1122" w:firstLine="360"/>
        <w:jc w:val="left"/>
      </w:pPr>
      <w:r>
        <w:rPr/>
        <w:t>（</w:t>
      </w:r>
      <w:r>
        <w:rPr>
          <w:rFonts w:ascii="Times New Roman" w:hAnsi="Times New Roman" w:cs="Times New Roman" w:eastAsia="Times New Roman" w:hint="default"/>
        </w:rPr>
        <w:t>3</w:t>
      </w:r>
      <w:r>
        <w:rPr/>
        <w:t>）分析应收账款的账龄及客户信誉情况，并执行应收账款函证程序及检查期后回款情况，评价应收账款增加的合理 性及应收账款坏账准备计提的合理性；</w:t>
      </w:r>
    </w:p>
    <w:p>
      <w:pPr>
        <w:pStyle w:val="BodyText"/>
        <w:spacing w:line="240" w:lineRule="auto" w:before="31"/>
        <w:ind w:left="513" w:right="1130"/>
        <w:jc w:val="left"/>
      </w:pPr>
      <w:r>
        <w:rPr/>
        <w:t>（</w:t>
      </w:r>
      <w:r>
        <w:rPr>
          <w:rFonts w:ascii="Times New Roman" w:hAnsi="Times New Roman" w:cs="Times New Roman" w:eastAsia="Times New Roman" w:hint="default"/>
        </w:rPr>
        <w:t>4</w:t>
      </w:r>
      <w:r>
        <w:rPr/>
        <w:t>）获取公司坏账准备计提表，检查计提方法是否按照会计政策执行；重新计算坏账准备计提金额是否准确；</w:t>
      </w:r>
    </w:p>
    <w:p>
      <w:pPr>
        <w:pStyle w:val="BodyText"/>
        <w:spacing w:line="300" w:lineRule="auto" w:before="63"/>
        <w:ind w:left="513" w:right="1753"/>
        <w:jc w:val="left"/>
      </w:pPr>
      <w:r>
        <w:rPr/>
        <w:t>（</w:t>
      </w:r>
      <w:r>
        <w:rPr>
          <w:rFonts w:ascii="Times New Roman" w:hAnsi="Times New Roman" w:cs="Times New Roman" w:eastAsia="Times New Roman" w:hint="default"/>
        </w:rPr>
        <w:t>5</w:t>
      </w:r>
      <w:r>
        <w:rPr/>
        <w:t>）评估管理层于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日对应收款项坏账准备的会计处理及披露。 基于上述所实施的审计程序，我们得出审计结论：管理层对应收款项的可收回性的相关判断及估计是合理的。</w:t>
      </w:r>
    </w:p>
    <w:p>
      <w:pPr>
        <w:pStyle w:val="BodyText"/>
        <w:spacing w:line="240" w:lineRule="auto" w:before="31"/>
        <w:ind w:left="444" w:right="1130"/>
        <w:jc w:val="left"/>
      </w:pPr>
      <w:r>
        <w:rPr/>
        <w:t>（二）存货跌价准备</w:t>
      </w:r>
    </w:p>
    <w:p>
      <w:pPr>
        <w:pStyle w:val="BodyText"/>
        <w:spacing w:line="240" w:lineRule="auto" w:before="76"/>
        <w:ind w:left="514" w:right="1130"/>
        <w:jc w:val="left"/>
      </w:pPr>
      <w:r>
        <w:rPr>
          <w:rFonts w:ascii="Times New Roman" w:hAnsi="Times New Roman" w:cs="Times New Roman" w:eastAsia="Times New Roman" w:hint="default"/>
        </w:rPr>
        <w:t>1.</w:t>
      </w:r>
      <w:r>
        <w:rPr/>
        <w:t>事项描述</w:t>
      </w:r>
    </w:p>
    <w:p>
      <w:pPr>
        <w:pStyle w:val="BodyText"/>
        <w:spacing w:line="300" w:lineRule="auto" w:before="63"/>
        <w:ind w:left="154" w:right="1130" w:firstLine="360"/>
        <w:jc w:val="left"/>
      </w:pPr>
      <w:r>
        <w:rPr/>
        <w:t>如茂硕电源公司合并财务报表附注六、注释</w:t>
      </w:r>
      <w:r>
        <w:rPr>
          <w:rFonts w:ascii="Times New Roman" w:hAnsi="Times New Roman" w:cs="Times New Roman" w:eastAsia="Times New Roman" w:hint="default"/>
        </w:rPr>
        <w:t>7 </w:t>
      </w:r>
      <w:r>
        <w:rPr/>
        <w:t>所述，截至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3"/>
        </w:rPr>
        <w:t> </w:t>
      </w:r>
      <w:r>
        <w:rPr/>
        <w:t>日，茂硕电源公司存货账面余额</w:t>
      </w:r>
      <w:r>
        <w:rPr>
          <w:rFonts w:ascii="Times New Roman" w:hAnsi="Times New Roman" w:cs="Times New Roman" w:eastAsia="Times New Roman" w:hint="default"/>
        </w:rPr>
        <w:t>22,722.18</w:t>
      </w:r>
      <w:r>
        <w:rPr/>
        <w:t>万 元，存货跌价准备</w:t>
      </w:r>
      <w:r>
        <w:rPr>
          <w:rFonts w:ascii="Times New Roman" w:hAnsi="Times New Roman" w:cs="Times New Roman" w:eastAsia="Times New Roman" w:hint="default"/>
        </w:rPr>
        <w:t>2,411.85</w:t>
      </w:r>
      <w:r>
        <w:rPr/>
        <w:t>万元，账面价值</w:t>
      </w:r>
      <w:r>
        <w:rPr>
          <w:rFonts w:ascii="Times New Roman" w:hAnsi="Times New Roman" w:cs="Times New Roman" w:eastAsia="Times New Roman" w:hint="default"/>
        </w:rPr>
        <w:t>20,310.33</w:t>
      </w:r>
      <w:r>
        <w:rPr/>
        <w:t>万元，占资产总额的</w:t>
      </w:r>
      <w:r>
        <w:rPr>
          <w:rFonts w:ascii="Times New Roman" w:hAnsi="Times New Roman" w:cs="Times New Roman" w:eastAsia="Times New Roman" w:hint="default"/>
        </w:rPr>
        <w:t>9.92%</w:t>
      </w:r>
      <w:r>
        <w:rPr/>
        <w:t>。</w:t>
      </w:r>
    </w:p>
    <w:p>
      <w:pPr>
        <w:pStyle w:val="BodyText"/>
        <w:spacing w:line="316" w:lineRule="auto" w:before="13"/>
        <w:ind w:right="1131" w:firstLine="360"/>
        <w:jc w:val="both"/>
      </w:pPr>
      <w:r>
        <w:rPr>
          <w:spacing w:val="-2"/>
        </w:rPr>
        <w:t>存货跌价准备的提取，取决于对存货可变现净值的估计。存货的可变现净值的确定，要求管理层对存货的售价，至完工</w:t>
      </w:r>
      <w:r>
        <w:rPr/>
        <w:t> </w:t>
      </w:r>
      <w:r>
        <w:rPr>
          <w:spacing w:val="-2"/>
        </w:rPr>
        <w:t>时将要发生的成本、销售费用以及相关税费的金额进行估计。由于这涉及管理层运用重大会计估计和判断，以及有可能受到</w:t>
      </w:r>
      <w:r>
        <w:rPr>
          <w:spacing w:val="-66"/>
        </w:rPr>
        <w:t> </w:t>
      </w:r>
      <w:r>
        <w:rPr>
          <w:spacing w:val="-66"/>
        </w:rPr>
      </w:r>
      <w:r>
        <w:rPr/>
        <w:t>管理层偏向的影响，因此我们将存货的减值作为关键审计事项。</w:t>
      </w:r>
    </w:p>
    <w:p>
      <w:pPr>
        <w:pStyle w:val="BodyText"/>
        <w:spacing w:line="300" w:lineRule="auto" w:before="19"/>
        <w:ind w:left="514" w:right="7692"/>
        <w:jc w:val="left"/>
      </w:pPr>
      <w:r>
        <w:rPr>
          <w:rFonts w:ascii="Times New Roman" w:hAnsi="Times New Roman" w:cs="Times New Roman" w:eastAsia="Times New Roman" w:hint="default"/>
        </w:rPr>
        <w:t>2.</w:t>
      </w:r>
      <w:r>
        <w:rPr/>
        <w:t>审计应对 我们所实施的重要审计程序包括：</w:t>
      </w:r>
    </w:p>
    <w:p>
      <w:pPr>
        <w:pStyle w:val="BodyText"/>
        <w:spacing w:line="240" w:lineRule="auto" w:before="31"/>
        <w:ind w:left="514" w:right="1130"/>
        <w:jc w:val="left"/>
      </w:pPr>
      <w:r>
        <w:rPr/>
        <w:t>（</w:t>
      </w:r>
      <w:r>
        <w:rPr>
          <w:rFonts w:ascii="Times New Roman" w:hAnsi="Times New Roman" w:cs="Times New Roman" w:eastAsia="Times New Roman" w:hint="default"/>
        </w:rPr>
        <w:t>1</w:t>
      </w:r>
      <w:r>
        <w:rPr/>
        <w:t>）评估和测试与存货跌价准备相关的内部控制的设计与运行有效性；</w:t>
      </w:r>
    </w:p>
    <w:p>
      <w:pPr>
        <w:pStyle w:val="BodyText"/>
        <w:spacing w:line="240" w:lineRule="auto" w:before="63"/>
        <w:ind w:left="513" w:right="1130"/>
        <w:jc w:val="left"/>
      </w:pPr>
      <w:r>
        <w:rPr/>
        <w:t>（</w:t>
      </w:r>
      <w:r>
        <w:rPr>
          <w:rFonts w:ascii="Times New Roman" w:hAnsi="Times New Roman" w:cs="Times New Roman" w:eastAsia="Times New Roman" w:hint="default"/>
        </w:rPr>
        <w:t>2</w:t>
      </w:r>
      <w:r>
        <w:rPr/>
        <w:t>）对存货实施监盘，检查存货的数量及状况，关注残次冷背的存货是否被识别；</w:t>
      </w:r>
    </w:p>
    <w:p>
      <w:pPr>
        <w:pStyle w:val="BodyText"/>
        <w:spacing w:line="240" w:lineRule="auto" w:before="63"/>
        <w:ind w:left="513" w:right="0"/>
        <w:jc w:val="left"/>
      </w:pPr>
      <w:r>
        <w:rPr/>
        <w:t>（</w:t>
      </w:r>
      <w:r>
        <w:rPr>
          <w:rFonts w:ascii="Times New Roman" w:hAnsi="Times New Roman" w:cs="Times New Roman" w:eastAsia="Times New Roman" w:hint="default"/>
        </w:rPr>
        <w:t>3</w:t>
      </w:r>
      <w:r>
        <w:rPr/>
        <w:t>）对存货周转天数以及存货库龄进行审核并执行分析性程序，判断是否存在较长库龄的存货导致存货减值的风险；</w:t>
      </w:r>
    </w:p>
    <w:p>
      <w:pPr>
        <w:pStyle w:val="BodyText"/>
        <w:spacing w:line="300" w:lineRule="auto" w:before="63"/>
        <w:ind w:left="154" w:right="1122" w:firstLine="360"/>
        <w:jc w:val="left"/>
      </w:pPr>
      <w:r>
        <w:rPr/>
        <w:t>（</w:t>
      </w:r>
      <w:r>
        <w:rPr>
          <w:rFonts w:ascii="Times New Roman" w:hAnsi="Times New Roman" w:cs="Times New Roman" w:eastAsia="Times New Roman" w:hint="default"/>
        </w:rPr>
        <w:t>4</w:t>
      </w:r>
      <w:r>
        <w:rPr/>
        <w:t>）获取存货跌价准备计算表，执行存货减值测试，检查以前年度计提的存货跌价本期的变化情况等，分析存货跌价 准备计提是否充分。</w:t>
      </w:r>
    </w:p>
    <w:p>
      <w:pPr>
        <w:pStyle w:val="BodyText"/>
        <w:spacing w:line="300" w:lineRule="auto" w:before="31"/>
        <w:ind w:left="462" w:right="3323" w:firstLine="51"/>
        <w:jc w:val="left"/>
        <w:rPr>
          <w:rFonts w:ascii="宋体" w:hAnsi="宋体" w:cs="宋体" w:eastAsia="宋体" w:hint="default"/>
        </w:rPr>
      </w:pPr>
      <w:r>
        <w:rPr/>
        <w:t>基于上述所实施的审计程序，我们得出审计结论</w:t>
      </w:r>
      <w:r>
        <w:rPr>
          <w:rFonts w:ascii="Times New Roman" w:hAnsi="Times New Roman" w:cs="Times New Roman" w:eastAsia="Times New Roman" w:hint="default"/>
        </w:rPr>
        <w:t>:</w:t>
      </w:r>
      <w:r>
        <w:rPr/>
        <w:t>管理层对存货跌价准备的计提是合理的。 </w:t>
      </w:r>
      <w:r>
        <w:rPr>
          <w:rFonts w:ascii="宋体" w:hAnsi="宋体" w:cs="宋体" w:eastAsia="宋体" w:hint="default"/>
          <w:b/>
          <w:bCs/>
        </w:rPr>
        <w:t>四、其他信息</w:t>
      </w:r>
      <w:r>
        <w:rPr>
          <w:rFonts w:ascii="宋体" w:hAnsi="宋体" w:cs="宋体" w:eastAsia="宋体" w:hint="default"/>
        </w:rPr>
      </w:r>
    </w:p>
    <w:p>
      <w:pPr>
        <w:pStyle w:val="BodyText"/>
        <w:spacing w:line="309" w:lineRule="auto" w:before="31"/>
        <w:ind w:left="514" w:right="0"/>
        <w:jc w:val="left"/>
      </w:pPr>
      <w:r>
        <w:rPr>
          <w:spacing w:val="-4"/>
        </w:rPr>
        <w:t>茂硕电源公司管理层对其他信息负责。其他信息包括</w:t>
      </w:r>
      <w:r>
        <w:rPr>
          <w:rFonts w:ascii="Times New Roman" w:hAnsi="Times New Roman" w:cs="Times New Roman" w:eastAsia="Times New Roman" w:hint="default"/>
          <w:spacing w:val="-4"/>
        </w:rPr>
        <w:t>2017</w:t>
      </w:r>
      <w:r>
        <w:rPr>
          <w:spacing w:val="-4"/>
        </w:rPr>
        <w:t>年度报告中涵盖的信息，但不包括财务报表和我们的审计报告。</w:t>
      </w:r>
      <w:r>
        <w:rPr>
          <w:spacing w:val="-44"/>
        </w:rPr>
        <w:t> </w:t>
      </w:r>
      <w:r>
        <w:rPr>
          <w:spacing w:val="-44"/>
        </w:rPr>
      </w: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24"/>
        <w:ind w:left="514" w:right="1130" w:hanging="360"/>
        <w:jc w:val="left"/>
      </w:pPr>
      <w:r>
        <w:rPr/>
        <w:t>程中了解的情况存在重大不一致或者似乎存在重大错报。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left="154" w:right="1130"/>
        <w:jc w:val="left"/>
      </w:pPr>
      <w:r>
        <w:rPr/>
        <w:t>报告。</w:t>
      </w:r>
    </w:p>
    <w:p>
      <w:pPr>
        <w:spacing w:line="316" w:lineRule="auto" w:before="76"/>
        <w:ind w:left="514" w:right="1130" w:hanging="5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茂硕电源公司管理层负责按照企业会计准则的规定编制财务报表，使其实现公允反映，并设计、执行和维护必要的内部</w:t>
      </w:r>
    </w:p>
    <w:p>
      <w:pPr>
        <w:pStyle w:val="BodyText"/>
        <w:spacing w:line="316" w:lineRule="auto" w:before="19"/>
        <w:ind w:left="514" w:right="0" w:hanging="360"/>
        <w:jc w:val="left"/>
      </w:pPr>
      <w:r>
        <w:rPr/>
        <w:t>控制，以使财务报表不存在由于舞弊或错误导致的重大错报。 </w:t>
      </w:r>
      <w:r>
        <w:rPr>
          <w:spacing w:val="-7"/>
        </w:rPr>
        <w:t>在编制财务报表时，茂硕电源公司管理层负责评估茂硕电源公司的持续经营能力，披露与持续经营相关的事项（如适用），</w:t>
      </w:r>
    </w:p>
    <w:p>
      <w:pPr>
        <w:pStyle w:val="BodyText"/>
        <w:spacing w:line="316" w:lineRule="auto" w:before="19"/>
        <w:ind w:left="513" w:right="3373" w:hanging="360"/>
        <w:jc w:val="left"/>
      </w:pPr>
      <w:r>
        <w:rPr/>
        <w:t>并运用持续经营假设，除非管理层计划清算茂硕电源公司、终止运营或别无其他现实的选择。 治理层负责监督茂硕电源公司的财务报告过程。</w:t>
      </w:r>
    </w:p>
    <w:p>
      <w:pPr>
        <w:spacing w:line="316" w:lineRule="auto" w:before="19"/>
        <w:ind w:left="514" w:right="1130" w:hanging="52"/>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9"/>
        <w:ind w:left="154" w:right="1130"/>
        <w:jc w:val="left"/>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t>重大的。</w:t>
      </w:r>
    </w:p>
    <w:p>
      <w:pPr>
        <w:pStyle w:val="BodyText"/>
        <w:spacing w:line="240" w:lineRule="auto" w:before="76"/>
        <w:ind w:left="513" w:right="1130"/>
        <w:jc w:val="left"/>
      </w:pPr>
      <w:r>
        <w:rPr/>
        <w:t>在按照审计准则执行审计工作的过程中，我们运用职业判断，并保持职业怀疑。同时，我们也执行以下工作：</w:t>
      </w:r>
    </w:p>
    <w:p>
      <w:pPr>
        <w:pStyle w:val="BodyText"/>
        <w:spacing w:line="319" w:lineRule="auto" w:before="76"/>
        <w:ind w:left="514" w:right="1130" w:hanging="360"/>
        <w:jc w:val="both"/>
      </w:pPr>
      <w:r>
        <w:rPr>
          <w:rFonts w:ascii="宋体" w:hAnsi="宋体" w:cs="宋体" w:eastAsia="宋体" w:hint="default"/>
        </w:rPr>
        <w:t>1.</w:t>
      </w:r>
      <w:r>
        <w:rPr>
          <w:rFonts w:ascii="宋体" w:hAnsi="宋体" w:cs="宋体" w:eastAsia="宋体" w:hint="default"/>
          <w:spacing w:val="10"/>
        </w:rPr>
        <w:t> </w:t>
      </w:r>
      <w:r>
        <w:rPr/>
        <w:t>识别和评估由于舞弊或错误导致的财务报表重大错报风险，设计和实施审计程序以应对这些风险，并获取充分、适当的 </w:t>
      </w:r>
      <w:r>
        <w:rPr>
          <w:spacing w:val="-2"/>
        </w:rPr>
        <w:t>审计证据，作为发表审计意见的基础。由于舞弊可能涉及串通、伪造、故意遗漏、虚假陈述或凌驾于内部控制之上，未</w:t>
      </w:r>
      <w:r>
        <w:rPr/>
        <w:t> 能发现由于舞弊导致的重大错报的风险高于未能发现由于错误导致的重大错报的风险。</w:t>
      </w:r>
    </w:p>
    <w:p>
      <w:pPr>
        <w:pStyle w:val="BodyText"/>
        <w:spacing w:line="240" w:lineRule="auto" w:before="17"/>
        <w:ind w:right="1130"/>
        <w:jc w:val="left"/>
      </w:pPr>
      <w:r>
        <w:rPr>
          <w:rFonts w:ascii="宋体" w:hAnsi="宋体" w:cs="宋体" w:eastAsia="宋体" w:hint="default"/>
        </w:rPr>
        <w:t>2.  </w:t>
      </w:r>
      <w:r>
        <w:rPr/>
        <w:t>了解与审计相关的内部控制，以设计恰当的审计程序。</w:t>
      </w:r>
    </w:p>
    <w:p>
      <w:pPr>
        <w:pStyle w:val="BodyText"/>
        <w:spacing w:line="240" w:lineRule="auto" w:before="76"/>
        <w:ind w:left="154" w:right="1130"/>
        <w:jc w:val="left"/>
      </w:pPr>
      <w:r>
        <w:rPr>
          <w:rFonts w:ascii="宋体" w:hAnsi="宋体" w:cs="宋体" w:eastAsia="宋体" w:hint="default"/>
        </w:rPr>
        <w:t>3.  </w:t>
      </w:r>
      <w:r>
        <w:rPr/>
        <w:t>评价管理层选用会计政策的恰当性和作出会计估计及相关披露的合理性。</w:t>
      </w:r>
    </w:p>
    <w:p>
      <w:pPr>
        <w:pStyle w:val="BodyText"/>
        <w:spacing w:line="316" w:lineRule="auto" w:before="76"/>
        <w:ind w:left="514" w:right="1132" w:hanging="360"/>
        <w:jc w:val="both"/>
      </w:pPr>
      <w:r>
        <w:rPr>
          <w:rFonts w:ascii="宋体" w:hAnsi="宋体" w:cs="宋体" w:eastAsia="宋体" w:hint="default"/>
        </w:rPr>
        <w:t>4.</w:t>
      </w:r>
      <w:r>
        <w:rPr>
          <w:rFonts w:ascii="宋体" w:hAnsi="宋体" w:cs="宋体" w:eastAsia="宋体" w:hint="default"/>
          <w:spacing w:val="9"/>
        </w:rPr>
        <w:t> </w:t>
      </w:r>
      <w:r>
        <w:rPr/>
        <w:t>对管理层使用持续经营假设的恰当性得出结论。同时，根据获取的审计证据，就可能导致对茂硕电源公司持续经营能力 </w:t>
      </w:r>
      <w:r>
        <w:rPr>
          <w:spacing w:val="-2"/>
        </w:rPr>
        <w:t>产生重大疑虑的事项或情况是否存在重大不确定性得出结论。如果我们得出结论认为存在重大不确定性，审计准则要求</w:t>
      </w:r>
      <w:r>
        <w:rPr/>
        <w:t> </w:t>
      </w:r>
      <w:r>
        <w:rPr>
          <w:spacing w:val="-2"/>
        </w:rPr>
        <w:t>我们在审计报告中提请报告使用者注意财务报表中的相关披露；如果披露不充分，我们应当发表非无保留意见。我们的</w:t>
      </w:r>
      <w:r>
        <w:rPr/>
        <w:t> 结论基于截至审计报告日可获得的信息。然而，未来的事项或情况可能导致茂硕电源公司不能持续经营。</w:t>
      </w:r>
    </w:p>
    <w:p>
      <w:pPr>
        <w:pStyle w:val="BodyText"/>
        <w:spacing w:line="240" w:lineRule="auto" w:before="19"/>
        <w:ind w:right="1130"/>
        <w:jc w:val="left"/>
      </w:pPr>
      <w:r>
        <w:rPr>
          <w:rFonts w:ascii="宋体" w:hAnsi="宋体" w:cs="宋体" w:eastAsia="宋体" w:hint="default"/>
        </w:rPr>
        <w:t>5.  </w:t>
      </w:r>
      <w:r>
        <w:rPr/>
        <w:t>评价财务报表的总体列报、结构和内容（包括披露），并评价财务报表是否公允反映相关交易和事项。</w:t>
      </w:r>
    </w:p>
    <w:p>
      <w:pPr>
        <w:pStyle w:val="BodyText"/>
        <w:spacing w:line="316" w:lineRule="auto" w:before="76"/>
        <w:ind w:left="514" w:right="1113" w:hanging="360"/>
        <w:jc w:val="left"/>
      </w:pPr>
      <w:r>
        <w:rPr>
          <w:rFonts w:ascii="宋体" w:hAnsi="宋体" w:cs="宋体" w:eastAsia="宋体" w:hint="default"/>
        </w:rPr>
        <w:t>6.</w:t>
      </w:r>
      <w:r>
        <w:rPr>
          <w:rFonts w:ascii="宋体" w:hAnsi="宋体" w:cs="宋体" w:eastAsia="宋体" w:hint="default"/>
          <w:spacing w:val="9"/>
        </w:rPr>
        <w:t> </w:t>
      </w:r>
      <w:r>
        <w:rPr/>
        <w:t>就茂硕电源公司中实体或业务活动的财务信息获取充分、适当的审计证据，以对合并财务报表发表审计意见。我们负责 指导、监督和执行集团审计，并对审计意见承担全部责任。 </w:t>
      </w:r>
      <w:r>
        <w:rPr>
          <w:spacing w:val="-2"/>
        </w:rPr>
        <w:t>我们与治理层就计划的审计范围、时间安排和重大审计发现等事项进行沟通，包括沟通我们在审计中识别出的值得关注</w:t>
      </w:r>
    </w:p>
    <w:p>
      <w:pPr>
        <w:pStyle w:val="BodyText"/>
        <w:spacing w:line="316" w:lineRule="auto" w:before="19"/>
        <w:ind w:left="514" w:right="1130" w:hanging="360"/>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316" w:lineRule="auto" w:before="19"/>
        <w:ind w:left="514" w:right="1130" w:hanging="360"/>
        <w:jc w:val="left"/>
      </w:pPr>
      <w:r>
        <w:rPr/>
        <w:t>有关系和其他事项，以及相关的防范措施（如适用）。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316" w:lineRule="auto" w:before="19"/>
        <w:ind w:left="154" w:right="1130"/>
        <w:jc w:val="left"/>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997" w:type="dxa"/>
        <w:tblLayout w:type="fixed"/>
        <w:tblCellMar>
          <w:top w:w="0" w:type="dxa"/>
          <w:left w:w="0" w:type="dxa"/>
          <w:bottom w:w="0" w:type="dxa"/>
          <w:right w:w="0" w:type="dxa"/>
        </w:tblCellMar>
        <w:tblLook w:val="01E0"/>
      </w:tblPr>
      <w:tblGrid>
        <w:gridCol w:w="3457"/>
        <w:gridCol w:w="2972"/>
      </w:tblGrid>
      <w:tr>
        <w:trPr>
          <w:trHeight w:val="261"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194" w:lineRule="exact"/>
              <w:ind w:right="415"/>
              <w:jc w:val="center"/>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2972" w:type="dxa"/>
            <w:tcBorders>
              <w:top w:val="nil" w:sz="6" w:space="0" w:color="auto"/>
              <w:left w:val="nil" w:sz="6" w:space="0" w:color="auto"/>
              <w:bottom w:val="nil" w:sz="6" w:space="0" w:color="auto"/>
              <w:right w:val="nil" w:sz="6" w:space="0" w:color="auto"/>
            </w:tcBorders>
          </w:tcPr>
          <w:p>
            <w:pPr>
              <w:pStyle w:val="TableParagraph"/>
              <w:spacing w:line="180" w:lineRule="exact"/>
              <w:ind w:left="707"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98"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4"/>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b/>
                <w:bCs/>
                <w:sz w:val="18"/>
                <w:szCs w:val="18"/>
              </w:rPr>
              <w:t>·</w:t>
            </w:r>
            <w:r>
              <w:rPr>
                <w:rFonts w:ascii="宋体" w:hAnsi="宋体" w:cs="宋体" w:eastAsia="宋体" w:hint="default"/>
                <w:sz w:val="18"/>
                <w:szCs w:val="18"/>
              </w:rPr>
              <w:t>北京</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17" w:right="0"/>
              <w:jc w:val="left"/>
              <w:rPr>
                <w:rFonts w:ascii="宋体" w:hAnsi="宋体" w:cs="宋体" w:eastAsia="宋体" w:hint="default"/>
                <w:sz w:val="18"/>
                <w:szCs w:val="18"/>
              </w:rPr>
            </w:pPr>
            <w:r>
              <w:rPr>
                <w:rFonts w:ascii="宋体" w:hAnsi="宋体" w:cs="宋体" w:eastAsia="宋体" w:hint="default"/>
                <w:sz w:val="18"/>
                <w:szCs w:val="18"/>
              </w:rPr>
              <w:t>（项目合伙人）</w:t>
            </w:r>
          </w:p>
        </w:tc>
      </w:tr>
      <w:tr>
        <w:trPr>
          <w:trHeight w:val="659" w:hRule="exact"/>
        </w:trPr>
        <w:tc>
          <w:tcPr>
            <w:tcW w:w="3457"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07"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22" w:hRule="exact"/>
        </w:trPr>
        <w:tc>
          <w:tcPr>
            <w:tcW w:w="3457" w:type="dxa"/>
            <w:tcBorders>
              <w:top w:val="nil" w:sz="6" w:space="0" w:color="auto"/>
              <w:left w:val="nil" w:sz="6" w:space="0" w:color="auto"/>
              <w:bottom w:val="nil" w:sz="6" w:space="0" w:color="auto"/>
              <w:right w:val="nil" w:sz="6" w:space="0" w:color="auto"/>
            </w:tcBorders>
          </w:tcPr>
          <w:p>
            <w:pP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92" w:right="0"/>
              <w:jc w:val="left"/>
              <w:rPr>
                <w:rFonts w:ascii="宋体" w:hAnsi="宋体" w:cs="宋体" w:eastAsia="宋体" w:hint="default"/>
                <w:sz w:val="18"/>
                <w:szCs w:val="18"/>
              </w:rPr>
            </w:pPr>
            <w:r>
              <w:rPr>
                <w:rFonts w:ascii="宋体" w:hAnsi="宋体" w:cs="宋体" w:eastAsia="宋体" w:hint="default"/>
                <w:sz w:val="18"/>
                <w:szCs w:val="18"/>
              </w:rPr>
              <w:t>二〇一八年三月二十六日</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2"/>
        <w:spacing w:line="240" w:lineRule="auto" w:before="26"/>
        <w:ind w:left="154" w:right="113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编制单位：茂硕电源科技股份有限公司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6"/>
        <w:gridCol w:w="3300"/>
        <w:gridCol w:w="329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318,161,764.45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4" w:right="0"/>
              <w:jc w:val="left"/>
              <w:rPr>
                <w:rFonts w:ascii="Times New Roman" w:hAnsi="Times New Roman" w:cs="Times New Roman" w:eastAsia="Times New Roman" w:hint="default"/>
                <w:sz w:val="18"/>
                <w:szCs w:val="18"/>
              </w:rPr>
            </w:pPr>
            <w:r>
              <w:rPr>
                <w:rFonts w:ascii="Times New Roman"/>
                <w:sz w:val="18"/>
              </w:rPr>
              <w:t>274,739,490.29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3,911,787.40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19,441,361.90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88,436,975.42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85,198,429.04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479,781,809.01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588,888,514.16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2,633,463.17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4,314,477.52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33,624,662.85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20,358,202.88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203,103,287.66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213,641,418.59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5,081,995.31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26,487,999.79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27,397,411.88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1,156,141,749.75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1,239,061,301.57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38,647,283.21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40,523,683.21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18,281,363.57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145,805,355.11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19,117,589.52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573,473,388.15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657,858,738.87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16,877,519.80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63,685,790.85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33,142,295.75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44,503,898.30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8,826,475.75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117,739,513.80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20,726,604.86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16,057,741.64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28,912,771.39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27,058,962.01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24,361,252.18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29,841,790.73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891,772,946.20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1,034,669,072.50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2,047,914,695.95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2,273,730,374.07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244,551,780.00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334,559,282.42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184,153,780.47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464,776,641.01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503,074,401.40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11,654,673.31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14,440,196.68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28,693,855.43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25,566,797.60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12,146,890.35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27,938,431.40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1,236,933.91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651,628.53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12,392,585.65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7,617,821.35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11,584,294.83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3,843,159.66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1,121,596,936.91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1,192,786,217.09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20,614,521.60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4,352,106.55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463,720.83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16,454,883.76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18,901,436.45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1,217,387.10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23,806,990.31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44,197,065.98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1,145,403,927.22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1,236,983,283.07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274,780,458.00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277,030,616.00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450,500,875.29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467,473,269.73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25,571,701.00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22,422,766.80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99,705,204.83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94,811,104.24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850,558,239.12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861,737,756.77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51,952,529.61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175,009,334.23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902,510,768.73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1,036,747,091.00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2,047,914,695.95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2,273,730,374.07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法定代表人：顾永德</w:t>
        <w:tab/>
        <w:t>主管会计工作负责人：谢春华</w:t>
        <w:tab/>
        <w:t>会计机构负责人：秦利红</w:t>
      </w:r>
    </w:p>
    <w:p>
      <w:pPr>
        <w:spacing w:line="240" w:lineRule="auto" w:before="0"/>
        <w:rPr>
          <w:rFonts w:ascii="宋体" w:hAnsi="宋体" w:cs="宋体" w:eastAsia="宋体" w:hint="default"/>
          <w:sz w:val="18"/>
          <w:szCs w:val="18"/>
        </w:rPr>
      </w:pPr>
    </w:p>
    <w:p>
      <w:pPr>
        <w:pStyle w:val="Heading3"/>
        <w:spacing w:line="240" w:lineRule="auto" w:before="125"/>
        <w:ind w:right="113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186,467,788.12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142,354,514.22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3,911,787.40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19,441,361.90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39,240,613.48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46,816,333.33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281,704,340.61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257,822,944.69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873,987.01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1,169,818.73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380,311,669.50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310,442,299.32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21,178,706.24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15,987,442.79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2,079,277.20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2,682,849.34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916,371,741.70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798,113,992.18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37,460,966.00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32,941,966.00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633,575,892.66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660,875,842.41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27,067,656.99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25,792,090.99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61,495.74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225,581.90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3,602,173.35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2,133,369.23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8,971,052.70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7,436,590.40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16,935,786.75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19,349,596.52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727,675,024.19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748,755,037.45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1,644,046,765.89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1,546,869,029.63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235,551,780.00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226,635,734.43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109,717,570.04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115,749,253.02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102,387,292.96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2,389,383.38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10,588,904.16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5,643,825.16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3,254,926.87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476,028.74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4,707,957.79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1,209,190.58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564,036.44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127,105,139.52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34,126,788.76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714,760,334.83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637,847,477.02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10,059,442.15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6,588,958.87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7,245,909.35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10,738,958.87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20,305,351.50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725,499,293.70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658,152,828.52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6"/>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274,780,458.00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277,030,616.00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439,103,195.85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456,256,694.84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25,571,701.00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22,422,766.80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179,092,117.34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133,006,123.47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918,547,472.19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888,716,201.11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1,644,046,765.89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1,546,869,029.63</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8"/>
        <w:ind w:left="154" w:right="113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1,652,076,282.01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1,292,958,187.22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1,652,076,282.01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1,292,958,187.22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1,655,613,822.22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1,290,255,499.24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1,327,621,489.68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1,005,876,772.61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11,726,706.91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7,863,680.34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87,378,862.28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70,484,509.49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150,930,913.31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126,068,888.24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33,052,398.23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6,530,490.46</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99.699982pt;width:157.7pt;height:19.650pt;mso-position-horizontal-relative:page;mso-position-vertical-relative:page;z-index:-1317568" coordorigin="4242,3994" coordsize="3154,393">
            <v:shape style="position:absolute;left:4242;top:3994;width:3154;height:393" coordorigin="4242,3994" coordsize="3154,393" path="m4242,4386l7396,4386,7396,3994,4242,3994,4242,4386xe" filled="true" fillcolor="#ffffff" stroked="false">
              <v:path arrowok="t"/>
              <v:fill type="solid"/>
            </v:shape>
            <w10:wrap type="none"/>
          </v:group>
        </w:pict>
      </w:r>
      <w:r>
        <w:rPr/>
        <w:pict>
          <v:group style="position:absolute;margin-left:212.119995pt;margin-top:335.899994pt;width:157.7pt;height:19.650pt;mso-position-horizontal-relative:page;mso-position-vertical-relative:page;z-index:-1317544" coordorigin="4242,6718" coordsize="3154,393">
            <v:shape style="position:absolute;left:4242;top:6718;width:3154;height:393" coordorigin="4242,6718" coordsize="3154,393" path="m4242,7110l7396,7110,7396,6718,4242,6718,4242,711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44,903,451.81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73,431,158.10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1,686,707.72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16,069,288.91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-4,247,476.69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3,066,721.06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-263,085.96</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348,719.77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567,770.43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9,424,289.54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22,304,758.01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709,689.44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7,029,325.28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30,740,449.84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1,926,199.77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3,722,668.01</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27,407,883.52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27,727,471.27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2,434,665.44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13,895,514.11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24,973,218.08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13,831,957.16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24,973,218.08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13,831,957.16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13,065,004.57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-1,788,124.06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11,908,213.51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15,620,081.22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24,973,218.08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13,831,957.16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13,065,004.57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-1,788,124.06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11,908,213.51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15,620,081.22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r>
    </w:tbl>
    <w:p>
      <w:pPr>
        <w:pStyle w:val="BodyText"/>
        <w:tabs>
          <w:tab w:pos="3574" w:val="left" w:leader="none"/>
          <w:tab w:pos="7715" w:val="left" w:leader="none"/>
        </w:tabs>
        <w:spacing w:line="597" w:lineRule="auto" w:before="51"/>
        <w:ind w:right="1229"/>
        <w:jc w:val="both"/>
        <w:rPr>
          <w:rFonts w:ascii="宋体" w:hAnsi="宋体" w:cs="宋体" w:eastAsia="宋体" w:hint="default"/>
          <w:sz w:val="20"/>
          <w:szCs w:val="20"/>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法定代表人：顾永德</w:t>
        <w:tab/>
        <w:t>主管会计工作负责人：谢春华</w:t>
        <w:tab/>
        <w:t>会计机构负责人：秦利红 </w:t>
      </w:r>
      <w:bookmarkStart w:name="4、母公司利润表" w:id="161"/>
      <w:bookmarkEnd w:id="161"/>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pStyle w:val="BodyText"/>
        <w:spacing w:line="240" w:lineRule="auto" w:before="2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779,597,397.89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598,901,278.50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678,021,339.46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510,542,399.21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1,454,998.48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2,169,443.52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31,153,132.13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34,083,012.64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55,082,334.03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44,282,433.23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16,099,992.92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-2,596,611.90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12,406,948.60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17,252,238.81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1,686,707.72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40,483,087.18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-4,162,794.23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9,665,035.99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123,106.80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167,967.42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567,770.43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2,835,069.62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28,864,776.49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-8,739,953.09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5,811,460.91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24,452,582.23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1,176,946.44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328,811.24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33,499,290.96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15,383,817.90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2,009,948.96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1,487,668.99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31,489,342.00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13,896,148.91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31,489,342.00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13,896,148.91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31,489,342.00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13,896,148.91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8"/>
        <w:ind w:left="154" w:right="113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1,455,259,998.77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1,075,248,363.08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73,218,621.76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42,847,860.22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24,774,148.95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40,655,099.80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1,553,252,769.48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1,158,751,323.10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907,070,237.50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796,782,144.58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263,993,661.42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226,050,002.98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88,641,217.92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49,163,912.74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97,308,479.01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84,573,957.04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1,357,013,595.85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1,156,570,017.34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196,239,173.63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2,181,305.76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220,938.22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214,410.96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1,171,669.19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3,890,977.54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147,783,906.14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360,746.96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9,130,484.95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178,666,513.55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34,496,620.41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57,011,437.50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148,977,618.25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67,239,000.00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47,410,368.00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5,068,470.67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5,540,193.48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129,318,908.17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201,928,179.73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49,347,605.38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-167,431,559.32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275,858,427.87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125,191,741.33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191,532,141.95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402,520,169.20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698,732,141.95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415,079,615.90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17,854,406.39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22,422,037.60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202,806,881.61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226,266,494.80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635,740,903.90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598,088,532.40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-233,220,734.70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100,643,609.55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-3,998,570.15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6,461,133.64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8,367,474.16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-58,145,510.37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186,556,540.52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244,702,050.89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194,924,014.68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186,556,540.52</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8"/>
        <w:ind w:left="154" w:right="113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743,064,111.49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637,049,836.47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69,416,628.05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40,921,680.38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256,305,136.37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381,463,480.22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1,068,785,875.91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1,059,434,997.07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661,153,569.41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674,504,239.97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29,543,048.05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28,345,855.85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8,730,057.96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6,707,215.37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202,033,584.03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371,567,135.68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901,460,259.45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1,081,124,446.87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167,325,616.46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-21,689,449.80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1,028,149.19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3,890,977.54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12,651,174.91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870,746.96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168,329,324.10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4,761,724.50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7,681,944.91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4,684,192.92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67,840,568.87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53,080,001.00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63,331,054.00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1,625,667.80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138,853,567.78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59,389,861.72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29,475,756.32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-54,628,137.22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246,858,427.87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79,969,260.93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48,643,605.99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326,827,688.80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471,143,605.99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382,079,615.90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15,716,884.02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18,826,764.55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83,475,986.71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99,450,807.60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481,272,486.63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428,277,572.15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-154,444,797.83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42,866,033.84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-3,380,025.83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6,101,316.51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38,976,549.12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-27,350,236.67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87,783,106.63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115,133,343.30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126,759,655.75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87,783,106.63</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154" w:right="113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0,616.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467,473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,269.73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766.80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94,811,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104.24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175,009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,334.23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47,091.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0,616.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467,473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,269.73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766.80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94,811,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104.24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175,009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,334.23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47,091.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-16,972,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394.44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4,894,1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6,804.6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-134,23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6,322.2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13,065,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004.57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11,908,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213.51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24,973,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218.08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-17,010,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102.57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-134,96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5,018.1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5,278.7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-17,010,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102.57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-134,96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5,018.1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-154,22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5,278.7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-5,021,9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69.78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-4,984,2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61.65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274,78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0,458.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450,500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,875.29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25,571,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701.00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99,705,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204.83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51,952,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529.61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902,510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,768.73</w:t>
            </w:r>
          </w:p>
        </w:tc>
      </w:tr>
    </w:tbl>
    <w:p>
      <w:pPr>
        <w:pStyle w:val="BodyText"/>
        <w:spacing w:line="240" w:lineRule="auto" w:before="51"/>
        <w:ind w:left="154" w:right="113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277,34</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471,871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,374.38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151.91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102,421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,333.05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125,461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,509.15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998,128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,668.49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277,34</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471,871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,374.38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21,033,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151.91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102,421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,333.05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125,461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,509.15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998,128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,668.49</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-310,6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-4,398,1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04.65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14.89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-7,610,2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28.81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49,547,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825.08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38,618,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422.51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-1,788,1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15,620,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081.22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13,831,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957.16</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-310,6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-2,373,6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31,872,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209.40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29,187,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898.64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-310,6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-2,373,6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26.76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31,872,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209.40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29,187,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898.64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-5,822,1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04.75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-4,432,4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89.86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14.89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-4,432,4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89.86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-4,432,4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89.86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-2,024,4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77.89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2,055,5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34.46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0,616.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467,473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,269.73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766.80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94,811,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104.24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175,009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,334.23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47,091.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t>本期金额</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277,030,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456,256,6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94.84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22,422,76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133,006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,123.47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888,716,2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01.11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277,030,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456,256,6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94.84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22,422,76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133,006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,123.47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888,716,2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01.11</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-2,250,1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-17,153,4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46,085,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993.87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29,831,27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1.08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-2,250,1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-17,191,2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-19,441,3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center"/>
              <w:rPr>
                <w:rFonts w:ascii="Times New Roman" w:hAnsi="Times New Roman" w:cs="Times New Roman" w:eastAsia="Times New Roman" w:hint="default"/>
                <w:sz w:val="18"/>
                <w:szCs w:val="18"/>
              </w:rPr>
            </w:pPr>
            <w:r>
              <w:rPr>
                <w:rFonts w:ascii="Times New Roman"/>
                <w:sz w:val="18"/>
              </w:rPr>
              <w:t>-2,250,1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-17,191,2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07.12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-19,441,3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65.12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14,596,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651.87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17,745,58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6.07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3,148,934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-3,148,9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34.20</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17,745,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586.07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17,745,58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6.07</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37,708.13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37,708.13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274,780,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439,103,1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25,571,70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179,092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,117.34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918,547,4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72.19</w:t>
            </w:r>
          </w:p>
        </w:tc>
      </w:tr>
    </w:tbl>
    <w:p>
      <w:pPr>
        <w:pStyle w:val="BodyText"/>
        <w:spacing w:line="240" w:lineRule="auto" w:before="51"/>
        <w:ind w:left="154" w:right="113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277,341,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458,605,3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90.23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21,033,15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124,932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,079.31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881,911,9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21.45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277,341,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458,605,3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90.23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21,033,15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124,932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,079.31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881,911,9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21.45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-310,68</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-2,348,69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1,389,614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8,074,0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44.16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6,804,279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148.91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13,896,14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8.91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-310,68</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-2,373,62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-2,684,31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0.76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-310,68</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-2,373,62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-2,684,31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0.76</w:t>
            </w: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1,389,614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-5,822,1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-4,432,48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1,389,614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-1,389,6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14.89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-4,432,4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89.86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-4,432,48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9.86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24,931.37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24,931.37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277,030,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456,256,6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22,422,76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133,006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,123.47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888,716,2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01.11</w:t>
            </w:r>
          </w:p>
        </w:tc>
      </w:tr>
    </w:tbl>
    <w:p>
      <w:pPr>
        <w:spacing w:line="240" w:lineRule="auto" w:before="2"/>
        <w:rPr>
          <w:rFonts w:ascii="宋体" w:hAnsi="宋体" w:cs="宋体" w:eastAsia="宋体" w:hint="default"/>
          <w:sz w:val="18"/>
          <w:szCs w:val="18"/>
        </w:rPr>
      </w:pPr>
    </w:p>
    <w:p>
      <w:pPr>
        <w:pStyle w:val="Heading2"/>
        <w:spacing w:line="240" w:lineRule="auto" w:before="26"/>
        <w:ind w:left="154" w:right="1130"/>
        <w:jc w:val="left"/>
        <w:rPr>
          <w:b w:val="0"/>
          <w:bCs w:val="0"/>
        </w:rPr>
      </w:pPr>
      <w:bookmarkStart w:name="三、公司基本情况" w:id="166"/>
      <w:bookmarkEnd w:id="16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874" w:right="1228" w:hanging="721"/>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公司注册地、组织形式和总部地址</w:t>
      </w:r>
      <w:r>
        <w:rPr>
          <w:rFonts w:ascii="宋体" w:hAnsi="宋体" w:cs="宋体" w:eastAsia="宋体" w:hint="default"/>
          <w:b/>
          <w:bCs/>
          <w:w w:val="99"/>
          <w:sz w:val="18"/>
          <w:szCs w:val="18"/>
        </w:rPr>
        <w:t> </w:t>
      </w:r>
      <w:r>
        <w:rPr>
          <w:rFonts w:ascii="宋体" w:hAnsi="宋体" w:cs="宋体" w:eastAsia="宋体" w:hint="default"/>
          <w:sz w:val="18"/>
          <w:szCs w:val="18"/>
        </w:rPr>
        <w:t>茂硕电源科技股份有限公司（以下简称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）前身为深圳茂硕电源科技有限公司</w:t>
      </w:r>
      <w:r>
        <w:rPr>
          <w:rFonts w:ascii="Times New Roman" w:hAnsi="Times New Roman" w:cs="Times New Roman" w:eastAsia="Times New Roman" w:hint="default"/>
          <w:sz w:val="18"/>
          <w:szCs w:val="18"/>
        </w:rPr>
        <w:t>,</w:t>
      </w:r>
    </w:p>
    <w:p>
      <w:pPr>
        <w:pStyle w:val="BodyText"/>
        <w:spacing w:line="300" w:lineRule="auto"/>
        <w:ind w:left="513" w:right="1130"/>
        <w:jc w:val="both"/>
      </w:pPr>
      <w:r>
        <w:rPr>
          <w:spacing w:val="-2"/>
        </w:rPr>
        <w:t>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月经深圳市工商行政管理局核准，由深圳德旺投资发展有限公司一名法人和周莉等</w:t>
      </w:r>
      <w:r>
        <w:rPr>
          <w:rFonts w:ascii="Times New Roman" w:hAnsi="Times New Roman" w:cs="Times New Roman" w:eastAsia="Times New Roman" w:hint="default"/>
          <w:spacing w:val="-2"/>
        </w:rPr>
        <w:t>49</w:t>
      </w:r>
      <w:r>
        <w:rPr>
          <w:spacing w:val="-2"/>
        </w:rPr>
        <w:t>名自然人共同发起设立</w:t>
      </w:r>
      <w:r>
        <w:rPr>
          <w:spacing w:val="-60"/>
        </w:rPr>
        <w:t> </w:t>
      </w:r>
      <w:r>
        <w:rPr>
          <w:spacing w:val="-1"/>
        </w:rPr>
        <w:t>的股份有限公司。公司于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日在深圳证券交易所上市，现持有统一社会信用代码为</w:t>
      </w:r>
      <w:r>
        <w:rPr>
          <w:rFonts w:ascii="Times New Roman" w:hAnsi="Times New Roman" w:cs="Times New Roman" w:eastAsia="Times New Roman" w:hint="default"/>
          <w:spacing w:val="-1"/>
        </w:rPr>
        <w:t>91440300786559921G</w:t>
      </w:r>
      <w:r>
        <w:rPr>
          <w:spacing w:val="-1"/>
        </w:rPr>
        <w:t>的营</w:t>
      </w:r>
      <w:r>
        <w:rPr>
          <w:spacing w:val="-59"/>
        </w:rPr>
        <w:t> </w:t>
      </w:r>
      <w:r>
        <w:rPr/>
        <w:t>业执照。</w:t>
      </w:r>
    </w:p>
    <w:p>
      <w:pPr>
        <w:pStyle w:val="BodyText"/>
        <w:spacing w:line="300" w:lineRule="auto" w:before="32"/>
        <w:ind w:left="513" w:right="1183" w:firstLine="360"/>
        <w:jc w:val="both"/>
      </w:pPr>
      <w:r>
        <w:rPr/>
        <w:t>经过历年的派送红股、转增股本及增发新股，截止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274,780,458.00</w:t>
      </w:r>
      <w:r>
        <w:rPr/>
        <w:t>股， 注册资本为</w:t>
      </w:r>
      <w:r>
        <w:rPr>
          <w:rFonts w:ascii="Times New Roman" w:hAnsi="Times New Roman" w:cs="Times New Roman" w:eastAsia="Times New Roman" w:hint="default"/>
        </w:rPr>
        <w:t>274,780,458.00</w:t>
      </w:r>
      <w:r>
        <w:rPr/>
        <w:t>元，注册地址：深圳市南山区松白路关外小白芒桑泰工业园，总部地址：深圳市南山区松白 路关外小白芒桑泰工业园，实际控制人为顾永德。</w:t>
      </w:r>
    </w:p>
    <w:p>
      <w:pPr>
        <w:spacing w:line="316" w:lineRule="auto" w:before="31"/>
        <w:ind w:left="874" w:right="1132" w:hanging="7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公司业务性质和主要经营活动</w:t>
      </w:r>
      <w:r>
        <w:rPr>
          <w:rFonts w:ascii="宋体" w:hAnsi="宋体" w:cs="宋体" w:eastAsia="宋体" w:hint="default"/>
          <w:b/>
          <w:bCs/>
          <w:w w:val="99"/>
          <w:sz w:val="18"/>
          <w:szCs w:val="18"/>
        </w:rPr>
        <w:t> </w:t>
      </w:r>
      <w:r>
        <w:rPr>
          <w:rFonts w:ascii="宋体" w:hAnsi="宋体" w:cs="宋体" w:eastAsia="宋体" w:hint="default"/>
          <w:sz w:val="18"/>
          <w:szCs w:val="18"/>
        </w:rPr>
        <w:t>根据中国证监会发布的《上市公司行业分类指引》，本公司所从事的行业归属于</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计算机、通信及其他电子设备制</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1130"/>
        <w:jc w:val="left"/>
      </w:pPr>
      <w:r>
        <w:rPr/>
        <w:t>造业</w:t>
      </w:r>
      <w:r>
        <w:rPr>
          <w:rFonts w:ascii="Times New Roman" w:hAnsi="Times New Roman" w:cs="Times New Roman" w:eastAsia="Times New Roman" w:hint="default"/>
        </w:rPr>
        <w:t>”</w:t>
      </w:r>
      <w:r>
        <w:rPr/>
        <w:t>。</w:t>
      </w:r>
    </w:p>
    <w:p>
      <w:pPr>
        <w:pStyle w:val="BodyText"/>
        <w:spacing w:line="312" w:lineRule="auto" w:before="63"/>
        <w:ind w:left="513" w:right="1033" w:firstLine="360"/>
        <w:jc w:val="left"/>
      </w:pPr>
      <w:r>
        <w:rPr/>
        <w:t>本公司经营范围：</w:t>
      </w:r>
      <w:r>
        <w:rPr>
          <w:rFonts w:ascii="Times New Roman" w:hAnsi="Times New Roman" w:cs="Times New Roman" w:eastAsia="Times New Roman" w:hint="default"/>
        </w:rPr>
        <w:t>LED</w:t>
      </w:r>
      <w:r>
        <w:rPr/>
        <w:t>智能驱动电源，太阳能光伏逆变器，</w:t>
      </w:r>
      <w:r>
        <w:rPr>
          <w:rFonts w:ascii="Times New Roman" w:hAnsi="Times New Roman" w:cs="Times New Roman" w:eastAsia="Times New Roman" w:hint="default"/>
        </w:rPr>
        <w:t>DC/DC</w:t>
      </w:r>
      <w:r>
        <w:rPr/>
        <w:t>高效、高密度模块电源，医疗电源，通信电源， </w:t>
      </w:r>
      <w:r>
        <w:rPr>
          <w:spacing w:val="-2"/>
        </w:rPr>
        <w:t>开关电源，高频变压器的研发和销售；电子元器件，五金塑胶配件的销售以及提供新能源和再生能源的储能系统解决方</w:t>
      </w:r>
      <w:r>
        <w:rPr>
          <w:spacing w:val="-70"/>
        </w:rPr>
        <w:t> </w:t>
      </w:r>
      <w:r>
        <w:rPr>
          <w:spacing w:val="-70"/>
        </w:rPr>
      </w:r>
      <w:r>
        <w:rPr>
          <w:spacing w:val="-2"/>
        </w:rPr>
        <w:t>案（以上不含限制项目）；经营进出口业务（法律、行政法规、国务院决定禁止的项目除外，限制的项目须取得许可后</w:t>
      </w:r>
      <w:r>
        <w:rPr>
          <w:spacing w:val="-76"/>
        </w:rPr>
        <w:t> </w:t>
      </w:r>
      <w:r>
        <w:rPr>
          <w:spacing w:val="-76"/>
        </w:rPr>
      </w:r>
      <w:r>
        <w:rPr>
          <w:spacing w:val="-2"/>
        </w:rPr>
        <w:t>方可经营）；房屋租赁；信息技术服务（不含限制项目）；企业管理咨询（不含限制项目）。（以上项目法律、行政法</w:t>
      </w:r>
      <w:r>
        <w:rPr>
          <w:spacing w:val="-75"/>
        </w:rPr>
        <w:t> </w:t>
      </w:r>
      <w:r>
        <w:rPr>
          <w:spacing w:val="-75"/>
        </w:rPr>
      </w:r>
      <w:r>
        <w:rPr>
          <w:spacing w:val="-3"/>
        </w:rPr>
        <w:t>规、国务院决定禁止的项目除外，限制的项目须取得许可后方可经营）</w:t>
      </w:r>
      <w:r>
        <w:rPr>
          <w:rFonts w:ascii="Times New Roman" w:hAnsi="Times New Roman" w:cs="Times New Roman" w:eastAsia="Times New Roman" w:hint="default"/>
          <w:spacing w:val="-3"/>
        </w:rPr>
        <w:t>^LED</w:t>
      </w:r>
      <w:r>
        <w:rPr>
          <w:spacing w:val="-3"/>
        </w:rPr>
        <w:t>智能驱动电源，太阳能光伏逆变器，</w:t>
      </w:r>
      <w:r>
        <w:rPr>
          <w:rFonts w:ascii="Times New Roman" w:hAnsi="Times New Roman" w:cs="Times New Roman" w:eastAsia="Times New Roman" w:hint="default"/>
          <w:spacing w:val="-3"/>
        </w:rPr>
        <w:t>DC/DC</w:t>
      </w:r>
      <w:r>
        <w:rPr>
          <w:rFonts w:ascii="Times New Roman" w:hAnsi="Times New Roman" w:cs="Times New Roman" w:eastAsia="Times New Roman" w:hint="default"/>
          <w:w w:val="99"/>
        </w:rPr>
        <w:t> </w:t>
      </w:r>
      <w:r>
        <w:rPr/>
        <w:t>高效、高密度模块电源，医疗电源，通信电源，开关电源，高频变压器的生产；普通货运。</w:t>
      </w:r>
    </w:p>
    <w:p>
      <w:pPr>
        <w:spacing w:line="316" w:lineRule="auto" w:before="22"/>
        <w:ind w:left="513" w:right="5983" w:hanging="36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7"/>
          <w:sz w:val="18"/>
          <w:szCs w:val="18"/>
        </w:rPr>
        <w:t> </w:t>
      </w:r>
      <w:r>
        <w:rPr>
          <w:rFonts w:ascii="宋体" w:hAnsi="宋体" w:cs="宋体" w:eastAsia="宋体" w:hint="default"/>
          <w:b/>
          <w:bCs/>
          <w:sz w:val="18"/>
          <w:szCs w:val="18"/>
        </w:rPr>
        <w:t>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本财务报表业经公司董事会于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日批准报出。</w:t>
      </w:r>
    </w:p>
    <w:p>
      <w:pPr>
        <w:spacing w:line="240" w:lineRule="auto" w:before="10"/>
        <w:rPr>
          <w:rFonts w:ascii="宋体" w:hAnsi="宋体" w:cs="宋体" w:eastAsia="宋体" w:hint="default"/>
          <w:sz w:val="23"/>
          <w:szCs w:val="23"/>
        </w:rPr>
      </w:pPr>
    </w:p>
    <w:p>
      <w:pPr>
        <w:pStyle w:val="BodyText"/>
        <w:spacing w:line="300" w:lineRule="auto"/>
        <w:ind w:left="513" w:right="1133"/>
        <w:jc w:val="left"/>
      </w:pPr>
      <w:r>
        <w:rPr/>
        <w:t>本公司本年度纳入合并财务报表范围的主体共</w:t>
      </w:r>
      <w:r>
        <w:rPr>
          <w:rFonts w:ascii="Times New Roman" w:hAnsi="Times New Roman" w:cs="Times New Roman" w:eastAsia="Times New Roman" w:hint="default"/>
        </w:rPr>
        <w:t>19</w:t>
      </w:r>
      <w:r>
        <w:rPr/>
        <w:t>户，详见本报告第十一节、九、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 本公司本年度纳入合并财务报表范围的主体较上年度相比增加</w:t>
      </w:r>
      <w:r>
        <w:rPr>
          <w:rFonts w:ascii="Times New Roman" w:hAnsi="Times New Roman" w:cs="Times New Roman" w:eastAsia="Times New Roman" w:hint="default"/>
        </w:rPr>
        <w:t>1</w:t>
      </w:r>
      <w:r>
        <w:rPr/>
        <w:t>户，减少</w:t>
      </w:r>
      <w:r>
        <w:rPr>
          <w:rFonts w:ascii="Times New Roman" w:hAnsi="Times New Roman" w:cs="Times New Roman" w:eastAsia="Times New Roman" w:hint="default"/>
        </w:rPr>
        <w:t>6</w:t>
      </w:r>
      <w:r>
        <w:rPr/>
        <w:t>户，详见本报告第十一节、八</w:t>
      </w:r>
      <w:r>
        <w:rPr>
          <w:rFonts w:ascii="Times New Roman" w:hAnsi="Times New Roman" w:cs="Times New Roman" w:eastAsia="Times New Roman" w:hint="default"/>
        </w:rPr>
        <w:t>“</w:t>
      </w:r>
      <w:r>
        <w:rPr/>
        <w:t>合并范围的变</w:t>
      </w:r>
    </w:p>
    <w:p>
      <w:pPr>
        <w:pStyle w:val="BodyText"/>
        <w:spacing w:line="240" w:lineRule="auto" w:before="13"/>
        <w:ind w:right="1130"/>
        <w:jc w:val="left"/>
      </w:pPr>
      <w:r>
        <w:rPr/>
        <w:t>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left="154" w:right="113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130"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8"/>
        </w:rPr>
        <w:t> </w:t>
      </w:r>
      <w:r>
        <w:rPr>
          <w:spacing w:val="-48"/>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8"/>
        <w:ind w:right="113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30"/>
        <w:jc w:val="left"/>
      </w:pP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个月的持续经营能力进行了评价，未发现对持续经营能力产生重大怀疑的事项或情况。</w:t>
      </w:r>
    </w:p>
    <w:p>
      <w:pPr>
        <w:spacing w:line="240" w:lineRule="auto" w:before="1"/>
        <w:rPr>
          <w:rFonts w:ascii="宋体" w:hAnsi="宋体" w:cs="宋体" w:eastAsia="宋体" w:hint="default"/>
          <w:sz w:val="24"/>
          <w:szCs w:val="24"/>
        </w:rPr>
      </w:pPr>
    </w:p>
    <w:p>
      <w:pPr>
        <w:pStyle w:val="Heading2"/>
        <w:spacing w:line="240" w:lineRule="auto"/>
        <w:ind w:right="113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38" w:lineRule="auto" w:before="26"/>
        <w:ind w:left="154" w:right="1032"/>
        <w:jc w:val="left"/>
      </w:pPr>
      <w:r>
        <w:rPr/>
        <w:t>具体会计政策和会计估计提示： 本公司及各子公司从事计算机、通信及其他电子设备制造业经营，太阳能光伏发电系统的设计、开发、投资、建设和经营。 </w:t>
      </w:r>
      <w:r>
        <w:rPr>
          <w:spacing w:val="-2"/>
        </w:rPr>
        <w:t>本公司及各子公司根据实际生产经营特点，依据相关企业会计准则的规定，对收入确认、建造合同完工百分比确定、研究开</w:t>
      </w:r>
    </w:p>
    <w:p>
      <w:pPr>
        <w:pStyle w:val="BodyText"/>
        <w:spacing w:line="300" w:lineRule="auto" w:before="2"/>
        <w:ind w:right="1130"/>
        <w:jc w:val="left"/>
      </w:pPr>
      <w:r>
        <w:rPr>
          <w:spacing w:val="-2"/>
        </w:rPr>
        <w:t>发支出等交易和事项制定了若干项具体会计政策和会计估计，详见本报告第十一节、五、</w:t>
      </w:r>
      <w:r>
        <w:rPr>
          <w:rFonts w:ascii="Times New Roman" w:hAnsi="Times New Roman" w:cs="Times New Roman" w:eastAsia="Times New Roman" w:hint="default"/>
          <w:spacing w:val="-2"/>
        </w:rPr>
        <w:t>28“</w:t>
      </w:r>
      <w:r>
        <w:rPr>
          <w:spacing w:val="-2"/>
        </w:rPr>
        <w:t>收入</w:t>
      </w:r>
      <w:r>
        <w:rPr>
          <w:rFonts w:ascii="Times New Roman" w:hAnsi="Times New Roman" w:cs="Times New Roman" w:eastAsia="Times New Roman" w:hint="default"/>
          <w:spacing w:val="-2"/>
        </w:rPr>
        <w:t>”</w:t>
      </w:r>
      <w:r>
        <w:rPr>
          <w:spacing w:val="-2"/>
        </w:rPr>
        <w:t>各项描述。关于管理层所</w:t>
      </w:r>
      <w:r>
        <w:rPr>
          <w:spacing w:val="-42"/>
        </w:rPr>
        <w:t> </w:t>
      </w:r>
      <w:r>
        <w:rPr>
          <w:spacing w:val="-42"/>
        </w:rPr>
      </w:r>
      <w:r>
        <w:rPr/>
        <w:t>作出的重大会计判断和估计的说明，请参阅第十一节、五、</w:t>
      </w:r>
      <w:r>
        <w:rPr>
          <w:rFonts w:ascii="Times New Roman" w:hAnsi="Times New Roman" w:cs="Times New Roman" w:eastAsia="Times New Roman" w:hint="default"/>
        </w:rPr>
        <w:t>34“</w:t>
      </w:r>
      <w:r>
        <w:rPr/>
        <w:t>其他</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2"/>
          <w:szCs w:val="22"/>
        </w:rPr>
      </w:pPr>
    </w:p>
    <w:p>
      <w:pPr>
        <w:pStyle w:val="Heading3"/>
        <w:spacing w:line="240" w:lineRule="auto"/>
        <w:ind w:left="154" w:right="113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154" w:right="1130"/>
        <w:jc w:val="left"/>
      </w:pPr>
      <w:r>
        <w:rPr>
          <w:spacing w:val="-2"/>
        </w:rPr>
        <w:t>本公司所编制的财务报表符合企业会计准则的要求，真实、完整地反映了报告期公司的财务状况、经营成果、现金流量等有</w:t>
      </w:r>
      <w:r>
        <w:rPr>
          <w:spacing w:val="-66"/>
        </w:rPr>
        <w:t> </w:t>
      </w:r>
      <w:r>
        <w:rPr>
          <w:spacing w:val="-66"/>
        </w:rPr>
      </w:r>
      <w:r>
        <w:rPr/>
        <w:t>关信息。</w:t>
      </w:r>
    </w:p>
    <w:p>
      <w:pPr>
        <w:spacing w:after="0" w:line="316"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30"/>
        <w:jc w:val="left"/>
      </w:pPr>
      <w:r>
        <w:rPr>
          <w:spacing w:val="-2"/>
        </w:rPr>
        <w:t>本公司的会计期间分为年度和中期，会计中期指短于一个完整的会计年度的报告期间。本公司会计年度采用公历年度，即每</w:t>
      </w:r>
      <w:r>
        <w:rPr>
          <w:spacing w:val="-65"/>
        </w:rPr>
        <w:t> </w:t>
      </w:r>
      <w:r>
        <w:rPr>
          <w:spacing w:val="-65"/>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0"/>
        <w:rPr>
          <w:rFonts w:ascii="宋体" w:hAnsi="宋体" w:cs="宋体" w:eastAsia="宋体" w:hint="default"/>
          <w:sz w:val="21"/>
          <w:szCs w:val="21"/>
        </w:rPr>
      </w:pPr>
    </w:p>
    <w:p>
      <w:pPr>
        <w:pStyle w:val="Heading3"/>
        <w:spacing w:line="240" w:lineRule="auto"/>
        <w:ind w:left="154" w:right="113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213" w:firstLine="36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2"/>
        <w:rPr>
          <w:rFonts w:ascii="宋体" w:hAnsi="宋体" w:cs="宋体" w:eastAsia="宋体" w:hint="default"/>
          <w:sz w:val="24"/>
          <w:szCs w:val="24"/>
        </w:rPr>
      </w:pPr>
    </w:p>
    <w:p>
      <w:pPr>
        <w:pStyle w:val="Heading3"/>
        <w:spacing w:line="240" w:lineRule="auto"/>
        <w:ind w:right="113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513" w:right="1130"/>
        <w:jc w:val="left"/>
      </w:pPr>
      <w:r>
        <w:rPr/>
        <w:t>采用人民币为记账本位币。 </w:t>
      </w:r>
      <w:r>
        <w:rPr>
          <w:spacing w:val="-2"/>
        </w:rPr>
        <w:t>人民币为本公司及境内子公司经营所处的主要经济环境中的货币，本公司及境内子公司以人民币为记账本位币。本公司</w:t>
      </w:r>
    </w:p>
    <w:p>
      <w:pPr>
        <w:pStyle w:val="BodyText"/>
        <w:spacing w:line="316" w:lineRule="auto" w:before="19"/>
        <w:ind w:right="1130"/>
        <w:jc w:val="left"/>
      </w:pPr>
      <w:r>
        <w:rPr>
          <w:spacing w:val="-2"/>
        </w:rPr>
        <w:t>之境外子公司根据其经营所处的主要经济环境中的货币确定人民币为其记账本位币。本公司编制本财务报表时所采用的货币</w:t>
      </w:r>
      <w:r>
        <w:rPr>
          <w:spacing w:val="-64"/>
        </w:rPr>
        <w:t> </w:t>
      </w:r>
      <w:r>
        <w:rPr>
          <w:spacing w:val="-64"/>
        </w:rPr>
      </w:r>
      <w:r>
        <w:rPr/>
        <w:t>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30"/>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1"/>
        <w:rPr>
          <w:rFonts w:ascii="宋体" w:hAnsi="宋体" w:cs="宋体" w:eastAsia="宋体" w:hint="default"/>
          <w:b/>
          <w:bCs/>
          <w:sz w:val="26"/>
          <w:szCs w:val="26"/>
        </w:rPr>
      </w:pPr>
    </w:p>
    <w:p>
      <w:pPr>
        <w:pStyle w:val="Heading4"/>
        <w:spacing w:line="300" w:lineRule="auto"/>
        <w:ind w:right="1130"/>
        <w:jc w:val="left"/>
        <w:rPr>
          <w:b w:val="0"/>
          <w:bCs w:val="0"/>
        </w:rPr>
      </w:pPr>
      <w:r>
        <w:rPr>
          <w:rFonts w:ascii="Times New Roman" w:hAnsi="Times New Roman" w:cs="Times New Roman" w:eastAsia="Times New Roman" w:hint="default"/>
          <w:spacing w:val="-2"/>
        </w:rPr>
        <w:t>(1</w:t>
      </w:r>
      <w:r>
        <w:rPr>
          <w:spacing w:val="-2"/>
        </w:rPr>
        <w:t>）分步实现企业合并过程中的各项交易的条款、条件以及经济影响符合以下一种或多种情况，将多次交易事项作为一揽子</w:t>
      </w:r>
      <w:r>
        <w:rPr>
          <w:spacing w:val="-78"/>
        </w:rPr>
        <w:t> </w:t>
      </w:r>
      <w:r>
        <w:rPr>
          <w:spacing w:val="-78"/>
        </w:rPr>
      </w:r>
      <w:r>
        <w:rPr/>
        <w:t>交易进行会计处理</w:t>
      </w:r>
      <w:r>
        <w:rPr>
          <w:b w:val="0"/>
          <w:bCs w:val="0"/>
        </w:rPr>
      </w:r>
    </w:p>
    <w:p>
      <w:pPr>
        <w:pStyle w:val="BodyText"/>
        <w:spacing w:line="240" w:lineRule="auto" w:before="32"/>
        <w:ind w:left="513" w:right="1130"/>
        <w:jc w:val="left"/>
      </w:pPr>
      <w:r>
        <w:rPr/>
        <w:t>①这些交易是同时或者在考虑了彼此影响的情况下订立的；</w:t>
      </w:r>
    </w:p>
    <w:p>
      <w:pPr>
        <w:pStyle w:val="BodyText"/>
        <w:spacing w:line="240" w:lineRule="auto" w:before="76"/>
        <w:ind w:left="514" w:right="1130"/>
        <w:jc w:val="left"/>
      </w:pPr>
      <w:r>
        <w:rPr/>
        <w:t>②这些交易整体才能达成一项完整的商业结果；</w:t>
      </w:r>
    </w:p>
    <w:p>
      <w:pPr>
        <w:pStyle w:val="BodyText"/>
        <w:spacing w:line="240" w:lineRule="auto" w:before="76"/>
        <w:ind w:left="514" w:right="1130"/>
        <w:jc w:val="left"/>
      </w:pPr>
      <w:r>
        <w:rPr/>
        <w:t>③一项交易的发生取决于其他至少一项交易的发生；</w:t>
      </w:r>
    </w:p>
    <w:p>
      <w:pPr>
        <w:pStyle w:val="BodyText"/>
        <w:spacing w:line="240" w:lineRule="auto" w:before="76"/>
        <w:ind w:left="514" w:right="1130"/>
        <w:jc w:val="left"/>
      </w:pPr>
      <w:r>
        <w:rPr/>
        <w:t>④一项交易单独看是不经济的，但是和其他交易一并考虑时是经济的。</w:t>
      </w:r>
    </w:p>
    <w:p>
      <w:pPr>
        <w:spacing w:line="300" w:lineRule="auto" w:before="76"/>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本公司在企业合并中取得的资产和负债，按照合并日在被合并方资产、负债（包括最终控制方收购被合并方而形成的商</w:t>
      </w:r>
    </w:p>
    <w:p>
      <w:pPr>
        <w:pStyle w:val="BodyText"/>
        <w:spacing w:line="316" w:lineRule="auto" w:before="31"/>
        <w:ind w:right="1130"/>
        <w:jc w:val="left"/>
      </w:pPr>
      <w:r>
        <w:rPr>
          <w:spacing w:val="-2"/>
        </w:rPr>
        <w:t>誉）在最终控制方合并财务报表中的账面价值计量。在合并中取得的净资产账面价值与支付的合并对价账面价值（或发行股</w:t>
      </w:r>
      <w:r>
        <w:rPr>
          <w:spacing w:val="-66"/>
        </w:rPr>
        <w:t> </w:t>
      </w:r>
      <w:r>
        <w:rPr>
          <w:spacing w:val="-66"/>
        </w:rPr>
      </w:r>
      <w:r>
        <w:rPr/>
        <w:t>份面值总额）的差额，调整资本公积中的股本溢价，资本公积中的股本溢价不足冲减的，调整留存收益。</w:t>
      </w:r>
    </w:p>
    <w:p>
      <w:pPr>
        <w:pStyle w:val="BodyText"/>
        <w:spacing w:line="240" w:lineRule="auto" w:before="19"/>
        <w:ind w:left="513" w:right="0"/>
        <w:jc w:val="left"/>
      </w:pPr>
      <w:r>
        <w:rPr/>
        <w:t>如果存在或有对价并需要确认预计负债或资产，该预计负债或资产金额与后续或有对价结算金额的差额，调整资本公积</w:t>
      </w:r>
    </w:p>
    <w:p>
      <w:pPr>
        <w:pStyle w:val="BodyText"/>
        <w:spacing w:line="316" w:lineRule="auto" w:before="76"/>
        <w:ind w:left="514" w:right="1130" w:hanging="360"/>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19"/>
        <w:ind w:left="154" w:right="0"/>
        <w:jc w:val="left"/>
        <w:rPr>
          <w:rFonts w:ascii="宋体" w:hAnsi="宋体" w:cs="宋体" w:eastAsia="宋体" w:hint="default"/>
        </w:rPr>
      </w:pPr>
      <w:r>
        <w:rPr>
          <w:spacing w:val="-2"/>
        </w:rPr>
        <w:t>属于一揽子交易的，在取得控制权日，长期股权投资初始投资成本，与达到合并前的长期股权投资账面价值加上合并日进一</w:t>
      </w:r>
      <w:r>
        <w:rPr>
          <w:spacing w:val="-65"/>
        </w:rPr>
        <w:t> </w:t>
      </w:r>
      <w:r>
        <w:rPr>
          <w:spacing w:val="-65"/>
        </w:rPr>
      </w: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6"/>
        </w:rPr>
        <w:t> </w:t>
      </w:r>
      <w:r>
        <w:rPr>
          <w:spacing w:val="-66"/>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r>
        <w:rPr>
          <w:spacing w:val="-44"/>
        </w:rPr>
        <w:t> </w:t>
      </w:r>
      <w:r>
        <w:rPr>
          <w:spacing w:val="-44"/>
        </w:rPr>
      </w:r>
      <w:r>
        <w:rPr>
          <w:rFonts w:ascii="Times New Roman" w:hAnsi="Times New Roman" w:cs="Times New Roman" w:eastAsia="Times New Roman" w:hint="default"/>
          <w:b/>
          <w:bCs/>
        </w:rPr>
        <w:t>(3)</w:t>
      </w:r>
      <w:r>
        <w:rPr>
          <w:rFonts w:ascii="宋体" w:hAnsi="宋体" w:cs="宋体" w:eastAsia="宋体" w:hint="default"/>
          <w:b/>
          <w:bCs/>
        </w:rPr>
        <w:t>非同一控制下的企业合并</w:t>
      </w:r>
      <w:r>
        <w:rPr>
          <w:rFonts w:ascii="宋体" w:hAnsi="宋体" w:cs="宋体" w:eastAsia="宋体" w:hint="default"/>
        </w:rPr>
      </w:r>
    </w:p>
    <w:p>
      <w:pPr>
        <w:pStyle w:val="BodyText"/>
        <w:spacing w:line="319" w:lineRule="auto"/>
        <w:ind w:left="154" w:right="0" w:firstLine="360"/>
        <w:jc w:val="left"/>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7"/>
        <w:ind w:left="154" w:right="1130" w:firstLine="360"/>
        <w:jc w:val="left"/>
      </w:pPr>
      <w:r>
        <w:rPr>
          <w:spacing w:val="-2"/>
        </w:rPr>
        <w:t>本公司对合并成本大于合并中取得的被购买方可辨认净资产公允价值份额的差额，确认为商誉；合并成本小于合并中取</w:t>
      </w:r>
      <w:r>
        <w:rPr/>
        <w:t> 得的被购买方可辨认净资产公允价值份额的差额，经复核后，计入当期损益。</w:t>
      </w:r>
    </w:p>
    <w:p>
      <w:pPr>
        <w:pStyle w:val="BodyText"/>
        <w:spacing w:line="316" w:lineRule="auto" w:before="19"/>
        <w:ind w:left="154" w:right="1130" w:firstLine="360"/>
        <w:jc w:val="left"/>
      </w:pPr>
      <w:r>
        <w:rPr>
          <w:spacing w:val="-2"/>
        </w:rPr>
        <w:t>通过多次交换交易分步实现的非同一控制下企业合并，属于一揽子交易的，将各项交易作为一项取得控制权的交易进行</w:t>
      </w:r>
      <w:r>
        <w:rPr/>
        <w:t> </w:t>
      </w:r>
      <w:r>
        <w:rPr>
          <w:spacing w:val="-2"/>
        </w:rPr>
        <w:t>会计处理；不属于一揽子交易的，合并日之前持有的股权投资采用权益法核算的，以购买日之前所持被购买方的股权投资的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4" w:right="1131"/>
        <w:jc w:val="both"/>
      </w:pP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spacing w:line="300" w:lineRule="auto" w:before="17"/>
        <w:ind w:left="444" w:right="1130" w:hanging="29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为合并发生的相关费用</w:t>
      </w:r>
      <w:r>
        <w:rPr>
          <w:rFonts w:ascii="宋体" w:hAnsi="宋体" w:cs="宋体" w:eastAsia="宋体" w:hint="default"/>
          <w:b/>
          <w:bCs/>
          <w:w w:val="99"/>
          <w:sz w:val="18"/>
          <w:szCs w:val="18"/>
        </w:rPr>
        <w:t> </w:t>
      </w:r>
      <w:r>
        <w:rPr>
          <w:rFonts w:ascii="宋体" w:hAnsi="宋体" w:cs="宋体" w:eastAsia="宋体" w:hint="default"/>
          <w:spacing w:val="-1"/>
          <w:sz w:val="18"/>
          <w:szCs w:val="18"/>
        </w:rPr>
        <w:t>为企业合并发生的审计、法律服务、评估咨询等中介费用以及其他直接相关费用，于发生时计入当期损益；为企业合并</w:t>
      </w:r>
    </w:p>
    <w:p>
      <w:pPr>
        <w:pStyle w:val="BodyText"/>
        <w:spacing w:line="240" w:lineRule="auto" w:before="31"/>
        <w:ind w:right="0"/>
        <w:jc w:val="both"/>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1"/>
        <w:rPr>
          <w:rFonts w:ascii="宋体" w:hAnsi="宋体" w:cs="宋体" w:eastAsia="宋体" w:hint="default"/>
          <w:b/>
          <w:bCs/>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w:t>
      </w:r>
      <w:r>
        <w:rPr/>
        <w:t>合并范围</w:t>
      </w:r>
      <w:r>
        <w:rPr>
          <w:b w:val="0"/>
          <w:bCs w:val="0"/>
        </w:rPr>
      </w:r>
    </w:p>
    <w:p>
      <w:pPr>
        <w:pStyle w:val="BodyText"/>
        <w:spacing w:line="240" w:lineRule="auto" w:before="63"/>
        <w:ind w:left="513" w:right="0"/>
        <w:jc w:val="left"/>
      </w:pPr>
      <w:r>
        <w:rPr>
          <w:spacing w:val="-4"/>
        </w:rPr>
        <w:t>本公司合并财务报表的合并范围以控制为基础确定，所有子公司（包括本公司所控制的单独主体）均纳入合并财务报表。</w:t>
      </w:r>
    </w:p>
    <w:p>
      <w:pPr>
        <w:pStyle w:val="Heading4"/>
        <w:spacing w:line="240" w:lineRule="auto" w:before="76"/>
        <w:ind w:right="0"/>
        <w:jc w:val="both"/>
        <w:rPr>
          <w:b w:val="0"/>
          <w:bCs w:val="0"/>
        </w:rPr>
      </w:pPr>
      <w:r>
        <w:rPr>
          <w:rFonts w:ascii="Times New Roman" w:hAnsi="Times New Roman" w:cs="Times New Roman" w:eastAsia="Times New Roman" w:hint="default"/>
        </w:rPr>
        <w:t>(2)</w:t>
      </w:r>
      <w:r>
        <w:rPr/>
        <w:t>合并程序</w:t>
      </w:r>
      <w:r>
        <w:rPr>
          <w:b w:val="0"/>
          <w:bCs w:val="0"/>
        </w:rPr>
      </w:r>
    </w:p>
    <w:p>
      <w:pPr>
        <w:pStyle w:val="BodyText"/>
        <w:spacing w:line="316" w:lineRule="auto" w:before="63"/>
        <w:ind w:right="1130"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5"/>
        </w:rPr>
        <w:t> </w:t>
      </w:r>
      <w:r>
        <w:rPr>
          <w:spacing w:val="-65"/>
        </w:rPr>
      </w:r>
      <w:r>
        <w:rPr/>
        <w:t>体财务状况、经营成果和现金流量。</w:t>
      </w:r>
    </w:p>
    <w:p>
      <w:pPr>
        <w:pStyle w:val="BodyText"/>
        <w:spacing w:line="316" w:lineRule="auto" w:before="19"/>
        <w:ind w:right="1133"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9" w:lineRule="auto" w:before="19"/>
        <w:ind w:right="1132"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7"/>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1131"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9"/>
        <w:ind w:left="513" w:right="1130"/>
        <w:jc w:val="left"/>
      </w:pPr>
      <w:r>
        <w:rPr/>
        <w:t>对于非同一控制下企业合并取得的子公司，以购买日可辨认净资产公允价值为基础对其财务报表进行调整</w:t>
      </w:r>
    </w:p>
    <w:p>
      <w:pPr>
        <w:pStyle w:val="BodyText"/>
        <w:spacing w:line="316" w:lineRule="auto" w:before="76"/>
        <w:ind w:left="514" w:right="1130" w:hanging="120"/>
        <w:jc w:val="left"/>
      </w:pPr>
      <w:r>
        <w:rPr/>
        <w:t>①增加子公司或业务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left="154" w:right="113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0"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3"/>
        </w:rPr>
        <w:t> </w:t>
      </w:r>
      <w:r>
        <w:rPr>
          <w:spacing w:val="-63"/>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left="154"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left="154"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t>而产生的其他综合收益除外。</w:t>
      </w:r>
    </w:p>
    <w:p>
      <w:pPr>
        <w:pStyle w:val="BodyText"/>
        <w:spacing w:line="240" w:lineRule="auto" w:before="76"/>
        <w:ind w:left="393" w:right="1130"/>
        <w:jc w:val="left"/>
      </w:pPr>
      <w:r>
        <w:rPr/>
        <w:t>②处置子公司或业务</w:t>
      </w:r>
    </w:p>
    <w:p>
      <w:pPr>
        <w:pStyle w:val="BodyText"/>
        <w:spacing w:line="300" w:lineRule="auto" w:before="76"/>
        <w:ind w:left="514" w:right="113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2"/>
        <w:ind w:left="514" w:right="113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left="154"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0" w:lineRule="auto" w:before="19"/>
        <w:ind w:left="514" w:right="1130"/>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left="513" w:right="3553" w:hanging="360"/>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9"/>
        <w:ind w:left="513" w:right="0" w:hanging="120"/>
        <w:jc w:val="left"/>
      </w:pPr>
      <w:r>
        <w:rPr/>
        <w:t>③购买子公司少数股权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19"/>
        <w:ind w:right="1130"/>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16" w:lineRule="auto" w:before="19"/>
        <w:ind w:left="513" w:right="1213" w:hanging="143"/>
        <w:jc w:val="left"/>
      </w:pPr>
      <w:r>
        <w:rPr/>
        <w:t>④不丧失控制权的情况下部分处置对子公司的股权投资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19"/>
        <w:ind w:right="113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30"/>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033"/>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4"/>
        </w:rPr>
        <w:t>营安排分为共同经营和合营企业。共同经营，是指本公司享有该安排相关资产且承担该安排相关负债的合营安排。合营企业，</w:t>
      </w:r>
      <w:r>
        <w:rPr>
          <w:spacing w:val="-44"/>
        </w:rPr>
        <w:t> </w:t>
      </w:r>
      <w:r>
        <w:rPr>
          <w:spacing w:val="-44"/>
        </w:rPr>
      </w:r>
      <w:r>
        <w:rPr/>
        <w:t>是指本公司仅对该安排的净资产享有权利的合营安排。 本公司对合营企业的投资采用权益法核算，按照本报告第十一节、五、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38"/>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 计政策处理。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 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8"/>
        <w:ind w:right="1130"/>
        <w:jc w:val="left"/>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30" w:firstLine="360"/>
        <w:jc w:val="left"/>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3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513" w:right="1130"/>
        <w:jc w:val="left"/>
      </w:pPr>
      <w:r>
        <w:rPr/>
        <w:t>外币业务交易在初始确认时，采用交易发生日的即期近似汇率作为折算汇率折合成人民币记账。 </w:t>
      </w:r>
      <w:r>
        <w:rPr>
          <w:spacing w:val="-2"/>
        </w:rPr>
        <w:t>资产负债表日，外币货币性项目按资产负债表日即期汇率折算，由此产生的汇兑差额，除属于与购建符合资本化条件的</w:t>
      </w:r>
    </w:p>
    <w:p>
      <w:pPr>
        <w:pStyle w:val="BodyText"/>
        <w:spacing w:line="316" w:lineRule="auto" w:before="19"/>
        <w:ind w:right="1130"/>
        <w:jc w:val="left"/>
      </w:pP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before="19"/>
        <w:ind w:right="1130" w:firstLine="360"/>
        <w:jc w:val="left"/>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30"/>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130"/>
        <w:jc w:val="left"/>
      </w:pPr>
      <w:r>
        <w:rPr/>
        <w:t>金融工具包括金融资产、金融负债和权益工具。</w:t>
      </w:r>
    </w:p>
    <w:p>
      <w:pPr>
        <w:pStyle w:val="BodyText"/>
        <w:spacing w:line="300" w:lineRule="auto" w:before="76"/>
        <w:ind w:left="513" w:right="1118" w:hanging="360"/>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本公司根据所发行金融工具的合同条款及其所反映的经济实质而非仅以法律形式，结合取得持有金融资产和承担金融负</w:t>
      </w:r>
    </w:p>
    <w:p>
      <w:pPr>
        <w:pStyle w:val="BodyText"/>
        <w:spacing w:line="316" w:lineRule="auto" w:before="31"/>
        <w:ind w:right="1130"/>
        <w:jc w:val="left"/>
      </w:pPr>
      <w:r>
        <w:rPr>
          <w:spacing w:val="-2"/>
        </w:rPr>
        <w:t>债的目的，在初始确认时将金融资产和金融负债分为不同类别：以公允价值计量且其变动计入当期损益的金融资产（或金融</w:t>
      </w:r>
      <w:r>
        <w:rPr>
          <w:spacing w:val="-66"/>
        </w:rPr>
        <w:t> </w:t>
      </w:r>
      <w:r>
        <w:rPr>
          <w:spacing w:val="-66"/>
        </w:rPr>
      </w:r>
      <w:r>
        <w:rPr/>
        <w:t>负债）；持有至到期投资；应收款项；可供出售金融资产；其他金融负债等。</w:t>
      </w:r>
    </w:p>
    <w:p>
      <w:pPr>
        <w:pStyle w:val="Heading4"/>
        <w:spacing w:line="240" w:lineRule="auto" w:before="19"/>
        <w:ind w:right="113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16" w:lineRule="auto" w:before="63"/>
        <w:ind w:left="514" w:right="1130" w:hanging="360"/>
        <w:jc w:val="left"/>
      </w:pPr>
      <w:r>
        <w:rPr/>
        <w:t>①以公允价值计量且其变动计入当期损益的金融资产（金融负债） </w:t>
      </w:r>
      <w:r>
        <w:rPr>
          <w:spacing w:val="-2"/>
        </w:rPr>
        <w:t>以公允价值计量且其变动计入当期损益的金融资产或金融负债，包括交易性金融资产或金融负债和直接指定为以公允价</w:t>
      </w:r>
    </w:p>
    <w:p>
      <w:pPr>
        <w:pStyle w:val="BodyText"/>
        <w:spacing w:line="316" w:lineRule="auto" w:before="19"/>
        <w:ind w:left="513" w:right="4453" w:hanging="360"/>
        <w:jc w:val="left"/>
      </w:pPr>
      <w:r>
        <w:rPr/>
        <w:t>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ind w:left="154" w:right="1122" w:firstLine="36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 管理；</w:t>
      </w:r>
    </w:p>
    <w:p>
      <w:pPr>
        <w:pStyle w:val="BodyText"/>
        <w:spacing w:line="300" w:lineRule="auto" w:before="31"/>
        <w:ind w:left="154" w:right="1122" w:firstLine="360"/>
        <w:jc w:val="left"/>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BodyText"/>
        <w:spacing w:line="316" w:lineRule="auto" w:before="31"/>
        <w:ind w:right="1130" w:firstLine="360"/>
        <w:jc w:val="left"/>
      </w:pPr>
      <w:r>
        <w:rPr>
          <w:spacing w:val="-2"/>
        </w:rPr>
        <w:t>只有符合以下条件之一，金融资产或金融负债才可在初始计量时指定为以公允价值计量且其变动计入损益的金融资产或</w:t>
      </w:r>
      <w:r>
        <w:rPr/>
        <w:t> 金融负债：</w:t>
      </w:r>
    </w:p>
    <w:p>
      <w:pPr>
        <w:pStyle w:val="BodyText"/>
        <w:spacing w:line="300" w:lineRule="auto" w:before="19"/>
        <w:ind w:left="154" w:right="1122" w:firstLine="36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 不一致的情况；</w:t>
      </w:r>
    </w:p>
    <w:p>
      <w:pPr>
        <w:pStyle w:val="BodyText"/>
        <w:spacing w:line="300" w:lineRule="auto" w:before="31"/>
        <w:ind w:left="154" w:right="1122" w:firstLine="360"/>
        <w:jc w:val="left"/>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0" w:lineRule="auto" w:before="31"/>
        <w:ind w:left="154" w:right="1122" w:firstLine="36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 生工具明显不应当从相关混合工具中分拆；</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113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w:t>
      </w:r>
      <w:r>
        <w:rPr>
          <w:spacing w:val="-2"/>
        </w:rPr>
        <w:t>本公司对以公允价值计量且其变动计入当期损益的金融资产或金融负债，在取得时以公允价值（扣除已宣告但尚未发放</w:t>
      </w:r>
    </w:p>
    <w:p>
      <w:pPr>
        <w:pStyle w:val="BodyText"/>
        <w:spacing w:line="319" w:lineRule="auto" w:before="31"/>
        <w:ind w:right="1133"/>
        <w:jc w:val="both"/>
      </w:pPr>
      <w:r>
        <w:rPr>
          <w:spacing w:val="-2"/>
        </w:rPr>
        <w:t>的现金股利或已到付息期但尚未领取的债券利息）作为初始确认金额，相关的交易费用计入当期损益。持有期间将取得的利</w:t>
      </w:r>
      <w:r>
        <w:rPr>
          <w:spacing w:val="-66"/>
        </w:rPr>
        <w:t> </w:t>
      </w:r>
      <w:r>
        <w:rPr>
          <w:spacing w:val="-66"/>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240" w:lineRule="auto" w:before="17"/>
        <w:ind w:right="1130"/>
        <w:jc w:val="left"/>
      </w:pPr>
      <w:r>
        <w:rPr/>
        <w:t>②应收款项</w:t>
      </w:r>
    </w:p>
    <w:p>
      <w:pPr>
        <w:pStyle w:val="BodyText"/>
        <w:spacing w:line="316" w:lineRule="auto" w:before="76"/>
        <w:ind w:left="513" w:right="0"/>
        <w:jc w:val="left"/>
      </w:pPr>
      <w:r>
        <w:rPr/>
        <w:t>应收款项是指在活跃市场中没有报价、回收金额固定或可确定的非衍生金融资产。 </w:t>
      </w:r>
      <w:r>
        <w:rPr>
          <w:spacing w:val="-2"/>
        </w:rPr>
        <w:t>本公司对外销售商品或提供劳务形成的应收债权，以及公司持有的其他企业的债权，包括应收账款、其他应收款、应收</w:t>
      </w:r>
    </w:p>
    <w:p>
      <w:pPr>
        <w:pStyle w:val="BodyText"/>
        <w:spacing w:line="316" w:lineRule="auto" w:before="19"/>
        <w:ind w:left="513" w:right="1213" w:hanging="360"/>
        <w:jc w:val="left"/>
      </w:pPr>
      <w:r>
        <w:rPr/>
        <w:t>票据、长期应收款等，以向购货方应收的合同或协议价款作为初始确认金额；具有融资性质的，按其现值进行初始确认。 收回或处置时，将取得的价款与该应收款项账面价值之间的差额计入当期损益。</w:t>
      </w:r>
    </w:p>
    <w:p>
      <w:pPr>
        <w:pStyle w:val="BodyText"/>
        <w:spacing w:line="316" w:lineRule="auto" w:before="19"/>
        <w:ind w:left="513" w:right="1033" w:hanging="360"/>
        <w:jc w:val="left"/>
      </w:pPr>
      <w:r>
        <w:rPr/>
        <w:t>③持有至到期投资 </w:t>
      </w:r>
      <w:r>
        <w:rPr>
          <w:spacing w:val="-4"/>
        </w:rPr>
        <w:t>持有至到期投资是指到期日固定、回收金额固定或可确定，且本公司有明确意图和能力持有至到期的非衍生性金融资产。</w:t>
      </w:r>
      <w:r>
        <w:rPr/>
        <w:t> </w:t>
      </w:r>
      <w:r>
        <w:rPr>
          <w:spacing w:val="-2"/>
        </w:rPr>
        <w:t>本公司对持有至到期投资，在取得时按公允价值（扣除已到付息期但尚未领取的债券利息）和相关交易费用之和作为初</w:t>
      </w:r>
    </w:p>
    <w:p>
      <w:pPr>
        <w:pStyle w:val="BodyText"/>
        <w:spacing w:line="316" w:lineRule="auto" w:before="19"/>
        <w:ind w:right="1130"/>
        <w:jc w:val="both"/>
      </w:pPr>
      <w:r>
        <w:rPr>
          <w:spacing w:val="-2"/>
        </w:rPr>
        <w:t>始确认金额。持有期间按照摊余成本和实际利率计算确认利息收入，计入投资收益。实际利率在取得时确定，在该预期存续</w:t>
      </w:r>
      <w:r>
        <w:rPr>
          <w:spacing w:val="-65"/>
        </w:rPr>
        <w:t> </w:t>
      </w:r>
      <w:r>
        <w:rPr>
          <w:spacing w:val="-65"/>
        </w:rPr>
      </w:r>
      <w:r>
        <w:rPr/>
        <w:t>期间或适用的更短期间内保持不变。处置时，将所取得价款与该投资账面价值之间的差额计入投资收益。</w:t>
      </w:r>
    </w:p>
    <w:p>
      <w:pPr>
        <w:pStyle w:val="BodyText"/>
        <w:spacing w:line="316" w:lineRule="auto" w:before="19"/>
        <w:ind w:right="1131" w:firstLine="360"/>
        <w:jc w:val="both"/>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w:t>
      </w:r>
    </w:p>
    <w:p>
      <w:pPr>
        <w:pStyle w:val="BodyText"/>
        <w:spacing w:line="300" w:lineRule="auto" w:before="19"/>
        <w:ind w:right="1183" w:firstLine="36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31"/>
        <w:ind w:left="513" w:right="113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514" w:right="113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16" w:lineRule="auto" w:before="63"/>
        <w:ind w:left="513" w:right="1033" w:hanging="360"/>
        <w:jc w:val="left"/>
      </w:pPr>
      <w:r>
        <w:rPr/>
        <w:t>④可供出售金融资产 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6" w:lineRule="auto" w:before="19"/>
        <w:ind w:right="113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1131" w:firstLine="360"/>
        <w:jc w:val="both"/>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16" w:lineRule="auto" w:before="19"/>
        <w:ind w:left="513" w:right="3733" w:hanging="360"/>
        <w:jc w:val="left"/>
      </w:pPr>
      <w:r>
        <w:rPr/>
        <w:t>⑤其他金融负债 按其公允价值和相关交易费用之和作为初始确认金额。采用摊余成本进行后续计量。</w:t>
      </w:r>
    </w:p>
    <w:p>
      <w:pPr>
        <w:spacing w:line="300" w:lineRule="auto" w:before="19"/>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公司发生金融资产转移时，如已将金融资产所有权上几乎所有的风险和报酬转移给转入方，则终止确认该金融资产；如</w:t>
      </w:r>
    </w:p>
    <w:p>
      <w:pPr>
        <w:pStyle w:val="BodyText"/>
        <w:spacing w:line="316" w:lineRule="auto" w:before="31"/>
        <w:ind w:left="513" w:right="1130" w:hanging="360"/>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240" w:lineRule="auto" w:before="19"/>
        <w:ind w:right="1130"/>
        <w:jc w:val="left"/>
      </w:pPr>
      <w:r>
        <w:rPr/>
        <w:t>融资产整体转移和部分转移。金融资产整体转移满足终止确认条件的，将下列两项金额的差额计入当期损益：</w:t>
      </w:r>
    </w:p>
    <w:p>
      <w:pPr>
        <w:pStyle w:val="BodyText"/>
        <w:spacing w:line="240" w:lineRule="auto" w:before="76"/>
        <w:ind w:left="513" w:right="1130"/>
        <w:jc w:val="left"/>
      </w:pPr>
      <w:r>
        <w:rPr/>
        <w:t>①所转移金融资产的账面价值；</w:t>
      </w:r>
    </w:p>
    <w:p>
      <w:pPr>
        <w:pStyle w:val="BodyText"/>
        <w:spacing w:line="316" w:lineRule="auto" w:before="77"/>
        <w:ind w:right="1131" w:firstLine="360"/>
        <w:jc w:val="both"/>
      </w:pPr>
      <w:r>
        <w:rPr>
          <w:spacing w:val="-2"/>
        </w:rPr>
        <w:t>②转移而收到的对价，与原直接计入所有者权益的公允价值变动累计额（涉及转移的金融资产为可供出售金融资产的情</w:t>
      </w:r>
      <w:r>
        <w:rPr/>
        <w:t> 形）之和。</w:t>
      </w:r>
    </w:p>
    <w:p>
      <w:pPr>
        <w:pStyle w:val="BodyText"/>
        <w:spacing w:line="316" w:lineRule="auto" w:before="19"/>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1130"/>
        <w:jc w:val="left"/>
      </w:pPr>
      <w:r>
        <w:rPr/>
        <w:t>①终止确认部分的账面价值；</w:t>
      </w:r>
    </w:p>
    <w:p>
      <w:pPr>
        <w:pStyle w:val="BodyText"/>
        <w:spacing w:line="316" w:lineRule="auto" w:before="76"/>
        <w:ind w:right="1130" w:firstLine="360"/>
        <w:jc w:val="left"/>
      </w:pPr>
      <w:r>
        <w:rPr>
          <w:spacing w:val="-2"/>
        </w:rPr>
        <w:t>②终止确认部分的对价，与原直接计入所有者权益的公允价值变动累计额中对应终止确认部分的金额（涉及转移的金融</w:t>
      </w:r>
      <w:r>
        <w:rPr/>
        <w:t> 资产为可供出售金融资产的情形）之和。</w:t>
      </w:r>
    </w:p>
    <w:p>
      <w:pPr>
        <w:pStyle w:val="BodyText"/>
        <w:spacing w:line="240" w:lineRule="auto" w:before="19"/>
        <w:ind w:left="513" w:right="1130"/>
        <w:jc w:val="left"/>
      </w:pPr>
      <w:r>
        <w:rPr/>
        <w:t>金融资产转移不满足终止确认条件的，继续确认该金融资产，所收到的对价确认为一项金融负债。</w:t>
      </w:r>
    </w:p>
    <w:p>
      <w:pPr>
        <w:spacing w:line="300" w:lineRule="auto" w:before="77"/>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金融负债终止确认条件</w:t>
      </w:r>
      <w:r>
        <w:rPr>
          <w:rFonts w:ascii="宋体" w:hAnsi="宋体" w:cs="宋体" w:eastAsia="宋体" w:hint="default"/>
          <w:b/>
          <w:bCs/>
          <w:w w:val="99"/>
          <w:sz w:val="18"/>
          <w:szCs w:val="18"/>
        </w:rPr>
        <w:t> </w:t>
      </w:r>
      <w:r>
        <w:rPr>
          <w:rFonts w:ascii="宋体" w:hAnsi="宋体" w:cs="宋体" w:eastAsia="宋体" w:hint="default"/>
          <w:spacing w:val="-2"/>
          <w:sz w:val="18"/>
          <w:szCs w:val="18"/>
        </w:rPr>
        <w:t>金融负债的现时义务全部或部分已经解除的，则终止确认该金融负债或其一部分；本公司若与债权人签定协议，以承担</w:t>
      </w:r>
    </w:p>
    <w:p>
      <w:pPr>
        <w:pStyle w:val="BodyText"/>
        <w:spacing w:line="316" w:lineRule="auto" w:before="31"/>
        <w:ind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right="113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113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left="154"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300" w:lineRule="auto" w:before="19"/>
        <w:ind w:left="513" w:right="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pacing w:val="-4"/>
          <w:sz w:val="18"/>
          <w:szCs w:val="18"/>
        </w:rPr>
        <w:t>存在活跃市场的金融资产或金融负债，以活跃市场的报价确定其公允价值；活跃市场的报价包括易于且可定期从交易所、</w:t>
      </w:r>
    </w:p>
    <w:p>
      <w:pPr>
        <w:pStyle w:val="BodyText"/>
        <w:spacing w:line="316" w:lineRule="auto" w:before="31"/>
        <w:ind w:right="1131"/>
        <w:jc w:val="both"/>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pStyle w:val="BodyText"/>
        <w:spacing w:line="316" w:lineRule="auto" w:before="19"/>
        <w:ind w:left="513" w:right="1130"/>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19" w:lineRule="auto" w:before="19"/>
        <w:ind w:right="1131"/>
        <w:jc w:val="both"/>
      </w:pP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6"/>
        </w:rPr>
        <w:t> </w:t>
      </w:r>
      <w:r>
        <w:rPr>
          <w:spacing w:val="-66"/>
        </w:rPr>
      </w:r>
      <w:r>
        <w:rPr/>
        <w:t>察输入值。</w:t>
      </w:r>
    </w:p>
    <w:p>
      <w:pPr>
        <w:spacing w:line="300" w:lineRule="auto" w:before="17"/>
        <w:ind w:left="513" w:right="113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）金融资产（不含应收款项）减值准备计提</w:t>
      </w:r>
      <w:r>
        <w:rPr>
          <w:rFonts w:ascii="宋体" w:hAnsi="宋体" w:cs="宋体" w:eastAsia="宋体" w:hint="default"/>
          <w:b/>
          <w:bCs/>
          <w:w w:val="99"/>
          <w:sz w:val="18"/>
          <w:szCs w:val="18"/>
        </w:rPr>
        <w:t> </w:t>
      </w:r>
      <w:r>
        <w:rPr>
          <w:rFonts w:ascii="宋体" w:hAnsi="宋体" w:cs="宋体" w:eastAsia="宋体" w:hint="default"/>
          <w:spacing w:val="-2"/>
          <w:sz w:val="18"/>
          <w:szCs w:val="18"/>
        </w:rPr>
        <w:t>资产负债表日对以公允价值计量且其变动计入当期损益的金融资产以外的金融资产的账面价值进行检查，如有客观证据</w:t>
      </w:r>
    </w:p>
    <w:p>
      <w:pPr>
        <w:pStyle w:val="BodyText"/>
        <w:spacing w:line="316" w:lineRule="auto" w:before="31"/>
        <w:ind w:left="513" w:right="6613" w:hanging="360"/>
        <w:jc w:val="left"/>
      </w:pPr>
      <w:r>
        <w:rPr/>
        <w:t>表明该金融资产发生减值的，计提减值准备。 金融资产发生减值的客观证据，包括但不限于：</w:t>
      </w:r>
    </w:p>
    <w:p>
      <w:pPr>
        <w:pStyle w:val="BodyText"/>
        <w:spacing w:line="240" w:lineRule="auto" w:before="19"/>
        <w:ind w:left="299" w:right="1130"/>
        <w:jc w:val="left"/>
      </w:pPr>
      <w:r>
        <w:rPr/>
        <w:t>①发行方或债务人发生严重财务困难；</w:t>
      </w:r>
    </w:p>
    <w:p>
      <w:pPr>
        <w:pStyle w:val="BodyText"/>
        <w:spacing w:line="240" w:lineRule="auto" w:before="76"/>
        <w:ind w:left="299" w:right="1130"/>
        <w:jc w:val="left"/>
      </w:pPr>
      <w:r>
        <w:rPr/>
        <w:t>②债务人违反了合同条款，如偿付利息或本金发生违约或逾期等；</w:t>
      </w:r>
    </w:p>
    <w:p>
      <w:pPr>
        <w:pStyle w:val="BodyText"/>
        <w:spacing w:line="240" w:lineRule="auto" w:before="76"/>
        <w:ind w:left="299" w:right="1130"/>
        <w:jc w:val="left"/>
      </w:pPr>
      <w:r>
        <w:rPr/>
        <w:t>③债权人出于经济或法律等方面因素的考虑，对发生财务困难的债务人作出让步；</w:t>
      </w:r>
    </w:p>
    <w:p>
      <w:pPr>
        <w:pStyle w:val="BodyText"/>
        <w:spacing w:line="240" w:lineRule="auto" w:before="76"/>
        <w:ind w:left="299" w:right="1130"/>
        <w:jc w:val="left"/>
      </w:pPr>
      <w:r>
        <w:rPr/>
        <w:t>④债务人很可能倒闭或进行其他财务重组；</w:t>
      </w:r>
    </w:p>
    <w:p>
      <w:pPr>
        <w:pStyle w:val="BodyText"/>
        <w:spacing w:line="240" w:lineRule="auto" w:before="76"/>
        <w:ind w:left="299" w:right="1130"/>
        <w:jc w:val="left"/>
      </w:pPr>
      <w:r>
        <w:rPr/>
        <w:t>⑤因发行方发生重大财务困难，该金融资产无法在活跃市场继续交易；</w:t>
      </w:r>
    </w:p>
    <w:p>
      <w:pPr>
        <w:pStyle w:val="BodyText"/>
        <w:spacing w:line="316" w:lineRule="auto" w:before="76"/>
        <w:ind w:left="154" w:right="1131" w:firstLine="145"/>
        <w:jc w:val="both"/>
      </w:pPr>
      <w:r>
        <w:rPr>
          <w:spacing w:val="-1"/>
        </w:rPr>
        <w:t>⑥无法辨认一组金融资产中的某项资产的现金流量是否已经减少，但根据公开的数据对其进行总体评价后发现，该组金融</w:t>
      </w:r>
      <w:r>
        <w:rPr/>
        <w:t> </w:t>
      </w:r>
      <w:r>
        <w:rPr>
          <w:spacing w:val="-2"/>
        </w:rPr>
        <w:t>资产自初始确认以来的预计未来现金流量确已减少且可计量，如该组金融资产的债务人支付能力逐步恶化，或债务人所在国</w:t>
      </w:r>
      <w:r>
        <w:rPr>
          <w:spacing w:val="-64"/>
        </w:rPr>
        <w:t> </w:t>
      </w:r>
      <w:r>
        <w:rPr>
          <w:spacing w:val="-64"/>
        </w:rPr>
      </w:r>
      <w:r>
        <w:rPr/>
        <w:t>家或地区失业率提高、担保物在其所在地区的价格明显下降、所处行业不景气等；</w:t>
      </w:r>
    </w:p>
    <w:p>
      <w:pPr>
        <w:pStyle w:val="BodyText"/>
        <w:spacing w:line="316" w:lineRule="auto" w:before="19"/>
        <w:ind w:left="154" w:right="1120" w:firstLine="145"/>
        <w:jc w:val="left"/>
      </w:pPr>
      <w:r>
        <w:rPr>
          <w:spacing w:val="-1"/>
        </w:rPr>
        <w:t>⑦权益工具发行方经营所处的技术、市场、经济或法律环境等发生重大不利变化，使权益工具投资人可能无法收回投资成</w:t>
      </w:r>
      <w:r>
        <w:rPr/>
        <w:t> 本；</w:t>
      </w:r>
    </w:p>
    <w:p>
      <w:pPr>
        <w:pStyle w:val="BodyText"/>
        <w:spacing w:line="316" w:lineRule="auto" w:before="19"/>
        <w:ind w:left="513" w:right="6288" w:hanging="215"/>
        <w:jc w:val="left"/>
      </w:pPr>
      <w:r>
        <w:rPr/>
        <w:t>⑧权益工具投资的公允价值发生严重或非暂时性下跌； 金融资产的具体减值方法如下：</w:t>
      </w:r>
    </w:p>
    <w:p>
      <w:pPr>
        <w:pStyle w:val="BodyText"/>
        <w:spacing w:line="316" w:lineRule="auto" w:before="19"/>
        <w:ind w:left="513" w:right="1130" w:hanging="215"/>
        <w:jc w:val="left"/>
      </w:pPr>
      <w:r>
        <w:rPr/>
        <w:t>①可供出售金融资产减值准备 </w:t>
      </w:r>
      <w:r>
        <w:rPr>
          <w:spacing w:val="-2"/>
        </w:rPr>
        <w:t>本公司于资产负债表日对各项可供出售权益工具投资单独进行检查，若该权益工具投资于资产负债表日的公允价值低于</w:t>
      </w:r>
    </w:p>
    <w:p>
      <w:pPr>
        <w:pStyle w:val="BodyText"/>
        <w:spacing w:line="300" w:lineRule="auto" w:before="19"/>
        <w:ind w:right="1131"/>
        <w:jc w:val="both"/>
      </w:pP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spacing w:val="-58"/>
        </w:rPr>
        <w:t> </w:t>
      </w:r>
      <w:r>
        <w:rPr>
          <w:spacing w:val="-58"/>
        </w:rPr>
      </w:r>
      <w:r>
        <w:rPr/>
        <w:t>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213" w:hanging="360"/>
        <w:jc w:val="left"/>
      </w:pPr>
      <w:r>
        <w:rPr/>
        <w:t>判断该权益工具投资是否发生减值。 上段所述成本按照可供出售权益工具投资的初始取得成本扣除已收回本金和已摊销金额、原已计入损益的减值损失确</w:t>
      </w:r>
    </w:p>
    <w:p>
      <w:pPr>
        <w:pStyle w:val="BodyText"/>
        <w:spacing w:line="319" w:lineRule="auto" w:before="19"/>
        <w:ind w:right="1130"/>
        <w:jc w:val="both"/>
      </w:pPr>
      <w:r>
        <w:rPr>
          <w:spacing w:val="-2"/>
        </w:rPr>
        <w:t>定；不存在活跃市场的可供出售权益工具投资的公允价值，按照类似金融资产当时市场收益率对未来现金流量折现确定的现</w:t>
      </w:r>
      <w:r>
        <w:rPr>
          <w:spacing w:val="-63"/>
        </w:rPr>
        <w:t> </w:t>
      </w:r>
      <w:r>
        <w:rPr>
          <w:spacing w:val="-63"/>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6" w:lineRule="auto" w:before="17"/>
        <w:ind w:right="113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9"/>
        <w:ind w:right="1131"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6"/>
        </w:rPr>
        <w:t> </w:t>
      </w:r>
      <w:r>
        <w:rPr>
          <w:spacing w:val="-66"/>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16" w:lineRule="auto" w:before="19"/>
        <w:ind w:left="513" w:right="1130" w:hanging="215"/>
        <w:jc w:val="left"/>
      </w:pPr>
      <w:r>
        <w:rPr/>
        <w:t>②持有至到期投资减值准备 </w:t>
      </w:r>
      <w:r>
        <w:rPr>
          <w:spacing w:val="-2"/>
        </w:rPr>
        <w:t>对于持有至到期投资，有客观证据表明其发生了减值的，根据其账面价值与预计未来现金流量现值之间差额计算确认减</w:t>
      </w:r>
    </w:p>
    <w:p>
      <w:pPr>
        <w:pStyle w:val="BodyText"/>
        <w:spacing w:line="316" w:lineRule="auto" w:before="19"/>
        <w:ind w:right="1131"/>
        <w:jc w:val="both"/>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spacing w:line="300" w:lineRule="auto" w:before="19"/>
        <w:ind w:left="513" w:right="113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）金融资产及金融负债的抵销</w:t>
      </w:r>
      <w:r>
        <w:rPr>
          <w:rFonts w:ascii="宋体" w:hAnsi="宋体" w:cs="宋体" w:eastAsia="宋体" w:hint="default"/>
          <w:b/>
          <w:bCs/>
          <w:w w:val="99"/>
          <w:sz w:val="18"/>
          <w:szCs w:val="18"/>
        </w:rPr>
        <w:t> </w:t>
      </w:r>
      <w:r>
        <w:rPr>
          <w:rFonts w:ascii="宋体" w:hAnsi="宋体" w:cs="宋体" w:eastAsia="宋体" w:hint="default"/>
          <w:spacing w:val="-2"/>
          <w:sz w:val="18"/>
          <w:szCs w:val="18"/>
        </w:rPr>
        <w:t>金融资产和金融负债在资产负债表内分别列示，没有相互抵销。但是，同时满足下列条件的，以相互抵销后的净额在资</w:t>
      </w:r>
    </w:p>
    <w:p>
      <w:pPr>
        <w:pStyle w:val="BodyText"/>
        <w:spacing w:line="240" w:lineRule="auto" w:before="31"/>
        <w:ind w:right="1130"/>
        <w:jc w:val="left"/>
      </w:pPr>
      <w:r>
        <w:rPr/>
        <w:t>产负债表内列示：</w:t>
      </w:r>
    </w:p>
    <w:p>
      <w:pPr>
        <w:pStyle w:val="BodyText"/>
        <w:spacing w:line="240" w:lineRule="auto" w:before="76"/>
        <w:ind w:left="299" w:right="1130"/>
        <w:jc w:val="left"/>
      </w:pPr>
      <w:r>
        <w:rPr/>
        <w:t>①本公司具有抵销已确认金额的法定权利，且该种法定权利是当前可执行的；</w:t>
      </w:r>
    </w:p>
    <w:p>
      <w:pPr>
        <w:pStyle w:val="BodyText"/>
        <w:spacing w:line="240" w:lineRule="auto" w:before="76"/>
        <w:ind w:left="299" w:right="1130"/>
        <w:jc w:val="left"/>
      </w:pPr>
      <w:r>
        <w:rPr/>
        <w:t>②本公司计划以净额结算，或同时变现该金融资产和清偿该金融负债。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Heading3"/>
        <w:spacing w:line="240" w:lineRule="auto"/>
        <w:ind w:right="1130"/>
        <w:jc w:val="left"/>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本公司将期末余额为人民币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 项金额重大的应收款项。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本公司对单项金额重大的应收款项单独进行减值测试，按预 计未来现金流量现值低于其账面价值的差额计提坏账准备， 计入当期损益。单独测试未发生减值的应收款项，将其归入 相应组合计提坏账准备。</w:t>
            </w:r>
          </w:p>
        </w:tc>
      </w:tr>
    </w:tbl>
    <w:p>
      <w:pPr>
        <w:spacing w:line="240" w:lineRule="auto" w:before="8"/>
        <w:rPr>
          <w:rFonts w:ascii="宋体" w:hAnsi="宋体" w:cs="宋体" w:eastAsia="宋体" w:hint="default"/>
          <w:b/>
          <w:bCs/>
          <w:sz w:val="19"/>
          <w:szCs w:val="19"/>
        </w:rPr>
      </w:pPr>
    </w:p>
    <w:p>
      <w:pPr>
        <w:pStyle w:val="Heading3"/>
        <w:spacing w:line="240" w:lineRule="auto" w:before="38"/>
        <w:ind w:left="154" w:right="113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0"/>
        <w:jc w:val="left"/>
      </w:pPr>
      <w:r>
        <w:rPr/>
        <w:t>组合中，采用账龄分析法计提坏账准备的：</w:t>
      </w:r>
    </w:p>
    <w:p>
      <w:pPr>
        <w:pStyle w:val="BodyText"/>
        <w:spacing w:line="240" w:lineRule="auto" w:before="116"/>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13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8"/>
        <w:rPr>
          <w:rFonts w:ascii="宋体" w:hAnsi="宋体" w:cs="宋体" w:eastAsia="宋体" w:hint="default"/>
          <w:b/>
          <w:bCs/>
          <w:sz w:val="19"/>
          <w:szCs w:val="19"/>
        </w:rPr>
      </w:pPr>
    </w:p>
    <w:p>
      <w:pPr>
        <w:pStyle w:val="Heading3"/>
        <w:spacing w:line="240" w:lineRule="auto" w:before="38"/>
        <w:ind w:left="154" w:right="113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12"/>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Heading4"/>
        <w:spacing w:line="240" w:lineRule="auto" w:before="28"/>
        <w:ind w:left="154" w:right="1130"/>
        <w:jc w:val="left"/>
        <w:rPr>
          <w:b w:val="0"/>
          <w:bCs w:val="0"/>
        </w:rPr>
      </w:pPr>
      <w:r>
        <w:rPr>
          <w:rFonts w:ascii="Times New Roman" w:hAnsi="Times New Roman" w:cs="Times New Roman" w:eastAsia="Times New Roman" w:hint="default"/>
        </w:rPr>
        <w:t>(1)</w:t>
      </w:r>
      <w:r>
        <w:rPr/>
        <w:t>存货的分类</w:t>
      </w:r>
      <w:r>
        <w:rPr>
          <w:b w:val="0"/>
          <w:bCs w:val="0"/>
        </w:rPr>
      </w:r>
    </w:p>
    <w:p>
      <w:pPr>
        <w:pStyle w:val="BodyText"/>
        <w:spacing w:line="316" w:lineRule="auto" w:before="63"/>
        <w:ind w:left="154" w:right="1132" w:firstLine="360"/>
        <w:jc w:val="both"/>
      </w:pPr>
      <w:r>
        <w:rPr>
          <w:spacing w:val="-2"/>
        </w:rPr>
        <w:t>存货是指本公司在日常活动中持有以备出售的产成品或商品、处在生产过程中的在产品、在生产过程或提供劳务过程中</w:t>
      </w:r>
      <w:r>
        <w:rPr/>
        <w:t> </w:t>
      </w:r>
      <w:r>
        <w:rPr>
          <w:spacing w:val="-2"/>
        </w:rPr>
        <w:t>耗用的材料和物料等。主要包括原材料、周转材料、委托加工材料、在产品、自制半成品、产成品（库存商品）、发出商品</w:t>
      </w:r>
      <w:r>
        <w:rPr>
          <w:spacing w:val="-69"/>
        </w:rPr>
        <w:t> </w:t>
      </w:r>
      <w:r>
        <w:rPr>
          <w:spacing w:val="-69"/>
        </w:rPr>
      </w:r>
      <w:r>
        <w:rPr/>
        <w:t>等。</w:t>
      </w:r>
    </w:p>
    <w:p>
      <w:pPr>
        <w:pStyle w:val="BodyText"/>
        <w:spacing w:line="300" w:lineRule="auto" w:before="19"/>
        <w:ind w:left="514" w:right="1752" w:hanging="360"/>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99"/>
        </w:rPr>
        <w:t> </w:t>
      </w:r>
      <w:r>
        <w:rPr/>
        <w:t>存货在取得时，按成本进行初始计量，包括采购成本、加工成本和其他成本。存货发出时按加权平均法计价。</w:t>
      </w:r>
    </w:p>
    <w:p>
      <w:pPr>
        <w:spacing w:line="300" w:lineRule="auto" w:before="31"/>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pacing w:val="-2"/>
          <w:sz w:val="18"/>
          <w:szCs w:val="18"/>
        </w:rPr>
        <w:t>期末对存货进行全面清查后，按存货的成本与可变现净值孰低提取或调整存货跌价准备。产成品、库存商品和用于出售</w:t>
      </w:r>
    </w:p>
    <w:p>
      <w:pPr>
        <w:pStyle w:val="BodyText"/>
        <w:spacing w:line="316" w:lineRule="auto" w:before="31"/>
        <w:ind w:right="0"/>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5"/>
        </w:rPr>
        <w:t> </w:t>
      </w:r>
      <w:r>
        <w:rPr>
          <w:spacing w:val="-65"/>
        </w:rPr>
      </w:r>
      <w:r>
        <w:rPr>
          <w:spacing w:val="-2"/>
        </w:rPr>
        <w:t>要发生的成本、估计的销售费用和相关税费后的金额，确定其可变现净值；为执行销售合同或者劳务合同而持有的存货，其</w:t>
      </w:r>
      <w:r>
        <w:rPr>
          <w:spacing w:val="-66"/>
        </w:rPr>
        <w:t> </w:t>
      </w:r>
      <w:r>
        <w:rPr>
          <w:spacing w:val="-66"/>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9"/>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240" w:lineRule="auto" w:before="19"/>
        <w:ind w:left="513" w:right="0"/>
        <w:jc w:val="left"/>
      </w:pPr>
      <w:r>
        <w:rPr/>
        <w:t>以前减记存货价值的影响因素已经消失的，减记的金额予以恢复，并在原已计提的存货跌价准备金额内转回，转回的金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30"/>
        <w:jc w:val="left"/>
      </w:pPr>
      <w:r>
        <w:rPr/>
        <w:t>额计入当期损益。</w:t>
      </w:r>
    </w:p>
    <w:p>
      <w:pPr>
        <w:spacing w:line="300" w:lineRule="auto" w:before="76"/>
        <w:ind w:left="513" w:right="895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4"/>
        <w:spacing w:line="240" w:lineRule="auto" w:before="31"/>
        <w:ind w:right="113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63"/>
        <w:ind w:left="299" w:right="1130"/>
        <w:jc w:val="left"/>
      </w:pPr>
      <w:r>
        <w:rPr/>
        <w:t>①低值易耗品采用一次转销法；</w:t>
      </w:r>
    </w:p>
    <w:p>
      <w:pPr>
        <w:pStyle w:val="BodyText"/>
        <w:spacing w:line="240" w:lineRule="auto" w:before="76"/>
        <w:ind w:left="299" w:right="1130"/>
        <w:jc w:val="left"/>
      </w:pPr>
      <w:r>
        <w:rPr/>
        <w:t>②包装物采用一次转销法。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1130"/>
        <w:jc w:val="left"/>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1"/>
        <w:rPr>
          <w:rFonts w:ascii="宋体" w:hAnsi="宋体" w:cs="宋体" w:eastAsia="宋体" w:hint="default"/>
          <w:b/>
          <w:bCs/>
          <w:sz w:val="26"/>
          <w:szCs w:val="26"/>
        </w:rPr>
      </w:pPr>
    </w:p>
    <w:p>
      <w:pPr>
        <w:pStyle w:val="BodyText"/>
        <w:spacing w:line="314" w:lineRule="auto"/>
        <w:ind w:right="1033"/>
        <w:jc w:val="left"/>
      </w:pPr>
      <w:r>
        <w:rPr/>
        <w:t>若某项非流动资产在其当前状况下仅根据出售此类资产的惯常条款即可立即出售，本公司已就处置该项非流动资产作出决 </w:t>
      </w:r>
      <w:r>
        <w:rPr>
          <w:spacing w:val="-4"/>
        </w:rPr>
        <w:t>议，已经与受让方签订了不可撤销的转让协议，且该项转让将在一年内完成，则该非流动资产作为持有待售非流动资产核算，</w:t>
      </w:r>
      <w:r>
        <w:rPr>
          <w:spacing w:val="-44"/>
        </w:rPr>
        <w:t> </w:t>
      </w:r>
      <w:r>
        <w:rPr>
          <w:spacing w:val="-44"/>
        </w:rPr>
      </w:r>
      <w:r>
        <w:rPr>
          <w:spacing w:val="-2"/>
        </w:rPr>
        <w:t>自划分为持有待售之日起不计提折旧或进行摊销，按照账面价值与公允价值减去处置费用后的净额孰低计量。持有待售的非</w:t>
      </w:r>
      <w:r>
        <w:rPr>
          <w:spacing w:val="-64"/>
        </w:rPr>
        <w:t> </w:t>
      </w:r>
      <w:r>
        <w:rPr>
          <w:spacing w:val="-64"/>
        </w:rPr>
      </w:r>
      <w:r>
        <w:rPr/>
        <w:t>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 </w:t>
      </w:r>
      <w:r>
        <w:rPr>
          <w:spacing w:val="-2"/>
        </w:rPr>
        <w:t>则的规定将企业合并中取得的商誉分摊至该资产组，或者该处置组是资产组中的一项经营，则该处置组包括企业合并中所形</w:t>
      </w:r>
      <w:r>
        <w:rPr>
          <w:spacing w:val="-64"/>
        </w:rPr>
        <w:t> </w:t>
      </w:r>
      <w:r>
        <w:rPr>
          <w:spacing w:val="-64"/>
        </w:rPr>
      </w:r>
      <w:r>
        <w:rPr/>
        <w:t>成的商誉。 </w:t>
      </w:r>
      <w:r>
        <w:rPr>
          <w:spacing w:val="-2"/>
        </w:rPr>
        <w:t>被划分为持有待售的单项非流动资产和处置组中的资产，在资产负债表的流动资产部分单独列报；被划分为持有待售的处置</w:t>
      </w:r>
      <w:r>
        <w:rPr>
          <w:spacing w:val="-64"/>
        </w:rPr>
        <w:t> </w:t>
      </w:r>
      <w:r>
        <w:rPr>
          <w:spacing w:val="-64"/>
        </w:rPr>
      </w:r>
      <w:r>
        <w:rPr/>
        <w:t>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 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7"/>
        <w:ind w:right="1130"/>
        <w:jc w:val="left"/>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1"/>
        <w:rPr>
          <w:rFonts w:ascii="宋体" w:hAnsi="宋体" w:cs="宋体" w:eastAsia="宋体" w:hint="default"/>
          <w:b/>
          <w:bCs/>
          <w:sz w:val="26"/>
          <w:szCs w:val="26"/>
        </w:rPr>
      </w:pPr>
    </w:p>
    <w:p>
      <w:pPr>
        <w:pStyle w:val="Heading4"/>
        <w:spacing w:line="240" w:lineRule="auto"/>
        <w:ind w:left="154" w:right="113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300" w:lineRule="auto" w:before="63"/>
        <w:ind w:right="1130" w:firstLine="360"/>
        <w:jc w:val="left"/>
      </w:pPr>
      <w:r>
        <w:rPr>
          <w:spacing w:val="-2"/>
        </w:rPr>
        <w:t>①企业合并形成的长期股权投资，具体会计政策详见本报告第十一节、五、</w:t>
      </w:r>
      <w:r>
        <w:rPr>
          <w:rFonts w:ascii="Times New Roman" w:hAnsi="Times New Roman" w:cs="Times New Roman" w:eastAsia="Times New Roman" w:hint="default"/>
          <w:spacing w:val="-2"/>
        </w:rPr>
        <w:t>5“</w:t>
      </w:r>
      <w:r>
        <w:rPr>
          <w:spacing w:val="-2"/>
        </w:rPr>
        <w:t>同一控制下和非同一控制下企业合并的会</w:t>
      </w:r>
      <w:r>
        <w:rPr/>
        <w:t> 计处理方法</w:t>
      </w:r>
      <w:r>
        <w:rPr>
          <w:rFonts w:ascii="Times New Roman" w:hAnsi="Times New Roman" w:cs="Times New Roman" w:eastAsia="Times New Roman" w:hint="default"/>
        </w:rPr>
        <w:t>”</w:t>
      </w:r>
      <w:r>
        <w:rPr/>
        <w:t>。</w:t>
      </w:r>
    </w:p>
    <w:p>
      <w:pPr>
        <w:pStyle w:val="BodyText"/>
        <w:spacing w:line="316" w:lineRule="auto" w:before="13"/>
        <w:ind w:left="513" w:right="1130"/>
        <w:jc w:val="left"/>
      </w:pPr>
      <w:r>
        <w:rPr/>
        <w:t>②其他方式取得的长期股权投资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19"/>
        <w:ind w:left="513" w:right="1130"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9"/>
        <w:ind w:left="513" w:right="1130"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right="113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240" w:lineRule="auto" w:before="19"/>
        <w:ind w:left="513" w:right="1130"/>
        <w:jc w:val="left"/>
      </w:pPr>
      <w:r>
        <w:rPr/>
        <w:t>通过债务重组取得的长期股权投资，其初始投资成本按照公允价值为基础确定。</w:t>
      </w:r>
    </w:p>
    <w:p>
      <w:pPr>
        <w:pStyle w:val="Heading4"/>
        <w:spacing w:line="240" w:lineRule="auto" w:before="76"/>
        <w:ind w:right="113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16" w:lineRule="auto" w:before="63"/>
        <w:ind w:left="513" w:right="1130"/>
        <w:jc w:val="left"/>
      </w:pPr>
      <w:r>
        <w:rPr/>
        <w:t>①本法 </w:t>
      </w:r>
      <w:r>
        <w:rPr>
          <w:spacing w:val="-2"/>
        </w:rPr>
        <w:t>本公司能够对被投资单位实施控制的长期股权投资采用成本法核算，并按照初始投资成本计价，追加或收回投资调整长</w:t>
      </w:r>
    </w:p>
    <w:p>
      <w:pPr>
        <w:pStyle w:val="BodyText"/>
        <w:spacing w:line="316" w:lineRule="auto" w:before="19"/>
        <w:ind w:left="513" w:right="1130"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1130"/>
        <w:jc w:val="left"/>
      </w:pPr>
      <w:r>
        <w:rPr/>
        <w:t>分派的现金股利或利润确认为当期投资收益。</w:t>
      </w:r>
    </w:p>
    <w:p>
      <w:pPr>
        <w:pStyle w:val="BodyText"/>
        <w:spacing w:line="316" w:lineRule="auto" w:before="76"/>
        <w:ind w:left="513" w:right="1130"/>
        <w:jc w:val="left"/>
      </w:pPr>
      <w:r>
        <w:rPr/>
        <w:t>②权益法 </w:t>
      </w:r>
      <w:r>
        <w:rPr>
          <w:spacing w:val="-2"/>
        </w:rPr>
        <w:t>本公司对联营企业和合营企业的长期股权投资采用权益法核算；对于其中一部分通过风险投资机构、共同基金、信托公</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130" w:hanging="360"/>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513" w:right="1130" w:hanging="360"/>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9"/>
        <w:ind w:right="1033"/>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6" w:lineRule="auto" w:before="19"/>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19"/>
        <w:ind w:right="1033"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right="1130" w:firstLine="360"/>
        <w:jc w:val="left"/>
        <w:rPr>
          <w:rFonts w:ascii="宋体" w:hAnsi="宋体" w:cs="宋体" w:eastAsia="宋体" w:hint="default"/>
        </w:rPr>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 </w:t>
      </w:r>
      <w:r>
        <w:rPr>
          <w:rFonts w:ascii="Times New Roman" w:hAnsi="Times New Roman" w:cs="Times New Roman" w:eastAsia="Times New Roman" w:hint="default"/>
          <w:b/>
          <w:bCs/>
        </w:rPr>
        <w:t>(3)</w:t>
      </w:r>
      <w:r>
        <w:rPr>
          <w:rFonts w:ascii="宋体" w:hAnsi="宋体" w:cs="宋体" w:eastAsia="宋体" w:hint="default"/>
          <w:b/>
          <w:bCs/>
        </w:rPr>
        <w:t>长期股权投资核算方法的转换</w:t>
      </w:r>
      <w:r>
        <w:rPr>
          <w:rFonts w:ascii="宋体" w:hAnsi="宋体" w:cs="宋体" w:eastAsia="宋体" w:hint="default"/>
        </w:rPr>
      </w:r>
    </w:p>
    <w:p>
      <w:pPr>
        <w:pStyle w:val="BodyText"/>
        <w:spacing w:line="316" w:lineRule="auto"/>
        <w:ind w:left="513" w:right="1130" w:hanging="143"/>
        <w:jc w:val="left"/>
      </w:pPr>
      <w:r>
        <w:rPr/>
        <w:t>①公允价值计量转权益法核算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19"/>
        <w:ind w:right="1130"/>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3"/>
        </w:rPr>
        <w:t> </w:t>
      </w:r>
      <w:r>
        <w:rPr/>
        <w:t>融工具确认和计量》确定的原持有的股权投资的公允价值加上新增投资成本之和，作为改按权益法核算的初始投资成本。</w:t>
      </w:r>
    </w:p>
    <w:p>
      <w:pPr>
        <w:pStyle w:val="BodyText"/>
        <w:spacing w:line="319" w:lineRule="auto" w:before="31"/>
        <w:ind w:right="113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7"/>
        <w:ind w:right="121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16" w:lineRule="auto" w:before="19"/>
        <w:ind w:left="513" w:right="1130" w:hanging="143"/>
        <w:jc w:val="left"/>
      </w:pPr>
      <w:r>
        <w:rPr/>
        <w:t>②公允价值计量或权益法核算转成本法核算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19"/>
        <w:ind w:right="113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before="19"/>
        <w:ind w:right="113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left="154" w:right="113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16" w:lineRule="auto" w:before="31"/>
        <w:ind w:left="513" w:right="0" w:hanging="143"/>
        <w:jc w:val="left"/>
      </w:pPr>
      <w:r>
        <w:rPr/>
        <w:t>③权益法核算转公允价值计量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19"/>
        <w:ind w:right="1130"/>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2"/>
        </w:rPr>
        <w:t> </w:t>
      </w:r>
      <w:r>
        <w:rPr>
          <w:spacing w:val="-62"/>
        </w:rPr>
      </w:r>
      <w:r>
        <w:rPr/>
        <w:t>益。</w:t>
      </w:r>
    </w:p>
    <w:p>
      <w:pPr>
        <w:pStyle w:val="BodyText"/>
        <w:spacing w:line="316" w:lineRule="auto" w:before="31"/>
        <w:ind w:left="154" w:right="1130"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pStyle w:val="BodyText"/>
        <w:spacing w:line="319" w:lineRule="auto" w:before="19"/>
        <w:ind w:left="513" w:right="1130" w:hanging="143"/>
        <w:jc w:val="left"/>
      </w:pPr>
      <w:r>
        <w:rPr/>
        <w:t>④成本法转权益法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17"/>
        <w:ind w:right="0"/>
        <w:jc w:val="left"/>
      </w:pPr>
      <w:r>
        <w:rPr/>
        <w:t>被投资单位实施共同控制或施加重大影响的，改按权益法核算，并对该剩余股权视同自取得时即采用权益法核算进行调整。</w:t>
      </w:r>
    </w:p>
    <w:p>
      <w:pPr>
        <w:pStyle w:val="BodyText"/>
        <w:spacing w:line="316" w:lineRule="auto" w:before="76"/>
        <w:ind w:left="514" w:right="1130" w:hanging="143"/>
        <w:jc w:val="left"/>
      </w:pPr>
      <w:r>
        <w:rPr/>
        <w:t>⑤成本法转公允价值计量 </w:t>
      </w:r>
      <w:r>
        <w:rPr>
          <w:spacing w:val="-2"/>
        </w:rPr>
        <w:t>本公司因处置部分权益性投资等原因丧失了对被投资单位的控制的，在编制个别财务报表时，处置后的剩余股权不能对</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30"/>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4" w:right="1130" w:hanging="360"/>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spacing w:val="-2"/>
        </w:rPr>
        <w:t>处置长期股权投资，其账面价值与实际取得价款之间的差额，应当计入当期损益。采用权益法核算的长期股权投资，在</w:t>
      </w:r>
    </w:p>
    <w:p>
      <w:pPr>
        <w:pStyle w:val="BodyText"/>
        <w:spacing w:line="316" w:lineRule="auto" w:before="32"/>
        <w:ind w:left="154" w:right="1118"/>
        <w:jc w:val="left"/>
      </w:pPr>
      <w:r>
        <w:rPr>
          <w:spacing w:val="-2"/>
        </w:rPr>
        <w:t>处置该项投资时，采用与被投资单位直接处置相关资产或负债相同的基础，按相应比例对原计入其他综合收益的部分进行会</w:t>
      </w:r>
      <w:r>
        <w:rPr>
          <w:spacing w:val="-63"/>
        </w:rPr>
        <w:t> </w:t>
      </w:r>
      <w:r>
        <w:rPr>
          <w:spacing w:val="-63"/>
        </w:rPr>
      </w:r>
      <w:r>
        <w:rPr/>
        <w:t>计处理。</w:t>
      </w:r>
    </w:p>
    <w:p>
      <w:pPr>
        <w:pStyle w:val="BodyText"/>
        <w:spacing w:line="316" w:lineRule="auto" w:before="19"/>
        <w:ind w:left="154" w:right="1130" w:firstLine="360"/>
        <w:jc w:val="left"/>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9"/>
        <w:ind w:left="444" w:right="1130"/>
        <w:jc w:val="left"/>
      </w:pPr>
      <w:r>
        <w:rPr/>
        <w:t>①这些交易是同时或者在考虑了彼此影响的情况下订立的；</w:t>
      </w:r>
    </w:p>
    <w:p>
      <w:pPr>
        <w:pStyle w:val="BodyText"/>
        <w:spacing w:line="240" w:lineRule="auto" w:before="76"/>
        <w:ind w:left="444" w:right="1130"/>
        <w:jc w:val="left"/>
      </w:pPr>
      <w:r>
        <w:rPr/>
        <w:t>②这些交易整体才能达成一项完整的商业结果；</w:t>
      </w:r>
    </w:p>
    <w:p>
      <w:pPr>
        <w:pStyle w:val="BodyText"/>
        <w:spacing w:line="240" w:lineRule="auto" w:before="76"/>
        <w:ind w:left="444" w:right="1130"/>
        <w:jc w:val="left"/>
      </w:pPr>
      <w:r>
        <w:rPr/>
        <w:t>③一项交易的发生取决于其他至少一项交易的发生；</w:t>
      </w:r>
    </w:p>
    <w:p>
      <w:pPr>
        <w:pStyle w:val="BodyText"/>
        <w:spacing w:line="316" w:lineRule="auto" w:before="76"/>
        <w:ind w:left="514" w:right="1130" w:hanging="70"/>
        <w:jc w:val="left"/>
      </w:pPr>
      <w:r>
        <w:rPr/>
        <w:t>④一项交易单独看是不经济的，但是和其他交易一并考虑时是经济的。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19"/>
        <w:ind w:left="154" w:right="1130"/>
        <w:jc w:val="left"/>
      </w:pPr>
      <w:r>
        <w:rPr/>
        <w:t>表进行相关会计处理：</w:t>
      </w:r>
    </w:p>
    <w:p>
      <w:pPr>
        <w:pStyle w:val="BodyText"/>
        <w:spacing w:line="312" w:lineRule="auto" w:before="76"/>
        <w:ind w:right="0" w:firstLine="360"/>
        <w:jc w:val="left"/>
      </w:pPr>
      <w:r>
        <w:rPr>
          <w:spacing w:val="-2"/>
        </w:rPr>
        <w:t>①在个别财务报表中，对于处置的股权，其账面价值与实际取得价款之间的差额计入当期损益。处置后的剩余股权能够</w:t>
      </w:r>
      <w:r>
        <w:rPr/>
        <w:t> </w:t>
      </w:r>
      <w:r>
        <w:rPr>
          <w:spacing w:val="-4"/>
        </w:rPr>
        <w:t>对被投资单位实施共同控制或施加重大影响的，改按权益法核算，并对该剩余股权视同自取得时即采用权益法核算进行调整；</w:t>
      </w:r>
      <w:r>
        <w:rPr>
          <w:spacing w:val="-44"/>
        </w:rPr>
        <w:t> </w:t>
      </w:r>
      <w:r>
        <w:rPr>
          <w:spacing w:val="-44"/>
        </w:rPr>
      </w:r>
      <w:r>
        <w:rPr>
          <w:spacing w:val="-4"/>
        </w:rPr>
        <w:t>处置后的剩余股权不能对被投资单位实施共同控制或施加重大影响的，改按《企业会计准则第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spacing w:val="-39"/>
        </w:rPr>
        <w:t> </w:t>
      </w:r>
      <w:r>
        <w:rPr/>
        <w:t>的有关规定进行会计处理，其在丧失控制之日的公允价值与账面价值间的差额计入当期损益。</w:t>
      </w:r>
    </w:p>
    <w:p>
      <w:pPr>
        <w:pStyle w:val="BodyText"/>
        <w:spacing w:line="319" w:lineRule="auto" w:before="22"/>
        <w:ind w:right="1033" w:firstLine="360"/>
        <w:jc w:val="left"/>
      </w:pPr>
      <w:r>
        <w:rPr>
          <w:spacing w:val="-2"/>
        </w:rPr>
        <w:t>②在合并财务报表中，对于在丧失对子公司控制权以前的各项交易，处置价款与处置长期股权投资相应对享有子公司自</w:t>
      </w:r>
      <w:r>
        <w:rPr/>
        <w:t> </w:t>
      </w:r>
      <w:r>
        <w:rPr>
          <w:spacing w:val="-4"/>
        </w:rPr>
        <w:t>购买日或合并日开始持续计算的净资产份额之间的差额，调整资本公积（股本溢价），资本公积不足冲减的，调整留存收益；</w:t>
      </w:r>
      <w:r>
        <w:rPr>
          <w:spacing w:val="-44"/>
        </w:rPr>
        <w:t> </w:t>
      </w:r>
      <w:r>
        <w:rPr>
          <w:spacing w:val="-44"/>
        </w:rPr>
      </w:r>
      <w:r>
        <w:rPr>
          <w:spacing w:val="-2"/>
        </w:rPr>
        <w:t>在丧失对子公司控制权时，对于剩余股权，按照其在丧失控制权日的公允价值进行重新计量。处置股权取得的对价与剩余股</w:t>
      </w:r>
      <w:r>
        <w:rPr>
          <w:spacing w:val="-66"/>
        </w:rPr>
        <w:t> </w:t>
      </w:r>
      <w:r>
        <w:rPr>
          <w:spacing w:val="-66"/>
        </w:rPr>
      </w:r>
      <w:r>
        <w:rPr>
          <w:spacing w:val="-2"/>
        </w:rPr>
        <w:t>权公允价值之和，减去按原持股比例计算应享有原有子公司自购买日开始持续计算的净资产的份额之间的差额，计入丧失控</w:t>
      </w:r>
      <w:r>
        <w:rPr>
          <w:spacing w:val="-64"/>
        </w:rPr>
        <w:t> </w:t>
      </w:r>
      <w:r>
        <w:rPr>
          <w:spacing w:val="-64"/>
        </w:rPr>
      </w:r>
      <w:r>
        <w:rPr/>
        <w:t>制权当期的投资收益，同时冲减商誉。与原有子公司股权投资相关的其他综合收益等，在丧失控制权时转为当期投资收益。</w:t>
      </w:r>
    </w:p>
    <w:p>
      <w:pPr>
        <w:pStyle w:val="BodyText"/>
        <w:spacing w:line="316" w:lineRule="auto" w:before="17"/>
        <w:ind w:left="154" w:right="1130" w:firstLine="360"/>
        <w:jc w:val="left"/>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16" w:lineRule="auto" w:before="19"/>
        <w:ind w:left="154" w:right="1130" w:firstLine="360"/>
        <w:jc w:val="left"/>
      </w:pPr>
      <w:r>
        <w:rPr>
          <w:spacing w:val="-2"/>
        </w:rPr>
        <w:t>①在个别财务报表中，在丧失控制权之前每一次处置价款与处置的股权对应的长期股权投资账面价值之间的差额，确认</w:t>
      </w:r>
      <w:r>
        <w:rPr/>
        <w:t> 为其他综合收益，在丧失控制权时一并转入丧失控制权当期的损益。</w:t>
      </w:r>
    </w:p>
    <w:p>
      <w:pPr>
        <w:pStyle w:val="BodyText"/>
        <w:spacing w:line="316" w:lineRule="auto" w:before="19"/>
        <w:ind w:left="154" w:right="1130" w:firstLine="360"/>
        <w:jc w:val="left"/>
      </w:pPr>
      <w:r>
        <w:rPr>
          <w:spacing w:val="-2"/>
        </w:rPr>
        <w:t>②在合并财务报表中，在丧失控制权之前每一次处置价款与处置投资对应的享有该子公司净资产份额的差额，确认为其</w:t>
      </w:r>
      <w:r>
        <w:rPr/>
        <w:t> 他综合收益，在丧失控制权时一并转入丧失控制权当期的损益。</w:t>
      </w:r>
    </w:p>
    <w:p>
      <w:pPr>
        <w:spacing w:line="300" w:lineRule="auto" w:before="19"/>
        <w:ind w:left="514"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如果本公司按照相关约定与其他参与方集体控制某项安排，并且对该安排回报具有重大影响的活动决策，需要经过分享</w:t>
      </w:r>
    </w:p>
    <w:p>
      <w:pPr>
        <w:pStyle w:val="BodyText"/>
        <w:spacing w:line="316" w:lineRule="auto" w:before="31"/>
        <w:ind w:left="514" w:right="1130"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6" w:lineRule="auto" w:before="19"/>
        <w:ind w:left="154" w:right="1130"/>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07" w:lineRule="auto" w:before="19"/>
        <w:ind w:right="0" w:firstLine="360"/>
        <w:jc w:val="left"/>
      </w:pPr>
      <w:r>
        <w:rPr>
          <w:spacing w:val="-2"/>
        </w:rPr>
        <w:t>重大影响，是指投资方对被投资单位的财务和经营政策有参与决策的权力，但并不能够控制或者与其他方一起共同控制</w:t>
      </w:r>
      <w:r>
        <w:rPr/>
        <w:t> </w:t>
      </w:r>
      <w:r>
        <w:rPr>
          <w:spacing w:val="-2"/>
        </w:rPr>
        <w:t>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2"/>
        </w:rPr>
        <w:t>1</w:t>
      </w:r>
      <w:r>
        <w:rPr>
          <w:spacing w:val="-2"/>
        </w:rPr>
        <w:t>）</w:t>
      </w:r>
      <w:r>
        <w:rPr>
          <w:spacing w:val="-64"/>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6"/>
        </w:rPr>
        <w:t> </w:t>
      </w:r>
      <w:r>
        <w:rPr>
          <w:spacing w:val="-66"/>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130"/>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t>投资性房地产计量模式</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130"/>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13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满足下列条件时予以确认：①与该固定资产有关的经济利益很可能流入企业；②该固定资产的成本能够可靠地计量。</w:t>
      </w:r>
    </w:p>
    <w:p>
      <w:pPr>
        <w:spacing w:line="240" w:lineRule="auto" w:before="12"/>
        <w:rPr>
          <w:rFonts w:ascii="宋体" w:hAnsi="宋体" w:cs="宋体" w:eastAsia="宋体" w:hint="default"/>
          <w:sz w:val="22"/>
          <w:szCs w:val="22"/>
        </w:rPr>
      </w:pPr>
    </w:p>
    <w:p>
      <w:pPr>
        <w:pStyle w:val="Heading3"/>
        <w:spacing w:line="240" w:lineRule="auto"/>
        <w:ind w:right="1130"/>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3.17-4.75%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19%-47.5%</w:t>
            </w:r>
          </w:p>
        </w:tc>
      </w:tr>
    </w:tbl>
    <w:p>
      <w:pPr>
        <w:spacing w:line="240" w:lineRule="auto" w:before="8"/>
        <w:rPr>
          <w:rFonts w:ascii="宋体" w:hAnsi="宋体" w:cs="宋体" w:eastAsia="宋体" w:hint="default"/>
          <w:b/>
          <w:bCs/>
          <w:sz w:val="19"/>
          <w:szCs w:val="19"/>
        </w:rPr>
      </w:pPr>
    </w:p>
    <w:p>
      <w:pPr>
        <w:pStyle w:val="Heading3"/>
        <w:spacing w:line="240" w:lineRule="auto" w:before="38"/>
        <w:ind w:left="154" w:right="1130"/>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033"/>
        <w:jc w:val="left"/>
      </w:pPr>
      <w:r>
        <w:rPr>
          <w:spacing w:val="-2"/>
        </w:rPr>
        <w:t>当本公司租入的固定资产符合下列一项或数项标准时，确认为融资租入固定资产：①在租赁期届满时，租赁资产的所有权转</w:t>
      </w:r>
      <w:r>
        <w:rPr>
          <w:spacing w:val="-66"/>
        </w:rPr>
        <w:t> </w:t>
      </w:r>
      <w:r>
        <w:rPr>
          <w:spacing w:val="-66"/>
        </w:rPr>
      </w:r>
      <w:r>
        <w:rPr>
          <w:spacing w:val="-2"/>
        </w:rPr>
        <w:t>移给本公司。②本公司有购买租赁资产的选择权，所订立的购买价款预计将远低于行使选择权时租赁资产的公允价值，因而</w:t>
      </w:r>
      <w:r>
        <w:rPr>
          <w:spacing w:val="-67"/>
        </w:rPr>
        <w:t> </w:t>
      </w:r>
      <w:r>
        <w:rPr>
          <w:spacing w:val="-67"/>
        </w:rPr>
      </w:r>
      <w:r>
        <w:rPr>
          <w:spacing w:val="-2"/>
        </w:rPr>
        <w:t>在租赁开始日就可以合理确定本公司将会行使这种选择权。③即使资产的所有权不转移，但租赁期占租赁资产使用寿命的大</w:t>
      </w:r>
      <w:r>
        <w:rPr>
          <w:spacing w:val="-64"/>
        </w:rPr>
        <w:t> </w:t>
      </w:r>
      <w:r>
        <w:rPr>
          <w:spacing w:val="-64"/>
        </w:rPr>
      </w:r>
      <w:r>
        <w:rPr>
          <w:spacing w:val="-2"/>
        </w:rPr>
        <w:t>部分。④本公司在租赁开始日的最低租赁付款额现值，几乎相当于租赁开始日租赁资产公允价值。⑤租赁资产性质特殊，如</w:t>
      </w:r>
      <w:r>
        <w:rPr>
          <w:spacing w:val="-66"/>
        </w:rPr>
        <w:t> </w:t>
      </w:r>
      <w:r>
        <w:rPr>
          <w:spacing w:val="-66"/>
        </w:rPr>
      </w:r>
      <w:r>
        <w:rPr>
          <w:spacing w:val="-2"/>
        </w:rPr>
        <w:t>果不作较大改造，只有本公司才能使用。融资租赁租入的固定资产，按租赁开始日租赁资产公允价值与最低租赁付款额的现</w:t>
      </w:r>
      <w:r>
        <w:rPr>
          <w:spacing w:val="-66"/>
        </w:rPr>
        <w:t> </w:t>
      </w:r>
      <w:r>
        <w:rPr>
          <w:spacing w:val="-66"/>
        </w:rPr>
      </w:r>
      <w:r>
        <w:rPr>
          <w:spacing w:val="-2"/>
        </w:rPr>
        <w:t>值两者中较低者，作为入账价值。最低租赁付款额作为长期应付款的入账价值，其差额作为未确认融资费用。在租赁谈判和</w:t>
      </w:r>
      <w:r>
        <w:rPr>
          <w:spacing w:val="-66"/>
        </w:rPr>
        <w:t> </w:t>
      </w:r>
      <w:r>
        <w:rPr>
          <w:spacing w:val="-66"/>
        </w:rPr>
      </w:r>
      <w:r>
        <w:rPr/>
        <w:t>签订租赁合同过程中发生的，可归属于租赁项目的手续费、律师费、差旅费、印花税等初始直接费用，计入租入资产价值。 </w:t>
      </w:r>
      <w:r>
        <w:rPr>
          <w:spacing w:val="-2"/>
        </w:rPr>
        <w:t>未确认融资费用在租赁期内各个期间采用实际利率法进行分摊。本公司采用与自有固定资产相一致的折旧政策计提融资租入</w:t>
      </w:r>
      <w:r>
        <w:rPr>
          <w:spacing w:val="-64"/>
        </w:rPr>
        <w:t> </w:t>
      </w:r>
      <w:r>
        <w:rPr>
          <w:spacing w:val="-64"/>
        </w:rPr>
      </w:r>
      <w:r>
        <w:rPr>
          <w:spacing w:val="-2"/>
        </w:rPr>
        <w:t>固定资产折旧。能够合理确定租赁期届满时取得租赁资产所有权的，在租赁资产使用寿命内计提折旧。无法合理确定租赁期</w:t>
      </w:r>
      <w:r>
        <w:rPr>
          <w:spacing w:val="-66"/>
        </w:rPr>
        <w:t> </w:t>
      </w:r>
      <w:r>
        <w:rPr>
          <w:spacing w:val="-66"/>
        </w:rPr>
      </w:r>
      <w:r>
        <w:rPr/>
        <w:t>届满时能够取得租赁资产所有权的，在租赁期与租赁资产使用寿命两者中较短的期间内计提折旧。</w:t>
      </w:r>
    </w:p>
    <w:p>
      <w:pPr>
        <w:spacing w:line="240" w:lineRule="auto" w:before="12"/>
        <w:rPr>
          <w:rFonts w:ascii="宋体" w:hAnsi="宋体" w:cs="宋体" w:eastAsia="宋体" w:hint="default"/>
          <w:sz w:val="22"/>
          <w:szCs w:val="22"/>
        </w:rPr>
      </w:pPr>
    </w:p>
    <w:p>
      <w:pPr>
        <w:pStyle w:val="Heading3"/>
        <w:spacing w:line="240" w:lineRule="auto"/>
        <w:ind w:right="1130"/>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right="7693"/>
        <w:jc w:val="left"/>
      </w:pPr>
      <w:r>
        <w:rPr/>
        <w:t>公司是否需要遵守特殊行业的披露要求 否</w:t>
      </w:r>
    </w:p>
    <w:p>
      <w:pPr>
        <w:pStyle w:val="BodyText"/>
        <w:spacing w:line="300" w:lineRule="auto" w:before="26"/>
        <w:ind w:left="513" w:right="1033" w:hanging="360"/>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t>本公司自行建造的在建工程按实际成本计价，实际成本由建造该项资产达到预定可使用状态前所发生的必要支出构成，</w:t>
      </w:r>
    </w:p>
    <w:p>
      <w:pPr>
        <w:pStyle w:val="BodyText"/>
        <w:spacing w:line="240" w:lineRule="auto" w:before="31"/>
        <w:ind w:right="1130"/>
        <w:jc w:val="left"/>
      </w:pPr>
      <w:r>
        <w:rPr/>
        <w:t>包括工程用物资成本、人工成本、交纳的相关税费、应予资本化的借款费用以及应分摊的间接费用等。</w:t>
      </w:r>
    </w:p>
    <w:p>
      <w:pPr>
        <w:spacing w:line="300" w:lineRule="auto" w:before="77"/>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w w:val="99"/>
          <w:sz w:val="18"/>
          <w:szCs w:val="18"/>
        </w:rPr>
        <w:t> </w:t>
      </w:r>
      <w:r>
        <w:rPr>
          <w:rFonts w:ascii="宋体" w:hAnsi="宋体" w:cs="宋体" w:eastAsia="宋体" w:hint="default"/>
          <w:spacing w:val="-2"/>
          <w:sz w:val="18"/>
          <w:szCs w:val="18"/>
        </w:rPr>
        <w:t>在建工程项目按建造该项资产达到预定可使用状态前所发生的全部支出，作为固定资产的入账价值。所建造的在建工程</w:t>
      </w:r>
    </w:p>
    <w:p>
      <w:pPr>
        <w:pStyle w:val="BodyText"/>
        <w:spacing w:line="316" w:lineRule="auto" w:before="31"/>
        <w:ind w:right="0"/>
        <w:jc w:val="left"/>
      </w:pPr>
      <w:r>
        <w:rPr>
          <w:spacing w:val="-4"/>
        </w:rPr>
        <w:t>已达到预定可使用状态，但尚未办理竣工决算的，自达到预定可使用状态之日起，根据工程预算、造价或者工程实际成本等，</w:t>
      </w:r>
      <w:r>
        <w:rPr>
          <w:spacing w:val="-45"/>
        </w:rPr>
        <w:t> </w:t>
      </w:r>
      <w:r>
        <w:rPr>
          <w:spacing w:val="-45"/>
        </w:rPr>
      </w:r>
      <w:r>
        <w:rPr>
          <w:spacing w:val="-2"/>
        </w:rPr>
        <w:t>按估计的价值转入固定资产，并按本公司固定资产折旧政策计提固定资产的折旧，待办理竣工决算后，再按实际成本调整原</w:t>
      </w:r>
    </w:p>
    <w:p>
      <w:pPr>
        <w:spacing w:after="0" w:line="316" w:lineRule="auto"/>
        <w:jc w:val="left"/>
        <w:sectPr>
          <w:footerReference w:type="default" r:id="rId18"/>
          <w:pgSz w:w="11910" w:h="16840"/>
          <w:pgMar w:footer="1499" w:header="747" w:top="1060" w:bottom="1680" w:left="980" w:right="0"/>
          <w:pgNumType w:start="12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1130"/>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11"/>
        <w:rPr>
          <w:rFonts w:ascii="宋体" w:hAnsi="宋体" w:cs="宋体" w:eastAsia="宋体" w:hint="default"/>
          <w:b/>
          <w:bCs/>
          <w:sz w:val="26"/>
          <w:szCs w:val="26"/>
        </w:rPr>
      </w:pPr>
    </w:p>
    <w:p>
      <w:pPr>
        <w:spacing w:line="300" w:lineRule="auto" w:before="0"/>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2"/>
          <w:sz w:val="18"/>
          <w:szCs w:val="18"/>
        </w:rPr>
        <w:t>本公司发生的借款费用，可直接归属于符合资本化条件的资产的购建或者生产的，予以资本化，计入相关资产成本；其</w:t>
      </w:r>
    </w:p>
    <w:p>
      <w:pPr>
        <w:pStyle w:val="BodyText"/>
        <w:spacing w:line="316" w:lineRule="auto" w:before="31"/>
        <w:ind w:left="513" w:right="1213"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973" w:hanging="360"/>
        <w:jc w:val="left"/>
      </w:pPr>
      <w:r>
        <w:rPr/>
        <w:t>产、投资性房地产和存货等资产。 借款费用同时满足下列条件时开始资本化：</w:t>
      </w:r>
    </w:p>
    <w:p>
      <w:pPr>
        <w:pStyle w:val="BodyText"/>
        <w:spacing w:line="316" w:lineRule="auto" w:before="19"/>
        <w:ind w:right="1130" w:firstLine="360"/>
        <w:jc w:val="left"/>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19"/>
        <w:ind w:left="513" w:right="1130"/>
        <w:jc w:val="left"/>
      </w:pPr>
      <w:r>
        <w:rPr/>
        <w:t>②借款费用已经发生；</w:t>
      </w:r>
    </w:p>
    <w:p>
      <w:pPr>
        <w:pStyle w:val="BodyText"/>
        <w:spacing w:line="240" w:lineRule="auto" w:before="76"/>
        <w:ind w:left="513" w:right="1130"/>
        <w:jc w:val="left"/>
      </w:pPr>
      <w:r>
        <w:rPr/>
        <w:t>③为使资产达到预定可使用或者可销售状态所必要的购建或者生产活动已经开始。</w:t>
      </w:r>
    </w:p>
    <w:p>
      <w:pPr>
        <w:pStyle w:val="BodyText"/>
        <w:spacing w:line="314" w:lineRule="auto" w:before="76"/>
        <w:ind w:left="513" w:right="1130" w:hanging="360"/>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1130"/>
        <w:jc w:val="left"/>
      </w:pPr>
      <w:r>
        <w:rPr/>
        <w:t>款费用资本化。</w:t>
      </w:r>
    </w:p>
    <w:p>
      <w:pPr>
        <w:pStyle w:val="BodyText"/>
        <w:spacing w:line="300" w:lineRule="auto" w:before="76"/>
        <w:ind w:left="514" w:right="0" w:hanging="360"/>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left="154" w:right="1130"/>
        <w:jc w:val="left"/>
        <w:rPr>
          <w:rFonts w:ascii="宋体" w:hAnsi="宋体" w:cs="宋体" w:eastAsia="宋体" w:hint="default"/>
        </w:rPr>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 </w:t>
      </w: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rPr>
      </w:r>
    </w:p>
    <w:p>
      <w:pPr>
        <w:pStyle w:val="BodyText"/>
        <w:spacing w:line="316" w:lineRule="auto"/>
        <w:ind w:left="154" w:right="1130" w:firstLine="360"/>
        <w:jc w:val="left"/>
      </w:pPr>
      <w:r>
        <w:rPr>
          <w:spacing w:val="-2"/>
        </w:rPr>
        <w:t>专门借款的利息费用（扣除尚未动用的借款资金存入银行取得的利息收入或者进行暂时性投资取得的投资收益）及其辅</w:t>
      </w:r>
      <w:r>
        <w:rPr/>
        <w:t> 助费用在所购建或者生产的符合资本化条件的资产达到预定可使用或者可销售状态前，予以资本化。</w:t>
      </w:r>
    </w:p>
    <w:p>
      <w:pPr>
        <w:pStyle w:val="BodyText"/>
        <w:spacing w:line="316" w:lineRule="auto" w:before="19"/>
        <w:ind w:left="154" w:right="1130" w:firstLine="360"/>
        <w:jc w:val="left"/>
      </w:pPr>
      <w:r>
        <w:rPr>
          <w:spacing w:val="-2"/>
        </w:rPr>
        <w:t>根据累计资产支出超过专门借款部分的资产支出加权平均数乘以所占用一般借款的资本化率，计算确定一般借款应予资</w:t>
      </w:r>
      <w:r>
        <w:rPr/>
        <w:t> 本化的利息金额。资本化率根据一般借款加权平均利率计算确定。</w:t>
      </w:r>
    </w:p>
    <w:p>
      <w:pPr>
        <w:pStyle w:val="BodyText"/>
        <w:spacing w:line="240" w:lineRule="auto" w:before="19"/>
        <w:ind w:left="514" w:right="1130"/>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left="154" w:right="1130"/>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154" w:right="1130"/>
        <w:jc w:val="left"/>
      </w:pP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6"/>
        </w:rPr>
        <w:t> </w:t>
      </w:r>
      <w:r>
        <w:rPr>
          <w:spacing w:val="-66"/>
        </w:rPr>
      </w:r>
      <w:r>
        <w:rPr/>
        <w:t>的，全部作为固定资产处理。</w:t>
      </w:r>
    </w:p>
    <w:p>
      <w:pPr>
        <w:spacing w:after="0" w:line="316" w:lineRule="auto"/>
        <w:jc w:val="left"/>
        <w:sectPr>
          <w:footerReference w:type="default" r:id="rId19"/>
          <w:pgSz w:w="11910" w:h="16840"/>
          <w:pgMar w:footer="979" w:header="747" w:top="1060" w:bottom="1160" w:left="980" w:right="0"/>
          <w:pgNumType w:start="128"/>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 </w:t>
      </w:r>
      <w:r>
        <w:rPr>
          <w:spacing w:val="-2"/>
        </w:rPr>
        <w:t>期末，对使用寿命有限的无形资产的使用寿命和摊销方法进行复核，如发生变更则作为会计估计变更处理。此外，还对使用</w:t>
      </w:r>
      <w:r>
        <w:rPr>
          <w:spacing w:val="-66"/>
        </w:rPr>
        <w:t> </w:t>
      </w:r>
      <w:r>
        <w:rPr>
          <w:spacing w:val="-66"/>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 无形资产的减值测试方法和减值准备计提方法详见本报告第十一节、五、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3"/>
        <w:spacing w:line="240" w:lineRule="auto"/>
        <w:ind w:right="1130"/>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21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right="1130"/>
        <w:jc w:val="left"/>
      </w:pPr>
      <w:r>
        <w:rPr/>
        <w:t>①完成该无形资产以使其能够使用或出售在技术上具有可行性；</w:t>
      </w:r>
    </w:p>
    <w:p>
      <w:pPr>
        <w:pStyle w:val="BodyText"/>
        <w:spacing w:line="240" w:lineRule="auto" w:before="76"/>
        <w:ind w:left="154" w:right="1130"/>
        <w:jc w:val="left"/>
      </w:pPr>
      <w:r>
        <w:rPr/>
        <w:t>②具有完成该无形资产并使用或出售的意图；</w:t>
      </w:r>
    </w:p>
    <w:p>
      <w:pPr>
        <w:pStyle w:val="BodyText"/>
        <w:spacing w:line="316" w:lineRule="auto" w:before="76"/>
        <w:ind w:left="154" w:right="0"/>
        <w:jc w:val="left"/>
      </w:pPr>
      <w:r>
        <w:rPr>
          <w:spacing w:val="-2"/>
        </w:rPr>
        <w:t>③无形资产产生经济利益的方式，包括能够证明运用该无形资产生产的产品存在市场或无形资产自身存在市场，无形资产将</w:t>
      </w:r>
      <w:r>
        <w:rPr>
          <w:spacing w:val="-63"/>
        </w:rPr>
        <w:t> </w:t>
      </w:r>
      <w:r>
        <w:rPr>
          <w:spacing w:val="-63"/>
        </w:rPr>
      </w:r>
      <w:r>
        <w:rPr/>
        <w:t>在内部使用的，能够证明其有用性；</w:t>
      </w:r>
    </w:p>
    <w:p>
      <w:pPr>
        <w:pStyle w:val="BodyText"/>
        <w:spacing w:line="240" w:lineRule="auto" w:before="19"/>
        <w:ind w:left="154" w:right="1130"/>
        <w:jc w:val="left"/>
      </w:pPr>
      <w:r>
        <w:rPr/>
        <w:t>④有足够的技术、财务资源和其他资源支持，以完成该无形资产的开发，并有能力使用或出售该无形资产；</w:t>
      </w:r>
    </w:p>
    <w:p>
      <w:pPr>
        <w:pStyle w:val="BodyText"/>
        <w:spacing w:line="316" w:lineRule="auto" w:before="76"/>
        <w:ind w:right="4273"/>
        <w:jc w:val="left"/>
      </w:pPr>
      <w:r>
        <w:rPr/>
        <w:t>⑤归属于该无形资产开发阶段的支出能够可靠地计量。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1130"/>
        <w:jc w:val="left"/>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154" w:right="113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4" w:right="1032"/>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left="154" w:right="1130"/>
        <w:jc w:val="left"/>
      </w:pPr>
      <w:r>
        <w:rPr>
          <w:spacing w:val="-2"/>
        </w:rPr>
        <w:t>记的金额确认为资产减值损失，计入当期损益，同时计提相应的资产减值准备。资产减值损失一经确认，在以后会计期间不</w:t>
      </w:r>
      <w:r>
        <w:rPr>
          <w:spacing w:val="-66"/>
        </w:rPr>
        <w:t> </w:t>
      </w:r>
      <w:r>
        <w:rPr>
          <w:spacing w:val="-66"/>
        </w:rPr>
      </w:r>
      <w:r>
        <w:rPr/>
        <w:t>得转回。</w:t>
      </w:r>
    </w:p>
    <w:p>
      <w:pPr>
        <w:pStyle w:val="BodyText"/>
        <w:spacing w:line="316" w:lineRule="auto" w:before="19"/>
        <w:ind w:left="154" w:right="1130"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left="514" w:right="1130"/>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before="19"/>
        <w:ind w:left="154" w:right="113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6"/>
        </w:rPr>
        <w:t> </w:t>
      </w:r>
      <w:r>
        <w:rPr>
          <w:spacing w:val="-66"/>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3"/>
        <w:rPr>
          <w:rFonts w:ascii="宋体" w:hAnsi="宋体" w:cs="宋体" w:eastAsia="宋体" w:hint="default"/>
          <w:sz w:val="23"/>
          <w:szCs w:val="23"/>
        </w:rPr>
      </w:pPr>
    </w:p>
    <w:p>
      <w:pPr>
        <w:pStyle w:val="Heading3"/>
        <w:spacing w:line="240" w:lineRule="auto"/>
        <w:ind w:left="154" w:right="1130"/>
        <w:jc w:val="left"/>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123"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spacing w:after="0" w:line="300"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31"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6"/>
        </w:rPr>
        <w:t> </w:t>
      </w:r>
      <w:r>
        <w:rPr>
          <w:spacing w:val="-66"/>
        </w:rPr>
      </w:r>
      <w:r>
        <w:rPr/>
        <w:t>相关资产成本和费用。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1130"/>
        <w:jc w:val="left"/>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033" w:firstLine="360"/>
        <w:jc w:val="left"/>
      </w:pPr>
      <w:r>
        <w:rPr/>
        <w:t>离职后福利是指本公司为获得职工提供的服务而在职工退休或与企业解除劳动关系后，提供的各种形式的报酬和福利， 短期薪酬和辞退福利除外。</w:t>
      </w:r>
    </w:p>
    <w:p>
      <w:pPr>
        <w:pStyle w:val="BodyText"/>
        <w:spacing w:line="316" w:lineRule="auto" w:before="19"/>
        <w:ind w:left="513" w:right="1130"/>
        <w:jc w:val="left"/>
      </w:pPr>
      <w:r>
        <w:rPr/>
        <w:t>本公司的离职后福利计划分类为设定提存计划和设定受益计划。 </w:t>
      </w:r>
      <w:r>
        <w:rPr>
          <w:spacing w:val="-2"/>
        </w:rPr>
        <w:t>离职后福利设定提存计划主要为参加由各地劳动及社会保障机构组织实施的社会基本养老保险、失业保险等；在职工为</w:t>
      </w:r>
    </w:p>
    <w:p>
      <w:pPr>
        <w:pStyle w:val="BodyText"/>
        <w:spacing w:line="240" w:lineRule="auto" w:before="19"/>
        <w:ind w:right="1130"/>
        <w:jc w:val="left"/>
      </w:pPr>
      <w:r>
        <w:rPr/>
        <w:t>本公司提供服务的会计期间，将根据设定提存计划计算的应缴存金额确认为负债，并计入当期损益或相关资产成本。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1130"/>
        <w:jc w:val="left"/>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130"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3"/>
        <w:ind w:right="1130"/>
        <w:jc w:val="left"/>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30"/>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3"/>
        <w:rPr>
          <w:rFonts w:ascii="宋体" w:hAnsi="宋体" w:cs="宋体" w:eastAsia="宋体" w:hint="default"/>
          <w:sz w:val="23"/>
          <w:szCs w:val="23"/>
        </w:rPr>
      </w:pPr>
    </w:p>
    <w:p>
      <w:pPr>
        <w:pStyle w:val="Heading3"/>
        <w:spacing w:line="240" w:lineRule="auto"/>
        <w:ind w:right="1130"/>
        <w:jc w:val="left"/>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11"/>
        <w:rPr>
          <w:rFonts w:ascii="宋体" w:hAnsi="宋体" w:cs="宋体" w:eastAsia="宋体" w:hint="default"/>
          <w:b/>
          <w:bCs/>
          <w:sz w:val="26"/>
          <w:szCs w:val="26"/>
        </w:rPr>
      </w:pPr>
    </w:p>
    <w:p>
      <w:pPr>
        <w:pStyle w:val="BodyText"/>
        <w:spacing w:line="314" w:lineRule="auto"/>
        <w:ind w:left="513" w:right="4813" w:hanging="178"/>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300" w:lineRule="auto" w:before="20"/>
        <w:ind w:left="513" w:right="4273" w:hanging="178"/>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19" w:lineRule="auto" w:before="31"/>
        <w:ind w:right="113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7"/>
        <w:ind w:left="514" w:right="113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514" w:right="1130" w:hanging="360"/>
        <w:jc w:val="left"/>
      </w:pPr>
      <w:r>
        <w:rPr/>
        <w:t>即上下限金额的平均数确定。 </w:t>
      </w:r>
      <w:r>
        <w:rPr>
          <w:spacing w:val="-2"/>
        </w:rPr>
        <w:t>所需支出不存在一个连续范围（或区间），或虽然存在一个连续范围但该范围内各种结果发生的可能性不相同的，如或</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right="1033"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3"/>
        <w:rPr>
          <w:rFonts w:ascii="宋体" w:hAnsi="宋体" w:cs="宋体" w:eastAsia="宋体" w:hint="default"/>
          <w:sz w:val="23"/>
          <w:szCs w:val="23"/>
        </w:rPr>
      </w:pPr>
    </w:p>
    <w:p>
      <w:pPr>
        <w:pStyle w:val="Heading3"/>
        <w:spacing w:line="240" w:lineRule="auto"/>
        <w:ind w:right="1130"/>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3"/>
        </w:rPr>
        <w:t> </w:t>
      </w:r>
      <w:r>
        <w:rPr>
          <w:spacing w:val="-63"/>
        </w:rPr>
      </w:r>
      <w:r>
        <w:rPr/>
        <w:t>权益结算的股份支付和以现金结算的股份支付。</w:t>
      </w:r>
    </w:p>
    <w:p>
      <w:pPr>
        <w:pStyle w:val="BodyText"/>
        <w:spacing w:line="316" w:lineRule="auto" w:before="24"/>
        <w:ind w:left="154" w:right="0"/>
        <w:jc w:val="left"/>
      </w:pPr>
      <w:r>
        <w:rPr/>
        <w:t>①以权益结算的股份支付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在等待期内每个资产负债表日，本公司根据最新取得的可行权职工人数变动等后续信息做出最佳估计，修正预计可行权的权</w:t>
      </w:r>
      <w:r>
        <w:rPr>
          <w:spacing w:val="-63"/>
        </w:rPr>
        <w:t> </w:t>
      </w:r>
      <w:r>
        <w:rPr>
          <w:spacing w:val="-63"/>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 </w:t>
      </w:r>
      <w:r>
        <w:rPr>
          <w:spacing w:val="-2"/>
        </w:rPr>
        <w:t>当授予权益工具的公允价值无法可靠计量时，在服务取得日、后续的每个资产负债表日以及结算日，按权益工具的内在价值</w:t>
      </w:r>
      <w:r>
        <w:rPr>
          <w:spacing w:val="-66"/>
        </w:rPr>
        <w:t> </w:t>
      </w:r>
      <w:r>
        <w:rPr>
          <w:spacing w:val="-66"/>
        </w:rPr>
      </w:r>
      <w:r>
        <w:rPr/>
        <w:t>计量，内在价值变动计入当期损益。</w:t>
      </w:r>
    </w:p>
    <w:p>
      <w:pPr>
        <w:pStyle w:val="BodyText"/>
        <w:spacing w:line="316" w:lineRule="auto" w:before="19"/>
        <w:ind w:left="154" w:right="1033"/>
        <w:jc w:val="left"/>
      </w:pPr>
      <w:r>
        <w:rPr/>
        <w:t>②以现金结算的股份支付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14" w:lineRule="auto" w:before="19"/>
        <w:ind w:left="154" w:right="113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6"/>
        </w:rPr>
        <w:t> </w:t>
      </w:r>
      <w:r>
        <w:rPr>
          <w:spacing w:val="-66"/>
        </w:rPr>
      </w:r>
      <w:r>
        <w:rPr/>
        <w:t>了部分或全部已授予的权益工具。 </w:t>
      </w: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pStyle w:val="BodyText"/>
        <w:spacing w:line="309" w:lineRule="auto" w:before="20"/>
        <w:ind w:right="103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涉及本公司与本公司股东或实际控制人的股份支付交易，结算企业与接受服务企业中其一在本公司内，另一在本公司外的， 在本公司合并财务报表中按照以下规定进行会计处理：</w:t>
      </w:r>
    </w:p>
    <w:p>
      <w:pPr>
        <w:pStyle w:val="BodyText"/>
        <w:spacing w:line="319" w:lineRule="auto" w:before="24"/>
        <w:ind w:left="154" w:right="1118"/>
        <w:jc w:val="left"/>
      </w:pPr>
      <w:r>
        <w:rPr>
          <w:spacing w:val="-2"/>
        </w:rPr>
        <w:t>①结算企业以其本身权益工具结算的，将该股份支付交易作为权益结算的股份支付处理；除此之外，作为现金结算的股份支</w:t>
      </w:r>
      <w:r>
        <w:rPr>
          <w:spacing w:val="-66"/>
        </w:rPr>
        <w:t> </w:t>
      </w:r>
      <w:r>
        <w:rPr>
          <w:spacing w:val="-66"/>
        </w:rPr>
      </w:r>
      <w:r>
        <w:rPr/>
        <w:t>付处理。 </w:t>
      </w:r>
      <w:r>
        <w:rPr>
          <w:spacing w:val="-2"/>
        </w:rPr>
        <w:t>结算企业是接受服务企业的投资者的，按照授予日权益工具的公允价值或应承担负债的公允价值确认为对接受服务企业的长</w:t>
      </w:r>
      <w:r>
        <w:rPr>
          <w:spacing w:val="-63"/>
        </w:rPr>
        <w:t> </w:t>
      </w:r>
      <w:r>
        <w:rPr>
          <w:spacing w:val="-63"/>
        </w:rPr>
      </w:r>
      <w:r>
        <w:rPr/>
        <w:t>期股权投资，同时确认资本公积（其他资本公积）或负债。</w:t>
      </w:r>
    </w:p>
    <w:p>
      <w:pPr>
        <w:pStyle w:val="BodyText"/>
        <w:spacing w:line="316" w:lineRule="auto" w:before="17"/>
        <w:ind w:left="154" w:right="1032"/>
        <w:jc w:val="left"/>
      </w:pPr>
      <w:r>
        <w:rPr/>
        <w:t>②接受服务企业没有结算义务或授予本企业职工的是其本身权益工具的，将该股份支付交易作为权益结算的股份支付处理； 接受服务企业具有结算义务且授予本企业职工的并非其本身权益工具的，将该股份支付交易作为现金结算的股份支付处理。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left"/>
      </w:pP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5"/>
        <w:ind w:right="1130"/>
        <w:jc w:val="left"/>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12"/>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spacing w:line="300" w:lineRule="auto" w:before="28"/>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公司已将商品所有权上的主要风险和报酬转移给购买方；公司既没有保留与所有权相联系的继续管理权，也没有对已售</w:t>
      </w:r>
    </w:p>
    <w:p>
      <w:pPr>
        <w:pStyle w:val="BodyText"/>
        <w:spacing w:line="316" w:lineRule="auto" w:before="31"/>
        <w:ind w:right="1130"/>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240" w:lineRule="auto" w:before="19"/>
        <w:ind w:left="513" w:right="1130"/>
        <w:jc w:val="left"/>
      </w:pPr>
      <w:r>
        <w:rPr/>
        <w:t>收入确认的具体方法：</w:t>
      </w:r>
    </w:p>
    <w:p>
      <w:pPr>
        <w:pStyle w:val="BodyText"/>
        <w:spacing w:line="316" w:lineRule="auto" w:before="76"/>
        <w:ind w:right="1033" w:firstLine="360"/>
        <w:jc w:val="left"/>
      </w:pPr>
      <w:r>
        <w:rPr>
          <w:spacing w:val="-2"/>
        </w:rPr>
        <w:t>①内销收入：电源类产品在产品运输至客户指定地点后确认收入；电路板、逆变器根据订单约定的交货时间和交货数量</w:t>
      </w:r>
      <w:r>
        <w:rPr/>
        <w:t> 及时运送至客户指定地点并与对方对账后确认收入；光伏电站业务根据当期发电量配比电站各级补助或销售单价确认收入。</w:t>
      </w:r>
    </w:p>
    <w:p>
      <w:pPr>
        <w:pStyle w:val="BodyText"/>
        <w:spacing w:line="240" w:lineRule="auto" w:before="19"/>
        <w:ind w:left="513" w:right="1130"/>
        <w:jc w:val="left"/>
      </w:pPr>
      <w:r>
        <w:rPr/>
        <w:t>②出口收入：出口报关单经海关核准后收入确认。</w:t>
      </w:r>
    </w:p>
    <w:p>
      <w:pPr>
        <w:spacing w:line="300" w:lineRule="auto" w:before="76"/>
        <w:ind w:left="513" w:right="103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w w:val="99"/>
          <w:sz w:val="18"/>
          <w:szCs w:val="18"/>
        </w:rPr>
        <w:t> </w:t>
      </w:r>
      <w:r>
        <w:rPr>
          <w:rFonts w:ascii="宋体" w:hAnsi="宋体" w:cs="宋体" w:eastAsia="宋体" w:hint="default"/>
          <w:sz w:val="18"/>
          <w:szCs w:val="18"/>
        </w:rPr>
        <w:t>与交易相关的经济利益很可能流入企业，收入的金额能够可靠地计量时，分别下列情况确定让渡资产使用权收入金额：</w:t>
      </w:r>
    </w:p>
    <w:p>
      <w:pPr>
        <w:pStyle w:val="BodyText"/>
        <w:spacing w:line="240" w:lineRule="auto" w:before="31"/>
        <w:ind w:left="513" w:right="1130"/>
        <w:jc w:val="left"/>
      </w:pPr>
      <w:r>
        <w:rPr/>
        <w:t>①利息收入金额，按照他人使用本企业货币资金的时间和实际利率计算确定。</w:t>
      </w:r>
    </w:p>
    <w:p>
      <w:pPr>
        <w:pStyle w:val="BodyText"/>
        <w:spacing w:line="240" w:lineRule="auto" w:before="76"/>
        <w:ind w:left="513" w:right="1130"/>
        <w:jc w:val="left"/>
      </w:pPr>
      <w:r>
        <w:rPr/>
        <w:t>②使用费收入金额，按照有关合同或协议约定的收费时间和方法计算确定。</w:t>
      </w:r>
    </w:p>
    <w:p>
      <w:pPr>
        <w:spacing w:line="300" w:lineRule="auto" w:before="77"/>
        <w:ind w:left="51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w w:val="99"/>
          <w:sz w:val="18"/>
          <w:szCs w:val="18"/>
        </w:rPr>
        <w:t> </w:t>
      </w:r>
      <w:r>
        <w:rPr>
          <w:rFonts w:ascii="宋体" w:hAnsi="宋体" w:cs="宋体" w:eastAsia="宋体" w:hint="default"/>
          <w:spacing w:val="-4"/>
          <w:sz w:val="18"/>
          <w:szCs w:val="18"/>
        </w:rPr>
        <w:t>在资产负债表日提供劳务交易的结果能够可靠估计的，采用完工百分比法确认提供劳务收入。提供劳务交易的完工进度，</w:t>
      </w:r>
    </w:p>
    <w:p>
      <w:pPr>
        <w:pStyle w:val="BodyText"/>
        <w:spacing w:line="316" w:lineRule="auto" w:before="31"/>
        <w:ind w:left="514" w:right="5532" w:hanging="360"/>
        <w:jc w:val="left"/>
      </w:pPr>
      <w:r>
        <w:rPr/>
        <w:t>依据已完工作的测量确定。 提供劳务交易的结果能够可靠估计，是指同时满足下列条件：</w:t>
      </w:r>
    </w:p>
    <w:p>
      <w:pPr>
        <w:pStyle w:val="BodyText"/>
        <w:spacing w:line="240" w:lineRule="auto" w:before="19"/>
        <w:ind w:left="514" w:right="1130"/>
        <w:jc w:val="left"/>
      </w:pPr>
      <w:r>
        <w:rPr/>
        <w:t>①收入的金额能够可靠地计量；</w:t>
      </w:r>
    </w:p>
    <w:p>
      <w:pPr>
        <w:pStyle w:val="BodyText"/>
        <w:spacing w:line="240" w:lineRule="auto" w:before="76"/>
        <w:ind w:left="514" w:right="1130"/>
        <w:jc w:val="left"/>
      </w:pPr>
      <w:r>
        <w:rPr/>
        <w:t>②相关的经济利益很可能流入企业；</w:t>
      </w:r>
    </w:p>
    <w:p>
      <w:pPr>
        <w:pStyle w:val="BodyText"/>
        <w:spacing w:line="240" w:lineRule="auto" w:before="76"/>
        <w:ind w:left="514" w:right="1130"/>
        <w:jc w:val="left"/>
      </w:pPr>
      <w:r>
        <w:rPr/>
        <w:t>③交易的完工进度能够可靠地确定；</w:t>
      </w:r>
    </w:p>
    <w:p>
      <w:pPr>
        <w:pStyle w:val="BodyText"/>
        <w:spacing w:line="316" w:lineRule="auto" w:before="76"/>
        <w:ind w:left="514" w:right="1130"/>
        <w:jc w:val="left"/>
      </w:pPr>
      <w:r>
        <w:rPr/>
        <w:t>④交易中已发生和将发生的成本能够可靠地计量。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19"/>
        <w:ind w:left="154" w:right="0"/>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p>
    <w:p>
      <w:pPr>
        <w:pStyle w:val="BodyText"/>
        <w:spacing w:line="240" w:lineRule="auto" w:before="19"/>
        <w:ind w:left="513" w:right="1130"/>
        <w:jc w:val="left"/>
      </w:pPr>
      <w:r>
        <w:rPr/>
        <w:t>在资产负债表日提供劳务交易结果不能够可靠估计的，分别下列情况处理：</w:t>
      </w:r>
    </w:p>
    <w:p>
      <w:pPr>
        <w:pStyle w:val="BodyText"/>
        <w:spacing w:line="316" w:lineRule="auto" w:before="76"/>
        <w:ind w:right="1130" w:firstLine="360"/>
        <w:jc w:val="left"/>
      </w:pPr>
      <w:r>
        <w:rPr>
          <w:spacing w:val="-2"/>
        </w:rPr>
        <w:t>①已经发生的劳务成本预计能够得到补偿的，按照已经发生的劳务成本金额确认提供劳务收入，并按相同金额结转劳务</w:t>
      </w:r>
      <w:r>
        <w:rPr/>
        <w:t> 成本。</w:t>
      </w:r>
    </w:p>
    <w:p>
      <w:pPr>
        <w:pStyle w:val="BodyText"/>
        <w:spacing w:line="316" w:lineRule="auto" w:before="19"/>
        <w:ind w:left="513" w:right="1130"/>
        <w:jc w:val="left"/>
      </w:pPr>
      <w:r>
        <w:rPr/>
        <w:t>②已经发生的劳务成本预计不能够得到补偿的，将已经发生的劳务成本计入当期损益，不确认提供劳务收入。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19"/>
        <w:ind w:right="1130"/>
        <w:jc w:val="left"/>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spacing w:line="300" w:lineRule="auto" w:before="19"/>
        <w:ind w:left="513" w:right="113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附回购条件的资产转让</w:t>
      </w:r>
      <w:r>
        <w:rPr>
          <w:rFonts w:ascii="宋体" w:hAnsi="宋体" w:cs="宋体" w:eastAsia="宋体" w:hint="default"/>
          <w:b/>
          <w:bCs/>
          <w:w w:val="99"/>
          <w:sz w:val="18"/>
          <w:szCs w:val="18"/>
        </w:rPr>
        <w:t> </w:t>
      </w:r>
      <w:r>
        <w:rPr>
          <w:rFonts w:ascii="宋体" w:hAnsi="宋体" w:cs="宋体" w:eastAsia="宋体" w:hint="default"/>
          <w:spacing w:val="-2"/>
          <w:sz w:val="18"/>
          <w:szCs w:val="18"/>
        </w:rPr>
        <w:t>公司销售产品或转让其他资产时，与购买方签订了所销售的产品或转让资产回购协议，根据协议条款判断销售商品是否</w:t>
      </w:r>
    </w:p>
    <w:p>
      <w:pPr>
        <w:pStyle w:val="BodyText"/>
        <w:spacing w:line="316" w:lineRule="auto" w:before="31"/>
        <w:ind w:right="1130"/>
        <w:jc w:val="left"/>
      </w:pPr>
      <w:r>
        <w:rPr>
          <w:spacing w:val="-2"/>
        </w:rPr>
        <w:t>满足收入确认条件。如售后回购属于融资交易，则在交付产品或资产时，本公司不确认销售收入。回购价款大于销售价款的</w:t>
      </w:r>
      <w:r>
        <w:rPr>
          <w:spacing w:val="-66"/>
        </w:rPr>
        <w:t> </w:t>
      </w:r>
      <w:r>
        <w:rPr>
          <w:spacing w:val="-66"/>
        </w:rPr>
      </w:r>
      <w:r>
        <w:rPr/>
        <w:t>差额，在回购期间按期计提利息，计入财务费用。</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3"/>
        <w:spacing w:line="240" w:lineRule="auto"/>
        <w:ind w:right="1130"/>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513" w:right="1130"/>
        <w:jc w:val="left"/>
      </w:pPr>
      <w:r>
        <w:rPr/>
        <w:t>与资产相关的政府补助，是指本公司取得的、用于购建或以其他方式形成长期资产的政府补助。 </w:t>
      </w:r>
      <w:r>
        <w:rPr>
          <w:spacing w:val="-2"/>
        </w:rPr>
        <w:t>对期末有证据表明公司能够符合财政扶持政策规定的相关条件且预计能够收到财政扶持资金的，按应收金额确认政府补</w:t>
      </w:r>
    </w:p>
    <w:p>
      <w:pPr>
        <w:pStyle w:val="BodyText"/>
        <w:spacing w:line="316" w:lineRule="auto" w:before="19"/>
        <w:ind w:right="1130"/>
        <w:jc w:val="left"/>
      </w:pPr>
      <w:r>
        <w:rPr/>
        <w:t>助。除此之外，政府补助均在实际收到时确认。 </w:t>
      </w:r>
      <w:r>
        <w:rPr>
          <w:spacing w:val="-2"/>
        </w:rPr>
        <w:t>政府补助为货币性资产的，按照收到或应收的金额计量。政府补助为非货币性资产的，按照公允价值计量；公允价值不能够</w:t>
      </w:r>
      <w:r>
        <w:rPr>
          <w:spacing w:val="-66"/>
        </w:rPr>
        <w:t> </w:t>
      </w:r>
      <w:r>
        <w:rPr>
          <w:spacing w:val="-66"/>
        </w:rPr>
      </w:r>
      <w:r>
        <w:rPr/>
        <w:t>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Heading4"/>
        <w:spacing w:line="235" w:lineRule="exact"/>
        <w:ind w:left="491" w:right="0"/>
        <w:jc w:val="left"/>
        <w:rPr>
          <w:b w:val="0"/>
          <w:bCs w:val="0"/>
        </w:rPr>
      </w:pPr>
      <w:r>
        <w:rPr/>
        <w:t>与资产相关的政府补助，确认为递延收益，按照所建造或购买的资产使用年限内按照合理、系统的方法分期计入损益。</w:t>
      </w:r>
      <w:r>
        <w:rPr>
          <w:b w:val="0"/>
          <w:bCs w:val="0"/>
        </w:rPr>
      </w:r>
    </w:p>
    <w:p>
      <w:pPr>
        <w:spacing w:line="240" w:lineRule="auto" w:before="0"/>
        <w:rPr>
          <w:rFonts w:ascii="宋体" w:hAnsi="宋体" w:cs="宋体" w:eastAsia="宋体" w:hint="default"/>
          <w:b/>
          <w:bCs/>
          <w:sz w:val="18"/>
          <w:szCs w:val="18"/>
        </w:rPr>
      </w:pPr>
    </w:p>
    <w:p>
      <w:pPr>
        <w:pStyle w:val="Heading3"/>
        <w:spacing w:line="240" w:lineRule="auto" w:before="126"/>
        <w:ind w:right="1130"/>
        <w:jc w:val="left"/>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444" w:right="1130"/>
        <w:jc w:val="left"/>
      </w:pPr>
      <w:r>
        <w:rPr/>
        <w:t>与收益相关的政府补助，是指除与资产相关的政府补助之外的政府补助。 </w:t>
      </w:r>
      <w:r>
        <w:rPr>
          <w:spacing w:val="-1"/>
        </w:rPr>
        <w:t>与收益相关的政府补助，用于补偿企业以后期间的相关费用或损失的，确认为递延收益，在确认相关费用或损失的期间</w:t>
      </w:r>
    </w:p>
    <w:p>
      <w:pPr>
        <w:pStyle w:val="BodyText"/>
        <w:spacing w:line="316" w:lineRule="auto" w:before="19"/>
        <w:ind w:left="513" w:right="1130" w:hanging="360"/>
        <w:jc w:val="left"/>
      </w:pPr>
      <w:r>
        <w:rPr/>
        <w:t>计入当期损益；用于补偿企业已发生的相关费用或损失的，取得时直接计入当期损益。 与企业日常活动相关的政府补助计入其他收益；与企业日常活动无关的政府补助计入营业外收支。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16" w:lineRule="auto" w:before="19"/>
        <w:ind w:left="513" w:right="1033" w:hanging="360"/>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40" w:lineRule="auto" w:before="19"/>
        <w:ind w:right="1130"/>
        <w:jc w:val="left"/>
      </w:pPr>
      <w:r>
        <w:rPr/>
        <w:t>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3"/>
        <w:spacing w:line="240" w:lineRule="auto"/>
        <w:ind w:right="1130"/>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0"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spacing w:line="300" w:lineRule="auto" w:before="31"/>
        <w:ind w:left="513" w:right="1130"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）确认递延所得税资产的依据</w:t>
      </w:r>
      <w:r>
        <w:rPr>
          <w:rFonts w:ascii="宋体" w:hAnsi="宋体" w:cs="宋体" w:eastAsia="宋体" w:hint="default"/>
          <w:b/>
          <w:bCs/>
          <w:w w:val="99"/>
          <w:sz w:val="18"/>
          <w:szCs w:val="18"/>
        </w:rPr>
        <w:t> </w:t>
      </w:r>
      <w:r>
        <w:rPr>
          <w:rFonts w:ascii="宋体" w:hAnsi="宋体" w:cs="宋体" w:eastAsia="宋体" w:hint="default"/>
          <w:spacing w:val="-2"/>
          <w:sz w:val="18"/>
          <w:szCs w:val="18"/>
        </w:rPr>
        <w:t>本公司以很可能取得用来抵扣可抵扣暂时性差异、能够结转以后年度的可抵扣亏损和税款抵减的应纳税所得额为限，确</w:t>
      </w:r>
    </w:p>
    <w:p>
      <w:pPr>
        <w:pStyle w:val="BodyText"/>
        <w:spacing w:line="316" w:lineRule="auto" w:before="31"/>
        <w:ind w:right="1033"/>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w:t>
      </w:r>
    </w:p>
    <w:p>
      <w:pPr>
        <w:pStyle w:val="BodyText"/>
        <w:spacing w:line="316" w:lineRule="auto"/>
        <w:ind w:left="154" w:right="1130" w:firstLine="360"/>
        <w:jc w:val="left"/>
      </w:pPr>
      <w:r>
        <w:rPr>
          <w:spacing w:val="-2"/>
        </w:rPr>
        <w:t>对于与联营企业投资相关的可抵扣暂时性差异，同时满足下列条件的，确认相应的递延所得税资产：暂时性差异在可预</w:t>
      </w:r>
      <w:r>
        <w:rPr/>
        <w:t> 见的未来很可能转回，且未来很可能获得用来抵扣可抵扣暂时性差异的应纳税所得额。</w:t>
      </w:r>
    </w:p>
    <w:p>
      <w:pPr>
        <w:spacing w:line="300" w:lineRule="auto" w:before="19"/>
        <w:ind w:left="514" w:right="3372" w:hanging="3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）确认递延所得税负债的依据</w:t>
      </w:r>
      <w:r>
        <w:rPr>
          <w:rFonts w:ascii="宋体" w:hAnsi="宋体" w:cs="宋体" w:eastAsia="宋体" w:hint="default"/>
          <w:b/>
          <w:bCs/>
          <w:w w:val="99"/>
          <w:sz w:val="18"/>
          <w:szCs w:val="18"/>
        </w:rPr>
        <w:t> </w:t>
      </w:r>
      <w:r>
        <w:rPr>
          <w:rFonts w:ascii="宋体" w:hAnsi="宋体" w:cs="宋体" w:eastAsia="宋体" w:hint="default"/>
          <w:sz w:val="18"/>
          <w:szCs w:val="18"/>
        </w:rPr>
        <w:t>公司将当期与以前期间应交未交的应纳税暂时性差异确认为递延所得税负债。但不包括：</w:t>
      </w:r>
    </w:p>
    <w:p>
      <w:pPr>
        <w:pStyle w:val="BodyText"/>
        <w:spacing w:line="240" w:lineRule="auto" w:before="31"/>
        <w:ind w:left="513" w:right="1130"/>
        <w:jc w:val="left"/>
      </w:pPr>
      <w:r>
        <w:rPr/>
        <w:t>①商誉的初始确认所形成的暂时性差异；</w:t>
      </w:r>
    </w:p>
    <w:p>
      <w:pPr>
        <w:pStyle w:val="BodyText"/>
        <w:spacing w:line="319" w:lineRule="auto" w:before="76"/>
        <w:ind w:right="1033" w:firstLine="360"/>
        <w:jc w:val="left"/>
      </w:pPr>
      <w:r>
        <w:rPr/>
        <w:t>②非企业合并形成的交易或事项，且该交易或事项发生时既不影响会计利润，也不影响应纳税所得额（或可抵扣亏损） 所形成的暂时性差异；</w:t>
      </w:r>
    </w:p>
    <w:p>
      <w:pPr>
        <w:pStyle w:val="BodyText"/>
        <w:spacing w:line="316" w:lineRule="auto" w:before="17"/>
        <w:ind w:right="1130" w:firstLine="360"/>
        <w:jc w:val="left"/>
      </w:pPr>
      <w:r>
        <w:rPr>
          <w:spacing w:val="-2"/>
        </w:rPr>
        <w:t>③对于与子公司、联营企业投资相关的应纳税暂时性差异，该暂时性差异转回的时间能够控制并且该暂时性差异在可预</w:t>
      </w:r>
      <w:r>
        <w:rPr/>
        <w:t> 见的未来很可能不会转回。</w:t>
      </w:r>
    </w:p>
    <w:p>
      <w:pPr>
        <w:spacing w:after="0" w:line="316"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513" w:right="1130"/>
        <w:jc w:val="left"/>
      </w:pPr>
      <w:r>
        <w:rPr/>
        <w:t>①经营租入资产 </w:t>
      </w:r>
      <w:r>
        <w:rPr>
          <w:spacing w:val="-2"/>
        </w:rPr>
        <w:t>公司租入资产所支付的租赁费，在不扣除免租期的整个租赁期内，按直线法进行分摊，计入当期费用。公司支付的与租</w:t>
      </w:r>
    </w:p>
    <w:p>
      <w:pPr>
        <w:pStyle w:val="BodyText"/>
        <w:spacing w:line="316" w:lineRule="auto" w:before="19"/>
        <w:ind w:left="513" w:right="1130" w:hanging="360"/>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pStyle w:val="BodyText"/>
        <w:spacing w:line="240" w:lineRule="auto" w:before="19"/>
        <w:ind w:right="1130"/>
        <w:jc w:val="left"/>
      </w:pPr>
      <w:r>
        <w:rPr/>
        <w:t>租赁期内分摊，计入当期费用。</w:t>
      </w:r>
    </w:p>
    <w:p>
      <w:pPr>
        <w:pStyle w:val="BodyText"/>
        <w:spacing w:line="316" w:lineRule="auto" w:before="76"/>
        <w:ind w:left="513" w:right="1130"/>
        <w:jc w:val="left"/>
      </w:pPr>
      <w:r>
        <w:rPr/>
        <w:t>②经营租出资产 </w:t>
      </w:r>
      <w:r>
        <w:rPr>
          <w:spacing w:val="-2"/>
        </w:rPr>
        <w:t>公司出租资产所收取的租赁费，在不扣除免租期的整个租赁期内，按直线法进行分摊，确认为租赁收入。公司支付的与</w:t>
      </w:r>
    </w:p>
    <w:p>
      <w:pPr>
        <w:pStyle w:val="BodyText"/>
        <w:spacing w:line="316" w:lineRule="auto" w:before="19"/>
        <w:ind w:right="1130"/>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3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30" w:firstLine="360"/>
        <w:jc w:val="left"/>
      </w:pPr>
      <w:r>
        <w:rPr>
          <w:spacing w:val="-2"/>
        </w:rPr>
        <w:t>①融资租入资产：公司在承租开始日，将租赁资产公允价值与最低租赁付款额现值两者中较低者作为租入资产的入账价</w:t>
      </w:r>
      <w:r>
        <w:rPr/>
        <w:t> 值，将最低租赁付款额作为长期应付款的入账价值，其差额作为未确认的融资费用。</w:t>
      </w:r>
    </w:p>
    <w:p>
      <w:pPr>
        <w:pStyle w:val="BodyText"/>
        <w:spacing w:line="300" w:lineRule="auto" w:before="19"/>
        <w:ind w:left="513" w:right="3553"/>
        <w:jc w:val="left"/>
      </w:pPr>
      <w:r>
        <w:rPr/>
        <w:t>融资租入资产的认定依据、计价和折旧方法详见本报告第十一节、五、</w:t>
      </w:r>
      <w:r>
        <w:rPr>
          <w:rFonts w:ascii="Times New Roman" w:hAnsi="Times New Roman" w:cs="Times New Roman" w:eastAsia="Times New Roman" w:hint="default"/>
        </w:rPr>
        <w:t>16</w:t>
      </w:r>
      <w:r>
        <w:rPr/>
        <w:t>、固定资产。 公司采用实际利率法对未确认的融资费用，在资产租赁期间内摊销，计入财务费用。</w:t>
      </w:r>
    </w:p>
    <w:p>
      <w:pPr>
        <w:pStyle w:val="BodyText"/>
        <w:spacing w:line="316" w:lineRule="auto" w:before="31"/>
        <w:ind w:right="0" w:firstLine="290"/>
        <w:jc w:val="left"/>
      </w:pPr>
      <w:r>
        <w:rPr/>
        <w:t>②融资租出资产：公司在租赁开始日，将应收融资租赁款，未担保余值之和与其现值的差额确认为未实现融资收益，在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130"/>
        <w:jc w:val="left"/>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11"/>
        <w:rPr>
          <w:rFonts w:ascii="宋体" w:hAnsi="宋体" w:cs="宋体" w:eastAsia="宋体" w:hint="default"/>
          <w:b/>
          <w:bCs/>
          <w:sz w:val="26"/>
          <w:szCs w:val="26"/>
        </w:rPr>
      </w:pPr>
    </w:p>
    <w:p>
      <w:pPr>
        <w:pStyle w:val="BodyText"/>
        <w:spacing w:line="314" w:lineRule="auto"/>
        <w:ind w:right="1130"/>
        <w:jc w:val="left"/>
      </w:pPr>
      <w:r>
        <w:rPr/>
        <w:t>（</w:t>
      </w:r>
      <w:r>
        <w:rPr>
          <w:rFonts w:ascii="Times New Roman" w:hAnsi="Times New Roman" w:cs="Times New Roman" w:eastAsia="Times New Roman" w:hint="default"/>
        </w:rPr>
        <w:t>1</w:t>
      </w:r>
      <w:r>
        <w:rPr/>
        <w:t>）终止经营 </w:t>
      </w:r>
      <w:r>
        <w:rPr>
          <w:spacing w:val="-2"/>
        </w:rPr>
        <w:t>终止经营，是指满足下列条件之一的已被本公司处置或划归为持有待售的、在经营和编制财务报表时能够单独区分的组成部</w:t>
      </w:r>
      <w:r>
        <w:rPr>
          <w:spacing w:val="-64"/>
        </w:rPr>
        <w:t> </w:t>
      </w:r>
      <w:r>
        <w:rPr>
          <w:spacing w:val="-64"/>
        </w:rPr>
      </w:r>
      <w:r>
        <w:rPr>
          <w:spacing w:val="-2"/>
        </w:rPr>
        <w:t>分：①该组成部分代表一项独立的主要业务或一个主要经营地区；②该组成部分是拟对一项独立的主要业务或一个主要经营</w:t>
      </w:r>
      <w:r>
        <w:rPr>
          <w:spacing w:val="-64"/>
        </w:rPr>
        <w:t> </w:t>
      </w:r>
      <w:r>
        <w:rPr>
          <w:spacing w:val="-64"/>
        </w:rPr>
      </w:r>
      <w:r>
        <w:rPr/>
        <w:t>地区进行处置计划的一部分；③该组成部分是仅仅为了再出售而取得的子公司。 终止经营的会计处理方法参见本报告第十一节、五、</w:t>
      </w:r>
      <w:r>
        <w:rPr>
          <w:rFonts w:ascii="Times New Roman" w:hAnsi="Times New Roman" w:cs="Times New Roman" w:eastAsia="Times New Roman" w:hint="default"/>
        </w:rPr>
        <w:t>13“</w:t>
      </w:r>
      <w:r>
        <w:rPr/>
        <w:t>划分为持有待售资产</w:t>
      </w:r>
      <w:r>
        <w:rPr>
          <w:rFonts w:ascii="Times New Roman" w:hAnsi="Times New Roman" w:cs="Times New Roman" w:eastAsia="Times New Roman" w:hint="default"/>
        </w:rPr>
        <w:t>”</w:t>
      </w:r>
      <w:r>
        <w:rPr/>
        <w:t>相关描述。</w:t>
      </w:r>
    </w:p>
    <w:p>
      <w:pPr>
        <w:pStyle w:val="BodyText"/>
        <w:spacing w:line="300" w:lineRule="auto" w:before="1"/>
        <w:ind w:right="9583"/>
        <w:jc w:val="left"/>
      </w:pPr>
      <w:r>
        <w:rPr/>
        <w:t>（</w:t>
      </w:r>
      <w:r>
        <w:rPr>
          <w:rFonts w:ascii="Times New Roman" w:hAnsi="Times New Roman" w:cs="Times New Roman" w:eastAsia="Times New Roman" w:hint="default"/>
        </w:rPr>
        <w:t>2</w:t>
      </w:r>
      <w:r>
        <w:rPr/>
        <w:t>）套期会计 无。</w:t>
      </w:r>
    </w:p>
    <w:p>
      <w:pPr>
        <w:pStyle w:val="BodyText"/>
        <w:spacing w:line="300" w:lineRule="auto" w:before="31"/>
        <w:ind w:right="9583"/>
        <w:jc w:val="left"/>
      </w:pPr>
      <w:r>
        <w:rPr/>
        <w:t>（</w:t>
      </w:r>
      <w:r>
        <w:rPr>
          <w:rFonts w:ascii="Times New Roman" w:hAnsi="Times New Roman" w:cs="Times New Roman" w:eastAsia="Times New Roman" w:hint="default"/>
        </w:rPr>
        <w:t>3</w:t>
      </w:r>
      <w:r>
        <w:rPr/>
        <w:t>）回购股份 无。</w:t>
      </w:r>
    </w:p>
    <w:p>
      <w:pPr>
        <w:pStyle w:val="BodyText"/>
        <w:spacing w:line="300" w:lineRule="auto" w:before="31"/>
        <w:ind w:left="154" w:right="9402"/>
        <w:jc w:val="left"/>
      </w:pPr>
      <w:r>
        <w:rPr/>
        <w:t>（</w:t>
      </w:r>
      <w:r>
        <w:rPr>
          <w:rFonts w:ascii="Times New Roman" w:hAnsi="Times New Roman" w:cs="Times New Roman" w:eastAsia="Times New Roman" w:hint="default"/>
        </w:rPr>
        <w:t>4</w:t>
      </w:r>
      <w:r>
        <w:rPr/>
        <w:t>）资产证券化 无。</w:t>
      </w:r>
    </w:p>
    <w:p>
      <w:pPr>
        <w:spacing w:after="0" w:line="300"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政府补助》准</w:t>
            </w:r>
            <w:r>
              <w:rPr>
                <w:rFonts w:ascii="宋体" w:hAnsi="宋体" w:cs="宋体" w:eastAsia="宋体" w:hint="default"/>
                <w:sz w:val="18"/>
                <w:szCs w:val="18"/>
              </w:rPr>
              <w:t> 则修订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日召开的第四届董事会</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次定期会议审议通过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持有待售的非 流动资产、处置组和终止经营》准则发 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日召开的第四届董事会</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次定期会议审议通过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2440"/>
        <w:gridCol w:w="1842"/>
        <w:gridCol w:w="2044"/>
        <w:gridCol w:w="2043"/>
      </w:tblGrid>
      <w:tr>
        <w:trPr>
          <w:trHeight w:val="355" w:hRule="exact"/>
        </w:trPr>
        <w:tc>
          <w:tcPr>
            <w:tcW w:w="2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受影响的报表名称</w:t>
            </w:r>
          </w:p>
        </w:tc>
        <w:tc>
          <w:tcPr>
            <w:tcW w:w="2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本期影响金额</w:t>
            </w:r>
          </w:p>
        </w:tc>
        <w:tc>
          <w:tcPr>
            <w:tcW w:w="20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473" w:right="0"/>
              <w:jc w:val="left"/>
              <w:rPr>
                <w:rFonts w:ascii="宋体" w:hAnsi="宋体" w:cs="宋体" w:eastAsia="宋体" w:hint="default"/>
                <w:sz w:val="18"/>
                <w:szCs w:val="18"/>
              </w:rPr>
            </w:pPr>
            <w:r>
              <w:rPr>
                <w:rFonts w:ascii="宋体" w:hAnsi="宋体" w:cs="宋体" w:eastAsia="宋体" w:hint="default"/>
                <w:sz w:val="18"/>
                <w:szCs w:val="18"/>
              </w:rPr>
              <w:t>上期影响金额</w:t>
            </w:r>
          </w:p>
        </w:tc>
      </w:tr>
      <w:tr>
        <w:trPr>
          <w:trHeight w:val="352" w:hRule="exact"/>
        </w:trPr>
        <w:tc>
          <w:tcPr>
            <w:tcW w:w="2440" w:type="dxa"/>
            <w:vMerge w:val="restart"/>
            <w:tcBorders>
              <w:top w:val="single" w:sz="12" w:space="0" w:color="000000"/>
              <w:left w:val="single" w:sz="6" w:space="0" w:color="000000"/>
              <w:right w:val="single" w:sz="6" w:space="0" w:color="000000"/>
            </w:tcBorders>
          </w:tcPr>
          <w:p>
            <w:pPr>
              <w:pStyle w:val="TableParagraph"/>
              <w:spacing w:line="300" w:lineRule="auto" w:before="10"/>
              <w:ind w:left="30" w:right="23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政府补助》准则修订</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pacing w:val="-1"/>
                <w:sz w:val="18"/>
              </w:rPr>
              <w:t>9,424,289.54</w:t>
            </w:r>
          </w:p>
        </w:tc>
        <w:tc>
          <w:tcPr>
            <w:tcW w:w="20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5"/>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2440" w:type="dxa"/>
            <w:vMerge/>
            <w:tcBorders>
              <w:left w:val="single" w:sz="6"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pacing w:val="-1"/>
                <w:sz w:val="18"/>
              </w:rPr>
              <w:t>-2,030,000.00</w:t>
            </w:r>
          </w:p>
        </w:tc>
        <w:tc>
          <w:tcPr>
            <w:tcW w:w="2043"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440"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pacing w:val="-1"/>
                <w:sz w:val="18"/>
              </w:rPr>
              <w:t>-11,454,289.54</w:t>
            </w:r>
          </w:p>
        </w:tc>
        <w:tc>
          <w:tcPr>
            <w:tcW w:w="20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5"/>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2440" w:type="dxa"/>
            <w:vMerge w:val="restart"/>
            <w:tcBorders>
              <w:top w:val="single" w:sz="12" w:space="0" w:color="000000"/>
              <w:left w:val="single" w:sz="6" w:space="0" w:color="000000"/>
              <w:right w:val="single" w:sz="6" w:space="0" w:color="000000"/>
            </w:tcBorders>
          </w:tcPr>
          <w:p>
            <w:pPr>
              <w:pStyle w:val="TableParagraph"/>
              <w:spacing w:line="309" w:lineRule="auto" w:before="10"/>
              <w:ind w:left="30" w:right="3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7"/>
                <w:sz w:val="18"/>
                <w:szCs w:val="18"/>
              </w:rPr>
              <w:t>企业会计准则第</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5"/>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持有待售的非流动资产、处</w:t>
            </w:r>
            <w:r>
              <w:rPr>
                <w:rFonts w:ascii="宋体" w:hAnsi="宋体" w:cs="宋体" w:eastAsia="宋体" w:hint="default"/>
                <w:spacing w:val="-10"/>
                <w:sz w:val="18"/>
                <w:szCs w:val="18"/>
              </w:rPr>
              <w:t> </w:t>
            </w:r>
            <w:r>
              <w:rPr>
                <w:rFonts w:ascii="宋体" w:hAnsi="宋体" w:cs="宋体" w:eastAsia="宋体" w:hint="default"/>
                <w:sz w:val="18"/>
                <w:szCs w:val="18"/>
              </w:rPr>
              <w:t>置</w:t>
            </w:r>
            <w:r>
              <w:rPr>
                <w:rFonts w:ascii="宋体" w:hAnsi="宋体" w:cs="宋体" w:eastAsia="宋体" w:hint="default"/>
                <w:sz w:val="18"/>
                <w:szCs w:val="18"/>
              </w:rPr>
              <w:t> 组和终止经营》准则发布</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z w:val="18"/>
              </w:rPr>
              <w:t>348,719.77</w:t>
            </w:r>
          </w:p>
        </w:tc>
        <w:tc>
          <w:tcPr>
            <w:tcW w:w="20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sz w:val="18"/>
              </w:rPr>
              <w:t>567,770.43</w:t>
            </w:r>
          </w:p>
        </w:tc>
      </w:tr>
      <w:tr>
        <w:trPr>
          <w:trHeight w:val="353" w:hRule="exact"/>
        </w:trPr>
        <w:tc>
          <w:tcPr>
            <w:tcW w:w="2440" w:type="dxa"/>
            <w:vMerge/>
            <w:tcBorders>
              <w:left w:val="single" w:sz="6"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w w:val="95"/>
                <w:sz w:val="18"/>
              </w:rPr>
              <w:t>(348,719.77)</w:t>
            </w:r>
            <w:r>
              <w:rPr>
                <w:rFonts w:ascii="Times New Roman"/>
                <w:sz w:val="18"/>
              </w:rPr>
            </w:r>
          </w:p>
        </w:tc>
        <w:tc>
          <w:tcPr>
            <w:tcW w:w="20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18"/>
                <w:szCs w:val="18"/>
              </w:rPr>
            </w:pPr>
            <w:r>
              <w:rPr>
                <w:rFonts w:ascii="Times New Roman"/>
                <w:w w:val="95"/>
                <w:sz w:val="18"/>
              </w:rPr>
              <w:t>(567,770.43)</w:t>
            </w:r>
            <w:r>
              <w:rPr>
                <w:rFonts w:ascii="Times New Roman"/>
                <w:sz w:val="18"/>
              </w:rPr>
            </w:r>
          </w:p>
        </w:tc>
      </w:tr>
      <w:tr>
        <w:trPr>
          <w:trHeight w:val="352" w:hRule="exact"/>
        </w:trPr>
        <w:tc>
          <w:tcPr>
            <w:tcW w:w="2440" w:type="dxa"/>
            <w:vMerge/>
            <w:tcBorders>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0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9"/>
              <w:jc w:val="right"/>
              <w:rPr>
                <w:rFonts w:ascii="Times New Roman" w:hAnsi="Times New Roman" w:cs="Times New Roman" w:eastAsia="Times New Roman" w:hint="default"/>
                <w:sz w:val="18"/>
                <w:szCs w:val="18"/>
              </w:rPr>
            </w:pPr>
            <w:r>
              <w:rPr>
                <w:rFonts w:ascii="Times New Roman"/>
                <w:sz w:val="18"/>
              </w:rPr>
              <w:t>--</w:t>
            </w:r>
          </w:p>
        </w:tc>
        <w:tc>
          <w:tcPr>
            <w:tcW w:w="20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35"/>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240" w:lineRule="auto" w:before="38"/>
        <w:ind w:left="154" w:right="113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spacing w:line="499" w:lineRule="auto" w:before="0"/>
        <w:ind w:left="153" w:right="9047" w:firstLine="0"/>
        <w:jc w:val="left"/>
        <w:rPr>
          <w:rFonts w:ascii="宋体" w:hAnsi="宋体" w:cs="宋体" w:eastAsia="宋体" w:hint="default"/>
          <w:sz w:val="20"/>
          <w:szCs w:val="20"/>
        </w:rPr>
      </w:pPr>
      <w:bookmarkStart w:name="34、其他" w:id="222"/>
      <w:bookmarkEnd w:id="222"/>
      <w:r>
        <w:rPr/>
      </w: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六、税项" w:id="223"/>
      <w:bookmarkEnd w:id="223"/>
      <w:r>
        <w:rPr>
          <w:rFonts w:ascii="宋体" w:hAnsi="宋体" w:cs="宋体" w:eastAsia="宋体" w:hint="default"/>
          <w:b/>
          <w:bCs/>
          <w:w w:val="99"/>
          <w:sz w:val="20"/>
          <w:szCs w:val="20"/>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、主要税种及税率</w:t>
      </w:r>
      <w:r>
        <w:rPr>
          <w:rFonts w:ascii="宋体" w:hAnsi="宋体" w:cs="宋体" w:eastAsia="宋体" w:hint="default"/>
          <w:sz w:val="20"/>
          <w:szCs w:val="20"/>
        </w:rPr>
      </w:r>
    </w:p>
    <w:p>
      <w:pPr>
        <w:spacing w:line="240" w:lineRule="auto" w:before="10"/>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6" w:lineRule="auto" w:before="52"/>
              <w:ind w:left="28" w:right="95"/>
              <w:jc w:val="both"/>
              <w:rPr>
                <w:rFonts w:ascii="宋体" w:hAnsi="宋体" w:cs="宋体" w:eastAsia="宋体" w:hint="default"/>
                <w:sz w:val="18"/>
                <w:szCs w:val="18"/>
              </w:rPr>
            </w:pPr>
            <w:r>
              <w:rPr>
                <w:rFonts w:ascii="宋体" w:hAnsi="宋体" w:cs="宋体" w:eastAsia="宋体" w:hint="default"/>
                <w:sz w:val="18"/>
                <w:szCs w:val="18"/>
              </w:rPr>
              <w:t>境内销售、提供不动产租赁服务，销售 不动产、其他应税销售服务行为、简易 计税方法、销售出口货物</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纳税基准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1"/>
        <w:ind w:left="154" w:right="113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茂硕电源科技股份有限公司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瑞盈茂硕融资租赁（深圳）有限公司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山西茂硕光伏电力有限公司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萍乡茂硕新能源科技有限公司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台州南瑞新能源有限公司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深圳茂硕新能源技术研究院有限公司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茂硕能源科技（香港）国际有限公司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bl>
    <w:p>
      <w:pPr>
        <w:spacing w:line="240" w:lineRule="auto" w:before="9"/>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517" w:right="5199"/>
        <w:jc w:val="left"/>
      </w:pPr>
      <w:r>
        <w:rPr/>
        <w:t>（</w:t>
      </w:r>
      <w:r>
        <w:rPr>
          <w:rFonts w:ascii="Times New Roman" w:hAnsi="Times New Roman" w:cs="Times New Roman" w:eastAsia="Times New Roman" w:hint="default"/>
        </w:rPr>
        <w:t>1</w:t>
      </w:r>
      <w:r>
        <w:rPr/>
        <w:t>）企业所得税基本税率 本公司及下属的在中国境内的控股子公司企业所得税税率为</w:t>
      </w:r>
      <w:r>
        <w:rPr>
          <w:rFonts w:ascii="Times New Roman" w:hAnsi="Times New Roman" w:cs="Times New Roman" w:eastAsia="Times New Roman" w:hint="default"/>
        </w:rPr>
        <w:t>25%</w:t>
      </w:r>
      <w:r>
        <w:rPr/>
        <w:t>；</w:t>
      </w:r>
    </w:p>
    <w:p>
      <w:pPr>
        <w:pStyle w:val="BodyText"/>
        <w:spacing w:line="300" w:lineRule="auto" w:before="13"/>
        <w:ind w:right="1130" w:firstLine="363"/>
        <w:jc w:val="left"/>
      </w:pPr>
      <w:r>
        <w:rPr>
          <w:spacing w:val="-1"/>
        </w:rPr>
        <w:t>本公司之控股子公司香港茂硕依照香港立法局颁布的《税务条例》，依据课税年度的应纳税所得额按</w:t>
      </w:r>
      <w:r>
        <w:rPr>
          <w:rFonts w:ascii="Times New Roman" w:hAnsi="Times New Roman" w:cs="Times New Roman" w:eastAsia="Times New Roman" w:hint="default"/>
          <w:spacing w:val="-1"/>
        </w:rPr>
        <w:t>16.5%</w:t>
      </w:r>
      <w:r>
        <w:rPr>
          <w:spacing w:val="-1"/>
        </w:rPr>
        <w:t>的税率缴纳</w:t>
      </w:r>
      <w:r>
        <w:rPr/>
        <w:t> 利得税。</w:t>
      </w:r>
    </w:p>
    <w:p>
      <w:pPr>
        <w:spacing w:before="126"/>
        <w:ind w:left="153" w:right="113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）税收优惠政策及依据</w:t>
      </w:r>
      <w:r>
        <w:rPr>
          <w:rFonts w:ascii="宋体" w:hAnsi="宋体" w:cs="宋体" w:eastAsia="宋体" w:hint="default"/>
          <w:sz w:val="21"/>
          <w:szCs w:val="21"/>
        </w:rPr>
      </w:r>
    </w:p>
    <w:p>
      <w:pPr>
        <w:pStyle w:val="BodyText"/>
        <w:spacing w:line="316" w:lineRule="auto" w:before="46"/>
        <w:ind w:left="154" w:right="1130" w:firstLine="423"/>
        <w:jc w:val="left"/>
      </w:pP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w:t>
      </w:r>
      <w:r>
        <w:rPr>
          <w:spacing w:val="-2"/>
        </w:rPr>
        <w:t>日，本公司取得深圳市科技创新委员会、深圳市财政委员会、深圳市国家税务局、深圳市地方税务局联合</w:t>
      </w:r>
      <w:r>
        <w:rPr/>
        <w:t> 颁发的高新技术企业证书，证书编号：</w:t>
      </w:r>
      <w:r>
        <w:rPr>
          <w:rFonts w:ascii="宋体" w:hAnsi="宋体" w:cs="宋体" w:eastAsia="宋体" w:hint="default"/>
        </w:rPr>
        <w:t>GR201544201516</w:t>
      </w:r>
      <w:r>
        <w:rPr/>
        <w:t>，有效期</w:t>
      </w:r>
      <w:r>
        <w:rPr>
          <w:rFonts w:ascii="宋体" w:hAnsi="宋体" w:cs="宋体" w:eastAsia="宋体" w:hint="default"/>
        </w:rPr>
        <w:t>3</w:t>
      </w:r>
      <w:r>
        <w:rPr/>
        <w:t>年；本公司</w:t>
      </w:r>
      <w:r>
        <w:rPr>
          <w:rFonts w:ascii="宋体" w:hAnsi="宋体" w:cs="宋体" w:eastAsia="宋体" w:hint="default"/>
        </w:rPr>
        <w:t>2017</w:t>
      </w:r>
      <w:r>
        <w:rPr/>
        <w:t>年度的企业所得税税率为</w:t>
      </w:r>
      <w:r>
        <w:rPr>
          <w:rFonts w:ascii="宋体" w:hAnsi="宋体" w:cs="宋体" w:eastAsia="宋体" w:hint="default"/>
        </w:rPr>
        <w:t>15%</w:t>
      </w:r>
      <w:r>
        <w:rPr/>
        <w:t>。</w:t>
      </w:r>
    </w:p>
    <w:p>
      <w:pPr>
        <w:pStyle w:val="BodyText"/>
        <w:spacing w:line="316" w:lineRule="auto" w:before="19"/>
        <w:ind w:left="154" w:right="1130" w:firstLine="423"/>
        <w:jc w:val="left"/>
      </w:pP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19</w:t>
      </w:r>
      <w:r>
        <w:rPr>
          <w:spacing w:val="-2"/>
        </w:rPr>
        <w:t>日，茂硕新能源取得深圳市科技创新委员会、深圳市财政委员会、深圳市国家税务局、深圳市地方税务局</w:t>
      </w:r>
      <w:r>
        <w:rPr/>
        <w:t> 联合颁发的高新技术企业证书，证书编号：</w:t>
      </w:r>
      <w:r>
        <w:rPr>
          <w:rFonts w:ascii="宋体" w:hAnsi="宋体" w:cs="宋体" w:eastAsia="宋体" w:hint="default"/>
        </w:rPr>
        <w:t>GR201544200775</w:t>
      </w:r>
      <w:r>
        <w:rPr/>
        <w:t>，有效期</w:t>
      </w:r>
      <w:r>
        <w:rPr>
          <w:rFonts w:ascii="宋体" w:hAnsi="宋体" w:cs="宋体" w:eastAsia="宋体" w:hint="default"/>
        </w:rPr>
        <w:t>3</w:t>
      </w:r>
      <w:r>
        <w:rPr/>
        <w:t>年，茂硕新能源</w:t>
      </w:r>
      <w:r>
        <w:rPr>
          <w:rFonts w:ascii="宋体" w:hAnsi="宋体" w:cs="宋体" w:eastAsia="宋体" w:hint="default"/>
        </w:rPr>
        <w:t>2017</w:t>
      </w:r>
      <w:r>
        <w:rPr/>
        <w:t>年度的企业所得税税率为</w:t>
      </w:r>
      <w:r>
        <w:rPr>
          <w:rFonts w:ascii="宋体" w:hAnsi="宋体" w:cs="宋体" w:eastAsia="宋体" w:hint="default"/>
        </w:rPr>
        <w:t>15%</w:t>
      </w:r>
      <w:r>
        <w:rPr/>
        <w:t>。</w:t>
      </w:r>
    </w:p>
    <w:p>
      <w:pPr>
        <w:pStyle w:val="BodyText"/>
        <w:spacing w:line="316" w:lineRule="auto" w:before="19"/>
        <w:ind w:left="154" w:right="1149" w:firstLine="423"/>
        <w:jc w:val="left"/>
      </w:pP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21</w:t>
      </w:r>
      <w:r>
        <w:rPr/>
        <w:t>日，茂硕电气取得深圳市科技创新委员会、深圳市财政委员会、深圳市国家税务局、深圳市地方税务局 联合颁发的高新技术企业证书，证书编号：</w:t>
      </w:r>
      <w:r>
        <w:rPr>
          <w:rFonts w:ascii="宋体" w:hAnsi="宋体" w:cs="宋体" w:eastAsia="宋体" w:hint="default"/>
        </w:rPr>
        <w:t>GR201644202630</w:t>
      </w:r>
      <w:r>
        <w:rPr/>
        <w:t>，有效期</w:t>
      </w:r>
      <w:r>
        <w:rPr>
          <w:rFonts w:ascii="宋体" w:hAnsi="宋体" w:cs="宋体" w:eastAsia="宋体" w:hint="default"/>
        </w:rPr>
        <w:t>3</w:t>
      </w:r>
      <w:r>
        <w:rPr/>
        <w:t>年，茂硕电气</w:t>
      </w:r>
      <w:r>
        <w:rPr>
          <w:rFonts w:ascii="宋体" w:hAnsi="宋体" w:cs="宋体" w:eastAsia="宋体" w:hint="default"/>
        </w:rPr>
        <w:t>2017</w:t>
      </w:r>
      <w:r>
        <w:rPr/>
        <w:t>年度的企业所得税税率为</w:t>
      </w:r>
      <w:r>
        <w:rPr>
          <w:rFonts w:ascii="宋体" w:hAnsi="宋体" w:cs="宋体" w:eastAsia="宋体" w:hint="default"/>
        </w:rPr>
        <w:t>15%</w:t>
      </w:r>
      <w:r>
        <w:rPr/>
        <w:t>。</w:t>
      </w:r>
    </w:p>
    <w:p>
      <w:pPr>
        <w:pStyle w:val="BodyText"/>
        <w:spacing w:line="316" w:lineRule="auto" w:before="19"/>
        <w:ind w:left="154" w:right="1149" w:firstLine="423"/>
        <w:jc w:val="left"/>
      </w:pP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21</w:t>
      </w:r>
      <w:r>
        <w:rPr/>
        <w:t>日，茂硕电子取得深圳市科技创新委员会、深圳市财政委员会、深圳市国家税务局、深圳市地方税务局 联合颁发的高新技术企业证书，证书编号：</w:t>
      </w:r>
      <w:r>
        <w:rPr>
          <w:rFonts w:ascii="宋体" w:hAnsi="宋体" w:cs="宋体" w:eastAsia="宋体" w:hint="default"/>
        </w:rPr>
        <w:t>GR201644201599</w:t>
      </w:r>
      <w:r>
        <w:rPr/>
        <w:t>，有效期</w:t>
      </w:r>
      <w:r>
        <w:rPr>
          <w:rFonts w:ascii="宋体" w:hAnsi="宋体" w:cs="宋体" w:eastAsia="宋体" w:hint="default"/>
        </w:rPr>
        <w:t>3</w:t>
      </w:r>
      <w:r>
        <w:rPr/>
        <w:t>年，茂硕电子</w:t>
      </w:r>
      <w:r>
        <w:rPr>
          <w:rFonts w:ascii="宋体" w:hAnsi="宋体" w:cs="宋体" w:eastAsia="宋体" w:hint="default"/>
        </w:rPr>
        <w:t>2017</w:t>
      </w:r>
      <w:r>
        <w:rPr/>
        <w:t>年度的企业所得税税率为</w:t>
      </w:r>
      <w:r>
        <w:rPr>
          <w:rFonts w:ascii="宋体" w:hAnsi="宋体" w:cs="宋体" w:eastAsia="宋体" w:hint="default"/>
        </w:rPr>
        <w:t>15%</w:t>
      </w:r>
      <w:r>
        <w:rPr/>
        <w:t>。</w:t>
      </w:r>
    </w:p>
    <w:p>
      <w:pPr>
        <w:pStyle w:val="BodyText"/>
        <w:spacing w:line="319" w:lineRule="auto" w:before="19"/>
        <w:ind w:right="1033" w:firstLine="360"/>
        <w:jc w:val="left"/>
      </w:pPr>
      <w:r>
        <w:rPr/>
        <w:t>海宁茂硕、台州南瑞从事的行业属于“符合条件的环境保护、节能节水项目”，根据《中华人民共和国企业所得税法》 </w:t>
      </w:r>
      <w:r>
        <w:rPr>
          <w:spacing w:val="-2"/>
        </w:rPr>
        <w:t>中华人民共和国主席令第</w:t>
      </w:r>
      <w:r>
        <w:rPr>
          <w:rFonts w:ascii="宋体" w:hAnsi="宋体" w:cs="宋体" w:eastAsia="宋体" w:hint="default"/>
          <w:spacing w:val="-2"/>
        </w:rPr>
        <w:t>63</w:t>
      </w:r>
      <w:r>
        <w:rPr>
          <w:spacing w:val="-2"/>
        </w:rPr>
        <w:t>号文件，海宁茂硕享受“自项目取得第一笔生产经营收入所属纳税年度起，第一年至第三年免征</w:t>
      </w:r>
      <w:r>
        <w:rPr>
          <w:spacing w:val="-65"/>
        </w:rPr>
        <w:t> </w:t>
      </w:r>
      <w:r>
        <w:rPr>
          <w:spacing w:val="-65"/>
        </w:rPr>
      </w:r>
      <w:r>
        <w:rPr/>
        <w:t>企业所得税，第四年至第六年减半征收企业所得税”的优惠政策，据此海宁茂硕、台州南瑞</w:t>
      </w:r>
      <w:r>
        <w:rPr>
          <w:rFonts w:ascii="宋体" w:hAnsi="宋体" w:cs="宋体" w:eastAsia="宋体" w:hint="default"/>
        </w:rPr>
        <w:t>2017</w:t>
      </w:r>
      <w:r>
        <w:rPr/>
        <w:t>年度免征企业所得税。</w:t>
      </w:r>
    </w:p>
    <w:p>
      <w:pPr>
        <w:pStyle w:val="BodyText"/>
        <w:spacing w:line="300" w:lineRule="auto" w:before="17"/>
        <w:ind w:right="1129" w:firstLine="360"/>
        <w:jc w:val="both"/>
      </w:pPr>
      <w:r>
        <w:rPr>
          <w:spacing w:val="-2"/>
        </w:rPr>
        <w:t>萍乡茂硕、新余茂硕从事的行业属于</w:t>
      </w:r>
      <w:r>
        <w:rPr>
          <w:rFonts w:ascii="Times New Roman" w:hAnsi="Times New Roman" w:cs="Times New Roman" w:eastAsia="Times New Roman" w:hint="default"/>
          <w:spacing w:val="-2"/>
        </w:rPr>
        <w:t>“</w:t>
      </w:r>
      <w:r>
        <w:rPr>
          <w:spacing w:val="-2"/>
        </w:rPr>
        <w:t>国家重点扶持的公共设施项目</w:t>
      </w:r>
      <w:r>
        <w:rPr>
          <w:rFonts w:ascii="Times New Roman" w:hAnsi="Times New Roman" w:cs="Times New Roman" w:eastAsia="Times New Roman" w:hint="default"/>
          <w:spacing w:val="-2"/>
        </w:rPr>
        <w:t>”</w:t>
      </w:r>
      <w:r>
        <w:rPr>
          <w:spacing w:val="-2"/>
        </w:rPr>
        <w:t>，根据《中华人民共和国企业所得税法》中华人民</w:t>
      </w:r>
      <w:r>
        <w:rPr/>
        <w:t> 共和国主席令第</w:t>
      </w:r>
      <w:r>
        <w:rPr>
          <w:rFonts w:ascii="Times New Roman" w:hAnsi="Times New Roman" w:cs="Times New Roman" w:eastAsia="Times New Roman" w:hint="default"/>
        </w:rPr>
        <w:t>63</w:t>
      </w:r>
      <w:r>
        <w:rPr/>
        <w:t>号文件，萍乡茂硕享受</w:t>
      </w:r>
      <w:r>
        <w:rPr>
          <w:rFonts w:ascii="Times New Roman" w:hAnsi="Times New Roman" w:cs="Times New Roman" w:eastAsia="Times New Roman" w:hint="default"/>
        </w:rPr>
        <w:t>“</w:t>
      </w:r>
      <w:r>
        <w:rPr/>
        <w:t>自项目取得第一笔生产经营收入所属纳税年度起，第一年至第三年免征企业所得</w:t>
      </w:r>
      <w:r>
        <w:rPr>
          <w:spacing w:val="-77"/>
        </w:rPr>
        <w:t> </w:t>
      </w:r>
      <w:r>
        <w:rPr>
          <w:spacing w:val="-77"/>
        </w:rPr>
      </w:r>
      <w:r>
        <w:rPr>
          <w:spacing w:val="-2"/>
        </w:rPr>
        <w:t>税，第四年至第八年减半征收企业所得税</w:t>
      </w:r>
      <w:r>
        <w:rPr>
          <w:rFonts w:ascii="Times New Roman" w:hAnsi="Times New Roman" w:cs="Times New Roman" w:eastAsia="Times New Roman" w:hint="default"/>
          <w:spacing w:val="-2"/>
        </w:rPr>
        <w:t>”</w:t>
      </w:r>
      <w:r>
        <w:rPr>
          <w:spacing w:val="-2"/>
        </w:rPr>
        <w:t>的优惠政策，新余茂硕享受</w:t>
      </w:r>
      <w:r>
        <w:rPr>
          <w:rFonts w:ascii="Times New Roman" w:hAnsi="Times New Roman" w:cs="Times New Roman" w:eastAsia="Times New Roman" w:hint="default"/>
          <w:spacing w:val="-2"/>
        </w:rPr>
        <w:t>“</w:t>
      </w:r>
      <w:r>
        <w:rPr>
          <w:spacing w:val="-2"/>
        </w:rPr>
        <w:t>自项目取得第一笔生产经营收入所属纳税年度起，第</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8"/>
        <w:jc w:val="left"/>
      </w:pPr>
      <w:r>
        <w:rPr/>
        <w:t>一年至第三年免征企业所得税，第四年至第六年减半征收企业所得税</w:t>
      </w:r>
      <w:r>
        <w:rPr>
          <w:rFonts w:ascii="Times New Roman" w:hAnsi="Times New Roman" w:cs="Times New Roman" w:eastAsia="Times New Roman" w:hint="default"/>
        </w:rPr>
        <w:t>”</w:t>
      </w:r>
      <w:r>
        <w:rPr/>
        <w:t>的优惠政策，据此萍乡茂硕、新余茂硕</w:t>
      </w:r>
      <w:r>
        <w:rPr>
          <w:rFonts w:ascii="Times New Roman" w:hAnsi="Times New Roman" w:cs="Times New Roman" w:eastAsia="Times New Roman" w:hint="default"/>
        </w:rPr>
        <w:t>2017</w:t>
      </w:r>
      <w:r>
        <w:rPr/>
        <w:t>年度免征</w:t>
      </w:r>
      <w:r>
        <w:rPr>
          <w:spacing w:val="-76"/>
        </w:rPr>
        <w:t> </w:t>
      </w:r>
      <w:r>
        <w:rPr/>
        <w:t>企业所得税。</w:t>
      </w:r>
    </w:p>
    <w:p>
      <w:pPr>
        <w:pStyle w:val="BodyText"/>
        <w:spacing w:line="319" w:lineRule="auto" w:before="31"/>
        <w:ind w:right="1130" w:firstLine="360"/>
        <w:jc w:val="both"/>
      </w:pPr>
      <w:r>
        <w:rPr>
          <w:spacing w:val="-2"/>
        </w:rPr>
        <w:t>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日，将小型微利企业的年应纳税所得额上限由</w:t>
      </w:r>
      <w:r>
        <w:rPr>
          <w:rFonts w:ascii="宋体" w:hAnsi="宋体" w:cs="宋体" w:eastAsia="宋体" w:hint="default"/>
          <w:spacing w:val="-2"/>
        </w:rPr>
        <w:t>30</w:t>
      </w:r>
      <w:r>
        <w:rPr>
          <w:spacing w:val="-2"/>
        </w:rPr>
        <w:t>万元提高至</w:t>
      </w:r>
      <w:r>
        <w:rPr>
          <w:rFonts w:ascii="宋体" w:hAnsi="宋体" w:cs="宋体" w:eastAsia="宋体" w:hint="default"/>
          <w:spacing w:val="-2"/>
        </w:rPr>
        <w:t>50</w:t>
      </w:r>
      <w:r>
        <w:rPr>
          <w:spacing w:val="-2"/>
        </w:rPr>
        <w:t>万元，对年应纳税所得额</w:t>
      </w:r>
      <w:r>
        <w:rPr/>
        <w:t> </w:t>
      </w:r>
      <w:r>
        <w:rPr>
          <w:spacing w:val="-2"/>
        </w:rPr>
        <w:t>低于</w:t>
      </w:r>
      <w:r>
        <w:rPr>
          <w:rFonts w:ascii="宋体" w:hAnsi="宋体" w:cs="宋体" w:eastAsia="宋体" w:hint="default"/>
          <w:spacing w:val="-2"/>
        </w:rPr>
        <w:t>50</w:t>
      </w:r>
      <w:r>
        <w:rPr>
          <w:spacing w:val="-2"/>
        </w:rPr>
        <w:t>万元（含</w:t>
      </w:r>
      <w:r>
        <w:rPr>
          <w:rFonts w:ascii="宋体" w:hAnsi="宋体" w:cs="宋体" w:eastAsia="宋体" w:hint="default"/>
          <w:spacing w:val="-2"/>
        </w:rPr>
        <w:t>50</w:t>
      </w:r>
      <w:r>
        <w:rPr>
          <w:spacing w:val="-2"/>
        </w:rPr>
        <w:t>万元）的小型微利企业，其所得减按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的税率缴纳企业所得税，山西茂硕符合</w:t>
      </w:r>
      <w:r>
        <w:rPr>
          <w:spacing w:val="-58"/>
        </w:rPr>
        <w:t> </w:t>
      </w:r>
      <w:r>
        <w:rPr>
          <w:spacing w:val="-58"/>
        </w:rPr>
      </w:r>
      <w:r>
        <w:rPr/>
        <w:t>小微企业条件，据此山西茂硕</w:t>
      </w:r>
      <w:r>
        <w:rPr>
          <w:rFonts w:ascii="宋体" w:hAnsi="宋体" w:cs="宋体" w:eastAsia="宋体" w:hint="default"/>
        </w:rPr>
        <w:t>2017</w:t>
      </w:r>
      <w:r>
        <w:rPr/>
        <w:t>年度的企业所得税税率为</w:t>
      </w:r>
      <w:r>
        <w:rPr>
          <w:rFonts w:ascii="宋体" w:hAnsi="宋体" w:cs="宋体" w:eastAsia="宋体" w:hint="default"/>
        </w:rPr>
        <w:t>20%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line="499" w:lineRule="auto" w:before="0"/>
        <w:ind w:left="153" w:right="7693" w:firstLine="0"/>
        <w:jc w:val="left"/>
        <w:rPr>
          <w:rFonts w:ascii="宋体" w:hAnsi="宋体" w:cs="宋体" w:eastAsia="宋体" w:hint="default"/>
          <w:sz w:val="20"/>
          <w:szCs w:val="20"/>
        </w:rPr>
      </w:pPr>
      <w:bookmarkStart w:name="3、其他" w:id="226"/>
      <w:bookmarkEnd w:id="226"/>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七、合并财务报表项目注释" w:id="227"/>
      <w:bookmarkEnd w:id="227"/>
      <w:r>
        <w:rPr>
          <w:rFonts w:ascii="宋体" w:hAnsi="宋体" w:cs="宋体" w:eastAsia="宋体" w:hint="default"/>
          <w:b/>
          <w:bCs/>
          <w:w w:val="99"/>
          <w:sz w:val="20"/>
          <w:szCs w:val="20"/>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sz w:val="20"/>
          <w:szCs w:val="20"/>
        </w:rPr>
      </w:r>
    </w:p>
    <w:p>
      <w:pPr>
        <w:pStyle w:val="BodyText"/>
        <w:spacing w:line="240" w:lineRule="auto" w:before="11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145,591.62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194,837,922.21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186,410,948.90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123,237,749.77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88,182,949.77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318,161,764.45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274,739,490.29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781,369.55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226,141.38</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4" w:right="113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日，本公司不存在质押、冻结，或有潜在收回风险的款项。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Heading3"/>
        <w:spacing w:line="240" w:lineRule="auto"/>
        <w:ind w:right="1130"/>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3,911,787.40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19,441,361.90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3,911,787.40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19,441,361.90</w:t>
            </w:r>
          </w:p>
        </w:tc>
      </w:tr>
    </w:tbl>
    <w:p>
      <w:pPr>
        <w:pStyle w:val="BodyText"/>
        <w:spacing w:line="338" w:lineRule="auto" w:before="51"/>
        <w:ind w:right="1213"/>
        <w:jc w:val="left"/>
      </w:pPr>
      <w:r>
        <w:rPr/>
        <w:t>其他说明： 指定为以公允价值计量且其变动计入当期损益的金融资产系与联营公司湖南方正达实际扣除非经常性损益后的净利润未达 到承诺利润，本公司应向股东方笑求、蓝顺明收取的补偿款。</w:t>
      </w:r>
    </w:p>
    <w:p>
      <w:pPr>
        <w:spacing w:line="240" w:lineRule="auto" w:before="13"/>
        <w:rPr>
          <w:rFonts w:ascii="宋体" w:hAnsi="宋体" w:cs="宋体" w:eastAsia="宋体" w:hint="default"/>
          <w:sz w:val="21"/>
          <w:szCs w:val="21"/>
        </w:rPr>
      </w:pPr>
    </w:p>
    <w:p>
      <w:pPr>
        <w:pStyle w:val="Heading3"/>
        <w:spacing w:line="240" w:lineRule="auto"/>
        <w:ind w:left="154" w:right="1130"/>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4、应收票据" w:id="231"/>
      <w:bookmarkEnd w:id="23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应收票据分类列示" w:id="232"/>
      <w:bookmarkEnd w:id="23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68,152,883.85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63,036,690.66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20,284,091.57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22,161,738.38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88,436,975.42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85,198,429.04</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期末公司已质押的应收票据" w:id="233"/>
      <w:bookmarkEnd w:id="23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29,963,829.65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29,963,829.65</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期末公司已背书或贴现且在资产负债表日尚未到期的应收票据" w:id="234"/>
      <w:bookmarkEnd w:id="23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256,878,310.60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21,307,289.84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256,878,310.60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22,407,289.84</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4）期末公司因出票人未履约而将其转应收账款的票据" w:id="235"/>
      <w:bookmarkEnd w:id="23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5、应收账款" w:id="236"/>
      <w:bookmarkEnd w:id="23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应收账款分类披露" w:id="237"/>
      <w:bookmarkEnd w:id="2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23,395,2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96.53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18,219,1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5,176,110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37,696,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865.46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28,757,07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8,939,787.5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517,329,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763.48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42,756,3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474,573,4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63.20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618,504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,251.62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38,555,52</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579,948,72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6.57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107,450.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75,215.0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32,235.00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540,832,</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510.01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61,050,7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11.29%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479,781,8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09.01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656,201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,117.08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67,312,60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2.92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588,888,51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4.16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8,186,425.59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6,549,140.47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Energy Solar Pty</w:t>
            </w:r>
            <w:r>
              <w:rPr>
                <w:rFonts w:ascii="Times New Roman"/>
                <w:spacing w:val="-6"/>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6,252,651.38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3,126,325.69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5"/>
              <w:jc w:val="left"/>
              <w:rPr>
                <w:rFonts w:ascii="Times New Roman" w:hAnsi="Times New Roman" w:cs="Times New Roman" w:eastAsia="Times New Roman" w:hint="default"/>
                <w:sz w:val="18"/>
                <w:szCs w:val="18"/>
              </w:rPr>
            </w:pPr>
            <w:r>
              <w:rPr>
                <w:rFonts w:ascii="Times New Roman"/>
                <w:sz w:val="18"/>
              </w:rPr>
              <w:t>CLOSED JOIN</w:t>
            </w:r>
            <w:r>
              <w:rPr>
                <w:rFonts w:ascii="Times New Roman"/>
                <w:spacing w:val="-1"/>
                <w:sz w:val="18"/>
              </w:rPr>
              <w:t> </w:t>
            </w:r>
            <w:r>
              <w:rPr>
                <w:rFonts w:ascii="Times New Roman"/>
                <w:sz w:val="18"/>
              </w:rPr>
              <w:t>STOCK</w:t>
            </w:r>
            <w:r>
              <w:rPr>
                <w:rFonts w:ascii="Times New Roman"/>
                <w:w w:val="99"/>
                <w:sz w:val="18"/>
              </w:rPr>
              <w:t> </w:t>
            </w:r>
            <w:r>
              <w:rPr>
                <w:rFonts w:ascii="Times New Roman"/>
                <w:sz w:val="18"/>
              </w:rPr>
              <w:t>COMPANY</w:t>
            </w:r>
            <w:r>
              <w:rPr>
                <w:rFonts w:ascii="Times New Roman"/>
                <w:spacing w:val="-3"/>
                <w:sz w:val="18"/>
              </w:rPr>
              <w:t> </w:t>
            </w:r>
            <w:r>
              <w:rPr>
                <w:rFonts w:ascii="Times New Roman"/>
                <w:sz w:val="18"/>
              </w:rPr>
              <w:t>OPTOGAN</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2,729,610.04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2,729,610.04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湖北诺亚光电科技有限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2,076,456.50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2,076,456.50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福建省能宝光电集团有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1,962,009.87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1,962,009.87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深圳市中景科创光电科 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1,038,524.09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1,038,524.09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陕西易兆通新能源科技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88"/>
              <w:jc w:val="left"/>
              <w:rPr>
                <w:rFonts w:ascii="Times New Roman" w:hAnsi="Times New Roman" w:cs="Times New Roman" w:eastAsia="Times New Roman" w:hint="default"/>
                <w:sz w:val="18"/>
                <w:szCs w:val="18"/>
              </w:rPr>
            </w:pPr>
            <w:r>
              <w:rPr>
                <w:rFonts w:ascii="Times New Roman"/>
                <w:sz w:val="18"/>
              </w:rPr>
              <w:t>IRES ASIA</w:t>
            </w:r>
            <w:r>
              <w:rPr>
                <w:rFonts w:ascii="Times New Roman"/>
                <w:spacing w:val="-2"/>
                <w:sz w:val="18"/>
              </w:rPr>
              <w:t> </w:t>
            </w:r>
            <w:r>
              <w:rPr>
                <w:rFonts w:ascii="Times New Roman"/>
                <w:sz w:val="18"/>
              </w:rPr>
              <w:t>PACIFIC</w:t>
            </w:r>
            <w:r>
              <w:rPr>
                <w:rFonts w:ascii="Times New Roman"/>
                <w:w w:val="99"/>
                <w:sz w:val="18"/>
              </w:rPr>
              <w:t> </w:t>
            </w:r>
            <w:r>
              <w:rPr>
                <w:rFonts w:ascii="Times New Roman"/>
                <w:sz w:val="18"/>
              </w:rPr>
              <w:t>PTY</w:t>
            </w:r>
            <w:r>
              <w:rPr>
                <w:rFonts w:ascii="Times New Roman"/>
                <w:spacing w:val="-1"/>
                <w:sz w:val="18"/>
              </w:rPr>
              <w:t> </w:t>
            </w:r>
            <w:r>
              <w:rPr>
                <w:rFonts w:ascii="Times New Roman"/>
                <w:sz w:val="18"/>
              </w:rPr>
              <w:t>LTD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324,619.06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324,619.06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23,395,296.53</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18,219,185.72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组合中，按账龄分析法计提坏账准备的应收账款：</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352,728,784.90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86,984,825.62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4,458,035.43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439,713,610.52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4,458,035.43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32,816,787.45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3,327,795.56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7,793,531.17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1,558,706.24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7,188,142.59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3,594,071.30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29,817,691.75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29,817,691.75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517,329,763.48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42,756,300.28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1"/>
          <w:szCs w:val="21"/>
        </w:rPr>
      </w:pPr>
    </w:p>
    <w:p>
      <w:pPr>
        <w:pStyle w:val="Heading3"/>
        <w:spacing w:line="240" w:lineRule="auto"/>
        <w:ind w:right="1130"/>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20,869,742.82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本期实际核销的应收账款情况" w:id="239"/>
      <w:bookmarkEnd w:id="2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6,455,973.82</w:t>
            </w:r>
          </w:p>
        </w:tc>
      </w:tr>
    </w:tbl>
    <w:p>
      <w:pPr>
        <w:pStyle w:val="BodyText"/>
        <w:spacing w:line="240" w:lineRule="auto" w:before="51"/>
        <w:ind w:left="154" w:right="113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3"/>
              <w:jc w:val="left"/>
              <w:rPr>
                <w:rFonts w:ascii="宋体" w:hAnsi="宋体" w:cs="宋体" w:eastAsia="宋体" w:hint="default"/>
                <w:sz w:val="18"/>
                <w:szCs w:val="18"/>
              </w:rPr>
            </w:pPr>
            <w:r>
              <w:rPr>
                <w:rFonts w:ascii="宋体" w:hAnsi="宋体" w:cs="宋体" w:eastAsia="宋体" w:hint="default"/>
                <w:sz w:val="18"/>
                <w:szCs w:val="18"/>
              </w:rPr>
              <w:t>南京冠亚电源设备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91"/>
              <w:jc w:val="left"/>
              <w:rPr>
                <w:rFonts w:ascii="Times New Roman" w:hAnsi="Times New Roman" w:cs="Times New Roman" w:eastAsia="Times New Roman" w:hint="default"/>
                <w:sz w:val="18"/>
                <w:szCs w:val="18"/>
              </w:rPr>
            </w:pPr>
            <w:r>
              <w:rPr>
                <w:rFonts w:ascii="Times New Roman"/>
                <w:sz w:val="18"/>
              </w:rPr>
              <w:t>Altech</w:t>
            </w:r>
            <w:r>
              <w:rPr>
                <w:rFonts w:ascii="Times New Roman"/>
                <w:w w:val="99"/>
                <w:sz w:val="18"/>
              </w:rPr>
              <w:t> </w:t>
            </w:r>
            <w:r>
              <w:rPr>
                <w:rFonts w:ascii="Times New Roman"/>
                <w:sz w:val="18"/>
              </w:rPr>
              <w:t>UEC(Pty)LTD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1,307,581.07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66"/>
              <w:jc w:val="left"/>
              <w:rPr>
                <w:rFonts w:ascii="Times New Roman" w:hAnsi="Times New Roman" w:cs="Times New Roman" w:eastAsia="Times New Roman" w:hint="default"/>
                <w:sz w:val="18"/>
                <w:szCs w:val="18"/>
              </w:rPr>
            </w:pPr>
            <w:r>
              <w:rPr>
                <w:rFonts w:ascii="Times New Roman"/>
                <w:sz w:val="18"/>
              </w:rPr>
              <w:t>CODED</w:t>
            </w:r>
            <w:r>
              <w:rPr>
                <w:rFonts w:ascii="Times New Roman"/>
                <w:w w:val="99"/>
                <w:sz w:val="18"/>
              </w:rPr>
              <w:t> </w:t>
            </w:r>
            <w:r>
              <w:rPr>
                <w:rFonts w:ascii="Times New Roman"/>
                <w:sz w:val="18"/>
              </w:rPr>
              <w:t>INSTRUCTION</w:t>
            </w:r>
            <w:r>
              <w:rPr>
                <w:rFonts w:ascii="Times New Roman"/>
                <w:w w:val="99"/>
                <w:sz w:val="18"/>
              </w:rPr>
              <w:t> </w:t>
            </w:r>
            <w:r>
              <w:rPr>
                <w:rFonts w:ascii="Times New Roman"/>
                <w:sz w:val="18"/>
              </w:rPr>
              <w:t>SECURITY</w:t>
            </w:r>
            <w:r>
              <w:rPr>
                <w:rFonts w:ascii="Times New Roman"/>
                <w:spacing w:val="-2"/>
                <w:sz w:val="18"/>
              </w:rPr>
              <w:t> </w:t>
            </w:r>
            <w:r>
              <w:rPr>
                <w:rFonts w:ascii="Times New Roman"/>
                <w:sz w:val="18"/>
              </w:rPr>
              <w:t>CORP</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905,844.70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5,713,425.77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4）按欠款方归集的期末余额前五名的应收账款情况" w:id="240"/>
      <w:bookmarkEnd w:id="2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6"/>
          <w:szCs w:val="26"/>
        </w:rPr>
      </w:pPr>
    </w:p>
    <w:p>
      <w:pPr>
        <w:pStyle w:val="BodyText"/>
        <w:spacing w:line="300" w:lineRule="auto"/>
        <w:ind w:right="1130"/>
        <w:jc w:val="left"/>
      </w:pPr>
      <w:r>
        <w:rPr/>
        <w:t>本公司年末余额前五名应收账款金额为</w:t>
      </w:r>
      <w:r>
        <w:rPr>
          <w:rFonts w:ascii="Times New Roman" w:hAnsi="Times New Roman" w:cs="Times New Roman" w:eastAsia="Times New Roman" w:hint="default"/>
        </w:rPr>
        <w:t>125,858,688.37</w:t>
      </w:r>
      <w:r>
        <w:rPr/>
        <w:t>元，占应收账款年末余额合计数的比例为</w:t>
      </w:r>
      <w:r>
        <w:rPr>
          <w:rFonts w:ascii="Times New Roman" w:hAnsi="Times New Roman" w:cs="Times New Roman" w:eastAsia="Times New Roman" w:hint="default"/>
        </w:rPr>
        <w:t>23.27%</w:t>
      </w:r>
      <w:r>
        <w:rPr/>
        <w:t>，相应计提的坏账准</w:t>
      </w:r>
      <w:r>
        <w:rPr>
          <w:spacing w:val="-60"/>
        </w:rPr>
        <w:t> </w:t>
      </w:r>
      <w:r>
        <w:rPr>
          <w:spacing w:val="-60"/>
        </w:rPr>
      </w:r>
      <w:r>
        <w:rPr/>
        <w:t>备年末余额汇总金额为</w:t>
      </w:r>
      <w:r>
        <w:rPr>
          <w:rFonts w:ascii="Times New Roman" w:hAnsi="Times New Roman" w:cs="Times New Roman" w:eastAsia="Times New Roman" w:hint="default"/>
        </w:rPr>
        <w:t>4,055,422.50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130"/>
        <w:jc w:val="left"/>
        <w:rPr>
          <w:b w:val="0"/>
          <w:bCs w:val="0"/>
        </w:rPr>
      </w:pPr>
      <w:bookmarkStart w:name="（5）因金融资产转移而终止确认的应收账款" w:id="241"/>
      <w:bookmarkEnd w:id="24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30"/>
        <w:jc w:val="left"/>
      </w:pPr>
      <w:r>
        <w:rPr/>
        <w:t>本报告期无因金融资产转移而终止确认的应收款项。</w:t>
      </w:r>
    </w:p>
    <w:p>
      <w:pPr>
        <w:spacing w:line="240" w:lineRule="auto" w:before="0"/>
        <w:rPr>
          <w:rFonts w:ascii="宋体" w:hAnsi="宋体" w:cs="宋体" w:eastAsia="宋体" w:hint="default"/>
          <w:sz w:val="18"/>
          <w:szCs w:val="18"/>
        </w:rPr>
      </w:pPr>
    </w:p>
    <w:p>
      <w:pPr>
        <w:pStyle w:val="Heading3"/>
        <w:spacing w:line="240" w:lineRule="auto" w:before="126"/>
        <w:ind w:right="1130"/>
        <w:jc w:val="left"/>
        <w:rPr>
          <w:b w:val="0"/>
          <w:bCs w:val="0"/>
        </w:rPr>
      </w:pPr>
      <w:bookmarkStart w:name="（6）转移应收账款且继续涉入形成的资产、负债金额" w:id="242"/>
      <w:bookmarkEnd w:id="24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BodyText"/>
        <w:spacing w:line="676" w:lineRule="auto"/>
        <w:ind w:right="6253"/>
        <w:jc w:val="left"/>
      </w:pPr>
      <w:r>
        <w:rPr/>
        <w:t>年末无转移应收账款且继续涉入形成的资产、负债金额。 其他说明：</w:t>
      </w:r>
    </w:p>
    <w:p>
      <w:pPr>
        <w:pStyle w:val="Heading3"/>
        <w:spacing w:line="240" w:lineRule="auto" w:before="33"/>
        <w:ind w:right="1130"/>
        <w:jc w:val="left"/>
        <w:rPr>
          <w:b w:val="0"/>
          <w:bCs w:val="0"/>
        </w:rPr>
      </w:pPr>
      <w:bookmarkStart w:name="6、预付款项" w:id="243"/>
      <w:bookmarkEnd w:id="24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1）预付款项按账龄列示" w:id="244"/>
      <w:bookmarkEnd w:id="24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2,265,330.82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4,240,483.50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368,132.35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73,994.02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2,633,463.17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4,314,477.52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415"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w:t>
      </w:r>
      <w:r>
        <w:rPr>
          <w:rFonts w:ascii="宋体" w:hAnsi="宋体" w:cs="宋体" w:eastAsia="宋体" w:hint="default"/>
          <w:b/>
          <w:bCs/>
          <w:sz w:val="18"/>
          <w:szCs w:val="18"/>
        </w:rPr>
        <w:t>期末无账龄超过一年且金额重要的预付款项。</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3"/>
          <w:szCs w:val="23"/>
        </w:rPr>
      </w:pPr>
    </w:p>
    <w:p>
      <w:pPr>
        <w:pStyle w:val="Heading3"/>
        <w:spacing w:line="240" w:lineRule="auto"/>
        <w:ind w:left="154" w:right="1130"/>
        <w:jc w:val="left"/>
        <w:rPr>
          <w:b w:val="0"/>
          <w:bCs w:val="0"/>
        </w:rPr>
      </w:pPr>
      <w:bookmarkStart w:name="（2）按预付对象归集的期末余额前五名的预付款情况" w:id="245"/>
      <w:bookmarkEnd w:id="24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6"/>
          <w:szCs w:val="26"/>
        </w:rPr>
      </w:pPr>
    </w:p>
    <w:p>
      <w:pPr>
        <w:pStyle w:val="BodyText"/>
        <w:spacing w:line="640" w:lineRule="auto"/>
        <w:ind w:right="1037"/>
        <w:jc w:val="left"/>
      </w:pPr>
      <w:r>
        <w:rPr>
          <w:spacing w:val="-1"/>
        </w:rPr>
        <w:t>本公司按预付对象归集的年末余额前五名预付账款汇总金额为</w:t>
      </w:r>
      <w:r>
        <w:rPr>
          <w:rFonts w:ascii="Times New Roman" w:hAnsi="Times New Roman" w:cs="Times New Roman" w:eastAsia="Times New Roman" w:hint="default"/>
          <w:spacing w:val="-1"/>
        </w:rPr>
        <w:t>1,356,704.80</w:t>
      </w:r>
      <w:r>
        <w:rPr>
          <w:spacing w:val="-1"/>
        </w:rPr>
        <w:t>元，占预付账款年末余额合计数的比例为</w:t>
      </w:r>
      <w:r>
        <w:rPr>
          <w:rFonts w:ascii="Times New Roman" w:hAnsi="Times New Roman" w:cs="Times New Roman" w:eastAsia="Times New Roman" w:hint="default"/>
          <w:spacing w:val="-1"/>
        </w:rPr>
        <w:t>51.52%</w:t>
      </w:r>
      <w:r>
        <w:rPr>
          <w:spacing w:val="-1"/>
        </w:rPr>
        <w:t>。</w:t>
      </w:r>
      <w:r>
        <w:rPr>
          <w:spacing w:val="-82"/>
        </w:rPr>
        <w:t> </w:t>
      </w:r>
      <w:r>
        <w:rPr/>
        <w:t>其他说明：</w:t>
      </w:r>
    </w:p>
    <w:p>
      <w:pPr>
        <w:spacing w:after="0" w:line="6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7、应收利息" w:id="246"/>
      <w:bookmarkEnd w:id="24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应收利息分类" w:id="247"/>
      <w:bookmarkEnd w:id="24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重要逾期利息" w:id="248"/>
      <w:bookmarkEnd w:id="24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8、应收股利" w:id="249"/>
      <w:bookmarkEnd w:id="24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应收股利" w:id="250"/>
      <w:bookmarkEnd w:id="25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重要的账龄超过1年的应收股利" w:id="251"/>
      <w:bookmarkEnd w:id="251"/>
      <w:r>
        <w:rPr>
          <w:b w:val="0"/>
          <w:bCs w:val="0"/>
        </w:rPr>
      </w:r>
      <w:r>
        <w:rPr/>
        <w:t>（</w:t>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 </w:t>
      </w:r>
      <w:r>
        <w:rPr/>
        <w:t>年的应收股利</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9、其他应收款" w:id="252"/>
      <w:bookmarkEnd w:id="25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其他应收款分类披露" w:id="253"/>
      <w:bookmarkEnd w:id="25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9,434,20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22.98%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6,534,20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69.26%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6,937,0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24.35%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6,937,000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29,652,3</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31.86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901,588.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28,750,74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21,550,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353.52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1,192,150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20,358,202.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1,973,91</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1,973,919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.73</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41,060,4</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7,435,78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33,624,66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28,487,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353.52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8,129,150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20,358,202.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On-Q Lighting</w:t>
            </w:r>
            <w:r>
              <w:rPr>
                <w:rFonts w:ascii="Times New Roman"/>
                <w:spacing w:val="-3"/>
                <w:sz w:val="18"/>
              </w:rPr>
              <w:t> </w:t>
            </w:r>
            <w:r>
              <w:rPr>
                <w:rFonts w:ascii="Times New Roman"/>
                <w:sz w:val="18"/>
              </w:rPr>
              <w:t>Systems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深圳市桑泰实业发展有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东莞市鑫诠光电技术有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浪潮软件集团有限公司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深圳市奥维特机电有限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9,434,200.00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6,534,200.00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27,297,021.65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1,084,932.42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53,921.53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28,381,954.07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53,921.53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365,996.00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36,599.60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107,005.30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21,401.06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14,419.87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46.53%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782,956.62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782,956.62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29,652,331.86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901,588.74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w:t>
            </w:r>
          </w:p>
        </w:tc>
      </w:tr>
    </w:tbl>
    <w:p>
      <w:pPr>
        <w:pStyle w:val="BodyText"/>
        <w:spacing w:line="240" w:lineRule="auto" w:before="51"/>
        <w:ind w:left="154" w:right="1130"/>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565,540.62</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19" w:space="251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本期实际核销的其他应收款情况" w:id="255"/>
      <w:bookmarkEnd w:id="25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113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4）其他应收款按款项性质分类情况" w:id="256"/>
      <w:bookmarkEnd w:id="25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23,717,911.44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12,861,000.21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8,761,510.84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9,063,239.76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4,318,791.46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3,313,212.13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应收股权转让款</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762,237.85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3,249,901.42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41,060,451.59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28,487,353.52</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5）按欠款方归集的期末余额前五名的其他应收款情况" w:id="257"/>
      <w:bookmarkEnd w:id="25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23,717,911.44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35,752,111.44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6,534,200.00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6）涉及政府补助的应收款项" w:id="258"/>
      <w:bookmarkEnd w:id="25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0"/>
        <w:ind w:left="154" w:right="1130"/>
        <w:jc w:val="left"/>
      </w:pPr>
      <w:r>
        <w:rPr/>
        <w:t>本报告期无涉及政府补助的应收款项。</w:t>
      </w:r>
    </w:p>
    <w:p>
      <w:pPr>
        <w:spacing w:line="240" w:lineRule="auto" w:before="0"/>
        <w:rPr>
          <w:rFonts w:ascii="宋体" w:hAnsi="宋体" w:cs="宋体" w:eastAsia="宋体" w:hint="default"/>
          <w:sz w:val="18"/>
          <w:szCs w:val="18"/>
        </w:rPr>
      </w:pPr>
    </w:p>
    <w:p>
      <w:pPr>
        <w:pStyle w:val="Heading3"/>
        <w:spacing w:line="240" w:lineRule="auto" w:before="126"/>
        <w:ind w:left="154" w:right="1130"/>
        <w:jc w:val="left"/>
        <w:rPr>
          <w:b w:val="0"/>
          <w:bCs w:val="0"/>
        </w:rPr>
      </w:pPr>
      <w:bookmarkStart w:name="（7）因金融资产转移而终止确认的其他应收款" w:id="259"/>
      <w:bookmarkEnd w:id="25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54" w:right="1130"/>
        <w:jc w:val="left"/>
      </w:pPr>
      <w:r>
        <w:rPr/>
        <w:t>本报告期无因金融资产转移而终止确认的其他应收款。</w:t>
      </w:r>
    </w:p>
    <w:p>
      <w:pPr>
        <w:spacing w:line="240" w:lineRule="auto" w:before="0"/>
        <w:rPr>
          <w:rFonts w:ascii="宋体" w:hAnsi="宋体" w:cs="宋体" w:eastAsia="宋体" w:hint="default"/>
          <w:sz w:val="18"/>
          <w:szCs w:val="18"/>
        </w:rPr>
      </w:pPr>
    </w:p>
    <w:p>
      <w:pPr>
        <w:pStyle w:val="Heading3"/>
        <w:spacing w:line="240" w:lineRule="auto" w:before="126"/>
        <w:ind w:left="154" w:right="1130"/>
        <w:jc w:val="left"/>
        <w:rPr>
          <w:b w:val="0"/>
          <w:bCs w:val="0"/>
        </w:rPr>
      </w:pPr>
      <w:bookmarkStart w:name="（8）转移其他应收款且继续涉入形成的资产、负债金额" w:id="260"/>
      <w:bookmarkEnd w:id="26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BodyText"/>
        <w:spacing w:line="676" w:lineRule="auto"/>
        <w:ind w:left="154" w:right="5892"/>
        <w:jc w:val="left"/>
      </w:pPr>
      <w:r>
        <w:rPr/>
        <w:t>本报告期无转移其他应收款且继续涉入而形成的资产、负债。 其他说明：</w:t>
      </w:r>
    </w:p>
    <w:p>
      <w:pPr>
        <w:pStyle w:val="Heading3"/>
        <w:spacing w:line="240" w:lineRule="auto" w:before="32"/>
        <w:ind w:left="154" w:right="1130"/>
        <w:jc w:val="left"/>
        <w:rPr>
          <w:b w:val="0"/>
          <w:bCs w:val="0"/>
        </w:rPr>
      </w:pPr>
      <w:bookmarkStart w:name="10、存货" w:id="261"/>
      <w:bookmarkEnd w:id="261"/>
      <w:r>
        <w:rPr>
          <w:b w:val="0"/>
          <w:bCs w:val="0"/>
        </w:rPr>
      </w:r>
      <w:r>
        <w:rPr>
          <w:rFonts w:ascii="Times New Roman" w:hAnsi="Times New Roman" w:cs="Times New Roman" w:eastAsia="Times New Roman" w:hint="default"/>
        </w:rPr>
        <w:t>10</w:t>
      </w:r>
      <w:r>
        <w:rPr/>
        <w:t>、存货</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left="154" w:right="7512"/>
        <w:jc w:val="left"/>
      </w:pPr>
      <w:r>
        <w:rPr/>
        <w:t>公司是否需要遵守房地产行业的披露要求 否</w:t>
      </w:r>
    </w:p>
    <w:p>
      <w:pPr>
        <w:spacing w:line="240" w:lineRule="auto" w:before="9"/>
        <w:rPr>
          <w:rFonts w:ascii="宋体" w:hAnsi="宋体" w:cs="宋体" w:eastAsia="宋体" w:hint="default"/>
          <w:sz w:val="20"/>
          <w:szCs w:val="20"/>
        </w:rPr>
      </w:pPr>
    </w:p>
    <w:p>
      <w:pPr>
        <w:pStyle w:val="Heading3"/>
        <w:spacing w:line="240" w:lineRule="auto"/>
        <w:ind w:left="154" w:right="1130"/>
        <w:jc w:val="left"/>
        <w:rPr>
          <w:b w:val="0"/>
          <w:bCs w:val="0"/>
        </w:rPr>
      </w:pPr>
      <w:bookmarkStart w:name="（1）存货分类" w:id="262"/>
      <w:bookmarkEnd w:id="26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97,848,098.90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11,915,623.67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85,932,475.23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88,908,741.40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4,428,881.71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84,479,859.69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16,297,381.37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16,297,381.37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30,282,112.78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30,282,112.78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73,045,584.16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11,911,190.66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61,134,393.50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74,460,490.01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6,210,668.47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68,249,821.54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47,390.73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47,390.73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1,037,568.61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1,037,568.61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28,259,983.90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28,259,983.90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26,241,472.58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26,241,472.58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9,219,968.67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9,219,968.67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1,383,137.81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1,383,137.81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2,503,389.93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291,695.67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2,211,694.26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1,967,445.58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1,967,445.58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227,221,797.66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24,118,510.00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203,103,287.66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224,280,968.77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10,639,550.18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213,641,418.59</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9"/>
        <w:rPr>
          <w:rFonts w:ascii="宋体" w:hAnsi="宋体" w:cs="宋体" w:eastAsia="宋体" w:hint="default"/>
          <w:sz w:val="21"/>
          <w:szCs w:val="21"/>
        </w:rPr>
      </w:pPr>
    </w:p>
    <w:p>
      <w:pPr>
        <w:pStyle w:val="Heading3"/>
        <w:spacing w:line="240" w:lineRule="auto"/>
        <w:ind w:left="154" w:right="1130"/>
        <w:jc w:val="left"/>
        <w:rPr>
          <w:b w:val="0"/>
          <w:bCs w:val="0"/>
        </w:rPr>
      </w:pPr>
      <w:bookmarkStart w:name="（2）存货跌价准备" w:id="263"/>
      <w:bookmarkEnd w:id="26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4,428,881.71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9,364,582.75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1,877,840.79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11,915,623.67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6,210,668.47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7,547,571.19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1,847,049.00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11,911,190.66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291,695.67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291,695.67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10,639,550.18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17,203,849.61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3,724,889.79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24,118,510.00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存货期末余额含有借款费用资本化金额的说明" w:id="264"/>
      <w:bookmarkEnd w:id="26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4）期末建造合同形成的已完工未结算资产情况" w:id="265"/>
      <w:bookmarkEnd w:id="26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11、持有待售的资产" w:id="266"/>
      <w:bookmarkEnd w:id="26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12、一年内到期的非流动资产" w:id="267"/>
      <w:bookmarkEnd w:id="26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5,081,995.31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5,081,995.31</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13、其他流动资产" w:id="268"/>
      <w:bookmarkEnd w:id="26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预交税款及待抵扣增值税进项税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26,423,314.62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25,302,369.15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待摊租金、保险等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64,685.17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95,042.73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26,487,999.79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27,397,411.88</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14、可供出售金融资产" w:id="269"/>
      <w:bookmarkEnd w:id="26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可供出售金融资产情况" w:id="270"/>
      <w:bookmarkEnd w:id="27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5"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50,273,143.21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11,625,860.00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38,647,283.21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44,754,143.21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40,523,683.21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50,273,143.21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11,625,860.00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38,647,283.21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44,754,143.21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40,523,683.21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50,273,143.21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11,625,860.00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38,647,283.21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44,754,143.21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40,523,683.21</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期末按公允价值计量的可供出售金融资产" w:id="271"/>
      <w:bookmarkEnd w:id="27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期末按成本计量的可供出售金融资产" w:id="272"/>
      <w:bookmarkEnd w:id="27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杭州骑客 智能科技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深圳市聚 电网络科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Glamorsky</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佛山市南 海区联合 广东新光 源产业创 新中心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23"/>
              <w:jc w:val="left"/>
              <w:rPr>
                <w:rFonts w:ascii="Times New Roman" w:hAnsi="Times New Roman" w:cs="Times New Roman" w:eastAsia="Times New Roman" w:hint="default"/>
                <w:sz w:val="18"/>
                <w:szCs w:val="18"/>
              </w:rPr>
            </w:pPr>
            <w:r>
              <w:rPr>
                <w:rFonts w:ascii="Times New Roman"/>
                <w:sz w:val="18"/>
              </w:rPr>
              <w:t>Brilliant</w:t>
            </w:r>
            <w:r>
              <w:rPr>
                <w:rFonts w:ascii="Times New Roman"/>
                <w:w w:val="99"/>
                <w:sz w:val="18"/>
              </w:rPr>
              <w:t> </w:t>
            </w:r>
            <w:r>
              <w:rPr>
                <w:rFonts w:ascii="Times New Roman"/>
                <w:sz w:val="18"/>
              </w:rPr>
              <w:t>Info Corp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安徽新国 利英核能 源有限公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1,046,966.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1,046,966.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河南弘康 茂硕电气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深圳茂硕 祥泰科技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湖南茂硕 新能源科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143,591.47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 w:right="0"/>
              <w:jc w:val="center"/>
              <w:rPr>
                <w:rFonts w:ascii="Times New Roman" w:hAnsi="Times New Roman" w:cs="Times New Roman" w:eastAsia="Times New Roman" w:hint="default"/>
                <w:sz w:val="18"/>
                <w:szCs w:val="18"/>
              </w:rPr>
            </w:pPr>
            <w:r>
              <w:rPr>
                <w:rFonts w:ascii="Times New Roman"/>
                <w:sz w:val="18"/>
              </w:rPr>
              <w:t>143,591.47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19.95%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深圳市迈 斯达尔医 疗器械有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2" w:right="0"/>
              <w:jc w:val="center"/>
              <w:rPr>
                <w:rFonts w:ascii="Times New Roman" w:hAnsi="Times New Roman" w:cs="Times New Roman" w:eastAsia="Times New Roman" w:hint="default"/>
                <w:sz w:val="18"/>
                <w:szCs w:val="18"/>
              </w:rPr>
            </w:pPr>
            <w:r>
              <w:rPr>
                <w:rFonts w:ascii="Times New Roman"/>
                <w:sz w:val="18"/>
              </w:rPr>
              <w:t>45,000.00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浙江茂硕 新能源科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42,725.74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2" w:right="0"/>
              <w:jc w:val="center"/>
              <w:rPr>
                <w:rFonts w:ascii="Times New Roman" w:hAnsi="Times New Roman" w:cs="Times New Roman" w:eastAsia="Times New Roman" w:hint="default"/>
                <w:sz w:val="18"/>
                <w:szCs w:val="18"/>
              </w:rPr>
            </w:pPr>
            <w:r>
              <w:rPr>
                <w:rFonts w:ascii="Times New Roman"/>
                <w:sz w:val="18"/>
              </w:rPr>
              <w:t>42,725.74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19.95%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深圳茂硕 投资发展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深圳前海 茂硕新能 源科技有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19.95%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深圳茂硕 尚世文化</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19,000.00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19,000.00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传媒有限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44,754,143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50,273,143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7,395,400.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11,625,860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8"/>
        <w:ind w:left="154" w:right="1130"/>
        <w:jc w:val="left"/>
        <w:rPr>
          <w:b w:val="0"/>
          <w:bCs w:val="0"/>
        </w:rPr>
      </w:pPr>
      <w:bookmarkStart w:name="（4）报告期内可供出售金融资产减值的变动情况" w:id="273"/>
      <w:bookmarkEnd w:id="27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4,230,460.00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4,230,460.00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7,395,400.00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11,625,860.00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11,625,860.00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5）可供出售权益工具期末公允价值严重下跌或非暂时性下跌但未计提减值准备的相关说" w:id="274"/>
      <w:bookmarkEnd w:id="27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5"/>
        <w:ind w:right="1130"/>
        <w:jc w:val="left"/>
        <w:rPr>
          <w:b w:val="0"/>
          <w:bCs w:val="0"/>
        </w:rPr>
      </w:pPr>
      <w:bookmarkStart w:name="15、持有至到期投资" w:id="275"/>
      <w:bookmarkEnd w:id="27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持有至到期投资情况" w:id="276"/>
      <w:bookmarkEnd w:id="27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期末重要的持有至到期投资" w:id="277"/>
      <w:bookmarkEnd w:id="27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本期重分类的持有至到期投资" w:id="278"/>
      <w:bookmarkEnd w:id="27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16、长期应收款" w:id="279"/>
      <w:bookmarkEnd w:id="27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长期应收款情况" w:id="280"/>
      <w:bookmarkEnd w:id="28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17,281,363.57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17,281,363.57</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3,267,003.33</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3,267,003.33</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18,281,363.57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18,281,363.57</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因金融资产转移而终止确认的长期应收款" w:id="281"/>
      <w:bookmarkEnd w:id="28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54" w:right="1130"/>
        <w:jc w:val="left"/>
      </w:pPr>
      <w:r>
        <w:rPr/>
        <w:t>本报告期无因金融资产转移而终止确认的长期应收款。</w:t>
      </w:r>
    </w:p>
    <w:p>
      <w:pPr>
        <w:spacing w:line="240" w:lineRule="auto" w:before="0"/>
        <w:rPr>
          <w:rFonts w:ascii="宋体" w:hAnsi="宋体" w:cs="宋体" w:eastAsia="宋体" w:hint="default"/>
          <w:sz w:val="18"/>
          <w:szCs w:val="18"/>
        </w:rPr>
      </w:pPr>
    </w:p>
    <w:p>
      <w:pPr>
        <w:pStyle w:val="Heading3"/>
        <w:spacing w:line="240" w:lineRule="auto" w:before="126"/>
        <w:ind w:left="154" w:right="1130"/>
        <w:jc w:val="left"/>
        <w:rPr>
          <w:b w:val="0"/>
          <w:bCs w:val="0"/>
        </w:rPr>
      </w:pPr>
      <w:bookmarkStart w:name="（3）转移长期应收款且继续涉入形成的资产、负债金额" w:id="282"/>
      <w:bookmarkEnd w:id="28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left="154" w:right="5892"/>
        <w:jc w:val="left"/>
      </w:pPr>
      <w:r>
        <w:rPr/>
        <w:t>本报告期无转移长期应收款且继续涉入而形成的资产、负债。 其他说明</w:t>
      </w:r>
    </w:p>
    <w:p>
      <w:pPr>
        <w:spacing w:line="240" w:lineRule="auto" w:before="9"/>
        <w:rPr>
          <w:rFonts w:ascii="宋体" w:hAnsi="宋体" w:cs="宋体" w:eastAsia="宋体" w:hint="default"/>
          <w:sz w:val="20"/>
          <w:szCs w:val="20"/>
        </w:rPr>
      </w:pPr>
    </w:p>
    <w:p>
      <w:pPr>
        <w:pStyle w:val="Heading3"/>
        <w:spacing w:line="240" w:lineRule="auto"/>
        <w:ind w:left="154" w:right="1130"/>
        <w:jc w:val="left"/>
        <w:rPr>
          <w:b w:val="0"/>
          <w:bCs w:val="0"/>
        </w:rPr>
      </w:pPr>
      <w:bookmarkStart w:name="17、长期股权投资" w:id="283"/>
      <w:bookmarkEnd w:id="28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1,357,759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-432,919.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924,840.1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深圳茂硕 投资发展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4,837,912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4,875,621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37,708.13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深圳市鑫 四方检测 科技有限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1,621,042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1,621,042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新余市茂 硕海量投 资企业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9,978,486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-390,524.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9,587,962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新余市神 木园农业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1,322,387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-14,621.1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1,307,766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长兴九派 兴硕股权 投资基金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湖南省方 正达电子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3,904,785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103,984,7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19,117,58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6,458,955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3,066,721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145,805,3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19,117,58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6,458,955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3,066,721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100,080,0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145,805,3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55.11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4" w:right="1130"/>
        <w:jc w:val="left"/>
      </w:pPr>
      <w:r>
        <w:rPr/>
        <w:t>其他系公司本期处置持有湖南省方正达电子科技有限公司</w:t>
      </w:r>
      <w:r>
        <w:rPr>
          <w:rFonts w:ascii="Times New Roman" w:hAnsi="Times New Roman" w:cs="Times New Roman" w:eastAsia="Times New Roman" w:hint="default"/>
        </w:rPr>
        <w:t>34%</w:t>
      </w:r>
      <w:r>
        <w:rPr/>
        <w:t>的股权导致丧失控制权，剩余股权改权益法核算所致。</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18、投资性房地产" w:id="284"/>
      <w:bookmarkEnd w:id="28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1）采用成本计量模式的投资性房地产" w:id="285"/>
      <w:bookmarkEnd w:id="28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采用公允价值计量模式的投资性房地产" w:id="286"/>
      <w:bookmarkEnd w:id="28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3）未办妥产权证书的投资性房地产情况" w:id="287"/>
      <w:bookmarkEnd w:id="28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19、固定资产" w:id="288"/>
      <w:bookmarkEnd w:id="28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固定资产情况" w:id="289"/>
      <w:bookmarkEnd w:id="28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办公及其他设备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300,047,750.06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280,522,249.82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127,861,000.37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25,145,979.44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27,359,097.33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760,936,077.02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40,855,174.79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9,948,825.05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4,777,693.36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1,967,662.47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57,549,355.67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9,620,902.07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4,288,436.84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1,967,662.47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15,877,001.38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40,855,174.79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40,855,174.79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327,922.98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489,256.52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817,179.50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70,912,008.17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58,722,628.94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1,226,714.62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7,969,361.56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138,830,713.29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918,129.75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922,459.37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563,166.32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1,219,331.08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3,623,086.52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69,993,878.42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57,800,169.57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663,548.30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6,750,030.48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135,207,626.77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547,670.00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355,641.05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903,311.05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228,588,071.89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321,377,424.61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79,087,196.48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28,696,958.18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21,001,757.19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678,751,408.35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25,545,772.47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11,080,862.96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33,827,346.47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18,740,837.92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13,882,518.33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103,077,338.15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9,474,536.51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15,464,892.62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11,413,213.77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2,372,074.66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4,305,657.53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42,927,430.36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9,474,536.51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15,464,892.62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11,431,720.34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2,255,768.66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4,386,643.78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43,013,561.91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-18,506.57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116,306.00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-80,986.25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-86,131.55</w:t>
            </w:r>
            <w:r>
              <w:rPr>
                <w:rFonts w:ascii="Times New Roman"/>
                <w:sz w:val="18"/>
              </w:rPr>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11,827,261.10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23,101,427.35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948,178.93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5,052,318.48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40,929,185.86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60,163.84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328,283.21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517,104.19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1,014,893.25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1,920,444.49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11,664,152.53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22,754,637.57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431,074.74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3,956,438.98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38,806,303.82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102,944.73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18,506.57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80,986.25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202,437.55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23,193,047.88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26,545,755.58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22,157,639.46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20,164,733.65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13,216,843.63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105,278,020.20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205,395,024.01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294,831,669.03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56,929,557.02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8,532,224.53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7,784,913.56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573,473,388.15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274,501,977.59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269,441,386.86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94,033,653.90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6,405,141.52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13,476,579.00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657,858,738.87</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暂时闲置的固定资产情况" w:id="290"/>
      <w:bookmarkEnd w:id="29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通过融资租赁租入的固定资产情况" w:id="291"/>
      <w:bookmarkEnd w:id="29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光电设备</w:t>
            </w:r>
            <w:r>
              <w:rPr>
                <w:rFonts w:ascii="Times New Roman" w:hAnsi="Times New Roman" w:cs="Times New Roman" w:eastAsia="Times New Roman" w:hint="default"/>
                <w:sz w:val="18"/>
                <w:szCs w:val="18"/>
              </w:rPr>
              <w:t>-</w:t>
            </w:r>
            <w:r>
              <w:rPr>
                <w:rFonts w:ascii="宋体" w:hAnsi="宋体" w:cs="宋体" w:eastAsia="宋体" w:hint="default"/>
                <w:sz w:val="18"/>
                <w:szCs w:val="18"/>
              </w:rPr>
              <w:t>台州南瑞光 伏设备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17,094,017.09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1,488,603.99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15,605,413.10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4）通过经营租赁租出的固定资产" w:id="292"/>
      <w:bookmarkEnd w:id="29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9"/>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5）未办妥产权证书的固定资产情况" w:id="293"/>
      <w:bookmarkEnd w:id="29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89"/>
              <w:jc w:val="righ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r>
              <w:rPr>
                <w:rFonts w:ascii="宋体" w:hAnsi="宋体" w:cs="宋体" w:eastAsia="宋体" w:hint="default"/>
                <w:sz w:val="18"/>
                <w:szCs w:val="18"/>
              </w:rPr>
              <w:t>菁英家园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13,964,324.39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34"/>
              <w:jc w:val="right"/>
              <w:rPr>
                <w:rFonts w:ascii="宋体" w:hAnsi="宋体" w:cs="宋体" w:eastAsia="宋体" w:hint="default"/>
                <w:sz w:val="18"/>
                <w:szCs w:val="18"/>
              </w:rPr>
            </w:pPr>
            <w:r>
              <w:rPr>
                <w:rFonts w:ascii="宋体" w:hAnsi="宋体" w:cs="宋体" w:eastAsia="宋体" w:hint="default"/>
                <w:sz w:val="18"/>
                <w:szCs w:val="18"/>
              </w:rPr>
              <w:t>人才安居工程，目前尚无法办理</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20、在建工程" w:id="294"/>
      <w:bookmarkEnd w:id="29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130"/>
        <w:jc w:val="left"/>
        <w:rPr>
          <w:b w:val="0"/>
          <w:bCs w:val="0"/>
        </w:rPr>
      </w:pPr>
      <w:bookmarkStart w:name="（1）在建工程情况" w:id="295"/>
      <w:bookmarkEnd w:id="29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何家边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太 阳能光伏电站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16,772,519.80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16,772,519.80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60,676,790.06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60,676,790.06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罗家边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太 阳能光伏电站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295,582.00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295,582.00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自动线设备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2,258,119.65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2,258,119.65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节能老化房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245,299.14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245,299.14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仙女湖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太 阳能光伏电站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16,877,519.80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16,877,519.80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63,685,790.85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63,685,790.85</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重要在建工程项目本期变动情况" w:id="296"/>
      <w:bookmarkEnd w:id="29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何家边</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20MW</w:t>
            </w:r>
          </w:p>
          <w:p>
            <w:pPr>
              <w:pStyle w:val="TableParagraph"/>
              <w:spacing w:line="319" w:lineRule="auto" w:before="65"/>
              <w:ind w:left="22" w:right="159"/>
              <w:jc w:val="both"/>
              <w:rPr>
                <w:rFonts w:ascii="宋体" w:hAnsi="宋体" w:cs="宋体" w:eastAsia="宋体" w:hint="default"/>
                <w:sz w:val="18"/>
                <w:szCs w:val="18"/>
              </w:rPr>
            </w:pPr>
            <w:r>
              <w:rPr>
                <w:rFonts w:ascii="宋体" w:hAnsi="宋体" w:cs="宋体" w:eastAsia="宋体" w:hint="default"/>
                <w:sz w:val="18"/>
                <w:szCs w:val="18"/>
              </w:rPr>
              <w:t>太阳能 光伏电 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123,797,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047.34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60,676,7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38,736,6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5,573,03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16,772,5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85.49%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123,797,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047.34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60,676,7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38,736,6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5,573,03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16,772,5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19.80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本期计提在建工程减值准备情况" w:id="297"/>
      <w:bookmarkEnd w:id="29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21、工程物资" w:id="298"/>
      <w:bookmarkEnd w:id="29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22、固定资产清理" w:id="299"/>
      <w:bookmarkEnd w:id="29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23、生产性生物资产" w:id="300"/>
      <w:bookmarkEnd w:id="30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采用成本计量模式的生产性生物资产" w:id="301"/>
      <w:bookmarkEnd w:id="30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采用公允价值计量模式的生产性生物资产" w:id="302"/>
      <w:bookmarkEnd w:id="30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4、油气资产" w:id="303"/>
      <w:bookmarkEnd w:id="30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5、无形资产" w:id="304"/>
      <w:bookmarkEnd w:id="30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无形资产情况" w:id="305"/>
      <w:bookmarkEnd w:id="30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15,098,368.14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11,141,164.57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57,963,976.03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107,692.33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107,692.33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107,692.33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107,692.33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5,414,346.37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5,476,739.54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5,414,346.37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62,393.17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5,476,739.54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9,684,021.77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30,689,913.23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1,034,530.09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11,186,463.73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52,594,928.82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1,709,957.41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2,094,629.18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464,327.72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9,191,163.42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13,460,077.73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260,533.88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5,139,315.87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206,906.04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940,358.99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6,547,114.78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260,533.88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5,139,315.87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206,906.04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940,358.99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6,547,114.78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535,243.21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554,559.44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535,243.21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554,559.44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7,233,945.05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671,233.76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10,112,206.18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19,452,633.07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8,248,773.69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23,455,968.18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363,296.33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1,074,257.55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33,142,295.75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13,388,410.73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28,595,284.05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570,202.37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1,950,001.15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44,503,898.30</w:t>
            </w:r>
          </w:p>
        </w:tc>
      </w:tr>
    </w:tbl>
    <w:p>
      <w:pPr>
        <w:pStyle w:val="BodyText"/>
        <w:spacing w:line="240" w:lineRule="auto" w:before="51"/>
        <w:ind w:left="154" w:right="1130"/>
        <w:jc w:val="left"/>
      </w:pPr>
      <w:r>
        <w:rPr/>
        <w:t>本期末通过公司内部研发形成的无形资产占无形资产余额的比例。</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2）未办妥产权证书的土地使用权情况" w:id="306"/>
      <w:bookmarkEnd w:id="30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439" w:lineRule="auto" w:before="52"/>
        <w:ind w:left="153" w:right="8042"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b/>
          <w:bCs/>
          <w:sz w:val="18"/>
          <w:szCs w:val="18"/>
        </w:rPr>
        <w:t>无未办妥产权证书的土地使用权。</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2"/>
          <w:szCs w:val="22"/>
        </w:rPr>
      </w:pPr>
    </w:p>
    <w:p>
      <w:pPr>
        <w:pStyle w:val="Heading3"/>
        <w:spacing w:line="240" w:lineRule="auto"/>
        <w:ind w:right="1130"/>
        <w:jc w:val="left"/>
        <w:rPr>
          <w:b w:val="0"/>
          <w:bCs w:val="0"/>
        </w:rPr>
      </w:pPr>
      <w:bookmarkStart w:name="26、开发支出" w:id="307"/>
      <w:bookmarkEnd w:id="30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27、商誉" w:id="308"/>
      <w:bookmarkEnd w:id="308"/>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商誉账面原值" w:id="309"/>
      <w:bookmarkEnd w:id="30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10,451,110.03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131,038,709.71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131,038,709.71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台州南瑞新能源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台州与与新能源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141,489,821.74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131,038,710.71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10,451,111.03</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商誉减值准备" w:id="310"/>
      <w:bookmarkEnd w:id="31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8" w:right="0"/>
              <w:jc w:val="left"/>
              <w:rPr>
                <w:rFonts w:ascii="Times New Roman" w:hAnsi="Times New Roman" w:cs="Times New Roman" w:eastAsia="Times New Roman" w:hint="default"/>
                <w:sz w:val="18"/>
                <w:szCs w:val="18"/>
              </w:rPr>
            </w:pPr>
            <w:r>
              <w:rPr>
                <w:rFonts w:ascii="Times New Roman"/>
                <w:sz w:val="18"/>
              </w:rPr>
              <w:t>1,624,635.28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1,624,635.28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22,125,671.66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22,125,671.66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台州南瑞新能源 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台州与与新能源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23,750,307.94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22,125,672.66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1,624,635.28</w:t>
            </w:r>
          </w:p>
        </w:tc>
      </w:tr>
    </w:tbl>
    <w:p>
      <w:pPr>
        <w:pStyle w:val="BodyText"/>
        <w:spacing w:line="240" w:lineRule="auto" w:before="51"/>
        <w:ind w:left="154" w:right="1130"/>
        <w:jc w:val="left"/>
      </w:pPr>
      <w:r>
        <w:rPr/>
        <w:t>说明商誉减值测试过程、参数及商誉减值损失的确认方法：</w:t>
      </w:r>
    </w:p>
    <w:p>
      <w:pPr>
        <w:spacing w:line="240" w:lineRule="auto" w:before="0"/>
        <w:rPr>
          <w:rFonts w:ascii="宋体" w:hAnsi="宋体" w:cs="宋体" w:eastAsia="宋体" w:hint="default"/>
          <w:sz w:val="15"/>
          <w:szCs w:val="15"/>
        </w:rPr>
      </w:pPr>
    </w:p>
    <w:p>
      <w:pPr>
        <w:pStyle w:val="BodyText"/>
        <w:spacing w:line="240" w:lineRule="auto"/>
        <w:ind w:left="636" w:right="1130"/>
        <w:jc w:val="left"/>
      </w:pPr>
      <w:r>
        <w:rPr/>
        <w:t>本期本公司评估了商誉的可收回金额，并确定与茂硕新能源相关的商誉未发生减值。</w:t>
      </w:r>
    </w:p>
    <w:p>
      <w:pPr>
        <w:pStyle w:val="BodyText"/>
        <w:spacing w:line="300" w:lineRule="auto" w:before="76"/>
        <w:ind w:right="1130" w:firstLine="482"/>
        <w:jc w:val="left"/>
      </w:pPr>
      <w:r>
        <w:rPr/>
        <w:t>①与台州与与新能源有限公司相关的商誉：由于该公司一直未能开展生产经营，且已于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日注销，相关商 誉本期减少。</w:t>
      </w:r>
    </w:p>
    <w:p>
      <w:pPr>
        <w:pStyle w:val="BodyText"/>
        <w:spacing w:line="300" w:lineRule="auto" w:before="31"/>
        <w:ind w:left="154" w:right="0" w:firstLine="482"/>
        <w:jc w:val="left"/>
      </w:pPr>
      <w:r>
        <w:rPr>
          <w:spacing w:val="-1"/>
        </w:rPr>
        <w:t>②与收购湖南省方正达电子科技有限公司相关的商誉：本公司于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日处置湖南省方正达电子科技有限公司，</w:t>
      </w:r>
      <w:r>
        <w:rPr/>
        <w:t> 相关商誉本期减少。</w:t>
      </w:r>
    </w:p>
    <w:p>
      <w:pPr>
        <w:pStyle w:val="BodyText"/>
        <w:spacing w:line="312" w:lineRule="auto" w:before="31"/>
        <w:ind w:right="1130" w:firstLine="362"/>
        <w:jc w:val="left"/>
      </w:pPr>
      <w:r>
        <w:rPr/>
        <w:t>③根据深圳市鹏信资产评估土地房地产估价有限公司公司出具的鹏信资评报字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018</w:t>
      </w:r>
      <w:r>
        <w:rPr/>
        <w:t>号评估报告，与茂硕新能源 </w:t>
      </w:r>
      <w:r>
        <w:rPr>
          <w:spacing w:val="-2"/>
        </w:rPr>
        <w:t>相关的资产组可收回金额根据资产组预计未来现金流量的现值确定。资产负债表日，公司对商誉进行减值测试，在预计投入</w:t>
      </w:r>
      <w:r>
        <w:rPr>
          <w:spacing w:val="-66"/>
        </w:rPr>
        <w:t> </w:t>
      </w:r>
      <w:r>
        <w:rPr>
          <w:spacing w:val="-66"/>
        </w:rPr>
      </w:r>
      <w:r>
        <w:rPr>
          <w:spacing w:val="-2"/>
        </w:rPr>
        <w:t>成本可回收金额时，采用了与商誉有关的资产组合来预计未来现金流量现值。即以本年资产评估报告中的评估结论为参考依</w:t>
      </w:r>
      <w:r>
        <w:rPr>
          <w:spacing w:val="-64"/>
        </w:rPr>
        <w:t> </w:t>
      </w:r>
      <w:r>
        <w:rPr>
          <w:spacing w:val="-64"/>
        </w:rPr>
      </w:r>
      <w:r>
        <w:rPr/>
        <w:t>据并综合考虑被投资单位的经营状况及未来</w:t>
      </w:r>
      <w:r>
        <w:rPr>
          <w:rFonts w:ascii="Times New Roman" w:hAnsi="Times New Roman" w:cs="Times New Roman" w:eastAsia="Times New Roman" w:hint="default"/>
        </w:rPr>
        <w:t>5</w:t>
      </w:r>
      <w:r>
        <w:rPr/>
        <w:t>年的收益能力，以确定预计可回收金额的稳定性。</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28、长期待摊费用" w:id="311"/>
      <w:bookmarkEnd w:id="31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11,422,167.15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8,027,188.81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5,169,504.36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803,201.77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13,476,649.83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3,298,340.00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322,525.33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4,377,014.67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1,132,198.69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792,361.20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650,284.59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1,274,275.30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系统项目实施 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2,004,620.70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405,955.64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1,598,665.06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楼无尘房改 造工程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栋新建蚀液循环 车间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93,035.80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25,373.40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19,030.05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99,379.15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16,057,741.64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12,292,744.11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6,598,799.97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1,025,080.92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20,726,604.86</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29、递延所得税资产/递延所得税负债" w:id="312"/>
      <w:bookmarkEnd w:id="31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未经抵销的递延所得税资产" w:id="313"/>
      <w:bookmarkEnd w:id="31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83,423,761.01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14,353,681.97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82,097,324.85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12,532,062.44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8,396,616.96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1,825,703.55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8,516,853.85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1,791,646.50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49,391,564.38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8,671,808.93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57,656,208.47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9,017,136.72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16,454,883.68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3,359,050.83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18,901,436.45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3,643,021.73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4,352,106.55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702,526.11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463,720.83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75,094.62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162,018,932.58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28,912,771.39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167,635,544.45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27,058,962.01</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未经抵销的递延所得税负债" w:id="314"/>
      <w:bookmarkEnd w:id="31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8,115,913.97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1,217,387.10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8,115,913.97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1,217,387.10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以抵销后净额列示的递延所得税资产或负债" w:id="315"/>
      <w:bookmarkEnd w:id="31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28,912,771.39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27,058,962.01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1,217,387.10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4）未确认递延所得税资产明细" w:id="316"/>
      <w:bookmarkEnd w:id="31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15,275,244.88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8,214,438.89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29,132,167.35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12,293,206.45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44,407,412.23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20,507,645.34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5）未确认递延所得税资产的可抵扣亏损将于以下年度到期" w:id="317"/>
      <w:bookmarkEnd w:id="31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3,282,607.12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3,339,783.06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3,339,783.06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2,700,649.85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2,700,649.85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1,662,086.73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1,662,086.73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1,308,079.69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1,308,079.69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20,121,568.02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29,132,167.35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12,293,206.45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30、其他非流动资产" w:id="318"/>
      <w:bookmarkEnd w:id="31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6,836,007.43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11,238,590.38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创意大厦使用权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16,625,244.75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17,603,200.35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24,361,252.18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29,841,790.73</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31、短期借款" w:id="319"/>
      <w:bookmarkEnd w:id="31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短期借款分类" w:id="320"/>
      <w:bookmarkEnd w:id="32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219,551,780.00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244,551,780.00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425,500,000.00</w:t>
            </w:r>
          </w:p>
        </w:tc>
      </w:tr>
    </w:tbl>
    <w:p>
      <w:pPr>
        <w:pStyle w:val="BodyText"/>
        <w:spacing w:line="240" w:lineRule="auto" w:before="51"/>
        <w:ind w:left="154" w:right="1130"/>
        <w:jc w:val="left"/>
      </w:pPr>
      <w:r>
        <w:rPr/>
        <w:t>短期借款分类的说明：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2）已逾期未偿还的短期借款情况" w:id="321"/>
      <w:bookmarkEnd w:id="32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right="113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32、以公允价值计量且其变动计入当期损益的金融负债" w:id="322"/>
      <w:bookmarkEnd w:id="32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33、衍生金融负债" w:id="323"/>
      <w:bookmarkEnd w:id="32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34、应付票据" w:id="324"/>
      <w:bookmarkEnd w:id="32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334,559,282.42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184,153,780.47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334,559,282.42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184,153,780.47</w:t>
            </w:r>
          </w:p>
        </w:tc>
      </w:tr>
    </w:tbl>
    <w:p>
      <w:pPr>
        <w:pStyle w:val="BodyText"/>
        <w:spacing w:line="240" w:lineRule="auto" w:before="51"/>
        <w:ind w:left="154" w:right="113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6"/>
          <w:szCs w:val="26"/>
        </w:rPr>
      </w:pPr>
    </w:p>
    <w:p>
      <w:pPr>
        <w:pStyle w:val="Heading3"/>
        <w:spacing w:line="240" w:lineRule="auto"/>
        <w:ind w:left="154" w:right="1130"/>
        <w:jc w:val="left"/>
        <w:rPr>
          <w:b w:val="0"/>
          <w:bCs w:val="0"/>
        </w:rPr>
      </w:pPr>
      <w:bookmarkStart w:name="35、应付账款" w:id="325"/>
      <w:bookmarkEnd w:id="32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应付账款列示" w:id="326"/>
      <w:bookmarkEnd w:id="32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413,345,424.28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418,347,084.62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31,282,534.12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45,895,689.78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7,800,111.30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25,490,076.43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应付加工费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6,183,475.49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6,509,407.70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4,404,615.38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1,760,480.44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3,720,142.87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464,776,641.01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503,074,401.40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2）账龄超过1年的重要应付账款" w:id="327"/>
      <w:bookmarkEnd w:id="327"/>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 </w:t>
      </w:r>
      <w:r>
        <w:rPr/>
        <w:t>年的重要应付账款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信息产业电子第十一设计研究院科技工 程股份有限公司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13,159,969.85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江西通力电业发展有限公司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11,052,662.23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工程存在质量问题，尚未支付尾款及质 保金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深圳雷柏科技股份有限公司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4,889,920.00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1,792,900.06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工程存在质量问题，尚未支付尾款及质 保金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36,337,452.14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36、预收款项" w:id="328"/>
      <w:bookmarkEnd w:id="32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预收款项列示" w:id="329"/>
      <w:bookmarkEnd w:id="32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11,654,673.31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14,440,196.68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11,654,673.31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14,440,196.68</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账龄超过1年的重要预收款项" w:id="330"/>
      <w:bookmarkEnd w:id="33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 </w:t>
      </w:r>
      <w:r>
        <w:rPr/>
        <w:t>年的重要预收款项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V.S Electronics</w:t>
            </w:r>
            <w:r>
              <w:rPr>
                <w:rFonts w:ascii="Times New Roman"/>
                <w:spacing w:val="-5"/>
                <w:sz w:val="18"/>
              </w:rPr>
              <w:t> </w:t>
            </w:r>
            <w:r>
              <w:rPr>
                <w:rFonts w:ascii="Times New Roman"/>
                <w:sz w:val="18"/>
              </w:rPr>
              <w:t>Sdn.Bhd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809,562.09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相关产品尚未实现销售</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809,562.09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期末建造合同形成的已结算未完工项目情况" w:id="331"/>
      <w:bookmarkEnd w:id="33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37、应付职工薪酬" w:id="332"/>
      <w:bookmarkEnd w:id="33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应付职工薪酬列示" w:id="333"/>
      <w:bookmarkEnd w:id="33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25,378,338.94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264,961,076.14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261,726,568.05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28,612,847.03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188,458.66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7,881,986.92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7,989,437.18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81,008.40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578,500.46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578,500.46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25,566,797.60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273,421,563.52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270,294,505.69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28,693,855.43</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短期薪酬列示" w:id="334"/>
      <w:bookmarkEnd w:id="33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25,319,366.68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251,585,246.63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248,344,916.21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28,559,697.10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7,735,222.08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7,735,222.08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58,972.26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2,872,459.21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2,907,408.39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24,023.08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1,938,038.93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1,917,591.73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20,447.20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58,972.26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778,124.82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835,327.05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1,770.03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156,295.46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154,489.61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1,805.85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2,630,653.16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2,630,653.16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137,495.06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108,368.21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29,126.85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25,378,338.94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264,961,076.14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261,726,568.05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28,612,847.03</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设定提存计划列示" w:id="335"/>
      <w:bookmarkEnd w:id="33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188,458.66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7,614,451.20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7,726,693.96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76,215.90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267,535.72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262,743.22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4,792.50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188,458.66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7,881,986.92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7,989,437.18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81,008.40</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38、应交税费" w:id="336"/>
      <w:bookmarkEnd w:id="33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9,007,167.52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14,961,100.20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1,026,701.79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10,545,061.63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515,654.53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268,426.63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838,662.89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1,015,232.83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397,922.52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488,036.26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265,281.68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325,357.52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170,968.17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95,499.42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137,755.16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26,493.00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12,146,890.35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27,938,431.40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39、应付利息" w:id="337"/>
      <w:bookmarkEnd w:id="33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1,236,933.91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651,628.53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1,236,933.91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651,628.53</w:t>
            </w:r>
          </w:p>
        </w:tc>
      </w:tr>
    </w:tbl>
    <w:p>
      <w:pPr>
        <w:pStyle w:val="BodyText"/>
        <w:spacing w:line="240" w:lineRule="auto" w:before="51"/>
        <w:ind w:left="154" w:right="113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40、应付股利" w:id="338"/>
      <w:bookmarkEnd w:id="33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41、其他应付款" w:id="339"/>
      <w:bookmarkEnd w:id="33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按款项性质列示其他应付款" w:id="340"/>
      <w:bookmarkEnd w:id="34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2,748,747.17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1,245,366.66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应付技术使用费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2,096,759.36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应付食堂费用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2,084,535.75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2,904,814.95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1,944,747.79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123,607.77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1,147,260.89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385,331.14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745,402.48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116,062.50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316,936.50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444,069.71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141,764.33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12,392,585.65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7,617,821.35</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账龄超过1年的重要其他应付款" w:id="341"/>
      <w:bookmarkEnd w:id="341"/>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 </w:t>
      </w:r>
      <w:r>
        <w:rPr/>
        <w:t>年的重要其他应付款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Heading4"/>
        <w:spacing w:line="439" w:lineRule="auto" w:before="52"/>
        <w:ind w:right="7139"/>
        <w:jc w:val="left"/>
        <w:rPr>
          <w:b w:val="0"/>
          <w:bCs w:val="0"/>
        </w:rPr>
      </w:pPr>
      <w:r>
        <w:rPr>
          <w:rFonts w:ascii="宋体" w:hAnsi="宋体" w:cs="宋体" w:eastAsia="宋体" w:hint="default"/>
          <w:b w:val="0"/>
          <w:bCs w:val="0"/>
        </w:rPr>
        <w:t>其他说明 </w:t>
      </w:r>
      <w:r>
        <w:rPr/>
        <w:t>本报告期无账龄超过一年的重要其他应付款。</w:t>
      </w:r>
      <w:r>
        <w:rPr>
          <w:b w:val="0"/>
          <w:bCs w:val="0"/>
        </w:rPr>
      </w: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2"/>
          <w:szCs w:val="22"/>
        </w:rPr>
      </w:pPr>
    </w:p>
    <w:p>
      <w:pPr>
        <w:pStyle w:val="Heading3"/>
        <w:spacing w:line="240" w:lineRule="auto"/>
        <w:ind w:right="1130"/>
        <w:jc w:val="left"/>
        <w:rPr>
          <w:b w:val="0"/>
          <w:bCs w:val="0"/>
        </w:rPr>
      </w:pPr>
      <w:bookmarkStart w:name="42、持有待售的负债" w:id="342"/>
      <w:bookmarkEnd w:id="342"/>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43、一年内到期的非流动负债" w:id="343"/>
      <w:bookmarkEnd w:id="34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11,584,294.83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3,843,159.66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11,584,294.83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3,843,159.66</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44、其他流动负债" w:id="344"/>
      <w:bookmarkEnd w:id="34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45、长期借款" w:id="345"/>
      <w:bookmarkEnd w:id="34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1）长期借款分类" w:id="346"/>
      <w:bookmarkEnd w:id="34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left="154" w:right="8592"/>
        <w:jc w:val="left"/>
      </w:pPr>
      <w:r>
        <w:rPr/>
        <w:t>长期借款分类的说明： 其他说明，包括利率区间：</w:t>
      </w:r>
    </w:p>
    <w:p>
      <w:pPr>
        <w:spacing w:line="240" w:lineRule="auto" w:before="8"/>
        <w:rPr>
          <w:rFonts w:ascii="宋体" w:hAnsi="宋体" w:cs="宋体" w:eastAsia="宋体" w:hint="default"/>
          <w:sz w:val="20"/>
          <w:szCs w:val="20"/>
        </w:rPr>
      </w:pPr>
    </w:p>
    <w:p>
      <w:pPr>
        <w:pStyle w:val="Heading3"/>
        <w:spacing w:line="240" w:lineRule="auto"/>
        <w:ind w:left="154" w:right="1130"/>
        <w:jc w:val="left"/>
        <w:rPr>
          <w:b w:val="0"/>
          <w:bCs w:val="0"/>
        </w:rPr>
      </w:pPr>
      <w:bookmarkStart w:name="46、应付债券" w:id="347"/>
      <w:bookmarkEnd w:id="34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应付债券" w:id="348"/>
      <w:bookmarkEnd w:id="34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应付债券的增减变动（不包括划分为金融负债的优先股、永续债等其他金融工具）" w:id="349"/>
      <w:bookmarkEnd w:id="34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6"/>
        <w:rPr>
          <w:rFonts w:ascii="宋体" w:hAnsi="宋体" w:cs="宋体" w:eastAsia="宋体" w:hint="default"/>
          <w:sz w:val="24"/>
          <w:szCs w:val="24"/>
        </w:rPr>
      </w:pPr>
    </w:p>
    <w:p>
      <w:pPr>
        <w:pStyle w:val="Heading3"/>
        <w:spacing w:line="240" w:lineRule="auto" w:before="38"/>
        <w:ind w:right="1130"/>
        <w:jc w:val="left"/>
        <w:rPr>
          <w:b w:val="0"/>
          <w:bCs w:val="0"/>
        </w:rPr>
      </w:pPr>
      <w:bookmarkStart w:name="（3）可转换公司债券的转股条件、转股时间说明" w:id="350"/>
      <w:bookmarkEnd w:id="35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4）划分为金融负债的其他金融工具说明" w:id="351"/>
      <w:bookmarkEnd w:id="35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2130"/>
        <w:gridCol w:w="2126"/>
        <w:gridCol w:w="2124"/>
        <w:gridCol w:w="211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line="240" w:lineRule="auto" w:before="8"/>
        <w:rPr>
          <w:rFonts w:ascii="宋体" w:hAnsi="宋体" w:cs="宋体" w:eastAsia="宋体" w:hint="default"/>
          <w:sz w:val="20"/>
          <w:szCs w:val="20"/>
        </w:rPr>
      </w:pPr>
    </w:p>
    <w:p>
      <w:pPr>
        <w:pStyle w:val="Heading3"/>
        <w:spacing w:line="240" w:lineRule="auto"/>
        <w:ind w:left="154" w:right="1130"/>
        <w:jc w:val="left"/>
        <w:rPr>
          <w:b w:val="0"/>
          <w:bCs w:val="0"/>
        </w:rPr>
      </w:pPr>
      <w:bookmarkStart w:name="47、长期应付款" w:id="352"/>
      <w:bookmarkEnd w:id="35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按款项性质列示长期应付款" w:id="353"/>
      <w:bookmarkEnd w:id="35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11,584,294.83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14,398,239.11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10,059,442.15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11,584,294.83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3,843,159.66</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48、长期应付职工薪酬" w:id="354"/>
      <w:bookmarkEnd w:id="35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长期应付职工薪酬表" w:id="355"/>
      <w:bookmarkEnd w:id="35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设定受益计划变动情况" w:id="356"/>
      <w:bookmarkEnd w:id="35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154" w:right="113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13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13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49、专项应付款" w:id="357"/>
      <w:bookmarkEnd w:id="35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606"/>
        <w:gridCol w:w="1571"/>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50、预计负债" w:id="358"/>
      <w:bookmarkEnd w:id="35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软件著作权诉讼</w:t>
            </w:r>
          </w:p>
        </w:tc>
      </w:tr>
      <w:tr>
        <w:trPr>
          <w:trHeight w:val="318"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22" w:right="0"/>
              <w:jc w:val="left"/>
              <w:rPr>
                <w:rFonts w:ascii="Times New Roman" w:hAnsi="Times New Roman" w:cs="Times New Roman" w:eastAsia="Times New Roman" w:hint="default"/>
                <w:sz w:val="18"/>
                <w:szCs w:val="18"/>
              </w:rPr>
            </w:pPr>
            <w:r>
              <w:rPr>
                <w:rFonts w:ascii="Times New Roman"/>
                <w:sz w:val="18"/>
              </w:rPr>
              <w:t>3,202,106.55</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463,720.83</w:t>
            </w:r>
          </w:p>
        </w:tc>
        <w:tc>
          <w:tcPr>
            <w:tcW w:w="2392"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茂硕电子和茂硕电气销售产 品附有质保期的按照销售额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计提质量保证金</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4,352,106.55</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463,720.83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3"/>
        <w:ind w:left="154" w:right="1130"/>
        <w:jc w:val="left"/>
        <w:rPr>
          <w:b w:val="0"/>
          <w:bCs w:val="0"/>
        </w:rPr>
      </w:pPr>
      <w:bookmarkStart w:name="51、递延收益" w:id="359"/>
      <w:bookmarkEnd w:id="35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18,901,436.45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4,126,552.69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16,454,883.76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18,901,436.45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4,126,552.69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16,454,883.76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4"/>
              <w:jc w:val="both"/>
              <w:rPr>
                <w:rFonts w:ascii="宋体" w:hAnsi="宋体" w:cs="宋体" w:eastAsia="宋体" w:hint="default"/>
                <w:sz w:val="18"/>
                <w:szCs w:val="18"/>
              </w:rPr>
            </w:pPr>
            <w:r>
              <w:rPr>
                <w:rFonts w:ascii="宋体" w:hAnsi="宋体" w:cs="宋体" w:eastAsia="宋体" w:hint="default"/>
                <w:sz w:val="18"/>
                <w:szCs w:val="18"/>
              </w:rPr>
              <w:t>大功率智能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电源驱 动生产项目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8,078,062.65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849,879.84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8,908,182.81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深圳集中供 电智能驱动 工程实验室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4,851,482.90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250,509.38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4,600,973.52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太阳能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智能驱动产 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1,635,359.03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208,536.50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1,426,822.53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茂硕电源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659,067.42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97,904.60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561,162.82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照明驱</w:t>
            </w:r>
            <w:r>
              <w:rPr>
                <w:rFonts w:ascii="宋体" w:hAnsi="宋体" w:cs="宋体" w:eastAsia="宋体" w:hint="default"/>
                <w:w w:val="99"/>
                <w:sz w:val="18"/>
                <w:szCs w:val="18"/>
              </w:rPr>
              <w:t> </w:t>
            </w:r>
            <w:r>
              <w:rPr>
                <w:rFonts w:ascii="宋体" w:hAnsi="宋体" w:cs="宋体" w:eastAsia="宋体" w:hint="default"/>
                <w:sz w:val="18"/>
                <w:szCs w:val="18"/>
              </w:rPr>
              <w:t>动电源重点</w:t>
            </w:r>
            <w:r>
              <w:rPr>
                <w:rFonts w:ascii="宋体" w:hAnsi="宋体" w:cs="宋体" w:eastAsia="宋体" w:hint="default"/>
                <w:w w:val="99"/>
                <w:sz w:val="18"/>
                <w:szCs w:val="18"/>
              </w:rPr>
              <w:t> </w:t>
            </w:r>
            <w:r>
              <w:rPr>
                <w:rFonts w:ascii="宋体" w:hAnsi="宋体" w:cs="宋体" w:eastAsia="宋体" w:hint="default"/>
                <w:sz w:val="18"/>
                <w:szCs w:val="18"/>
              </w:rPr>
              <w:t>实验室</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w:t>
            </w:r>
            <w:r>
              <w:rPr>
                <w:rFonts w:ascii="宋体" w:hAnsi="宋体" w:cs="宋体" w:eastAsia="宋体" w:hint="default"/>
                <w:w w:val="99"/>
                <w:sz w:val="18"/>
                <w:szCs w:val="18"/>
              </w:rPr>
              <w:t> </w:t>
            </w:r>
            <w:r>
              <w:rPr>
                <w:rFonts w:ascii="宋体" w:hAnsi="宋体" w:cs="宋体" w:eastAsia="宋体" w:hint="default"/>
                <w:sz w:val="18"/>
                <w:szCs w:val="18"/>
              </w:rPr>
              <w:t>源生产线智</w:t>
            </w:r>
            <w:r>
              <w:rPr>
                <w:rFonts w:ascii="宋体" w:hAnsi="宋体" w:cs="宋体" w:eastAsia="宋体" w:hint="default"/>
                <w:w w:val="99"/>
                <w:sz w:val="18"/>
                <w:szCs w:val="18"/>
              </w:rPr>
              <w:t> </w:t>
            </w:r>
            <w:r>
              <w:rPr>
                <w:rFonts w:ascii="宋体" w:hAnsi="宋体" w:cs="宋体" w:eastAsia="宋体" w:hint="default"/>
                <w:sz w:val="18"/>
                <w:szCs w:val="18"/>
              </w:rPr>
              <w:t>能化升级改</w:t>
            </w:r>
            <w:r>
              <w:rPr>
                <w:rFonts w:ascii="宋体" w:hAnsi="宋体" w:cs="宋体" w:eastAsia="宋体" w:hint="default"/>
                <w:w w:val="99"/>
                <w:sz w:val="18"/>
                <w:szCs w:val="18"/>
              </w:rPr>
              <w:t> </w:t>
            </w:r>
            <w:r>
              <w:rPr>
                <w:rFonts w:ascii="宋体" w:hAnsi="宋体" w:cs="宋体" w:eastAsia="宋体" w:hint="default"/>
                <w:sz w:val="18"/>
                <w:szCs w:val="18"/>
              </w:rPr>
              <w:t>造项目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441,750.00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BC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栋厂房补 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74,999.97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-1,908,333.36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智能光伏功 率优化器的 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1,152,381.12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579,389.04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572,992.08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租房补贴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18,901,436.4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2,118,219.33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-1,908,333.36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16,454,883.7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52、其他非流动负债" w:id="360"/>
      <w:bookmarkEnd w:id="36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茂硕电源技术中心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建设资助款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53、股本" w:id="361"/>
      <w:bookmarkEnd w:id="361"/>
      <w:r>
        <w:rPr>
          <w:b w:val="0"/>
          <w:bCs w:val="0"/>
        </w:rPr>
      </w:r>
      <w:r>
        <w:rPr>
          <w:rFonts w:ascii="Times New Roman" w:hAnsi="Times New Roman" w:cs="Times New Roman" w:eastAsia="Times New Roman" w:hint="default"/>
        </w:rPr>
        <w:t>53</w:t>
      </w:r>
      <w:r>
        <w:rPr/>
        <w:t>、股本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277,030,616.00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-2,250,158.00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-2,250,158.00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274,780,458.00</w:t>
            </w:r>
          </w:p>
        </w:tc>
      </w:tr>
    </w:tbl>
    <w:p>
      <w:pPr>
        <w:pStyle w:val="BodyText"/>
        <w:spacing w:line="240" w:lineRule="auto" w:before="51"/>
        <w:ind w:left="154" w:right="1130"/>
        <w:jc w:val="left"/>
      </w:pPr>
      <w:r>
        <w:rPr/>
        <w:t>其他说明：</w:t>
      </w:r>
    </w:p>
    <w:p>
      <w:pPr>
        <w:pStyle w:val="BodyText"/>
        <w:spacing w:line="300" w:lineRule="auto" w:before="116"/>
        <w:ind w:right="1131" w:firstLine="360"/>
        <w:jc w:val="both"/>
      </w:pPr>
      <w:r>
        <w:rPr>
          <w:spacing w:val="-2"/>
        </w:rPr>
        <w:t>本公司之联营公司湖南方正达</w:t>
      </w:r>
      <w:r>
        <w:rPr>
          <w:rFonts w:ascii="Times New Roman" w:hAnsi="Times New Roman" w:cs="Times New Roman" w:eastAsia="Times New Roman" w:hint="default"/>
          <w:spacing w:val="-2"/>
        </w:rPr>
        <w:t>2016</w:t>
      </w:r>
      <w:r>
        <w:rPr>
          <w:spacing w:val="-2"/>
        </w:rPr>
        <w:t>年度未完成业绩承诺，根据公司与方笑求、蓝顺明签署的《盈利预测补偿协议》及补</w:t>
      </w:r>
      <w:r>
        <w:rPr/>
        <w:t> 充协议的约定，公司回购方笑求、蓝顺明股份合计</w:t>
      </w:r>
      <w:r>
        <w:rPr>
          <w:rFonts w:ascii="Times New Roman" w:hAnsi="Times New Roman" w:cs="Times New Roman" w:eastAsia="Times New Roman" w:hint="default"/>
        </w:rPr>
        <w:t>2,250,158.00</w:t>
      </w:r>
      <w:r>
        <w:rPr/>
        <w:t>股并予以注销，减少股本人民币</w:t>
      </w:r>
      <w:r>
        <w:rPr>
          <w:rFonts w:ascii="Times New Roman" w:hAnsi="Times New Roman" w:cs="Times New Roman" w:eastAsia="Times New Roman" w:hint="default"/>
        </w:rPr>
        <w:t>2,250,158.00</w:t>
      </w:r>
      <w:r>
        <w:rPr/>
        <w:t>元，减少资本公 积</w:t>
      </w:r>
      <w:r>
        <w:rPr>
          <w:rFonts w:ascii="Times New Roman" w:hAnsi="Times New Roman" w:cs="Times New Roman" w:eastAsia="Times New Roman" w:hint="default"/>
        </w:rPr>
        <w:t>17,191,207.12</w:t>
      </w:r>
      <w:r>
        <w:rPr/>
        <w:t>元。</w:t>
      </w:r>
    </w:p>
    <w:p>
      <w:pPr>
        <w:spacing w:after="0" w:line="300" w:lineRule="auto"/>
        <w:jc w:val="both"/>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54、其他权益工具" w:id="362"/>
      <w:bookmarkEnd w:id="36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1）期末发行在外的优先股、永续债等其他金融工具基本情况" w:id="363"/>
      <w:bookmarkEnd w:id="36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2）期末发行在外的优先股、永续债等金融工具变动情况表" w:id="364"/>
      <w:bookmarkEnd w:id="36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77"/>
        <w:gridCol w:w="1055"/>
        <w:gridCol w:w="1063"/>
        <w:gridCol w:w="1063"/>
        <w:gridCol w:w="1063"/>
        <w:gridCol w:w="1062"/>
        <w:gridCol w:w="1062"/>
        <w:gridCol w:w="1062"/>
        <w:gridCol w:w="1051"/>
      </w:tblGrid>
      <w:tr>
        <w:trPr>
          <w:trHeight w:val="397" w:hRule="exact"/>
        </w:trPr>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90"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7" w:hRule="exact"/>
        </w:trPr>
        <w:tc>
          <w:tcPr>
            <w:tcW w:w="1077" w:type="dxa"/>
            <w:vMerge/>
            <w:tcBorders>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7"/>
        <w:rPr>
          <w:rFonts w:ascii="宋体" w:hAnsi="宋体" w:cs="宋体" w:eastAsia="宋体" w:hint="default"/>
          <w:sz w:val="20"/>
          <w:szCs w:val="20"/>
        </w:rPr>
      </w:pPr>
    </w:p>
    <w:p>
      <w:pPr>
        <w:pStyle w:val="Heading3"/>
        <w:spacing w:line="240" w:lineRule="auto"/>
        <w:ind w:right="1130"/>
        <w:jc w:val="left"/>
        <w:rPr>
          <w:b w:val="0"/>
          <w:bCs w:val="0"/>
        </w:rPr>
      </w:pPr>
      <w:bookmarkStart w:name="55、资本公积" w:id="365"/>
      <w:bookmarkEnd w:id="36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442,531,963.52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181,104.55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17,191,207.12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425,521,860.95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24,941,306.21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37,708.13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24,979,014.34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467,473,269.73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218,812.68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17,191,207.12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450,500,875.29</w:t>
            </w:r>
          </w:p>
        </w:tc>
      </w:tr>
    </w:tbl>
    <w:p>
      <w:pPr>
        <w:pStyle w:val="BodyText"/>
        <w:spacing w:line="240" w:lineRule="auto" w:before="51"/>
        <w:ind w:left="154" w:right="0"/>
        <w:jc w:val="both"/>
      </w:pPr>
      <w:r>
        <w:rPr/>
        <w:t>其他说明，包括本期增减变动情况、变动原因说明：</w:t>
      </w:r>
    </w:p>
    <w:p>
      <w:pPr>
        <w:pStyle w:val="BodyText"/>
        <w:spacing w:line="240" w:lineRule="auto" w:before="116"/>
        <w:ind w:left="514" w:right="1130"/>
        <w:jc w:val="left"/>
      </w:pPr>
      <w:r>
        <w:rPr/>
        <w:t>（</w:t>
      </w:r>
      <w:r>
        <w:rPr>
          <w:rFonts w:ascii="Times New Roman" w:hAnsi="Times New Roman" w:cs="Times New Roman" w:eastAsia="Times New Roman" w:hint="default"/>
        </w:rPr>
        <w:t>1</w:t>
      </w:r>
      <w:r>
        <w:rPr/>
        <w:t>）资本溢价减少详见本报告第十一节、七、</w:t>
      </w:r>
      <w:r>
        <w:rPr>
          <w:rFonts w:ascii="Times New Roman" w:hAnsi="Times New Roman" w:cs="Times New Roman" w:eastAsia="Times New Roman" w:hint="default"/>
        </w:rPr>
        <w:t>53</w:t>
      </w:r>
      <w:r>
        <w:rPr/>
        <w:t>、股本。</w:t>
      </w:r>
    </w:p>
    <w:p>
      <w:pPr>
        <w:pStyle w:val="BodyText"/>
        <w:spacing w:line="300" w:lineRule="auto" w:before="63"/>
        <w:ind w:left="514" w:right="1130"/>
        <w:jc w:val="left"/>
      </w:pPr>
      <w:r>
        <w:rPr/>
        <w:t>（</w:t>
      </w:r>
      <w:r>
        <w:rPr>
          <w:rFonts w:ascii="Times New Roman" w:hAnsi="Times New Roman" w:cs="Times New Roman" w:eastAsia="Times New Roman" w:hint="default"/>
        </w:rPr>
        <w:t>2</w:t>
      </w:r>
      <w:r>
        <w:rPr/>
        <w:t>）与少数股东的交易 如本报告第十一节、九、</w:t>
      </w:r>
      <w:r>
        <w:rPr>
          <w:rFonts w:ascii="Times New Roman" w:hAnsi="Times New Roman" w:cs="Times New Roman" w:eastAsia="Times New Roman" w:hint="default"/>
        </w:rPr>
        <w:t>2</w:t>
      </w:r>
      <w:r>
        <w:rPr/>
        <w:t>所述，本公司于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日购买子公司瑞盈茂硕少数股东</w:t>
      </w:r>
      <w:r>
        <w:rPr>
          <w:rFonts w:ascii="Times New Roman" w:hAnsi="Times New Roman" w:cs="Times New Roman" w:eastAsia="Times New Roman" w:hint="default"/>
        </w:rPr>
        <w:t>30%</w:t>
      </w:r>
      <w:r>
        <w:rPr/>
        <w:t>的股权、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日购</w:t>
      </w:r>
    </w:p>
    <w:p>
      <w:pPr>
        <w:pStyle w:val="BodyText"/>
        <w:spacing w:line="300" w:lineRule="auto" w:before="13"/>
        <w:ind w:left="154" w:right="1128"/>
        <w:jc w:val="both"/>
      </w:pPr>
      <w:r>
        <w:rPr/>
        <w:t>买子公司加码技术少数股东</w:t>
      </w:r>
      <w:r>
        <w:rPr>
          <w:rFonts w:ascii="Times New Roman" w:hAnsi="Times New Roman" w:cs="Times New Roman" w:eastAsia="Times New Roman" w:hint="default"/>
        </w:rPr>
        <w:t>49%</w:t>
      </w:r>
      <w:r>
        <w:rPr/>
        <w:t>的股权。上述交易完成后，本公司持有瑞盈茂硕和加码技术</w:t>
      </w:r>
      <w:r>
        <w:rPr>
          <w:rFonts w:ascii="Times New Roman" w:hAnsi="Times New Roman" w:cs="Times New Roman" w:eastAsia="Times New Roman" w:hint="default"/>
        </w:rPr>
        <w:t>100%</w:t>
      </w:r>
      <w:r>
        <w:rPr/>
        <w:t>的股权。购买成本与交易</w:t>
      </w:r>
      <w:r>
        <w:rPr>
          <w:spacing w:val="-27"/>
        </w:rPr>
        <w:t> </w:t>
      </w:r>
      <w:r>
        <w:rPr>
          <w:spacing w:val="-27"/>
        </w:rPr>
      </w:r>
      <w:r>
        <w:rPr/>
        <w:t>日取得的按新取得的股权比例计算确定应享有子公司自交易日开始持续计算的可辨认净资产份额的差额调减资本公积</w:t>
      </w:r>
      <w:r>
        <w:rPr>
          <w:rFonts w:ascii="Times New Roman" w:hAnsi="Times New Roman" w:cs="Times New Roman" w:eastAsia="Times New Roman" w:hint="default"/>
        </w:rPr>
        <w:t>-</w:t>
      </w:r>
      <w:r>
        <w:rPr/>
        <w:t>股本</w:t>
      </w:r>
      <w:r>
        <w:rPr>
          <w:spacing w:val="-52"/>
        </w:rPr>
        <w:t> </w:t>
      </w:r>
      <w:r>
        <w:rPr/>
        <w:t>溢价</w:t>
      </w:r>
      <w:r>
        <w:rPr>
          <w:rFonts w:ascii="Times New Roman" w:hAnsi="Times New Roman" w:cs="Times New Roman" w:eastAsia="Times New Roman" w:hint="default"/>
        </w:rPr>
        <w:t>181,104.55</w:t>
      </w:r>
      <w:r>
        <w:rPr/>
        <w:t>元。</w:t>
      </w:r>
    </w:p>
    <w:p>
      <w:pPr>
        <w:pStyle w:val="BodyText"/>
        <w:spacing w:line="300" w:lineRule="auto" w:before="13"/>
        <w:ind w:left="154" w:right="1122" w:firstLine="360"/>
        <w:jc w:val="left"/>
      </w:pPr>
      <w:r>
        <w:rPr/>
        <w:t>（</w:t>
      </w:r>
      <w:r>
        <w:rPr>
          <w:rFonts w:ascii="Times New Roman" w:hAnsi="Times New Roman" w:cs="Times New Roman" w:eastAsia="Times New Roman" w:hint="default"/>
        </w:rPr>
        <w:t>3</w:t>
      </w:r>
      <w:r>
        <w:rPr/>
        <w:t>）其他资本公积增加</w:t>
      </w:r>
      <w:r>
        <w:rPr>
          <w:rFonts w:ascii="Times New Roman" w:hAnsi="Times New Roman" w:cs="Times New Roman" w:eastAsia="Times New Roman" w:hint="default"/>
        </w:rPr>
        <w:t>37,708.13</w:t>
      </w:r>
      <w:r>
        <w:rPr/>
        <w:t>元系处置部分深圳茂硕投资发展有限公司的股权，由长期股权投资转为可供出售金融 资产核算所致。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7"/>
        <w:ind w:left="154" w:right="0"/>
        <w:jc w:val="both"/>
        <w:rPr>
          <w:b w:val="0"/>
          <w:bCs w:val="0"/>
        </w:rPr>
      </w:pPr>
      <w:bookmarkStart w:name="56、库存股" w:id="366"/>
      <w:bookmarkEnd w:id="36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57、其他综合收益" w:id="367"/>
      <w:bookmarkEnd w:id="36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1"/>
        <w:gridCol w:w="1081"/>
        <w:gridCol w:w="923"/>
        <w:gridCol w:w="1152"/>
        <w:gridCol w:w="935"/>
        <w:gridCol w:w="936"/>
        <w:gridCol w:w="924"/>
        <w:gridCol w:w="807"/>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10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0"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4"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92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58、专项储备" w:id="368"/>
      <w:bookmarkEnd w:id="36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3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59、盈余公积" w:id="369"/>
      <w:bookmarkEnd w:id="36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22,422,766.80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3,148,934.20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25,571,701.00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22,422,766.80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3,148,934.20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25,571,701.00</w:t>
            </w:r>
          </w:p>
        </w:tc>
      </w:tr>
    </w:tbl>
    <w:p>
      <w:pPr>
        <w:pStyle w:val="BodyText"/>
        <w:spacing w:line="240" w:lineRule="auto" w:before="51"/>
        <w:ind w:left="154" w:right="113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60、未分配利润" w:id="370"/>
      <w:bookmarkEnd w:id="37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94,811,104.24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102,421,333.05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94,811,104.24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102,421,333.05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13,065,004.57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-1,788,124.06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3,148,934.20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1,389,614.89</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4,432,489.86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-5,021,969.78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99,705,204.83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94,811,104.24</w:t>
            </w:r>
          </w:p>
        </w:tc>
      </w:tr>
    </w:tbl>
    <w:p>
      <w:pPr>
        <w:pStyle w:val="BodyText"/>
        <w:spacing w:line="240" w:lineRule="auto" w:before="51"/>
        <w:ind w:left="154" w:right="1130"/>
        <w:jc w:val="left"/>
      </w:pPr>
      <w:r>
        <w:rPr/>
        <w:t>调整期初未分配利润明细：</w:t>
      </w:r>
    </w:p>
    <w:p>
      <w:pPr>
        <w:pStyle w:val="BodyText"/>
        <w:spacing w:line="240" w:lineRule="auto" w:before="116"/>
        <w:ind w:left="154" w:right="113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4"/>
        <w:ind w:right="113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113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1130"/>
        <w:jc w:val="left"/>
      </w:pPr>
      <w:r>
        <w:rPr>
          <w:rFonts w:ascii="Times New Roman" w:hAnsi="Times New Roman" w:cs="Times New Roman" w:eastAsia="Times New Roman" w:hint="default"/>
        </w:rPr>
        <w:t>4)</w:t>
      </w:r>
      <w:r>
        <w:rPr/>
        <w:t>、由于同一控制导致的合并范围变更，影响期初未分配利润元。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rFonts w:ascii="Times New Roman" w:hAnsi="Times New Roman" w:cs="Times New Roman" w:eastAsia="Times New Roman" w:hint="default"/>
        </w:rPr>
        <w:t>5)</w:t>
      </w:r>
      <w:r>
        <w:rPr/>
        <w:t>、其他调整合计影响期初未分配利润元。</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61、营业收入和营业成本" w:id="371"/>
      <w:bookmarkEnd w:id="37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1,626,208,314.78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1,312,042,119.22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1,276,613,918.46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1,000,680,351.74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25,867,967.23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15,579,370.46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16,344,268.76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5,196,420.87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1,652,076,282.01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1,327,621,489.68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1,292,958,187.22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1,005,876,772.61</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62、税金及附加" w:id="372"/>
      <w:bookmarkEnd w:id="37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4,375,227.15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3,311,181.53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3,859,706.51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2,701,338.22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1,882,776.54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1,327,869.43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252,576.67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142,983.47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1,351,620.04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791,332.79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-411,025.10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11,726,706.91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7,863,680.34</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63、销售费用" w:id="373"/>
      <w:bookmarkEnd w:id="37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28,025,297.71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23,042,103.77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20,813,587.22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11,695,635.07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13,173,570.61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6,449,532.48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售后品质费用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8,015,238.73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12,057,039.75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5,081,376.87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3,803,174.41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广告宣传费及展览费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4,251,761.41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3,925,631.10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4,187,159.56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2,617,770.91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1,273,365.81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1,380,329.89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低值易耗品与材料费用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1,000,690.60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3,644,486.74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1,556,813.76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1,868,805.37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87,378,862.28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70,484,509.49</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64、管理费用" w:id="374"/>
      <w:bookmarkEnd w:id="37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62,328,089.01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49,357,130.61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44,952,591.10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37,162,992.81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中介服务及咨询费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11,951,280.75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4,187,191.16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8,415,586.39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8,256,683.61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3,590,912.22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2,818,008.02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3,335,394.17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4,533,565.38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2,797,635.50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3,256,050.63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2,748,053.68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3,102,432.46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2,222,498.53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2,849,464.34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1,733,365.97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2,478,293.60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6,855,505.99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8,067,075.62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150,930,913.31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126,068,888.24</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65、财务费用" w:id="375"/>
      <w:bookmarkEnd w:id="37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20,081,107.78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18,376,705.59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-1,931,696.57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-1,566,435.80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12,420,279.95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-12,071,849.79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963,053.11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1,065,232.16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1,519,653.96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726,838.30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33,052,398.23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6,530,490.46</w:t>
            </w:r>
          </w:p>
        </w:tc>
      </w:tr>
    </w:tbl>
    <w:p>
      <w:pPr>
        <w:pStyle w:val="BodyText"/>
        <w:spacing w:line="240" w:lineRule="auto" w:before="51"/>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66、资产减值损失" w:id="376"/>
      <w:bookmarkEnd w:id="37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20,304,202.20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40,886,192.34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17,203,849.61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5,179,427.82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7,395,400.00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3,615,230.00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23,750,307.94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44,903,451.81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73,431,158.10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67、公允价值变动收益" w:id="377"/>
      <w:bookmarkEnd w:id="37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1,686,707.72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1,686,707.72</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68、投资收益" w:id="378"/>
      <w:bookmarkEnd w:id="37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3,066,721.06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-263,085.96</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12,963,729.63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-631,572.27</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-176,570.00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-3,567,229.42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理财产品持有期间取得的投资收益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215,408.22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214,410.96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16,069,288.91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-4,247,476.69</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69、资产处置收益" w:id="379"/>
      <w:bookmarkEnd w:id="37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348,719.77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567,770.43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70、其他收益" w:id="380"/>
      <w:bookmarkEnd w:id="38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税收返款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2,762,807.68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年企业研究开发资助计划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科创委研发资助款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智能光伏功率优化器的研发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579,389.04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442,951.53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工业稳增长奖励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安居房补贴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中小企业发展专项资金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高新技术企业倍增计划款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国家高新技术企业倍增计划项目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人才素质提升工程项目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南山区重点工业企业稳增长计划项目补 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提升国际竞争力资金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孵化企业种子奖金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企业岗前培训补贴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大健康众创空间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平江县科技和工业化局项目补助款（电 镀产线及排污系统改造清洁生产专项资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远荣工业机器人系统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273,504.27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深圳集中供电智能驱动工程实验室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250,509.38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雷柏智能生产线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222,222.22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太阳能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智能驱动产业化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208,536.50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平江县科技和工业化局项目补助款（柔 性覆铜板及线路板扩建项目）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短期出口信用保险保费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雷柏自动化产线改造补贴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光亚展展位补贴款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134,250.00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重点出口企业境外展会资助项目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照明驱动电源重点实验室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97,904.60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车间生产线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92,307.72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栋厂房补助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驱动电源生产线智能化升级改造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无铅双波峰焊锡机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散热片自动装配生产线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38,461.02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孵化企业房屋补助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境外商标注册申请赞助经费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国内外发明专利申请支持款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中国出口信用保险补贴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南山科技局发明专利申请支持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71、营业外收入" w:id="381"/>
      <w:bookmarkEnd w:id="38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932,636.44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578,687.28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932,636.44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7,591,650.79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30,419.96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4,559.86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14,474.04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久悬未决收入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1,839,884.31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1,839,884.31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业绩对赌补偿款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3,911,787.40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22,125,671.66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3,911,787.40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325,983.23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414,020.15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325,983.23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7,029,325.28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30,740,449.84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7,029,325.28</w:t>
            </w:r>
          </w:p>
        </w:tc>
      </w:tr>
    </w:tbl>
    <w:p>
      <w:pPr>
        <w:pStyle w:val="BodyText"/>
        <w:spacing w:line="240" w:lineRule="auto" w:before="51"/>
        <w:ind w:left="154" w:right="113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深圳社会保 险基金管理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172,219.92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安居房补贴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区住房和建 设局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税收返款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湖南平江常 胜建设发展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2,488,080.00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大功率智能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电源驱 动生产项目 政府补助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博罗县财政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1,160,569.03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战略性新兴 产业企业品 牌培育资助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展会补贴费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区经济促进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424,736.30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南山区自主 创新产业发 展专项资金 科技创新资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 区科学技术 </w:t>
            </w:r>
            <w:r>
              <w:rPr>
                <w:rFonts w:ascii="宋体" w:hAnsi="宋体" w:cs="宋体" w:eastAsia="宋体" w:hint="default"/>
                <w:spacing w:val="-13"/>
                <w:sz w:val="18"/>
                <w:szCs w:val="18"/>
              </w:rPr>
              <w:t>局、深圳市南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山区经济促 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厂房项目补 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湖南平江常 胜建设发展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96"/>
              <w:jc w:val="left"/>
              <w:rPr>
                <w:rFonts w:ascii="宋体" w:hAnsi="宋体" w:cs="宋体" w:eastAsia="宋体" w:hint="default"/>
                <w:sz w:val="18"/>
                <w:szCs w:val="18"/>
              </w:rPr>
            </w:pPr>
            <w:r>
              <w:rPr>
                <w:rFonts w:ascii="宋体" w:hAnsi="宋体" w:cs="宋体" w:eastAsia="宋体" w:hint="default"/>
                <w:sz w:val="18"/>
                <w:szCs w:val="18"/>
              </w:rPr>
              <w:t>茂硕电源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照明驱 动电源重点 实验室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340,932.58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工业园区企 业贴息资金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湖南平江常 胜建设发展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孵化器和众 创空间资助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太阳能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智能驱动产 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164,640.97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 资金企业信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深圳市中小 企业服务署</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息化建设项 目资助款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巴陵青年才 俊英才支持 计划专项资 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岳阳市财政 国库集中支 付局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中短期出口 信用保险费 用资助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72,728.00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驱动电</w:t>
            </w:r>
            <w:r>
              <w:rPr>
                <w:rFonts w:ascii="宋体" w:hAnsi="宋体" w:cs="宋体" w:eastAsia="宋体" w:hint="default"/>
                <w:w w:val="99"/>
                <w:sz w:val="18"/>
                <w:szCs w:val="18"/>
              </w:rPr>
              <w:t> </w:t>
            </w:r>
            <w:r>
              <w:rPr>
                <w:rFonts w:ascii="宋体" w:hAnsi="宋体" w:cs="宋体" w:eastAsia="宋体" w:hint="default"/>
                <w:sz w:val="18"/>
                <w:szCs w:val="18"/>
              </w:rPr>
              <w:t>源生产线智</w:t>
            </w:r>
            <w:r>
              <w:rPr>
                <w:rFonts w:ascii="宋体" w:hAnsi="宋体" w:cs="宋体" w:eastAsia="宋体" w:hint="default"/>
                <w:w w:val="99"/>
                <w:sz w:val="18"/>
                <w:szCs w:val="18"/>
              </w:rPr>
              <w:t> </w:t>
            </w:r>
            <w:r>
              <w:rPr>
                <w:rFonts w:ascii="宋体" w:hAnsi="宋体" w:cs="宋体" w:eastAsia="宋体" w:hint="default"/>
                <w:sz w:val="18"/>
                <w:szCs w:val="18"/>
              </w:rPr>
              <w:t>能化升级改</w:t>
            </w:r>
            <w:r>
              <w:rPr>
                <w:rFonts w:ascii="宋体" w:hAnsi="宋体" w:cs="宋体" w:eastAsia="宋体" w:hint="default"/>
                <w:w w:val="99"/>
                <w:sz w:val="18"/>
                <w:szCs w:val="18"/>
              </w:rPr>
              <w:t> </w:t>
            </w:r>
            <w:r>
              <w:rPr>
                <w:rFonts w:ascii="宋体" w:hAnsi="宋体" w:cs="宋体" w:eastAsia="宋体" w:hint="default"/>
                <w:sz w:val="18"/>
                <w:szCs w:val="18"/>
              </w:rPr>
              <w:t>造项目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政府补助小 升规奖励款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博罗县财政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湘财库</w:t>
            </w:r>
          </w:p>
          <w:p>
            <w:pPr>
              <w:pStyle w:val="TableParagraph"/>
              <w:spacing w:line="309" w:lineRule="auto" w:before="75"/>
              <w:ind w:left="22" w:right="21"/>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2015</w:t>
            </w:r>
            <w:r>
              <w:rPr>
                <w:rFonts w:ascii="宋体" w:hAnsi="宋体" w:cs="宋体" w:eastAsia="宋体" w:hint="default"/>
                <w:spacing w:val="-9"/>
                <w:sz w:val="18"/>
                <w:szCs w:val="18"/>
              </w:rPr>
              <w:t>】省级</w:t>
            </w:r>
            <w:r>
              <w:rPr>
                <w:rFonts w:ascii="宋体" w:hAnsi="宋体" w:cs="宋体" w:eastAsia="宋体" w:hint="default"/>
                <w:sz w:val="18"/>
                <w:szCs w:val="18"/>
              </w:rPr>
              <w:t> 财源建设资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岳阳平江县 预算内库款 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深圳集中供 电智能驱动 工程实验室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38,517.09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国内外发明 专利申请补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深圳市南山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批境外商标 注册资助款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智能光伏功 率优化器的 研发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深圳市科技 创新委员会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17,760.22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31"/>
              <w:jc w:val="left"/>
              <w:rPr>
                <w:rFonts w:ascii="宋体" w:hAnsi="宋体" w:cs="宋体" w:eastAsia="宋体" w:hint="default"/>
                <w:sz w:val="18"/>
                <w:szCs w:val="18"/>
              </w:rPr>
            </w:pPr>
            <w:r>
              <w:rPr>
                <w:rFonts w:ascii="宋体" w:hAnsi="宋体" w:cs="宋体" w:eastAsia="宋体" w:hint="default"/>
                <w:sz w:val="18"/>
                <w:szCs w:val="18"/>
              </w:rPr>
              <w:t>厂房基础设 施补助款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湖南平江常 胜建设发展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年度超 比例安排残 疾人就业奖 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7,591,650.79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72、营业外支出" w:id="382"/>
      <w:bookmarkEnd w:id="38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405,990.00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424,547.52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98,127.07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424,547.52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244,534.05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149,330.95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244,534.05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火灾损失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1,633,286.49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24,834.74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148,283.46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1,435,933.50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148,283.46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1,926,199.77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3,722,668.01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1,926,199.77</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73、所得税费用" w:id="383"/>
      <w:bookmarkEnd w:id="38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所得税费用表" w:id="384"/>
      <w:bookmarkEnd w:id="3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9,776,677.53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13,413,068.74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-7,342,012.09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482,445.37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2,434,665.44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13,895,514.11</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会计利润与所得税费用调整过程" w:id="385"/>
      <w:bookmarkEnd w:id="3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27,407,883.52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4,111,182.53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2,516,887.01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652,681.87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-1,449,755.40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1,077,398.19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84,608.98</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2,301,704.41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-4,654,218.15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所得税减免优惠的影响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-2,176,831.42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-28,992.58</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2,434,665.44</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74、其他综合收益" w:id="386"/>
      <w:bookmarkEnd w:id="386"/>
      <w:r>
        <w:rPr>
          <w:b w:val="0"/>
          <w:bCs w:val="0"/>
        </w:rPr>
      </w:r>
      <w:r>
        <w:rPr>
          <w:rFonts w:ascii="Times New Roman" w:hAnsi="Times New Roman" w:cs="Times New Roman" w:eastAsia="Times New Roman" w:hint="default"/>
        </w:rPr>
        <w:t>74</w:t>
      </w:r>
      <w:r>
        <w:rPr/>
        <w:t>、其他综合收益</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54" w:right="113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75、现金流量表项目" w:id="387"/>
      <w:bookmarkEnd w:id="387"/>
      <w:r>
        <w:rPr>
          <w:b w:val="0"/>
          <w:bCs w:val="0"/>
        </w:rPr>
      </w:r>
      <w:r>
        <w:rPr>
          <w:rFonts w:ascii="Times New Roman" w:hAnsi="Times New Roman" w:cs="Times New Roman" w:eastAsia="Times New Roman" w:hint="default"/>
        </w:rPr>
        <w:t>75</w:t>
      </w:r>
      <w:r>
        <w:rPr/>
        <w:t>、现金流量表项目</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130"/>
        <w:jc w:val="left"/>
        <w:rPr>
          <w:b w:val="0"/>
          <w:bCs w:val="0"/>
        </w:rPr>
      </w:pPr>
      <w:bookmarkStart w:name="（1）收到的其他与经营活动有关的现金" w:id="388"/>
      <w:bookmarkEnd w:id="38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1,931,696.57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1,566,435.80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7,206,070.21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5,978,553.70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15,636,382.17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33,110,110.30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24,774,148.95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40,655,099.80</w:t>
            </w:r>
          </w:p>
        </w:tc>
      </w:tr>
    </w:tbl>
    <w:p>
      <w:pPr>
        <w:pStyle w:val="BodyText"/>
        <w:spacing w:line="240" w:lineRule="auto" w:before="51"/>
        <w:ind w:left="154" w:right="113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3"/>
        <w:ind w:left="154" w:right="1130"/>
        <w:jc w:val="left"/>
        <w:rPr>
          <w:b w:val="0"/>
          <w:bCs w:val="0"/>
        </w:rPr>
      </w:pPr>
      <w:bookmarkStart w:name="（2）支付的其他与经营活动有关的现金" w:id="389"/>
      <w:bookmarkEnd w:id="38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36,302,683.28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31,740,879.23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47,192,816.44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35,793,022.95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2,433,909.18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1,065,232.16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447,496.79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555,320.95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10,931,573.32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15,419,501.75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97,308,479.01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84,573,957.04</w:t>
            </w:r>
          </w:p>
        </w:tc>
      </w:tr>
    </w:tbl>
    <w:p>
      <w:pPr>
        <w:pStyle w:val="BodyText"/>
        <w:spacing w:line="240" w:lineRule="auto" w:before="51"/>
        <w:ind w:left="154" w:right="113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3）收到的其他与投资活动有关的现金" w:id="390"/>
      <w:bookmarkEnd w:id="39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收回因工程合同被法院冻结的款项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收到借款资金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新增子公司支付的现金与购买日公司现 金差额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9,130,484.95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9,130,484.95</w:t>
            </w:r>
          </w:p>
        </w:tc>
      </w:tr>
    </w:tbl>
    <w:p>
      <w:pPr>
        <w:pStyle w:val="BodyText"/>
        <w:spacing w:line="240" w:lineRule="auto" w:before="51"/>
        <w:ind w:left="154" w:right="113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4）支付的其他与投资活动有关的现金" w:id="391"/>
      <w:bookmarkEnd w:id="39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2,468,470.67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2,336,667.80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处置子公司收到现金与处置日子公司现 金余额的差额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1,243,525.68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因工程合同被法院冻结的款项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5,068,470.67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5,540,193.48</w:t>
            </w:r>
          </w:p>
        </w:tc>
      </w:tr>
    </w:tbl>
    <w:p>
      <w:pPr>
        <w:pStyle w:val="BodyText"/>
        <w:spacing w:line="240" w:lineRule="auto" w:before="51"/>
        <w:ind w:left="154" w:right="113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5）收到的其他与筹资活动有关的现金" w:id="392"/>
      <w:bookmarkEnd w:id="39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123,161,741.33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164,782,141.95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与财政贴息款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外部拆入资金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125,191,741.33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191,532,141.95</w:t>
            </w:r>
          </w:p>
        </w:tc>
      </w:tr>
    </w:tbl>
    <w:p>
      <w:pPr>
        <w:pStyle w:val="BodyText"/>
        <w:spacing w:line="240" w:lineRule="auto" w:before="51"/>
        <w:ind w:left="154" w:right="1130"/>
        <w:jc w:val="left"/>
      </w:pPr>
      <w:r>
        <w:rPr/>
        <w:t>收到的其他与筹资活动有关的现金说明：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r>
        <w:rPr/>
        <w:pict>
          <v:group style="position:absolute;margin-left:223.339996pt;margin-top:685.570007pt;width:151.25pt;height:40.9pt;mso-position-horizontal-relative:page;mso-position-vertical-relative:page;z-index:-1317496" coordorigin="4467,13711" coordsize="3025,818">
            <v:group style="position:absolute;left:4478;top:13723;width:2;height:393" coordorigin="4478,13723" coordsize="2,393">
              <v:shape style="position:absolute;left:4478;top:13723;width:2;height:393" coordorigin="4478,13723" coordsize="0,393" path="m4478,13723l4478,14116e" filled="false" stroked="true" strokeweight="1.140pt" strokecolor="#ffffff">
                <v:path arrowok="t"/>
              </v:shape>
            </v:group>
            <v:group style="position:absolute;left:4490;top:13723;width:3002;height:393" coordorigin="4490,13723" coordsize="3002,393">
              <v:shape style="position:absolute;left:4490;top:13723;width:3002;height:393" coordorigin="4490,13723" coordsize="3002,393" path="m4490,14116l7491,14116,7491,13723,4490,13723,4490,14116xe" filled="true" fillcolor="#ffffff" stroked="false">
                <v:path arrowok="t"/>
                <v:fill type="solid"/>
              </v:shape>
            </v:group>
            <v:group style="position:absolute;left:4478;top:14125;width:2;height:393" coordorigin="4478,14125" coordsize="2,393">
              <v:shape style="position:absolute;left:4478;top:14125;width:2;height:393" coordorigin="4478,14125" coordsize="0,393" path="m4478,14125l4478,14518e" filled="false" stroked="true" strokeweight="1.140pt" strokecolor="#ffffff">
                <v:path arrowok="t"/>
              </v:shape>
            </v:group>
            <v:group style="position:absolute;left:4490;top:14125;width:3002;height:393" coordorigin="4490,14125" coordsize="3002,393">
              <v:shape style="position:absolute;left:4490;top:14125;width:3002;height:393" coordorigin="4490,14125" coordsize="3002,393" path="m4490,14518l7491,14518,7491,14125,4490,14125,4490,14518xe" filled="true" fillcolor="#ffffff" stroked="false">
                <v:path arrowok="t"/>
                <v:fill type="solid"/>
              </v:shape>
            </v:group>
            <w10:wrap type="none"/>
          </v:group>
        </w:pict>
      </w:r>
    </w:p>
    <w:p>
      <w:pPr>
        <w:pStyle w:val="Heading3"/>
        <w:spacing w:line="240" w:lineRule="auto" w:before="38"/>
        <w:ind w:right="1130"/>
        <w:jc w:val="left"/>
        <w:rPr>
          <w:b w:val="0"/>
          <w:bCs w:val="0"/>
        </w:rPr>
      </w:pPr>
      <w:bookmarkStart w:name="（6）支付的其他与筹资活动有关的现金" w:id="393"/>
      <w:bookmarkEnd w:id="39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175,608,814.94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199,503,220.15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22,301,568.87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4,496,496.80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偿还拆入资金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股利分配手续费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13,273.65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202,806,881.61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226,266,494.80</w:t>
            </w:r>
          </w:p>
        </w:tc>
      </w:tr>
    </w:tbl>
    <w:p>
      <w:pPr>
        <w:pStyle w:val="BodyText"/>
        <w:spacing w:line="240" w:lineRule="auto" w:before="51"/>
        <w:ind w:left="154" w:right="113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3"/>
        <w:ind w:left="154" w:right="1130"/>
        <w:jc w:val="left"/>
        <w:rPr>
          <w:b w:val="0"/>
          <w:bCs w:val="0"/>
        </w:rPr>
      </w:pPr>
      <w:bookmarkStart w:name="76、现金流量表补充资料" w:id="394"/>
      <w:bookmarkEnd w:id="39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现金流量表补充资料" w:id="395"/>
      <w:bookmarkEnd w:id="39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24,973,218.08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13,831,957.16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44,903,451.81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73,431,158.10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43,013,561.91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30,971,706.75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6,547,114.78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3,471,440.29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6,598,799.97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6,764,727.62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-348,719.77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-567,770.43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419,987.66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67,707.11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-1,686,707.72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32,501,387.73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11,915,571.95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-16,069,288.91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4,247,476.69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-7,342,012.09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557,231.23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-1,217,387.10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-74,785.86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-54,972,130.58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-52,478,520.21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-170,769,798.77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-195,472,499.37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288,311,555.92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125,985,216.06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-310,567.01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-18,782,603.61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196,239,173.63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2,181,305.76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194,924,014.68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186,556,540.52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186,556,540.52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244,702,050.89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8,367,474.16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-58,145,510.37</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本期支付的取得子公司的现金净额" w:id="396"/>
      <w:bookmarkEnd w:id="39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3）本期收到的处置子公司的现金净额" w:id="397"/>
      <w:bookmarkEnd w:id="39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5,216,093.86</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湖南省方正达电子科技有限公司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5,216,093.86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147,783,906.14</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4）现金和现金等价物的构成" w:id="398"/>
      <w:bookmarkEnd w:id="39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194,924,014.68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186,556,540.52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86,092.47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145,591.62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194,837,922.21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186,410,948.90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194,924,014.68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186,556,540.52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123,237,749.77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88,182,949.77</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spacing w:line="559" w:lineRule="auto" w:before="124"/>
        <w:ind w:left="154" w:right="5372" w:firstLine="0"/>
        <w:jc w:val="left"/>
        <w:rPr>
          <w:rFonts w:ascii="宋体" w:hAnsi="宋体" w:cs="宋体" w:eastAsia="宋体" w:hint="default"/>
          <w:sz w:val="20"/>
          <w:szCs w:val="20"/>
        </w:rPr>
      </w:pPr>
      <w:bookmarkStart w:name="77、所有者权益变动表项目注释" w:id="399"/>
      <w:bookmarkEnd w:id="399"/>
      <w:r>
        <w:rPr/>
      </w:r>
      <w:r>
        <w:rPr>
          <w:rFonts w:ascii="Times New Roman" w:hAnsi="Times New Roman" w:cs="Times New Roman" w:eastAsia="Times New Roman" w:hint="default"/>
          <w:b/>
          <w:bCs/>
          <w:sz w:val="20"/>
          <w:szCs w:val="20"/>
        </w:rPr>
        <w:t>77</w:t>
      </w:r>
      <w:r>
        <w:rPr>
          <w:rFonts w:ascii="宋体" w:hAnsi="宋体" w:cs="宋体" w:eastAsia="宋体" w:hint="default"/>
          <w:b/>
          <w:bCs/>
          <w:sz w:val="20"/>
          <w:szCs w:val="20"/>
        </w:rPr>
        <w:t>、所有者权益变动表项目注释</w:t>
      </w:r>
      <w:r>
        <w:rPr>
          <w:rFonts w:ascii="宋体" w:hAnsi="宋体" w:cs="宋体" w:eastAsia="宋体" w:hint="default"/>
          <w:b/>
          <w:bCs/>
          <w:w w:val="99"/>
          <w:sz w:val="20"/>
          <w:szCs w:val="20"/>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0"/>
      <w:bookmarkEnd w:id="400"/>
      <w:r>
        <w:rPr>
          <w:rFonts w:ascii="宋体" w:hAnsi="宋体" w:cs="宋体" w:eastAsia="宋体" w:hint="default"/>
          <w:sz w:val="18"/>
          <w:szCs w:val="18"/>
        </w:rPr>
      </w:r>
      <w:r>
        <w:rPr>
          <w:rFonts w:ascii="Times New Roman" w:hAnsi="Times New Roman" w:cs="Times New Roman" w:eastAsia="Times New Roman" w:hint="default"/>
          <w:b/>
          <w:bCs/>
          <w:sz w:val="20"/>
          <w:szCs w:val="20"/>
        </w:rPr>
        <w:t>78</w:t>
      </w:r>
      <w:r>
        <w:rPr>
          <w:rFonts w:ascii="宋体" w:hAnsi="宋体" w:cs="宋体" w:eastAsia="宋体" w:hint="default"/>
          <w:b/>
          <w:bCs/>
          <w:sz w:val="20"/>
          <w:szCs w:val="20"/>
        </w:rPr>
        <w:t>、所有权或使用权受到限制的资产</w:t>
      </w:r>
      <w:r>
        <w:rPr>
          <w:rFonts w:ascii="宋体" w:hAnsi="宋体" w:cs="宋体" w:eastAsia="宋体" w:hint="default"/>
          <w:sz w:val="20"/>
          <w:szCs w:val="20"/>
        </w:rPr>
      </w:r>
    </w:p>
    <w:p>
      <w:pPr>
        <w:pStyle w:val="BodyText"/>
        <w:spacing w:line="240" w:lineRule="auto" w:before="5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123,237,749.77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29,963,829.65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15,605,413.10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融资租赁方式租入设备</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惠州茂硕能源科技有限公司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w:t>
            </w:r>
            <w:r>
              <w:rPr>
                <w:rFonts w:ascii="宋体" w:hAnsi="宋体" w:cs="宋体" w:eastAsia="宋体" w:hint="default"/>
                <w:sz w:val="18"/>
                <w:szCs w:val="18"/>
              </w:rPr>
              <w:t>股权</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72,503,370.84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惠州茂硕增资合同项下质押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241,310,363.36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79、外币货币性项目" w:id="401"/>
      <w:bookmarkEnd w:id="40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外币货币性项目" w:id="402"/>
      <w:bookmarkEnd w:id="4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84,104,850.68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12,786,747.65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83,551,166.51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661,849.82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553,246.88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171,586,962.79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25,883,700.26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169,129,274.22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6,171.62</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2,932,752.27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2,451,516.95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6,550,548.18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1,002,501.94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6,550,548.18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38,551,780.00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38,551,780.00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7,244,173.83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1,108,655.05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7,244,173.83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159,918.36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24,474.05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159,918.36</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73" w:lineRule="auto" w:before="124"/>
        <w:ind w:left="154" w:right="1014"/>
        <w:jc w:val="left"/>
        <w:rPr>
          <w:b w:val="0"/>
          <w:bCs w:val="0"/>
        </w:rPr>
      </w:pPr>
      <w:bookmarkStart w:name="（2）境外经营实体说明，包括对于重要的境外经营实体，应披露其境外主要经营地、记账" w:id="403"/>
      <w:bookmarkEnd w:id="40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）境外经营实体说明，包括对于重要的境外经营实体，应披露其境外主要经营地、记账本位币及选择依据，</w:t>
      </w:r>
      <w:r>
        <w:rPr>
          <w:w w:val="99"/>
        </w:rPr>
        <w:t> </w:t>
      </w:r>
      <w:r>
        <w:rPr/>
        <w:t>记账本位币发生变化的还应披露原因。</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80、套期" w:id="404"/>
      <w:bookmarkEnd w:id="404"/>
      <w:r>
        <w:rPr>
          <w:b w:val="0"/>
          <w:bCs w:val="0"/>
        </w:rPr>
      </w:r>
      <w:r>
        <w:rPr>
          <w:rFonts w:ascii="Times New Roman" w:hAnsi="Times New Roman" w:cs="Times New Roman" w:eastAsia="Times New Roman" w:hint="default"/>
        </w:rPr>
        <w:t>80</w:t>
      </w:r>
      <w:r>
        <w:rPr/>
        <w:t>、套期</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99" w:lineRule="auto" w:before="123"/>
        <w:ind w:left="153" w:right="8444" w:firstLine="0"/>
        <w:jc w:val="left"/>
        <w:rPr>
          <w:rFonts w:ascii="宋体" w:hAnsi="宋体" w:cs="宋体" w:eastAsia="宋体" w:hint="default"/>
          <w:sz w:val="20"/>
          <w:szCs w:val="20"/>
        </w:rPr>
      </w:pPr>
      <w:bookmarkStart w:name="81、其他" w:id="405"/>
      <w:bookmarkEnd w:id="405"/>
      <w:r>
        <w:rPr/>
      </w:r>
      <w:r>
        <w:rPr>
          <w:rFonts w:ascii="Times New Roman" w:hAnsi="Times New Roman" w:cs="Times New Roman" w:eastAsia="Times New Roman" w:hint="default"/>
          <w:b/>
          <w:bCs/>
          <w:sz w:val="20"/>
          <w:szCs w:val="20"/>
        </w:rPr>
        <w:t>81</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八、合并范围的变更" w:id="406"/>
      <w:bookmarkEnd w:id="406"/>
      <w:r>
        <w:rPr>
          <w:rFonts w:ascii="宋体" w:hAnsi="宋体" w:cs="宋体" w:eastAsia="宋体" w:hint="default"/>
          <w:b/>
          <w:bCs/>
          <w:w w:val="99"/>
          <w:sz w:val="20"/>
          <w:szCs w:val="20"/>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7"/>
      <w:bookmarkEnd w:id="407"/>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、非同一控制下企业合并</w:t>
      </w:r>
      <w:r>
        <w:rPr>
          <w:rFonts w:ascii="宋体" w:hAnsi="宋体" w:cs="宋体" w:eastAsia="宋体" w:hint="default"/>
          <w:sz w:val="20"/>
          <w:szCs w:val="20"/>
        </w:rPr>
      </w:r>
    </w:p>
    <w:p>
      <w:pPr>
        <w:pStyle w:val="Heading3"/>
        <w:spacing w:line="240" w:lineRule="auto" w:before="97"/>
        <w:ind w:left="154" w:right="1130"/>
        <w:jc w:val="left"/>
        <w:rPr>
          <w:b w:val="0"/>
          <w:bCs w:val="0"/>
        </w:rPr>
      </w:pPr>
      <w:bookmarkStart w:name="（1）本期发生的非同一控制下企业合并" w:id="408"/>
      <w:bookmarkEnd w:id="40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2）合并成本及商誉" w:id="409"/>
      <w:bookmarkEnd w:id="40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left="154" w:right="6072"/>
        <w:jc w:val="left"/>
      </w:pPr>
      <w:r>
        <w:rPr/>
        <w:t>合并成本公允价值的确定方法、或有对价及其变动的说明： 大额商誉形成的主要原因：</w:t>
      </w:r>
    </w:p>
    <w:p>
      <w:pPr>
        <w:pStyle w:val="BodyText"/>
        <w:spacing w:line="240" w:lineRule="auto" w:before="26"/>
        <w:ind w:left="154" w:right="1130"/>
        <w:jc w:val="left"/>
      </w:pPr>
      <w:r>
        <w:rPr/>
        <w:t>其他说明：</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3）被购买方于购买日可辨认资产、负债" w:id="410"/>
      <w:bookmarkEnd w:id="41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7"/>
        <w:rPr>
          <w:rFonts w:ascii="宋体" w:hAnsi="宋体" w:cs="宋体" w:eastAsia="宋体" w:hint="default"/>
          <w:sz w:val="20"/>
          <w:szCs w:val="20"/>
        </w:rPr>
      </w:pPr>
    </w:p>
    <w:p>
      <w:pPr>
        <w:pStyle w:val="Heading3"/>
        <w:spacing w:line="240" w:lineRule="auto"/>
        <w:ind w:right="0"/>
        <w:jc w:val="both"/>
        <w:rPr>
          <w:b w:val="0"/>
          <w:bCs w:val="0"/>
        </w:rPr>
      </w:pPr>
      <w:bookmarkStart w:name="（4）购买日之前持有的股权按照公允价值重新计量产生的利得或损失" w:id="411"/>
      <w:bookmarkEnd w:id="41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412"/>
      <w:bookmarkEnd w:id="41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bookmarkStart w:name="（6）其他说明" w:id="413"/>
      <w:bookmarkEnd w:id="41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0"/>
        <w:jc w:val="both"/>
        <w:rPr>
          <w:b w:val="0"/>
          <w:bCs w:val="0"/>
        </w:rPr>
      </w:pPr>
      <w:bookmarkStart w:name="2、同一控制下企业合并" w:id="414"/>
      <w:bookmarkEnd w:id="41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0"/>
        <w:jc w:val="both"/>
        <w:rPr>
          <w:b w:val="0"/>
          <w:bCs w:val="0"/>
        </w:rPr>
      </w:pPr>
      <w:bookmarkStart w:name="（1）本期发生的同一控制下企业合并" w:id="415"/>
      <w:bookmarkEnd w:id="41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2）合并成本" w:id="416"/>
      <w:bookmarkEnd w:id="41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8592"/>
        <w:jc w:val="left"/>
      </w:pPr>
      <w:r>
        <w:rPr/>
        <w:t>或有对价及其变动的说明： 其他说明：</w:t>
      </w:r>
    </w:p>
    <w:p>
      <w:pPr>
        <w:spacing w:line="240" w:lineRule="auto" w:before="7"/>
        <w:rPr>
          <w:rFonts w:ascii="宋体" w:hAnsi="宋体" w:cs="宋体" w:eastAsia="宋体" w:hint="default"/>
          <w:sz w:val="20"/>
          <w:szCs w:val="20"/>
        </w:rPr>
      </w:pPr>
    </w:p>
    <w:p>
      <w:pPr>
        <w:pStyle w:val="Heading3"/>
        <w:spacing w:line="240" w:lineRule="auto"/>
        <w:ind w:right="1130"/>
        <w:jc w:val="left"/>
        <w:rPr>
          <w:b w:val="0"/>
          <w:bCs w:val="0"/>
        </w:rPr>
      </w:pPr>
      <w:bookmarkStart w:name="（3）合并日被合并方资产、负债的账面价值" w:id="417"/>
      <w:bookmarkEnd w:id="41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7513"/>
        <w:jc w:val="left"/>
      </w:pPr>
      <w:r>
        <w:rPr/>
        <w:t>企业合并中承担的被合并方的或有负债： 其他说明：</w:t>
      </w:r>
    </w:p>
    <w:p>
      <w:pPr>
        <w:spacing w:line="240" w:lineRule="auto" w:before="10"/>
        <w:rPr>
          <w:rFonts w:ascii="宋体" w:hAnsi="宋体" w:cs="宋体" w:eastAsia="宋体" w:hint="default"/>
          <w:sz w:val="20"/>
          <w:szCs w:val="20"/>
        </w:rPr>
      </w:pPr>
    </w:p>
    <w:p>
      <w:pPr>
        <w:pStyle w:val="Heading3"/>
        <w:spacing w:line="240" w:lineRule="auto"/>
        <w:ind w:right="1130"/>
        <w:jc w:val="left"/>
        <w:rPr>
          <w:b w:val="0"/>
          <w:bCs w:val="0"/>
        </w:rPr>
      </w:pPr>
      <w:bookmarkStart w:name="3、反向购买" w:id="418"/>
      <w:bookmarkEnd w:id="41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13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13"/>
        <w:rPr>
          <w:rFonts w:ascii="宋体" w:hAnsi="宋体" w:cs="宋体" w:eastAsia="宋体" w:hint="default"/>
          <w:sz w:val="22"/>
          <w:szCs w:val="22"/>
        </w:rPr>
      </w:pPr>
    </w:p>
    <w:p>
      <w:pPr>
        <w:pStyle w:val="Heading3"/>
        <w:spacing w:line="240" w:lineRule="auto"/>
        <w:ind w:right="1130"/>
        <w:jc w:val="left"/>
        <w:rPr>
          <w:b w:val="0"/>
          <w:bCs w:val="0"/>
        </w:rPr>
      </w:pPr>
      <w:bookmarkStart w:name="4、处置子公司" w:id="419"/>
      <w:bookmarkEnd w:id="41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7"/>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湖南省 方正达 电子科 技有限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153,000,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工商变 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13,110,3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22.40%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103,645,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074.54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100,080,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-3,565,0</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74.54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0"/>
        <w:jc w:val="left"/>
      </w:pPr>
      <w:r>
        <w:rPr/>
        <w:t>其他说明：</w:t>
      </w:r>
    </w:p>
    <w:p>
      <w:pPr>
        <w:pStyle w:val="BodyText"/>
        <w:spacing w:line="300" w:lineRule="auto" w:before="115"/>
        <w:ind w:right="1033" w:firstLine="360"/>
        <w:jc w:val="left"/>
      </w:pPr>
      <w:r>
        <w:rPr/>
        <w:t>本报告期茂硕电源公司将持有的湖南省方正达电子科技有限公司</w:t>
      </w:r>
      <w:r>
        <w:rPr>
          <w:rFonts w:ascii="Times New Roman" w:hAnsi="Times New Roman" w:cs="Times New Roman" w:eastAsia="Times New Roman" w:hint="default"/>
        </w:rPr>
        <w:t>34%</w:t>
      </w:r>
      <w:r>
        <w:rPr/>
        <w:t>的股权转让，截至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日止，与受让方签 </w:t>
      </w:r>
      <w:r>
        <w:rPr>
          <w:spacing w:val="-2"/>
        </w:rPr>
        <w:t>订股权转让协议，并支付了全部转让价款</w:t>
      </w:r>
      <w:r>
        <w:rPr>
          <w:rFonts w:ascii="Times New Roman" w:hAnsi="Times New Roman" w:cs="Times New Roman" w:eastAsia="Times New Roman" w:hint="default"/>
          <w:spacing w:val="-2"/>
        </w:rPr>
        <w:t>15,300</w:t>
      </w:r>
      <w:r>
        <w:rPr>
          <w:spacing w:val="-2"/>
        </w:rPr>
        <w:t>万元，以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日为处置日，处置收益为</w:t>
      </w:r>
      <w:r>
        <w:rPr>
          <w:rFonts w:ascii="Times New Roman" w:hAnsi="Times New Roman" w:cs="Times New Roman" w:eastAsia="Times New Roman" w:hint="default"/>
          <w:spacing w:val="-2"/>
        </w:rPr>
        <w:t>13,110,393.23</w:t>
      </w:r>
      <w:r>
        <w:rPr>
          <w:spacing w:val="-2"/>
        </w:rPr>
        <w:t>元，故本期不再</w:t>
      </w:r>
      <w:r>
        <w:rPr>
          <w:spacing w:val="-44"/>
        </w:rPr>
        <w:t> </w:t>
      </w:r>
      <w:r>
        <w:rPr>
          <w:spacing w:val="-44"/>
        </w:rPr>
      </w:r>
      <w:r>
        <w:rPr/>
        <w:t>将其纳入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日合并资产负债表，但将其期初至处置日的收入、费用、利润和现金流量纳入</w:t>
      </w:r>
      <w:r>
        <w:rPr>
          <w:rFonts w:ascii="Times New Roman" w:hAnsi="Times New Roman" w:cs="Times New Roman" w:eastAsia="Times New Roman" w:hint="default"/>
        </w:rPr>
        <w:t>2017</w:t>
      </w:r>
      <w:r>
        <w:rPr/>
        <w:t>年度合并利润表、 合并现金流量表。</w:t>
      </w:r>
    </w:p>
    <w:p>
      <w:pPr>
        <w:spacing w:line="240" w:lineRule="auto" w:before="0"/>
        <w:rPr>
          <w:rFonts w:ascii="宋体" w:hAnsi="宋体" w:cs="宋体" w:eastAsia="宋体" w:hint="default"/>
          <w:sz w:val="18"/>
          <w:szCs w:val="18"/>
        </w:rPr>
      </w:pPr>
    </w:p>
    <w:p>
      <w:pPr>
        <w:pStyle w:val="BodyText"/>
        <w:spacing w:line="240" w:lineRule="auto" w:before="148"/>
        <w:ind w:right="1130"/>
        <w:jc w:val="left"/>
      </w:pPr>
      <w:r>
        <w:rPr/>
        <w:t>是否存在通过多次交易分步处置对子公司投资且在本期丧失控制权的情形</w:t>
      </w:r>
    </w:p>
    <w:p>
      <w:pPr>
        <w:pStyle w:val="BodyText"/>
        <w:spacing w:line="240" w:lineRule="auto" w:before="117"/>
        <w:ind w:right="11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5、其他原因的合并范围变动" w:id="420"/>
      <w:bookmarkEnd w:id="42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54" w:right="1130"/>
        <w:jc w:val="left"/>
      </w:pPr>
      <w:r>
        <w:rPr/>
        <w:t>说明其他原因导致的合并范围变动（如，新设子公司、清算子公司等）及其相关情况：</w:t>
      </w:r>
    </w:p>
    <w:p>
      <w:pPr>
        <w:spacing w:after="0" w:line="240" w:lineRule="auto"/>
        <w:jc w:val="left"/>
        <w:sectPr>
          <w:type w:val="continuous"/>
          <w:pgSz w:w="11910" w:h="16840"/>
          <w:pgMar w:top="1060" w:bottom="1160" w:left="980" w:right="0"/>
        </w:sectPr>
      </w:pPr>
    </w:p>
    <w:p>
      <w:pPr>
        <w:spacing w:line="240" w:lineRule="auto" w:before="1"/>
        <w:rPr>
          <w:rFonts w:ascii="宋体" w:hAnsi="宋体" w:cs="宋体" w:eastAsia="宋体" w:hint="default"/>
          <w:sz w:val="25"/>
          <w:szCs w:val="25"/>
        </w:rPr>
      </w:pPr>
    </w:p>
    <w:p>
      <w:pPr>
        <w:spacing w:line="499" w:lineRule="auto" w:before="38"/>
        <w:ind w:left="153" w:right="7693" w:firstLine="0"/>
        <w:jc w:val="left"/>
        <w:rPr>
          <w:rFonts w:ascii="宋体" w:hAnsi="宋体" w:cs="宋体" w:eastAsia="宋体" w:hint="default"/>
          <w:sz w:val="20"/>
          <w:szCs w:val="20"/>
        </w:rPr>
      </w:pPr>
      <w:bookmarkStart w:name="6、其他" w:id="421"/>
      <w:bookmarkEnd w:id="421"/>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九、在其他主体中的权益" w:id="422"/>
      <w:bookmarkEnd w:id="422"/>
      <w:r>
        <w:rPr>
          <w:rFonts w:ascii="宋体" w:hAnsi="宋体" w:cs="宋体" w:eastAsia="宋体" w:hint="default"/>
          <w:b/>
          <w:bCs/>
          <w:w w:val="99"/>
          <w:sz w:val="20"/>
          <w:szCs w:val="20"/>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3"/>
      <w:bookmarkEnd w:id="42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、在子公司中的权益</w:t>
      </w:r>
      <w:r>
        <w:rPr>
          <w:rFonts w:ascii="宋体" w:hAnsi="宋体" w:cs="宋体" w:eastAsia="宋体" w:hint="default"/>
          <w:sz w:val="20"/>
          <w:szCs w:val="20"/>
        </w:rPr>
      </w:r>
    </w:p>
    <w:p>
      <w:pPr>
        <w:pStyle w:val="Heading3"/>
        <w:spacing w:line="240" w:lineRule="auto" w:before="97"/>
        <w:ind w:right="1130"/>
        <w:jc w:val="left"/>
        <w:rPr>
          <w:b w:val="0"/>
          <w:bCs w:val="0"/>
        </w:rPr>
      </w:pPr>
      <w:bookmarkStart w:name="（1）企业集团的构成" w:id="424"/>
      <w:bookmarkEnd w:id="4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深圳茂硕新能源 技术研究院有限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惠州茂硕能源科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广东惠州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深圳茂硕电子科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茂硕能源科技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（香港）国际有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深圳茂硕新能源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海宁茂硕诺华能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深圳茂硕电气有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新余茂硕新能源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台州南瑞新能源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萍乡茂硕新能源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江西萍乡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灵武市茂硕新能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宁夏灵武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江苏茂硕新能源 科技发展有限公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加码技术有限公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宁夏茂硕富寅能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源科技有限公司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连云港闰洋光伏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江苏连云港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茂硕科技有限公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瑞盈茂硕融资租 赁（深圳）有限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山西茂硕光伏电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山西平定县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山西平定县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加码技术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line="240" w:lineRule="auto" w:before="7"/>
        <w:rPr>
          <w:rFonts w:ascii="宋体" w:hAnsi="宋体" w:cs="宋体" w:eastAsia="宋体" w:hint="default"/>
          <w:sz w:val="20"/>
          <w:szCs w:val="20"/>
        </w:rPr>
      </w:pPr>
    </w:p>
    <w:p>
      <w:pPr>
        <w:pStyle w:val="Heading3"/>
        <w:spacing w:line="240" w:lineRule="auto"/>
        <w:ind w:left="154" w:right="1130"/>
        <w:jc w:val="left"/>
        <w:rPr>
          <w:b w:val="0"/>
          <w:bCs w:val="0"/>
        </w:rPr>
      </w:pPr>
      <w:bookmarkStart w:name="（2）重要的非全资子公司" w:id="425"/>
      <w:bookmarkEnd w:id="4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惠州茂硕能源科技有限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-1,224,805.85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32,223,720.37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海宁茂硕诺华能源有限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1,932,855.29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16,998,222.84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深圳茂硕电气有限公司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-684,051.68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1,507,186.98</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7"/>
        <w:rPr>
          <w:rFonts w:ascii="宋体" w:hAnsi="宋体" w:cs="宋体" w:eastAsia="宋体" w:hint="default"/>
          <w:sz w:val="20"/>
          <w:szCs w:val="20"/>
        </w:rPr>
      </w:pPr>
    </w:p>
    <w:p>
      <w:pPr>
        <w:pStyle w:val="Heading3"/>
        <w:spacing w:line="240" w:lineRule="auto"/>
        <w:ind w:left="154" w:right="1130"/>
        <w:jc w:val="left"/>
        <w:rPr>
          <w:b w:val="0"/>
          <w:bCs w:val="0"/>
        </w:rPr>
      </w:pPr>
      <w:bookmarkStart w:name="（3）重要非全资子公司的主要财务信息" w:id="426"/>
      <w:bookmarkEnd w:id="4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惠州茂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333,682,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755.90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271,715,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235.17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605,397,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991.07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274,252,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604.54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8,908,18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283,160,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787.35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325,032,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625.06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274,813,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379.35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599,846,</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004.41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249,934,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979.35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8,078,06</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2.65</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258,013,</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042.00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海宁茂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11,123,1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12.00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93,187,4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65.46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104,310,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577.46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46,493,4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92.97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46,493,4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92.97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14,372,5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30.75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96,854,4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93.41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111,227,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024.16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59,984,2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77.40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59,984,2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77.40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茂硕电 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115,526,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907.23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7,098,52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122,625,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427.60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111,401,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223.74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2,632,31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114,033,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542.11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63,713,5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70.77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6,818,50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70,532,0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80.47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59,582,3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37.52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1,616,10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61,198,4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39.47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茂硕新 能源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45,421,1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62.90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236,368,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612.46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281,789,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775.36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227,687,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434.74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39,651,4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75.24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267,338,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909.98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33,196,7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15.92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247,986,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553.73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281,183,</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269.65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206,435,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960.98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55,853,9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61.73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262,289,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922.71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瑞盈茂 硕</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26,090,5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08.90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40,557,7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92.02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66,648,3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3,050,54</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3,050,54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8,956,77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62,588,1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56.35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71,544,9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34.48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10,317,1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44.51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10,317,1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44.51</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湖南方 正达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361,481,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162.07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119,086,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721.19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480,567,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883.26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234,570,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917.55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1,883,33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236,454,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250.92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273,878,</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720.86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111,262,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985.97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385,141,</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706.83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184,873,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003.12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1,983,33</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3.33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186,856,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336.45</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695,583,338.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-12,248,058.4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-12,248,058.4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-13,799,868.8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512,371,121.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-2,840,547.18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-2,840,547.18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-43,465,252.6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海宁茂硕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19,440,228.5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6,574,337.73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6,574,337.73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19,457,545.6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14,754,274.1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-157,479.38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-157,479.38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14,486,023.6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111,867,123.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-2,211,755.51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-2,211,755.51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-9,259,906.25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48,829,479.2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-3,591,974.33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-3,591,974.33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-5,430,153.18</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茂硕新能源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28,039,367.9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-4,442,481.56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-4,442,481.56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27,535,584.9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-9,849,074.48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-9,849,074.48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66,622,373.5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瑞盈茂硕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3,481,037.92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2,369,962.27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2,369,962.27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-773,678.36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2,390,691.56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1,088,588.85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1,088,588.85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-47,314,409.6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湖南方正达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469,456,966.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45,828,261.9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45,828,261.9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18,522,871.0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361,829,657.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39,326,928.8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39,326,928.8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9,404,574.70</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4）使用企业集团资产和清偿企业集团债务的重大限制" w:id="427"/>
      <w:bookmarkEnd w:id="42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5）向纳入合并财务报表范围的结构化主体提供的财务支持或其他支持" w:id="428"/>
      <w:bookmarkEnd w:id="42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2、在子公司的所有者权益份额发生变化且仍控制子公司的交易" w:id="429"/>
      <w:bookmarkEnd w:id="42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130"/>
        <w:jc w:val="left"/>
        <w:rPr>
          <w:b w:val="0"/>
          <w:bCs w:val="0"/>
        </w:rPr>
      </w:pPr>
      <w:bookmarkStart w:name="（1）在子公司所有者权益份额发生变化的情况说明" w:id="430"/>
      <w:bookmarkEnd w:id="43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6"/>
          <w:szCs w:val="26"/>
        </w:rPr>
      </w:pPr>
    </w:p>
    <w:p>
      <w:pPr>
        <w:pStyle w:val="BodyText"/>
        <w:spacing w:line="451" w:lineRule="auto"/>
        <w:ind w:left="514" w:right="0"/>
        <w:jc w:val="left"/>
      </w:pPr>
      <w:r>
        <w:rPr/>
        <w:t>子公司所有者权益份额变动详见本报告第十一节、七、</w:t>
      </w:r>
      <w:r>
        <w:rPr>
          <w:rFonts w:ascii="宋体" w:hAnsi="宋体" w:cs="宋体" w:eastAsia="宋体" w:hint="default"/>
          <w:b/>
          <w:bCs/>
        </w:rPr>
        <w:t>合并财务报表项目注释</w:t>
      </w:r>
      <w:r>
        <w:rPr>
          <w:rFonts w:ascii="Times New Roman" w:hAnsi="Times New Roman" w:cs="Times New Roman" w:eastAsia="Times New Roman" w:hint="default"/>
          <w:b/>
          <w:bCs/>
        </w:rPr>
        <w:t>55</w:t>
      </w:r>
      <w:r>
        <w:rPr>
          <w:rFonts w:ascii="宋体" w:hAnsi="宋体" w:cs="宋体" w:eastAsia="宋体" w:hint="default"/>
          <w:b/>
          <w:bCs/>
        </w:rPr>
        <w:t>。</w:t>
      </w:r>
      <w:r>
        <w:rPr>
          <w:rFonts w:ascii="宋体" w:hAnsi="宋体" w:cs="宋体" w:eastAsia="宋体" w:hint="default"/>
          <w:b/>
          <w:bCs/>
          <w:w w:val="99"/>
        </w:rPr>
        <w:t> </w:t>
      </w:r>
      <w:r>
        <w:rPr>
          <w:spacing w:val="-2"/>
        </w:rPr>
        <w:t>如本报告第十一节、七、</w:t>
      </w:r>
      <w:r>
        <w:rPr>
          <w:rFonts w:ascii="Times New Roman" w:hAnsi="Times New Roman" w:cs="Times New Roman" w:eastAsia="Times New Roman" w:hint="default"/>
          <w:spacing w:val="-2"/>
        </w:rPr>
        <w:t>60</w:t>
      </w:r>
      <w:r>
        <w:rPr>
          <w:spacing w:val="-2"/>
        </w:rPr>
        <w:t>，其他系茂硕电子和研究院本期收购茂硕科技和茂硕新能源少数股东股权新取得的长期股权</w:t>
      </w:r>
    </w:p>
    <w:p>
      <w:pPr>
        <w:spacing w:after="0" w:line="451"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投资与按照新增持股比例计算应享有子公司自购买日（或合并日）开始持续计算的可辨认净资产份额之间的差额，应当调整</w:t>
      </w:r>
      <w:r>
        <w:rPr>
          <w:spacing w:val="-66"/>
        </w:rPr>
        <w:t> </w:t>
      </w:r>
      <w:r>
        <w:rPr>
          <w:spacing w:val="-66"/>
        </w:rPr>
      </w:r>
      <w:r>
        <w:rPr>
          <w:spacing w:val="-2"/>
        </w:rPr>
        <w:t>合并报表中的资本公积，资本公积余额不足冲减的，调整留存收益，因茂硕电子和研究院资本公积不足冲减，调整未分配利</w:t>
      </w:r>
      <w:r>
        <w:rPr>
          <w:spacing w:val="-66"/>
        </w:rPr>
        <w:t> </w:t>
      </w:r>
      <w:r>
        <w:rPr>
          <w:spacing w:val="-66"/>
        </w:rPr>
      </w:r>
      <w:r>
        <w:rPr/>
        <w:t>润</w:t>
      </w:r>
      <w:r>
        <w:rPr>
          <w:rFonts w:ascii="Times New Roman" w:hAnsi="Times New Roman" w:cs="Times New Roman" w:eastAsia="Times New Roman" w:hint="default"/>
        </w:rPr>
        <w:t>5,021,969.78</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0"/>
        <w:jc w:val="both"/>
        <w:rPr>
          <w:b w:val="0"/>
          <w:bCs w:val="0"/>
        </w:rPr>
      </w:pPr>
      <w:bookmarkStart w:name="（2）交易对于少数股东权益及归属于母公司所有者权益的影响" w:id="431"/>
      <w:bookmarkEnd w:id="43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瑞盈茂硕</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加码技术</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茂硕科技</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茂硕新能源</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18,601,568.87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18,601,568.87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 比例计算的子公司净资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18,718,513.56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7,414,159.86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7,048,622.00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1,279,408.21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-116,944.69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-64,159.86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301,378.00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4,720,591.79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-116,944.69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-64,159.86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301,378.00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4,720,591.79</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3、在合营安排或联营企业中的权益" w:id="432"/>
      <w:bookmarkEnd w:id="43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重要的合营企业或联营企业" w:id="433"/>
      <w:bookmarkEnd w:id="4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深圳华智测控技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新余市茂硕海量 投资企业（有限 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新余市神木园农 业发展有限公司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江西新余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长兴九派兴硕股 权投资基金合伙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浙江湖州</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浙江湖州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1130"/>
        <w:jc w:val="left"/>
      </w:pPr>
      <w:r>
        <w:rPr/>
        <w:pict>
          <v:shape style="position:absolute;margin-left:74.343002pt;margin-top:-16.09828pt;width:119.1pt;height:15.6pt;mso-position-horizontal-relative:page;mso-position-vertical-relative:paragraph;z-index:-1317280" type="#_x0000_t202" filled="false" stroked="false">
            <v:textbox inset="0,0,0,0">
              <w:txbxContent>
                <w:p>
                  <w:pPr>
                    <w:pStyle w:val="BodyText"/>
                    <w:spacing w:line="208" w:lineRule="exact"/>
                    <w:ind w:left="0" w:right="0"/>
                    <w:jc w:val="left"/>
                  </w:pPr>
                  <w:r>
                    <w:rPr/>
                    <w:t>（有限合伙）</w:t>
                  </w:r>
                </w:p>
              </w:txbxContent>
            </v:textbox>
            <w10:wrap type="none"/>
          </v:shape>
        </w:pict>
      </w:r>
      <w:r>
        <w:rPr/>
        <w:t>在合营企业或联营企业的持股比例不同于表决权比例的说明：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2）重要合营企业的主要财务信息" w:id="434"/>
      <w:bookmarkEnd w:id="4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3）重要联营企业的主要财务信息" w:id="435"/>
      <w:bookmarkEnd w:id="4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8"/>
        <w:gridCol w:w="880"/>
        <w:gridCol w:w="870"/>
        <w:gridCol w:w="869"/>
        <w:gridCol w:w="869"/>
        <w:gridCol w:w="869"/>
        <w:gridCol w:w="869"/>
        <w:gridCol w:w="869"/>
        <w:gridCol w:w="870"/>
        <w:gridCol w:w="869"/>
        <w:gridCol w:w="869"/>
      </w:tblGrid>
      <w:tr>
        <w:trPr>
          <w:trHeight w:val="403"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4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3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85"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3" w:right="68"/>
              <w:jc w:val="center"/>
              <w:rPr>
                <w:rFonts w:ascii="宋体" w:hAnsi="宋体" w:cs="宋体" w:eastAsia="宋体" w:hint="default"/>
                <w:sz w:val="18"/>
                <w:szCs w:val="18"/>
              </w:rPr>
            </w:pPr>
            <w:r>
              <w:rPr>
                <w:rFonts w:ascii="宋体" w:hAnsi="宋体" w:cs="宋体" w:eastAsia="宋体" w:hint="default"/>
                <w:sz w:val="18"/>
                <w:szCs w:val="18"/>
              </w:rPr>
              <w:t>湖南省方 正达电子 科技有限 公司</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firstLine="45"/>
              <w:jc w:val="both"/>
              <w:rPr>
                <w:rFonts w:ascii="宋体" w:hAnsi="宋体" w:cs="宋体" w:eastAsia="宋体" w:hint="default"/>
                <w:sz w:val="18"/>
                <w:szCs w:val="18"/>
              </w:rPr>
            </w:pPr>
            <w:r>
              <w:rPr>
                <w:rFonts w:ascii="宋体" w:hAnsi="宋体" w:cs="宋体" w:eastAsia="宋体" w:hint="default"/>
                <w:sz w:val="18"/>
                <w:szCs w:val="18"/>
              </w:rPr>
              <w:t>新余市茂 硕海量投 </w:t>
            </w:r>
            <w:r>
              <w:rPr>
                <w:rFonts w:ascii="宋体" w:hAnsi="宋体" w:cs="宋体" w:eastAsia="宋体" w:hint="default"/>
                <w:spacing w:val="-18"/>
                <w:sz w:val="18"/>
                <w:szCs w:val="18"/>
              </w:rPr>
              <w:t>资企业（有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 w:right="69"/>
              <w:jc w:val="center"/>
              <w:rPr>
                <w:rFonts w:ascii="宋体" w:hAnsi="宋体" w:cs="宋体" w:eastAsia="宋体" w:hint="default"/>
                <w:sz w:val="18"/>
                <w:szCs w:val="18"/>
              </w:rPr>
            </w:pPr>
            <w:r>
              <w:rPr>
                <w:rFonts w:ascii="宋体" w:hAnsi="宋体" w:cs="宋体" w:eastAsia="宋体" w:hint="default"/>
                <w:sz w:val="18"/>
                <w:szCs w:val="18"/>
              </w:rPr>
              <w:t>新余市神 木园农业 发展有限 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长兴九派 兴硕股权 投资基金 合伙企业</w:t>
            </w:r>
          </w:p>
          <w:p>
            <w:pPr>
              <w:pStyle w:val="TableParagraph"/>
              <w:spacing w:line="319" w:lineRule="auto" w:before="19"/>
              <w:ind w:left="248" w:right="68" w:hanging="180"/>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深圳茂硕 投资发展 有限公司</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0" w:right="68"/>
              <w:jc w:val="center"/>
              <w:rPr>
                <w:rFonts w:ascii="宋体" w:hAnsi="宋体" w:cs="宋体" w:eastAsia="宋体" w:hint="default"/>
                <w:sz w:val="18"/>
                <w:szCs w:val="18"/>
              </w:rPr>
            </w:pPr>
            <w:r>
              <w:rPr>
                <w:rFonts w:ascii="宋体" w:hAnsi="宋体" w:cs="宋体" w:eastAsia="宋体" w:hint="default"/>
                <w:sz w:val="18"/>
                <w:szCs w:val="18"/>
              </w:rPr>
              <w:t>深圳鑫四 方检测科 技有限公 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firstLine="45"/>
              <w:jc w:val="both"/>
              <w:rPr>
                <w:rFonts w:ascii="宋体" w:hAnsi="宋体" w:cs="宋体" w:eastAsia="宋体" w:hint="default"/>
                <w:sz w:val="18"/>
                <w:szCs w:val="18"/>
              </w:rPr>
            </w:pPr>
            <w:r>
              <w:rPr>
                <w:rFonts w:ascii="宋体" w:hAnsi="宋体" w:cs="宋体" w:eastAsia="宋体" w:hint="default"/>
                <w:sz w:val="18"/>
                <w:szCs w:val="18"/>
              </w:rPr>
              <w:t>新余市茂 硕海量投 </w:t>
            </w:r>
            <w:r>
              <w:rPr>
                <w:rFonts w:ascii="宋体" w:hAnsi="宋体" w:cs="宋体" w:eastAsia="宋体" w:hint="default"/>
                <w:spacing w:val="-18"/>
                <w:sz w:val="18"/>
                <w:szCs w:val="18"/>
              </w:rPr>
              <w:t>资企业（有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 w:right="68"/>
              <w:jc w:val="center"/>
              <w:rPr>
                <w:rFonts w:ascii="宋体" w:hAnsi="宋体" w:cs="宋体" w:eastAsia="宋体" w:hint="default"/>
                <w:sz w:val="18"/>
                <w:szCs w:val="18"/>
              </w:rPr>
            </w:pPr>
            <w:r>
              <w:rPr>
                <w:rFonts w:ascii="宋体" w:hAnsi="宋体" w:cs="宋体" w:eastAsia="宋体" w:hint="default"/>
                <w:sz w:val="18"/>
                <w:szCs w:val="18"/>
              </w:rPr>
              <w:t>新余市神 木园农业 发展有限 公司</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
        </w:tc>
        <w:tc>
          <w:tcPr>
            <w:tcW w:w="880" w:type="dxa"/>
            <w:vMerge/>
            <w:tcBorders>
              <w:left w:val="single" w:sz="9" w:space="0" w:color="D2D2D2"/>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r>
      <w:tr>
        <w:trPr>
          <w:trHeight w:val="785"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361,481,16</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2.07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4,643,072.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5,489,812.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3,585,356.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80,005,706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6,616,816.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7,975,054.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1,628,130.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12,942,433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3,054,801.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3"/>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119,086,72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1.19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776,955.45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42,450,000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999,780.47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8,504,738.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2,428,608.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480,567,88</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3.26</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5,420,027.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47,939,812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3,585,356.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80,005,706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7,616,597.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16,479,792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4,056,738.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49,892,433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3,054,801.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234,570,91</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7.55</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3,269,542.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177,940.45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30,000,100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4,053,076.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353,416.61</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169,895.45</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3"/>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136,363.64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left="30" w:right="0"/>
              <w:jc w:val="left"/>
              <w:rPr>
                <w:rFonts w:ascii="Times New Roman" w:hAnsi="Times New Roman" w:cs="Times New Roman" w:eastAsia="Times New Roman" w:hint="default"/>
                <w:sz w:val="18"/>
                <w:szCs w:val="18"/>
              </w:rPr>
            </w:pPr>
            <w:r>
              <w:rPr>
                <w:rFonts w:ascii="Times New Roman"/>
                <w:sz w:val="18"/>
              </w:rPr>
              <w:t>236,454,25</w:t>
            </w:r>
          </w:p>
          <w:p>
            <w:pPr>
              <w:pStyle w:val="TableParagraph"/>
              <w:spacing w:line="240" w:lineRule="auto" w:before="105"/>
              <w:ind w:left="525" w:right="0"/>
              <w:jc w:val="left"/>
              <w:rPr>
                <w:rFonts w:ascii="Times New Roman" w:hAnsi="Times New Roman" w:cs="Times New Roman" w:eastAsia="Times New Roman" w:hint="default"/>
                <w:sz w:val="18"/>
                <w:szCs w:val="18"/>
              </w:rPr>
            </w:pPr>
            <w:r>
              <w:rPr>
                <w:rFonts w:ascii="Times New Roman"/>
                <w:sz w:val="18"/>
              </w:rPr>
              <w:t>0.92</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3,269,542.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177,940.45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30,000,100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4,189,440.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353,416.61</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1,866,482.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169,895.45</w:t>
            </w:r>
          </w:p>
        </w:tc>
      </w:tr>
      <w:tr>
        <w:trPr>
          <w:trHeight w:val="391" w:hRule="exact"/>
        </w:trPr>
        <w:tc>
          <w:tcPr>
            <w:tcW w:w="8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026"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3"/>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244,113,63</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2,150,485.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47,939,812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3,407,416.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50,005,606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3,427,156.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16,126,376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2,190,255.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49,892,433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2,884,906.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1338"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03"/>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54,681,453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729,229.50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9,587,962.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30,001,782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1,162,148.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4,837,912.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658,609.94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9,978,486.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1,125,113.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195,610.67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962,432.66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197,274.48</w:t>
            </w:r>
          </w:p>
        </w:tc>
      </w:tr>
      <w:tr>
        <w:trPr>
          <w:trHeight w:val="403" w:hRule="exact"/>
        </w:trPr>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880" w:type="dxa"/>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195,610.67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962,432.66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197,274.48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1338"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对联营企 业权益投 资的账面 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103,984,78</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5.66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924,840.17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9,587,962.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1,307,766.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1,357,759.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4,837,912.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1,621,042.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9,978,486.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1,322,387.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469,456,96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2,019,296.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7,462,006.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2,424,715.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45,828,261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-1,276,671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-1,952,620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-37,490.19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5,606.70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232,311.99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141,705.65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-140,587.5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-121,194.2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-20,461.76</w:t>
            </w:r>
            <w:r>
              <w:rPr>
                <w:rFonts w:ascii="Times New Roman"/>
                <w:sz w:val="18"/>
              </w:rPr>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45,828,261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-1,276,671</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-1,952,620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-37,490.19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5,606.70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232,311.99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141,705.65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-140,587.5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-121,194.2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-20,461.76</w:t>
            </w:r>
            <w:r>
              <w:rPr>
                <w:rFonts w:ascii="Times New Roman"/>
                <w:sz w:val="18"/>
              </w:rPr>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4）不重要的合营企业和联营企业的汇总财务信息" w:id="436"/>
      <w:bookmarkEnd w:id="4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5）合营企业或联营企业向本公司转移资金的能力存在重大限制的说明" w:id="437"/>
      <w:bookmarkEnd w:id="43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6）合营企业或联营企业发生的超额亏损" w:id="438"/>
      <w:bookmarkEnd w:id="43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3"/>
        <w:ind w:right="1130"/>
        <w:jc w:val="left"/>
        <w:rPr>
          <w:b w:val="0"/>
          <w:bCs w:val="0"/>
        </w:rPr>
      </w:pPr>
      <w:bookmarkStart w:name="（7）与合营企业投资相关的未确认承诺" w:id="439"/>
      <w:bookmarkEnd w:id="43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8）与合营企业或联营企业投资相关的或有负债" w:id="440"/>
      <w:bookmarkEnd w:id="44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4、重要的共同经营" w:id="441"/>
      <w:bookmarkEnd w:id="44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240" w:lineRule="auto" w:before="51"/>
        <w:ind w:left="154" w:right="1130"/>
        <w:jc w:val="left"/>
      </w:pPr>
      <w:r>
        <w:rPr/>
        <w:t>在共同经营中的持股比例或享有的份额不同于表决权比例的说明：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6793"/>
        <w:jc w:val="left"/>
      </w:pPr>
      <w:r>
        <w:rPr/>
        <w:t>共同经营为单独主体的，分类为共同经营的依据： 其他说明</w:t>
      </w:r>
    </w:p>
    <w:p>
      <w:pPr>
        <w:spacing w:line="240" w:lineRule="auto" w:before="10"/>
        <w:rPr>
          <w:rFonts w:ascii="宋体" w:hAnsi="宋体" w:cs="宋体" w:eastAsia="宋体" w:hint="default"/>
          <w:sz w:val="20"/>
          <w:szCs w:val="20"/>
        </w:rPr>
      </w:pPr>
    </w:p>
    <w:p>
      <w:pPr>
        <w:pStyle w:val="Heading3"/>
        <w:spacing w:line="240" w:lineRule="auto"/>
        <w:ind w:right="1130"/>
        <w:jc w:val="left"/>
        <w:rPr>
          <w:b w:val="0"/>
          <w:bCs w:val="0"/>
        </w:rPr>
      </w:pPr>
      <w:bookmarkStart w:name="5、在未纳入合并财务报表范围的结构化主体中的权益" w:id="442"/>
      <w:bookmarkEnd w:id="44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3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6、其他" w:id="443"/>
      <w:bookmarkEnd w:id="443"/>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right="1130"/>
        <w:jc w:val="left"/>
        <w:rPr>
          <w:b w:val="0"/>
          <w:bCs w:val="0"/>
        </w:rPr>
      </w:pPr>
      <w:bookmarkStart w:name="十、与金融工具相关的风险" w:id="444"/>
      <w:bookmarkEnd w:id="444"/>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本公司的经营活动会面临各种金融风险：信用风险、流动风险和市场风险（主要为汇率风险和利率风险）。本公司整体</w:t>
      </w:r>
      <w:r>
        <w:rPr/>
        <w:t> 的风险管理计划针对金融市场的不可预见性，力求减少对本公司财务业绩的潜在不利影响。</w:t>
      </w:r>
    </w:p>
    <w:p>
      <w:pPr>
        <w:pStyle w:val="Heading4"/>
        <w:spacing w:line="240" w:lineRule="auto" w:before="19"/>
        <w:ind w:right="1130"/>
        <w:jc w:val="left"/>
        <w:rPr>
          <w:b w:val="0"/>
          <w:bCs w:val="0"/>
        </w:rPr>
      </w:pPr>
      <w:r>
        <w:rPr>
          <w:rFonts w:ascii="Times New Roman" w:hAnsi="Times New Roman" w:cs="Times New Roman" w:eastAsia="Times New Roman" w:hint="default"/>
        </w:rPr>
        <w:t>1</w:t>
      </w:r>
      <w:r>
        <w:rPr/>
        <w:t>、信用风险</w:t>
      </w:r>
      <w:r>
        <w:rPr>
          <w:b w:val="0"/>
          <w:bCs w:val="0"/>
        </w:rPr>
      </w:r>
    </w:p>
    <w:p>
      <w:pPr>
        <w:pStyle w:val="BodyText"/>
        <w:spacing w:line="316" w:lineRule="auto" w:before="63"/>
        <w:ind w:left="154" w:right="1131" w:firstLine="360"/>
        <w:jc w:val="both"/>
      </w:pPr>
      <w:r>
        <w:rPr>
          <w:spacing w:val="-2"/>
        </w:rPr>
        <w:t>本公司的信用风险主要来自货币资金、应收票据、应收账款、其他应收款和可供出售金融资产等。管理层已制定适当的</w:t>
      </w:r>
      <w:r>
        <w:rPr/>
        <w:t> 信用政策，并且不断监察这些信用风险的敞口。</w:t>
      </w:r>
    </w:p>
    <w:p>
      <w:pPr>
        <w:pStyle w:val="BodyText"/>
        <w:spacing w:line="316" w:lineRule="auto" w:before="19"/>
        <w:ind w:left="154" w:right="1132" w:firstLine="360"/>
        <w:jc w:val="both"/>
      </w:pPr>
      <w:r>
        <w:rPr>
          <w:spacing w:val="-2"/>
        </w:rPr>
        <w:t>本公司持有的货币资金，主要存放于国有控股银行和其他大中型商业银行等金融机构，管理层认为这些商业银行具备较</w:t>
      </w:r>
      <w:r>
        <w:rPr/>
        <w:t> 高信誉和资产状况，不存在重大的信用风险，不会产生因对方单位违约而导致的任何重大损失。</w:t>
      </w:r>
    </w:p>
    <w:p>
      <w:pPr>
        <w:pStyle w:val="BodyText"/>
        <w:spacing w:line="316" w:lineRule="auto" w:before="19"/>
        <w:ind w:right="1130" w:firstLine="360"/>
        <w:jc w:val="both"/>
      </w:pPr>
      <w:r>
        <w:rPr>
          <w:spacing w:val="-2"/>
        </w:rPr>
        <w:t>对于应收账款、其他应收款和应收票据，本公司设定相关政策以控制信用风险敞口。本公司基于对客户的财务状况、从</w:t>
      </w:r>
      <w:r>
        <w:rPr/>
        <w:t> </w:t>
      </w:r>
      <w:r>
        <w:rPr>
          <w:spacing w:val="-2"/>
        </w:rPr>
        <w:t>第三方获取担保的可能性、信用记录及其它因素诸如目前市场状况等评估客户的信用资质并设置相应信用期。本公司会定期</w:t>
      </w:r>
      <w:r>
        <w:rPr>
          <w:spacing w:val="-64"/>
        </w:rPr>
        <w:t> </w:t>
      </w:r>
      <w:r>
        <w:rPr>
          <w:spacing w:val="-64"/>
        </w:rPr>
      </w:r>
      <w:r>
        <w:rPr>
          <w:spacing w:val="-2"/>
        </w:rPr>
        <w:t>对客户信用记录进行监控，对于信用记录不良的客户，本公司会采用书面催款、缩短信用期或取消信用期等方式，以确保本</w:t>
      </w:r>
      <w:r>
        <w:rPr>
          <w:spacing w:val="-66"/>
        </w:rPr>
        <w:t> </w:t>
      </w:r>
      <w:r>
        <w:rPr>
          <w:spacing w:val="-66"/>
        </w:rPr>
      </w:r>
      <w:r>
        <w:rPr/>
        <w:t>公司的整体信用风险在可控的范围内。</w:t>
      </w:r>
    </w:p>
    <w:p>
      <w:pPr>
        <w:pStyle w:val="Heading4"/>
        <w:spacing w:line="240" w:lineRule="auto" w:before="19"/>
        <w:ind w:right="1130"/>
        <w:jc w:val="left"/>
        <w:rPr>
          <w:b w:val="0"/>
          <w:bCs w:val="0"/>
        </w:rPr>
      </w:pPr>
      <w:r>
        <w:rPr>
          <w:rFonts w:ascii="Times New Roman" w:hAnsi="Times New Roman" w:cs="Times New Roman" w:eastAsia="Times New Roman" w:hint="default"/>
        </w:rPr>
        <w:t>2</w:t>
      </w:r>
      <w:r>
        <w:rPr/>
        <w:t>、流动性风险</w:t>
      </w:r>
      <w:r>
        <w:rPr>
          <w:b w:val="0"/>
          <w:bCs w:val="0"/>
        </w:rPr>
      </w:r>
    </w:p>
    <w:p>
      <w:pPr>
        <w:pStyle w:val="BodyText"/>
        <w:spacing w:line="300" w:lineRule="auto" w:before="63"/>
        <w:ind w:left="514" w:right="1130"/>
        <w:jc w:val="left"/>
      </w:pP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 </w:t>
      </w:r>
      <w:r>
        <w:rPr>
          <w:spacing w:val="-2"/>
        </w:rPr>
        <w:t>本公司财务部门持续监控公司短期和长期的资金需求，以确保维持充裕的现金储备；同时持续监控是否符合借款协议的</w:t>
      </w:r>
    </w:p>
    <w:p>
      <w:pPr>
        <w:pStyle w:val="BodyText"/>
        <w:spacing w:line="316" w:lineRule="auto" w:before="31"/>
        <w:ind w:left="514" w:right="2472" w:hanging="360"/>
        <w:jc w:val="left"/>
      </w:pPr>
      <w:r>
        <w:rPr/>
        <w:t>规定，从主要金融机构获得提供足够备用资金的承诺，以满足短期和长期的资金需求。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日，本公司各项金融资产及金融负债以未折现的合同现金流量按到期日列示如下：</w:t>
      </w:r>
    </w:p>
    <w:tbl>
      <w:tblPr>
        <w:tblW w:w="0" w:type="auto"/>
        <w:jc w:val="left"/>
        <w:tblInd w:w="146" w:type="dxa"/>
        <w:tblLayout w:type="fixed"/>
        <w:tblCellMar>
          <w:top w:w="0" w:type="dxa"/>
          <w:left w:w="0" w:type="dxa"/>
          <w:bottom w:w="0" w:type="dxa"/>
          <w:right w:w="0" w:type="dxa"/>
        </w:tblCellMar>
        <w:tblLook w:val="01E0"/>
      </w:tblPr>
      <w:tblGrid>
        <w:gridCol w:w="1241"/>
        <w:gridCol w:w="1416"/>
        <w:gridCol w:w="1277"/>
        <w:gridCol w:w="1276"/>
        <w:gridCol w:w="1134"/>
        <w:gridCol w:w="1134"/>
        <w:gridCol w:w="1051"/>
      </w:tblGrid>
      <w:tr>
        <w:trPr>
          <w:trHeight w:val="355"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88"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241"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40"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7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8" w:lineRule="exact"/>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318,161,764.45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318,161,764.45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318,161,764.45</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88,436,975.42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88,436,975.42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88,436,975.42</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479,781,809.01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540,832,510.01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540,832,510.01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33,624,662.85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41,060,451.59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41,060,451.59</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71"/>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921,005,211.73</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989,491,701.47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989,491,701.47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244,551,780.00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244,551,780.00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244,551,780.00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334,559,282.42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334,559,282.42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334,559,282.42</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464,776,641.01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464,776,641.01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464,776,641.01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12,392,585.65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12,392,585.65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12,392,585.65</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1,236,933.91</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1,236,933.91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1,236,933.91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11,584,294.83</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11,584,294.83</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11,584,294.83</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71"/>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pacing w:val="-1"/>
                <w:sz w:val="18"/>
              </w:rPr>
              <w:t>1,069,101,517.82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1,069,101,517.8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18"/>
                <w:szCs w:val="18"/>
              </w:rPr>
            </w:pPr>
            <w:r>
              <w:rPr>
                <w:rFonts w:ascii="Times New Roman"/>
                <w:spacing w:val="-1"/>
                <w:sz w:val="18"/>
              </w:rPr>
              <w:t>1,069,101,517.8</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41"/>
        <w:gridCol w:w="1416"/>
        <w:gridCol w:w="1277"/>
        <w:gridCol w:w="1276"/>
        <w:gridCol w:w="1134"/>
        <w:gridCol w:w="1134"/>
        <w:gridCol w:w="1051"/>
      </w:tblGrid>
      <w:tr>
        <w:trPr>
          <w:trHeight w:val="355" w:hRule="exact"/>
        </w:trPr>
        <w:tc>
          <w:tcPr>
            <w:tcW w:w="1241"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w:t>
            </w:r>
          </w:p>
        </w:tc>
        <w:tc>
          <w:tcPr>
            <w:tcW w:w="113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105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left="514" w:right="1130"/>
        <w:jc w:val="left"/>
      </w:pPr>
      <w:r>
        <w:rPr/>
        <w:t>续：</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241"/>
        <w:gridCol w:w="1416"/>
        <w:gridCol w:w="1277"/>
        <w:gridCol w:w="1276"/>
        <w:gridCol w:w="1134"/>
        <w:gridCol w:w="1134"/>
        <w:gridCol w:w="1051"/>
      </w:tblGrid>
      <w:tr>
        <w:trPr>
          <w:trHeight w:val="355"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88"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1241"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40"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7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274,739,490.29</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274,739,490.29</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274,739,490.29</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85,198,429.04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85,198,429.04</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85,198,429.04</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588,888,514.16</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656,201,117.08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656,201,117.08</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20,358,202.88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28,487,353.52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28,487,353.52</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18,281,363.57</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18,281,363.57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18,281,363.57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665"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1"/>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987,465,999.94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1,062,907,753.5</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1,044,626,389.9</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18,281,363.57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425,500,000.00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425,500,000.00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425,500,000.00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184,153,780.47</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184,153,780.47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184,153,780.47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503,074,401.40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503,074,401.40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503,074,401.40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11,902,585.65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11,902,585.65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11,902,585.65</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2"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651,628.53</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651,628.53</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651,628.53</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20,614,521.60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24,457,681.26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3,843,159.66</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20,614,521.60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r>
        <w:trPr>
          <w:trHeight w:val="664" w:hRule="exact"/>
        </w:trPr>
        <w:tc>
          <w:tcPr>
            <w:tcW w:w="12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71"/>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1,145,896,917.65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1,149,740,077.3</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1,129,125,555.7</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20,614,521.60</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0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Heading4"/>
        <w:spacing w:line="240" w:lineRule="auto" w:before="44"/>
        <w:ind w:left="154" w:right="1130"/>
        <w:jc w:val="left"/>
        <w:rPr>
          <w:b w:val="0"/>
          <w:bCs w:val="0"/>
        </w:rPr>
      </w:pPr>
      <w:r>
        <w:rPr>
          <w:rFonts w:ascii="Times New Roman" w:hAnsi="Times New Roman" w:cs="Times New Roman" w:eastAsia="Times New Roman" w:hint="default"/>
        </w:rPr>
        <w:t>3</w:t>
      </w:r>
      <w:r>
        <w:rPr/>
        <w:t>、市场风险</w:t>
      </w:r>
      <w:r>
        <w:rPr>
          <w:b w:val="0"/>
          <w:bCs w:val="0"/>
        </w:rPr>
      </w:r>
    </w:p>
    <w:p>
      <w:pPr>
        <w:pStyle w:val="Heading4"/>
        <w:spacing w:line="240" w:lineRule="auto" w:before="63"/>
        <w:ind w:left="154" w:right="1130"/>
        <w:jc w:val="left"/>
        <w:rPr>
          <w:b w:val="0"/>
          <w:bCs w:val="0"/>
        </w:rPr>
      </w:pPr>
      <w:r>
        <w:rPr/>
        <w:t>（</w:t>
      </w:r>
      <w:r>
        <w:rPr>
          <w:rFonts w:ascii="Times New Roman" w:hAnsi="Times New Roman" w:cs="Times New Roman" w:eastAsia="Times New Roman" w:hint="default"/>
        </w:rPr>
        <w:t>1</w:t>
      </w:r>
      <w:r>
        <w:rPr/>
        <w:t>）汇率风险</w:t>
      </w:r>
      <w:r>
        <w:rPr>
          <w:b w:val="0"/>
          <w:bCs w:val="0"/>
        </w:rPr>
      </w:r>
    </w:p>
    <w:p>
      <w:pPr>
        <w:pStyle w:val="BodyText"/>
        <w:spacing w:line="316" w:lineRule="auto" w:before="63"/>
        <w:ind w:left="154" w:right="1132" w:firstLine="360"/>
        <w:jc w:val="both"/>
      </w:pPr>
      <w:r>
        <w:rPr>
          <w:spacing w:val="-2"/>
        </w:rPr>
        <w:t>本公司的主要经营位于中国境内，主要业务以人民币结算。但本公司已确认的外币资产和负债及未来的外币交易（外币</w:t>
      </w:r>
      <w:r>
        <w:rPr/>
        <w:t> </w:t>
      </w:r>
      <w:r>
        <w:rPr>
          <w:spacing w:val="-2"/>
        </w:rPr>
        <w:t>资产和负债及外币交易的计价货币主要为美元和港币）依然存在汇率风险。本公司财务部门负责监控公司外币交易和外币资</w:t>
      </w:r>
      <w:r>
        <w:rPr>
          <w:spacing w:val="-64"/>
        </w:rPr>
        <w:t> </w:t>
      </w:r>
      <w:r>
        <w:rPr>
          <w:spacing w:val="-64"/>
        </w:rPr>
      </w:r>
      <w:r>
        <w:rPr/>
        <w:t>产及负债的规模，以最大程度降低面临的汇率风险；</w:t>
      </w:r>
    </w:p>
    <w:p>
      <w:pPr>
        <w:pStyle w:val="BodyText"/>
        <w:spacing w:line="240" w:lineRule="auto" w:before="19"/>
        <w:ind w:left="514" w:right="1130"/>
        <w:jc w:val="left"/>
      </w:pPr>
      <w:r>
        <w:rPr/>
        <w:t>①本年度本公司及其子公司与银行签署的远期外汇合约，金额为</w:t>
      </w:r>
      <w:r>
        <w:rPr>
          <w:rFonts w:ascii="Times New Roman" w:hAnsi="Times New Roman" w:cs="Times New Roman" w:eastAsia="Times New Roman" w:hint="default"/>
        </w:rPr>
        <w:t>380</w:t>
      </w:r>
      <w:r>
        <w:rPr/>
        <w:t>万美元。</w:t>
      </w:r>
    </w:p>
    <w:p>
      <w:pPr>
        <w:pStyle w:val="BodyText"/>
        <w:spacing w:line="240" w:lineRule="auto" w:before="63"/>
        <w:ind w:left="513" w:right="1130"/>
        <w:jc w:val="left"/>
      </w:pPr>
      <w:r>
        <w:rPr/>
        <w:t>②截止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502"/>
        <w:gridCol w:w="1417"/>
        <w:gridCol w:w="1560"/>
        <w:gridCol w:w="1274"/>
        <w:gridCol w:w="1277"/>
        <w:gridCol w:w="1448"/>
      </w:tblGrid>
      <w:tr>
        <w:trPr>
          <w:trHeight w:val="355"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78"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1502" w:type="dxa"/>
            <w:vMerge/>
            <w:tcBorders>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4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83,551,166.51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553,246.88</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437.29</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84,104,850.68</w:t>
            </w:r>
          </w:p>
        </w:tc>
      </w:tr>
      <w:tr>
        <w:trPr>
          <w:trHeight w:val="353"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169,129,274.22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2,451,516.95</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6,171.62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171,586,962.79</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6,550,548.18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6,550,548.18</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259,230,988.91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3,004,763.83</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6,171.62</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437.29</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262,242,361.65</w:t>
            </w:r>
          </w:p>
        </w:tc>
      </w:tr>
      <w:tr>
        <w:trPr>
          <w:trHeight w:val="353"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4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38,551,780.00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38,551,780.00</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7,244,173.83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7,244,173.83</w:t>
            </w:r>
          </w:p>
        </w:tc>
      </w:tr>
      <w:tr>
        <w:trPr>
          <w:trHeight w:val="353"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159,918.36</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159,918.36</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45,955,872.19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45,955,872.19</w:t>
            </w:r>
          </w:p>
        </w:tc>
      </w:tr>
    </w:tbl>
    <w:p>
      <w:pPr>
        <w:spacing w:line="240" w:lineRule="auto" w:before="8"/>
        <w:rPr>
          <w:rFonts w:ascii="宋体" w:hAnsi="宋体" w:cs="宋体" w:eastAsia="宋体" w:hint="default"/>
          <w:sz w:val="6"/>
          <w:szCs w:val="6"/>
        </w:rPr>
      </w:pPr>
    </w:p>
    <w:p>
      <w:pPr>
        <w:pStyle w:val="BodyText"/>
        <w:spacing w:line="240" w:lineRule="auto" w:before="44"/>
        <w:ind w:left="514" w:right="1130"/>
        <w:jc w:val="left"/>
      </w:pPr>
      <w:r>
        <w:rPr/>
        <w:t>续：</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02"/>
        <w:gridCol w:w="1417"/>
        <w:gridCol w:w="1560"/>
        <w:gridCol w:w="1274"/>
        <w:gridCol w:w="1277"/>
        <w:gridCol w:w="1448"/>
      </w:tblGrid>
      <w:tr>
        <w:trPr>
          <w:trHeight w:val="355" w:hRule="exact"/>
        </w:trPr>
        <w:tc>
          <w:tcPr>
            <w:tcW w:w="1502"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78"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3" w:hRule="exact"/>
        </w:trPr>
        <w:tc>
          <w:tcPr>
            <w:tcW w:w="1502" w:type="dxa"/>
            <w:vMerge/>
            <w:tcBorders>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70"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4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68,459,979.85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626,707.99</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425.47</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69,087,113.31</w:t>
            </w:r>
          </w:p>
        </w:tc>
      </w:tr>
      <w:tr>
        <w:trPr>
          <w:trHeight w:val="353"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133,070,903.65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2,802,712.96</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5,779.68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135,879,396.29</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201,530,883.50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3,429,420.95</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5,779.68</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425.47</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204,966,509.60</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
        </w:tc>
        <w:tc>
          <w:tcPr>
            <w:tcW w:w="1274" w:type="dxa"/>
            <w:tcBorders>
              <w:top w:val="single" w:sz="12" w:space="0" w:color="000000"/>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
        </w:tc>
        <w:tc>
          <w:tcPr>
            <w:tcW w:w="144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1,530.72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1,530.72</w:t>
            </w:r>
          </w:p>
        </w:tc>
      </w:tr>
      <w:tr>
        <w:trPr>
          <w:trHeight w:val="352"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1,530.72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1,530.72</w:t>
            </w:r>
          </w:p>
        </w:tc>
      </w:tr>
    </w:tbl>
    <w:p>
      <w:pPr>
        <w:spacing w:line="240" w:lineRule="auto" w:before="8"/>
        <w:rPr>
          <w:rFonts w:ascii="宋体" w:hAnsi="宋体" w:cs="宋体" w:eastAsia="宋体" w:hint="default"/>
          <w:sz w:val="6"/>
          <w:szCs w:val="6"/>
        </w:rPr>
      </w:pPr>
    </w:p>
    <w:p>
      <w:pPr>
        <w:pStyle w:val="BodyText"/>
        <w:spacing w:line="316" w:lineRule="auto" w:before="44"/>
        <w:ind w:left="513" w:right="0"/>
        <w:jc w:val="left"/>
      </w:pPr>
      <w:r>
        <w:rPr/>
        <w:t>③敏感性分析： </w:t>
      </w: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日，对于本公司各类美元及港币金融资产和美元金融负债，如果人民币对美元及港币升值或贬值</w:t>
      </w:r>
      <w:r>
        <w:rPr>
          <w:rFonts w:ascii="Times New Roman" w:hAnsi="Times New Roman" w:cs="Times New Roman" w:eastAsia="Times New Roman" w:hint="default"/>
          <w:spacing w:val="-3"/>
        </w:rPr>
        <w:t>10%</w:t>
      </w:r>
      <w:r>
        <w:rPr>
          <w:spacing w:val="-3"/>
        </w:rPr>
        <w:t>，</w:t>
      </w:r>
    </w:p>
    <w:p>
      <w:pPr>
        <w:pStyle w:val="BodyText"/>
        <w:spacing w:line="248" w:lineRule="exact"/>
        <w:ind w:right="1130"/>
        <w:jc w:val="left"/>
      </w:pPr>
      <w:r>
        <w:rPr/>
        <w:t>其他因素保持不变，则本公司将减少或增加净利润约</w:t>
      </w:r>
      <w:r>
        <w:rPr>
          <w:rFonts w:ascii="Times New Roman" w:hAnsi="Times New Roman" w:cs="Times New Roman" w:eastAsia="Times New Roman" w:hint="default"/>
        </w:rPr>
        <w:t>18,424,547.51</w:t>
      </w:r>
      <w:r>
        <w:rPr/>
        <w:t>元（</w:t>
      </w:r>
      <w:r>
        <w:rPr>
          <w:rFonts w:ascii="Times New Roman" w:hAnsi="Times New Roman" w:cs="Times New Roman" w:eastAsia="Times New Roman" w:hint="default"/>
        </w:rPr>
        <w:t>2016</w:t>
      </w:r>
      <w:r>
        <w:rPr/>
        <w:t>年度约</w:t>
      </w:r>
      <w:r>
        <w:rPr>
          <w:rFonts w:ascii="Times New Roman" w:hAnsi="Times New Roman" w:cs="Times New Roman" w:eastAsia="Times New Roman" w:hint="default"/>
        </w:rPr>
        <w:t>18,370,954.16</w:t>
      </w:r>
      <w:r>
        <w:rPr/>
        <w:t>元</w:t>
      </w:r>
      <w:r>
        <w:rPr>
          <w:rFonts w:ascii="Times New Roman" w:hAnsi="Times New Roman" w:cs="Times New Roman" w:eastAsia="Times New Roman" w:hint="default"/>
        </w:rPr>
        <w:t>)</w:t>
      </w:r>
      <w:r>
        <w:rPr/>
        <w:t>。</w:t>
      </w:r>
    </w:p>
    <w:p>
      <w:pPr>
        <w:pStyle w:val="Heading4"/>
        <w:spacing w:line="240" w:lineRule="auto" w:before="63"/>
        <w:ind w:right="1130"/>
        <w:jc w:val="left"/>
        <w:rPr>
          <w:b w:val="0"/>
          <w:bCs w:val="0"/>
        </w:rPr>
      </w:pPr>
      <w:r>
        <w:rPr/>
        <w:t>（</w:t>
      </w:r>
      <w:r>
        <w:rPr>
          <w:rFonts w:ascii="Times New Roman" w:hAnsi="Times New Roman" w:cs="Times New Roman" w:eastAsia="Times New Roman" w:hint="default"/>
        </w:rPr>
        <w:t>2</w:t>
      </w:r>
      <w:r>
        <w:rPr/>
        <w:t>）利率风险</w:t>
      </w:r>
      <w:r>
        <w:rPr>
          <w:b w:val="0"/>
          <w:bCs w:val="0"/>
        </w:rPr>
      </w:r>
    </w:p>
    <w:p>
      <w:pPr>
        <w:pStyle w:val="BodyText"/>
        <w:spacing w:line="316" w:lineRule="auto" w:before="63"/>
        <w:ind w:left="154" w:right="1132" w:firstLine="360"/>
        <w:jc w:val="both"/>
      </w:pPr>
      <w:r>
        <w:rPr>
          <w:spacing w:val="-2"/>
        </w:rPr>
        <w:t>本公司的利率风险主要产生于银行借款。浮动利率的金融负债使本公司面临现金流量利率风险，固定利率的金融负债使</w:t>
      </w:r>
      <w:r>
        <w:rPr/>
        <w:t> 本公司面临公允价值利率风险。本公司根据当时的市场环境来决定固定利率及浮动利率合同的相对比例。</w:t>
      </w:r>
    </w:p>
    <w:p>
      <w:pPr>
        <w:pStyle w:val="BodyText"/>
        <w:spacing w:line="316" w:lineRule="auto" w:before="19"/>
        <w:ind w:right="1131" w:firstLine="360"/>
        <w:jc w:val="both"/>
      </w:pPr>
      <w:r>
        <w:rPr>
          <w:spacing w:val="-2"/>
        </w:rPr>
        <w:t>本公司财务部门持续监控公司利率水平。利率上升会增加新增带息债务的成本以及本公司尚未付清的以浮动利率计息的</w:t>
      </w:r>
      <w:r>
        <w:rPr/>
        <w:t> </w:t>
      </w:r>
      <w:r>
        <w:rPr>
          <w:spacing w:val="-2"/>
        </w:rPr>
        <w:t>带息债务的利息支出，并对本公司的财务业绩产生重大的不利影响，管理层会依据最新的市场状况及时做出调整，这些调整</w:t>
      </w:r>
      <w:r>
        <w:rPr>
          <w:spacing w:val="-66"/>
        </w:rPr>
        <w:t> </w:t>
      </w:r>
      <w:r>
        <w:rPr>
          <w:spacing w:val="-66"/>
        </w:rPr>
      </w:r>
      <w:r>
        <w:rPr/>
        <w:t>可能是进行利率互换的安排来降低利率风险。</w:t>
      </w:r>
    </w:p>
    <w:p>
      <w:pPr>
        <w:pStyle w:val="BodyText"/>
        <w:spacing w:line="240" w:lineRule="auto" w:before="19"/>
        <w:ind w:left="513" w:right="1130"/>
        <w:jc w:val="left"/>
      </w:pPr>
      <w:r>
        <w:rPr/>
        <w:t>①本年度公司无利率互换安排。</w:t>
      </w:r>
    </w:p>
    <w:p>
      <w:pPr>
        <w:pStyle w:val="BodyText"/>
        <w:spacing w:line="240" w:lineRule="auto" w:before="76"/>
        <w:ind w:left="513" w:right="1130"/>
        <w:jc w:val="left"/>
      </w:pPr>
      <w:r>
        <w:rPr/>
        <w:t>②截止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日，本公司无长期带息债务主要为人民币计价的浮动利率合同。</w:t>
      </w:r>
    </w:p>
    <w:p>
      <w:pPr>
        <w:spacing w:line="300" w:lineRule="auto" w:before="63"/>
        <w:ind w:left="154" w:right="535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）价格风险</w:t>
      </w:r>
      <w:r>
        <w:rPr>
          <w:rFonts w:ascii="宋体" w:hAnsi="宋体" w:cs="宋体" w:eastAsia="宋体" w:hint="default"/>
          <w:b/>
          <w:bCs/>
          <w:w w:val="99"/>
          <w:sz w:val="18"/>
          <w:szCs w:val="18"/>
        </w:rPr>
        <w:t> </w:t>
      </w:r>
      <w:r>
        <w:rPr>
          <w:rFonts w:ascii="宋体" w:hAnsi="宋体" w:cs="宋体" w:eastAsia="宋体" w:hint="default"/>
          <w:sz w:val="18"/>
          <w:szCs w:val="18"/>
        </w:rPr>
        <w:t>本公司持有的分类为可供出售金融资产在资产负债表日以成本计量。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1130"/>
        <w:jc w:val="left"/>
        <w:rPr>
          <w:b w:val="0"/>
          <w:bCs w:val="0"/>
        </w:rPr>
      </w:pPr>
      <w:bookmarkStart w:name="十一、公允价值的披露" w:id="445"/>
      <w:bookmarkEnd w:id="445"/>
      <w:r>
        <w:rPr>
          <w:b w:val="0"/>
          <w:bCs w:val="0"/>
        </w:rPr>
      </w:r>
      <w:r>
        <w:rPr/>
        <w:t>十一、公允价值的披露</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30"/>
        <w:jc w:val="left"/>
        <w:rPr>
          <w:b w:val="0"/>
          <w:bCs w:val="0"/>
        </w:rPr>
      </w:pPr>
      <w:bookmarkStart w:name="1、以公允价值计量的资产和负债的期末公允价值" w:id="446"/>
      <w:bookmarkEnd w:id="4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3,894,725.87</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3,894,725.87</w:t>
            </w:r>
          </w:p>
        </w:tc>
      </w:tr>
      <w:tr>
        <w:trPr>
          <w:trHeight w:val="162"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2、持续和非持续第一层次公允价值计量项目市价的确定依据" w:id="447"/>
      <w:bookmarkEnd w:id="44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3、持续和非持续第二层次公允价值计量项目，采用的估值技术和重要参数的定性及定量信" w:id="448"/>
      <w:bookmarkEnd w:id="44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4、持续和非持续第三层次公允价值计量项目，采用的估值技术和重要参数的定性及定量信" w:id="449"/>
      <w:bookmarkEnd w:id="44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5、持续的第三层次公允价值计量项目，期初与期末账面价值间的调节信息及不可观察参数" w:id="450"/>
      <w:bookmarkEnd w:id="45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6、持续的公允价值计量项目，本期内发生各层级之间转换的，转换的原因及确定转换时点" w:id="451"/>
      <w:bookmarkEnd w:id="45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7、本期内发生的估值技术变更及变更原因" w:id="452"/>
      <w:bookmarkEnd w:id="45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8、不以公允价值计量的金融资产和金融负债的公允价值情况" w:id="453"/>
      <w:bookmarkEnd w:id="45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5"/>
          <w:szCs w:val="25"/>
        </w:rPr>
      </w:pPr>
    </w:p>
    <w:p>
      <w:pPr>
        <w:spacing w:line="499" w:lineRule="auto" w:before="0"/>
        <w:ind w:left="154" w:right="7693" w:firstLine="0"/>
        <w:jc w:val="left"/>
        <w:rPr>
          <w:rFonts w:ascii="宋体" w:hAnsi="宋体" w:cs="宋体" w:eastAsia="宋体" w:hint="default"/>
          <w:sz w:val="20"/>
          <w:szCs w:val="20"/>
        </w:rPr>
      </w:pPr>
      <w:bookmarkStart w:name="9、其他" w:id="454"/>
      <w:bookmarkEnd w:id="454"/>
      <w:r>
        <w:rPr/>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十二、关联方及关联交易" w:id="455"/>
      <w:bookmarkEnd w:id="455"/>
      <w:r>
        <w:rPr>
          <w:rFonts w:ascii="宋体" w:hAnsi="宋体" w:cs="宋体" w:eastAsia="宋体" w:hint="default"/>
          <w:b/>
          <w:bCs/>
          <w:w w:val="99"/>
          <w:sz w:val="20"/>
          <w:szCs w:val="20"/>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6"/>
      <w:bookmarkEnd w:id="45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、本企业的母公司情况</w:t>
      </w:r>
      <w:r>
        <w:rPr>
          <w:rFonts w:ascii="宋体" w:hAnsi="宋体" w:cs="宋体" w:eastAsia="宋体" w:hint="default"/>
          <w:sz w:val="20"/>
          <w:szCs w:val="20"/>
        </w:rPr>
      </w:r>
    </w:p>
    <w:p>
      <w:pPr>
        <w:spacing w:line="240" w:lineRule="auto" w:before="10"/>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34.83%</w:t>
            </w:r>
          </w:p>
        </w:tc>
      </w:tr>
    </w:tbl>
    <w:p>
      <w:pPr>
        <w:pStyle w:val="BodyText"/>
        <w:spacing w:line="360" w:lineRule="auto" w:before="51"/>
        <w:ind w:left="154" w:right="8412"/>
        <w:jc w:val="left"/>
      </w:pPr>
      <w:r>
        <w:rPr/>
        <w:t>本企业的母公司情况的说明 本企业最终控制方是顾永德。 其他说明：</w:t>
      </w:r>
    </w:p>
    <w:p>
      <w:pPr>
        <w:pStyle w:val="BodyText"/>
        <w:spacing w:line="240" w:lineRule="auto" w:before="25"/>
        <w:ind w:right="1130"/>
        <w:jc w:val="left"/>
      </w:pPr>
      <w:r>
        <w:rPr/>
        <w:t>顾永德直接持有本公司</w:t>
      </w:r>
      <w:r>
        <w:rPr>
          <w:rFonts w:ascii="Times New Roman" w:hAnsi="Times New Roman" w:cs="Times New Roman" w:eastAsia="Times New Roman" w:hint="default"/>
        </w:rPr>
        <w:t>30.59%</w:t>
      </w:r>
      <w:r>
        <w:rPr/>
        <w:t>的股份，通过深圳德旺投资发展有限公司持有本公司</w:t>
      </w:r>
      <w:r>
        <w:rPr>
          <w:rFonts w:ascii="Times New Roman" w:hAnsi="Times New Roman" w:cs="Times New Roman" w:eastAsia="Times New Roman" w:hint="default"/>
        </w:rPr>
        <w:t>4.24%</w:t>
      </w:r>
      <w:r>
        <w:rPr/>
        <w:t>的股份。</w:t>
      </w:r>
    </w:p>
    <w:p>
      <w:pPr>
        <w:spacing w:line="240" w:lineRule="auto" w:before="8"/>
        <w:rPr>
          <w:rFonts w:ascii="宋体" w:hAnsi="宋体" w:cs="宋体" w:eastAsia="宋体" w:hint="default"/>
          <w:sz w:val="26"/>
          <w:szCs w:val="26"/>
        </w:rPr>
      </w:pPr>
    </w:p>
    <w:p>
      <w:pPr>
        <w:spacing w:line="559" w:lineRule="auto" w:before="0"/>
        <w:ind w:left="153" w:right="4003" w:firstLine="0"/>
        <w:jc w:val="left"/>
        <w:rPr>
          <w:rFonts w:ascii="宋体" w:hAnsi="宋体" w:cs="宋体" w:eastAsia="宋体" w:hint="default"/>
          <w:sz w:val="20"/>
          <w:szCs w:val="20"/>
        </w:rPr>
      </w:pPr>
      <w:bookmarkStart w:name="2、本企业的子公司情况" w:id="457"/>
      <w:bookmarkEnd w:id="45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b/>
          <w:bCs/>
          <w:w w:val="99"/>
          <w:sz w:val="20"/>
          <w:szCs w:val="20"/>
        </w:rPr>
        <w:t> </w:t>
      </w:r>
      <w:r>
        <w:rPr>
          <w:rFonts w:ascii="宋体" w:hAnsi="宋体" w:cs="宋体" w:eastAsia="宋体" w:hint="default"/>
          <w:sz w:val="18"/>
          <w:szCs w:val="18"/>
        </w:rPr>
        <w:t>本企业子公司的情况详见附注第十一节、九、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58"/>
      <w:bookmarkEnd w:id="458"/>
      <w:r>
        <w:rPr>
          <w:rFonts w:ascii="宋体" w:hAnsi="宋体" w:cs="宋体" w:eastAsia="宋体" w:hint="default"/>
          <w:sz w:val="18"/>
          <w:szCs w:val="18"/>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、本企业合营和联营企业情况</w:t>
      </w:r>
      <w:r>
        <w:rPr>
          <w:rFonts w:ascii="宋体" w:hAnsi="宋体" w:cs="宋体" w:eastAsia="宋体" w:hint="default"/>
          <w:sz w:val="20"/>
          <w:szCs w:val="20"/>
        </w:rPr>
      </w:r>
    </w:p>
    <w:p>
      <w:pPr>
        <w:pStyle w:val="BodyText"/>
        <w:spacing w:line="338" w:lineRule="auto" w:before="59"/>
        <w:ind w:right="2293"/>
        <w:jc w:val="left"/>
      </w:pPr>
      <w:r>
        <w:rPr/>
        <w:t>本企业重要的合营或联营企业详见附注注第十一节、九、</w:t>
      </w:r>
      <w:r>
        <w:rPr>
          <w:rFonts w:ascii="Times New Roman" w:hAnsi="Times New Roman" w:cs="Times New Roman" w:eastAsia="Times New Roman" w:hint="default"/>
        </w:rPr>
        <w:t>3“</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2"/>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4、其他关联方情况" w:id="459"/>
      <w:bookmarkEnd w:id="4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深圳德旺投资发展有限公司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深圳华智包装制品有限公司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顾永德与周莉夫妇合计持有该公司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48.6572%</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深圳市锦瑞生物科技有限公司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本公司独立董事郭新梅在该公司任财务总监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股份、本公司原董秘方吉槟任该公司董事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Corporation</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香港茂硕持有其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海宁市诺耶科华太阳能电力工程有限公司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持有本公司控股子公司海宁茂硕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深圳华智测控技术有限公司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33.9091%</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深圳市聚电网络科技有限公司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13.50%</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的股份、顾永德任董事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东莞市祥泰电子有限公司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茂硕祥泰股东刘小灰（持股</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），持有该公司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安徽新国利英核能源有限公司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深圳鑫四方检测科技有限公司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本公司原持有其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30.07%</w:t>
            </w:r>
            <w:r>
              <w:rPr>
                <w:rFonts w:ascii="宋体" w:hAnsi="宋体" w:cs="宋体" w:eastAsia="宋体" w:hint="default"/>
                <w:sz w:val="18"/>
                <w:szCs w:val="18"/>
              </w:rPr>
              <w:t>的股份</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月完成全部股权转让</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湖南茂硕电气有限公司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深圳前海茂硕新能源科技有限公司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本公司控股子公司茂硕新能源持有其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深圳市迈斯达尔医疗器械有限公司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山西光宇半导体照明股份有限公司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独立董事施伟力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年度在该公司任独立董事</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瑞盈信融（深圳）融资租赁有限公司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持有本公司控股子公司瑞盈茂硕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的股份（本期已收购该 少数股东股权）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w:t>
            </w:r>
            <w:r>
              <w:rPr>
                <w:rFonts w:ascii="宋体" w:hAnsi="宋体" w:cs="宋体" w:eastAsia="宋体" w:hint="default"/>
                <w:sz w:val="18"/>
                <w:szCs w:val="18"/>
              </w:rPr>
              <w:t>的股份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谢春华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董秘、副总经理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日聘任</w:t>
            </w:r>
            <w:r>
              <w:rPr>
                <w:rFonts w:ascii="Times New Roman" w:hAnsi="Times New Roman" w:cs="Times New Roman" w:eastAsia="Times New Roman"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胡炎申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茂硕电气总经理</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5、关联交易情况" w:id="460"/>
      <w:bookmarkEnd w:id="4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购销商品、提供和接受劳务的关联交易" w:id="461"/>
      <w:bookmarkEnd w:id="4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3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深圳茂硕祥泰科技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8,499,394.18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15,859,191.90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杭州骑客智能科技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4,560,094.74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河南弘康茂硕电气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727,521.37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399,904.27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深圳茂硕投资发展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2,277,528.16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2,248,016.82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安徽新国利英核能 源有限公司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39,151.77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3,231,046.45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深圳前海茂硕新能 源科技有限公司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深圳华智测控技术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3,606.83</w:t>
            </w:r>
          </w:p>
        </w:tc>
      </w:tr>
    </w:tbl>
    <w:p>
      <w:pPr>
        <w:pStyle w:val="BodyText"/>
        <w:spacing w:line="240" w:lineRule="auto" w:before="51"/>
        <w:ind w:left="154" w:right="113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湖南茂硕电气有限公司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6,155,619.40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37,735.04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河南弘康茂硕电气有限公司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722,281.20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870,042.73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销售原材料</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177,826.05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山西光宇半导体照明股份有限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1,075,947.85</w:t>
            </w:r>
          </w:p>
        </w:tc>
      </w:tr>
    </w:tbl>
    <w:p>
      <w:pPr>
        <w:pStyle w:val="BodyText"/>
        <w:spacing w:line="240" w:lineRule="auto" w:before="51"/>
        <w:ind w:left="154" w:right="113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3"/>
        <w:ind w:left="154" w:right="1130"/>
        <w:jc w:val="left"/>
        <w:rPr>
          <w:b w:val="0"/>
          <w:bCs w:val="0"/>
        </w:rPr>
      </w:pPr>
      <w:bookmarkStart w:name="（2）关联受托管理/承包及委托管理/出包情况" w:id="462"/>
      <w:bookmarkEnd w:id="4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right="113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1130"/>
        <w:jc w:val="left"/>
      </w:pPr>
      <w:r>
        <w:rPr/>
        <w:t>关联管理</w:t>
      </w:r>
      <w:r>
        <w:rPr>
          <w:rFonts w:ascii="Times New Roman" w:hAnsi="Times New Roman" w:cs="Times New Roman" w:eastAsia="Times New Roman" w:hint="default"/>
        </w:rPr>
        <w:t>/</w:t>
      </w:r>
      <w:r>
        <w:rPr/>
        <w:t>出包情况说明</w:t>
      </w:r>
    </w:p>
    <w:p>
      <w:pPr>
        <w:spacing w:line="240" w:lineRule="auto" w:before="5"/>
        <w:rPr>
          <w:rFonts w:ascii="宋体" w:hAnsi="宋体" w:cs="宋体" w:eastAsia="宋体" w:hint="default"/>
          <w:sz w:val="26"/>
          <w:szCs w:val="26"/>
        </w:rPr>
      </w:pPr>
    </w:p>
    <w:p>
      <w:pPr>
        <w:pStyle w:val="Heading3"/>
        <w:spacing w:line="240" w:lineRule="auto"/>
        <w:ind w:left="154" w:right="1130"/>
        <w:jc w:val="left"/>
        <w:rPr>
          <w:b w:val="0"/>
          <w:bCs w:val="0"/>
        </w:rPr>
      </w:pPr>
      <w:bookmarkStart w:name="（3）关联租赁情况" w:id="463"/>
      <w:bookmarkEnd w:id="4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154" w:right="113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深圳前海茂硕新能源科技有 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142,444.29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122,529.54</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深圳市迈斯达尔医疗器械有</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43,820.02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36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3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瑞盈信融（深圳）融资租赁有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1,029,135.56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1,147,381.78</w:t>
            </w:r>
          </w:p>
        </w:tc>
      </w:tr>
    </w:tbl>
    <w:p>
      <w:pPr>
        <w:pStyle w:val="BodyText"/>
        <w:spacing w:line="240" w:lineRule="auto" w:before="51"/>
        <w:ind w:left="154" w:right="113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4）关联担保情况" w:id="464"/>
      <w:bookmarkEnd w:id="4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154" w:right="113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湖南省方正达电子科技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茂硕电气</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惠州茂硕</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湖南省方正达电子科技 有限公司</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3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r>
              <w:rPr>
                <w:rFonts w:ascii="Times New Roman" w:hAnsi="Times New Roman" w:cs="Times New Roman" w:eastAsia="Times New Roman" w:hint="default"/>
                <w:sz w:val="18"/>
                <w:szCs w:val="18"/>
              </w:rPr>
              <w:t>/</w:t>
            </w:r>
            <w:r>
              <w:rPr>
                <w:rFonts w:ascii="宋体" w:hAnsi="宋体" w:cs="宋体" w:eastAsia="宋体" w:hint="default"/>
                <w:sz w:val="18"/>
                <w:szCs w:val="18"/>
              </w:rPr>
              <w:t>惠州茂硕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0"/>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茂硕电气</w:t>
            </w:r>
            <w:r>
              <w:rPr>
                <w:rFonts w:ascii="Times New Roman" w:hAnsi="Times New Roman" w:cs="Times New Roman" w:eastAsia="Times New Roman" w:hint="default"/>
                <w:sz w:val="18"/>
                <w:szCs w:val="18"/>
              </w:rPr>
              <w:t>/</w:t>
            </w: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茂硕电子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30"/>
        <w:jc w:val="left"/>
      </w:pPr>
      <w:r>
        <w:rPr/>
        <w:t>关联担保情况说明</w:t>
      </w:r>
    </w:p>
    <w:p>
      <w:pPr>
        <w:pStyle w:val="BodyText"/>
        <w:spacing w:line="240" w:lineRule="auto" w:before="116"/>
        <w:ind w:left="154" w:right="1130"/>
        <w:jc w:val="left"/>
      </w:pPr>
      <w:r>
        <w:rPr>
          <w:rFonts w:ascii="Times New Roman" w:hAnsi="Times New Roman" w:cs="Times New Roman" w:eastAsia="Times New Roman" w:hint="default"/>
        </w:rPr>
        <w:t>*</w:t>
      </w:r>
      <w:r>
        <w:rPr/>
        <w:t>本公司与胡炎申共同为茂硕电气提供担保；</w:t>
      </w:r>
    </w:p>
    <w:p>
      <w:pPr>
        <w:pStyle w:val="BodyText"/>
        <w:spacing w:line="240" w:lineRule="auto" w:before="63"/>
        <w:ind w:left="154" w:right="1130"/>
        <w:jc w:val="left"/>
      </w:pPr>
      <w:r>
        <w:rPr>
          <w:rFonts w:ascii="Times New Roman" w:hAnsi="Times New Roman" w:cs="Times New Roman" w:eastAsia="Times New Roman" w:hint="default"/>
        </w:rPr>
        <w:t>**</w:t>
      </w:r>
      <w:r>
        <w:rPr/>
        <w:t>本公司与方笑求、蓝顺明共同为湖南省方正达电子科技有限公司提供担保。</w:t>
      </w:r>
    </w:p>
    <w:p>
      <w:pPr>
        <w:spacing w:line="240" w:lineRule="auto" w:before="8"/>
        <w:rPr>
          <w:rFonts w:ascii="宋体" w:hAnsi="宋体" w:cs="宋体" w:eastAsia="宋体" w:hint="default"/>
          <w:sz w:val="26"/>
          <w:szCs w:val="26"/>
        </w:rPr>
      </w:pPr>
    </w:p>
    <w:p>
      <w:pPr>
        <w:pStyle w:val="Heading3"/>
        <w:spacing w:line="240" w:lineRule="auto"/>
        <w:ind w:right="1130"/>
        <w:jc w:val="left"/>
        <w:rPr>
          <w:b w:val="0"/>
          <w:bCs w:val="0"/>
        </w:rPr>
      </w:pPr>
      <w:bookmarkStart w:name="（5）关联方资金拆借" w:id="465"/>
      <w:bookmarkEnd w:id="4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湖南省方正达电子科技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6）关联方资产转让、债务重组情况" w:id="466"/>
      <w:bookmarkEnd w:id="4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深圳鑫四方检测科技有限公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148,243.04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854,700.89</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7）关键管理人员报酬" w:id="467"/>
      <w:bookmarkEnd w:id="4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3,504,515.38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2,800,600.00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8）其他关联交易" w:id="468"/>
      <w:bookmarkEnd w:id="4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6、关联方应收应付款项" w:id="469"/>
      <w:bookmarkEnd w:id="4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应收项目" w:id="470"/>
      <w:bookmarkEnd w:id="4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山西光宇半导体照 明股份有限公司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752,581.03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7,959.80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Brilliant</w:t>
            </w:r>
            <w:r>
              <w:rPr>
                <w:rFonts w:ascii="Times New Roman"/>
                <w:spacing w:val="-1"/>
                <w:sz w:val="18"/>
              </w:rPr>
              <w:t> </w:t>
            </w:r>
            <w:r>
              <w:rPr>
                <w:rFonts w:ascii="Times New Roman"/>
                <w:sz w:val="18"/>
              </w:rPr>
              <w:t>Info</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8,186,425.59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6,549,140.47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8,899,186.85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7,119,349.48</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Corporation</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河南弘康茂硕电气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624,110.72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31,205.54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652,400.09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206,183.81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湖南茂硕电气有限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4,400,550.50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深圳茂硕祥泰科技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深圳前海茂硕新能 源科技有限公司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深圳茂硕投资发展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深圳鑫四方检测科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1,017.60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应付项目" w:id="471"/>
      <w:bookmarkEnd w:id="4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安徽新国利英核能源有限公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933,702.93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海宁市诺耶科华太阳能电力 工程有限公司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1,792,900.06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1,792,900.06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深圳茂硕祥泰科技有限公司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3,988,250.01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6,604,839.55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杭州骑客智能科技有限公司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10,254,348.93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4,919,038.08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深圳茂硕投资发展有限公司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262,645.83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316,936.50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深圳市迈斯达尔医疗器械有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方笑求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105,431.50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深圳前海茂硕新能源科技有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瑞盈信融（深圳）融资租赁有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16,233,327.76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7、关联方承诺" w:id="472"/>
      <w:bookmarkEnd w:id="4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5"/>
          <w:szCs w:val="25"/>
        </w:rPr>
      </w:pPr>
    </w:p>
    <w:p>
      <w:pPr>
        <w:spacing w:line="499" w:lineRule="auto" w:before="0"/>
        <w:ind w:left="153" w:right="8846" w:firstLine="0"/>
        <w:jc w:val="left"/>
        <w:rPr>
          <w:rFonts w:ascii="宋体" w:hAnsi="宋体" w:cs="宋体" w:eastAsia="宋体" w:hint="default"/>
          <w:sz w:val="20"/>
          <w:szCs w:val="20"/>
        </w:rPr>
      </w:pPr>
      <w:bookmarkStart w:name="8、其他" w:id="473"/>
      <w:bookmarkEnd w:id="473"/>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十三、股份支付" w:id="474"/>
      <w:bookmarkEnd w:id="474"/>
      <w:r>
        <w:rPr>
          <w:rFonts w:ascii="宋体" w:hAnsi="宋体" w:cs="宋体" w:eastAsia="宋体" w:hint="default"/>
          <w:b/>
          <w:bCs/>
          <w:w w:val="99"/>
          <w:sz w:val="20"/>
          <w:szCs w:val="20"/>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sz w:val="20"/>
          <w:szCs w:val="20"/>
        </w:rPr>
      </w:r>
    </w:p>
    <w:p>
      <w:pPr>
        <w:pStyle w:val="BodyText"/>
        <w:spacing w:line="240" w:lineRule="auto" w:before="113"/>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2、以权益结算的股份支付情况" w:id="476"/>
      <w:bookmarkEnd w:id="47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3、以现金结算的股份支付情况" w:id="477"/>
      <w:bookmarkEnd w:id="47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30"/>
        <w:jc w:val="left"/>
        <w:rPr>
          <w:b w:val="0"/>
          <w:bCs w:val="0"/>
        </w:rPr>
      </w:pPr>
      <w:bookmarkStart w:name="4、股份支付的修改、终止情况" w:id="478"/>
      <w:bookmarkEnd w:id="47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5"/>
          <w:szCs w:val="25"/>
        </w:rPr>
      </w:pPr>
    </w:p>
    <w:p>
      <w:pPr>
        <w:spacing w:line="499" w:lineRule="auto" w:before="0"/>
        <w:ind w:left="153" w:right="8344" w:firstLine="0"/>
        <w:jc w:val="left"/>
        <w:rPr>
          <w:rFonts w:ascii="宋体" w:hAnsi="宋体" w:cs="宋体" w:eastAsia="宋体" w:hint="default"/>
          <w:sz w:val="20"/>
          <w:szCs w:val="20"/>
        </w:rPr>
      </w:pPr>
      <w:bookmarkStart w:name="5、其他" w:id="479"/>
      <w:bookmarkEnd w:id="479"/>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十四、承诺及或有事项" w:id="480"/>
      <w:bookmarkEnd w:id="480"/>
      <w:r>
        <w:rPr>
          <w:rFonts w:ascii="宋体" w:hAnsi="宋体" w:cs="宋体" w:eastAsia="宋体" w:hint="default"/>
          <w:b/>
          <w:bCs/>
          <w:w w:val="99"/>
          <w:sz w:val="20"/>
          <w:szCs w:val="20"/>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1"/>
      <w:bookmarkEnd w:id="481"/>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、重要承诺事项</w:t>
      </w:r>
      <w:r>
        <w:rPr>
          <w:rFonts w:ascii="宋体" w:hAnsi="宋体" w:cs="宋体" w:eastAsia="宋体" w:hint="default"/>
          <w:sz w:val="20"/>
          <w:szCs w:val="20"/>
        </w:rPr>
      </w:r>
    </w:p>
    <w:p>
      <w:pPr>
        <w:pStyle w:val="BodyText"/>
        <w:spacing w:line="240" w:lineRule="auto" w:before="113"/>
        <w:ind w:right="1130"/>
        <w:jc w:val="left"/>
      </w:pPr>
      <w:r>
        <w:rPr/>
        <w:t>资产负债表日存在的重要承诺</w:t>
      </w:r>
    </w:p>
    <w:p>
      <w:pPr>
        <w:pStyle w:val="Heading4"/>
        <w:spacing w:line="240" w:lineRule="auto" w:before="115"/>
        <w:ind w:right="1130"/>
        <w:jc w:val="left"/>
        <w:rPr>
          <w:b w:val="0"/>
          <w:bCs w:val="0"/>
        </w:rPr>
      </w:pPr>
      <w:r>
        <w:rPr>
          <w:rFonts w:ascii="Times New Roman" w:hAnsi="Times New Roman" w:cs="Times New Roman" w:eastAsia="Times New Roman" w:hint="default"/>
        </w:rPr>
        <w:t>(1)</w:t>
      </w:r>
      <w:r>
        <w:rPr/>
        <w:t>已签订的正在或准备履行的大额发包合同及财务影响</w:t>
      </w:r>
      <w:r>
        <w:rPr>
          <w:b w:val="0"/>
          <w:bCs w:val="0"/>
        </w:rPr>
      </w:r>
    </w:p>
    <w:p>
      <w:pPr>
        <w:pStyle w:val="BodyText"/>
        <w:spacing w:line="309" w:lineRule="auto" w:before="63"/>
        <w:ind w:right="1173" w:firstLine="360"/>
        <w:jc w:val="left"/>
        <w:rPr>
          <w:rFonts w:ascii="宋体" w:hAnsi="宋体" w:cs="宋体" w:eastAsia="宋体"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月，新余茂硕与江西通力电业发展有限公司签订江西新余何家边</w:t>
      </w:r>
      <w:r>
        <w:rPr>
          <w:rFonts w:ascii="Times New Roman" w:hAnsi="Times New Roman" w:cs="Times New Roman" w:eastAsia="Times New Roman" w:hint="default"/>
        </w:rPr>
        <w:t>20MWP</w:t>
      </w:r>
      <w:r>
        <w:rPr/>
        <w:t>光伏发电项目</w:t>
      </w:r>
      <w:r>
        <w:rPr>
          <w:rFonts w:ascii="Times New Roman" w:hAnsi="Times New Roman" w:cs="Times New Roman" w:eastAsia="Times New Roman" w:hint="default"/>
        </w:rPr>
        <w:t>EPC</w:t>
      </w:r>
      <w:r>
        <w:rPr/>
        <w:t>总承包合同，工程 总价工程总价以实际组件装机容量确定。截止资产负债表日，以上发包合同正在履行中。 </w:t>
      </w:r>
      <w:r>
        <w:rPr>
          <w:rFonts w:ascii="Times New Roman" w:hAnsi="Times New Roman" w:cs="Times New Roman" w:eastAsia="Times New Roman" w:hint="default"/>
          <w:b/>
          <w:bCs/>
        </w:rPr>
        <w:t>(2)</w:t>
      </w:r>
      <w:r>
        <w:rPr>
          <w:rFonts w:ascii="宋体" w:hAnsi="宋体" w:cs="宋体" w:eastAsia="宋体" w:hint="default"/>
          <w:b/>
          <w:bCs/>
        </w:rPr>
        <w:t>已签订的正在或准备履行的租赁合同及财务影响</w:t>
      </w:r>
      <w:r>
        <w:rPr>
          <w:rFonts w:ascii="宋体" w:hAnsi="宋体" w:cs="宋体" w:eastAsia="宋体" w:hint="default"/>
        </w:rPr>
      </w:r>
    </w:p>
    <w:tbl>
      <w:tblPr>
        <w:tblW w:w="0" w:type="auto"/>
        <w:jc w:val="left"/>
        <w:tblInd w:w="146" w:type="dxa"/>
        <w:tblLayout w:type="fixed"/>
        <w:tblCellMar>
          <w:top w:w="0" w:type="dxa"/>
          <w:left w:w="0" w:type="dxa"/>
          <w:bottom w:w="0" w:type="dxa"/>
          <w:right w:w="0" w:type="dxa"/>
        </w:tblCellMar>
        <w:tblLook w:val="01E0"/>
      </w:tblPr>
      <w:tblGrid>
        <w:gridCol w:w="3424"/>
        <w:gridCol w:w="2472"/>
        <w:gridCol w:w="2472"/>
      </w:tblGrid>
      <w:tr>
        <w:trPr>
          <w:trHeight w:val="355" w:hRule="exact"/>
        </w:trPr>
        <w:tc>
          <w:tcPr>
            <w:tcW w:w="3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3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72" w:type="dxa"/>
            <w:tcBorders>
              <w:top w:val="single" w:sz="12" w:space="0" w:color="000000"/>
              <w:left w:val="single" w:sz="6" w:space="0" w:color="000000"/>
              <w:bottom w:val="single" w:sz="12" w:space="0" w:color="000000"/>
              <w:right w:val="single" w:sz="6" w:space="0" w:color="000000"/>
            </w:tcBorders>
          </w:tcPr>
          <w:p>
            <w:pPr/>
          </w:p>
        </w:tc>
        <w:tc>
          <w:tcPr>
            <w:tcW w:w="2472"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9"/>
              <w:jc w:val="right"/>
              <w:rPr>
                <w:rFonts w:ascii="Times New Roman" w:hAnsi="Times New Roman" w:cs="Times New Roman" w:eastAsia="Times New Roman" w:hint="default"/>
                <w:sz w:val="18"/>
                <w:szCs w:val="18"/>
              </w:rPr>
            </w:pPr>
            <w:r>
              <w:rPr>
                <w:rFonts w:ascii="Times New Roman"/>
                <w:sz w:val="18"/>
              </w:rPr>
              <w:t>--</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8"/>
                <w:szCs w:val="18"/>
              </w:rPr>
            </w:pPr>
            <w:r>
              <w:rPr>
                <w:rFonts w:ascii="Times New Roman"/>
                <w:spacing w:val="-1"/>
                <w:sz w:val="18"/>
              </w:rPr>
              <w:t>7,695,369.51</w:t>
            </w:r>
          </w:p>
        </w:tc>
      </w:tr>
      <w:tr>
        <w:trPr>
          <w:trHeight w:val="352" w:hRule="exact"/>
        </w:trPr>
        <w:tc>
          <w:tcPr>
            <w:tcW w:w="3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7"/>
              <w:jc w:val="right"/>
              <w:rPr>
                <w:rFonts w:ascii="Times New Roman" w:hAnsi="Times New Roman" w:cs="Times New Roman" w:eastAsia="Times New Roman" w:hint="default"/>
                <w:sz w:val="18"/>
                <w:szCs w:val="18"/>
              </w:rPr>
            </w:pPr>
            <w:r>
              <w:rPr>
                <w:rFonts w:ascii="Times New Roman"/>
                <w:spacing w:val="-1"/>
                <w:sz w:val="18"/>
              </w:rPr>
              <w:t>7,521,819.84</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8"/>
                <w:szCs w:val="18"/>
              </w:rPr>
            </w:pPr>
            <w:r>
              <w:rPr>
                <w:rFonts w:ascii="Times New Roman"/>
                <w:spacing w:val="-1"/>
                <w:sz w:val="18"/>
              </w:rPr>
              <w:t>7,617,432.06</w:t>
            </w:r>
          </w:p>
        </w:tc>
      </w:tr>
      <w:tr>
        <w:trPr>
          <w:trHeight w:val="353" w:hRule="exact"/>
        </w:trPr>
        <w:tc>
          <w:tcPr>
            <w:tcW w:w="3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7"/>
              <w:jc w:val="right"/>
              <w:rPr>
                <w:rFonts w:ascii="Times New Roman" w:hAnsi="Times New Roman" w:cs="Times New Roman" w:eastAsia="Times New Roman" w:hint="default"/>
                <w:sz w:val="18"/>
                <w:szCs w:val="18"/>
              </w:rPr>
            </w:pPr>
            <w:r>
              <w:rPr>
                <w:rFonts w:ascii="Times New Roman"/>
                <w:spacing w:val="-1"/>
                <w:sz w:val="18"/>
              </w:rPr>
              <w:t>7,989,014.78</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8"/>
                <w:szCs w:val="18"/>
              </w:rPr>
            </w:pPr>
            <w:r>
              <w:rPr>
                <w:rFonts w:ascii="Times New Roman"/>
                <w:spacing w:val="-1"/>
                <w:sz w:val="18"/>
              </w:rPr>
              <w:t>7,484,123.62</w:t>
            </w:r>
          </w:p>
        </w:tc>
      </w:tr>
      <w:tr>
        <w:trPr>
          <w:trHeight w:val="352" w:hRule="exact"/>
        </w:trPr>
        <w:tc>
          <w:tcPr>
            <w:tcW w:w="3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7"/>
              <w:jc w:val="right"/>
              <w:rPr>
                <w:rFonts w:ascii="Times New Roman" w:hAnsi="Times New Roman" w:cs="Times New Roman" w:eastAsia="Times New Roman" w:hint="default"/>
                <w:sz w:val="18"/>
                <w:szCs w:val="18"/>
              </w:rPr>
            </w:pPr>
            <w:r>
              <w:rPr>
                <w:rFonts w:ascii="Times New Roman"/>
                <w:spacing w:val="-1"/>
                <w:sz w:val="18"/>
              </w:rPr>
              <w:t>8,939,215.00</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8"/>
                <w:szCs w:val="18"/>
              </w:rPr>
            </w:pPr>
            <w:r>
              <w:rPr>
                <w:rFonts w:ascii="Times New Roman"/>
                <w:spacing w:val="-1"/>
                <w:sz w:val="18"/>
              </w:rPr>
              <w:t>7,484,123.62</w:t>
            </w:r>
          </w:p>
        </w:tc>
      </w:tr>
      <w:tr>
        <w:trPr>
          <w:trHeight w:val="352" w:hRule="exact"/>
        </w:trPr>
        <w:tc>
          <w:tcPr>
            <w:tcW w:w="3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7"/>
              <w:jc w:val="right"/>
              <w:rPr>
                <w:rFonts w:ascii="Times New Roman" w:hAnsi="Times New Roman" w:cs="Times New Roman" w:eastAsia="Times New Roman" w:hint="default"/>
                <w:sz w:val="18"/>
                <w:szCs w:val="18"/>
              </w:rPr>
            </w:pPr>
            <w:r>
              <w:rPr>
                <w:rFonts w:ascii="Times New Roman"/>
                <w:spacing w:val="-1"/>
                <w:sz w:val="18"/>
              </w:rPr>
              <w:t>33,374,348.04</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8"/>
                <w:szCs w:val="18"/>
              </w:rPr>
            </w:pPr>
            <w:r>
              <w:rPr>
                <w:rFonts w:ascii="Times New Roman"/>
                <w:spacing w:val="-1"/>
                <w:sz w:val="18"/>
              </w:rPr>
              <w:t>27,656,945.97</w:t>
            </w:r>
          </w:p>
        </w:tc>
      </w:tr>
      <w:tr>
        <w:trPr>
          <w:trHeight w:val="353" w:hRule="exact"/>
        </w:trPr>
        <w:tc>
          <w:tcPr>
            <w:tcW w:w="3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7"/>
              <w:jc w:val="right"/>
              <w:rPr>
                <w:rFonts w:ascii="Times New Roman" w:hAnsi="Times New Roman" w:cs="Times New Roman" w:eastAsia="Times New Roman" w:hint="default"/>
                <w:sz w:val="18"/>
                <w:szCs w:val="18"/>
              </w:rPr>
            </w:pPr>
            <w:r>
              <w:rPr>
                <w:rFonts w:ascii="Times New Roman"/>
                <w:spacing w:val="-1"/>
                <w:sz w:val="18"/>
              </w:rPr>
              <w:t>57,824,397.66</w:t>
            </w:r>
          </w:p>
        </w:tc>
        <w:tc>
          <w:tcPr>
            <w:tcW w:w="247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5"/>
              <w:ind w:right="34"/>
              <w:jc w:val="right"/>
              <w:rPr>
                <w:rFonts w:ascii="Times New Roman" w:hAnsi="Times New Roman" w:cs="Times New Roman" w:eastAsia="Times New Roman" w:hint="default"/>
                <w:sz w:val="18"/>
                <w:szCs w:val="18"/>
              </w:rPr>
            </w:pPr>
            <w:r>
              <w:rPr>
                <w:rFonts w:ascii="Times New Roman"/>
                <w:spacing w:val="-1"/>
                <w:sz w:val="18"/>
              </w:rPr>
              <w:t>57,937,994.78</w:t>
            </w:r>
          </w:p>
        </w:tc>
      </w:tr>
    </w:tbl>
    <w:p>
      <w:pPr>
        <w:spacing w:line="240" w:lineRule="auto" w:before="2"/>
        <w:rPr>
          <w:rFonts w:ascii="宋体" w:hAnsi="宋体" w:cs="宋体" w:eastAsia="宋体" w:hint="default"/>
          <w:b/>
          <w:bCs/>
          <w:sz w:val="6"/>
          <w:szCs w:val="6"/>
        </w:rPr>
      </w:pPr>
    </w:p>
    <w:p>
      <w:pPr>
        <w:pStyle w:val="Heading4"/>
        <w:spacing w:line="300" w:lineRule="auto" w:before="44"/>
        <w:ind w:left="515" w:right="7861" w:hanging="362"/>
        <w:jc w:val="left"/>
        <w:rPr>
          <w:b w:val="0"/>
          <w:bCs w:val="0"/>
        </w:rPr>
      </w:pPr>
      <w:r>
        <w:rPr>
          <w:rFonts w:ascii="Times New Roman" w:hAnsi="Times New Roman" w:cs="Times New Roman" w:eastAsia="Times New Roman" w:hint="default"/>
        </w:rPr>
        <w:t>(3)</w:t>
      </w:r>
      <w:r>
        <w:rPr/>
        <w:t>其他重大财务承诺事项</w:t>
      </w:r>
      <w:r>
        <w:rPr>
          <w:w w:val="99"/>
        </w:rPr>
        <w:t> </w:t>
      </w:r>
      <w:r>
        <w:rPr/>
        <w:t>茂硕电源与茂硕投资的承诺事项</w:t>
      </w:r>
      <w:r>
        <w:rPr>
          <w:b w:val="0"/>
          <w:bCs w:val="0"/>
        </w:rPr>
      </w:r>
    </w:p>
    <w:p>
      <w:pPr>
        <w:pStyle w:val="BodyText"/>
        <w:spacing w:line="300" w:lineRule="auto" w:before="31"/>
        <w:ind w:left="154" w:right="1122"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日，茂硕电源与茂硕投资签定合作协议，协议中约定由茂硕投资负责为茂硕电源寻找和挖掘投资项目，组 织项目的投前调研、考察了解和尽职调查等投前业务服务以及接受茂硕电源的委托对投资项目进行投后管理等服务。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15" w:firstLine="360"/>
        <w:jc w:val="both"/>
      </w:pPr>
      <w:r>
        <w:rPr/>
        <w:t>投后管理服务费每年按照项目总投资额的</w:t>
      </w:r>
      <w:r>
        <w:rPr>
          <w:rFonts w:ascii="Times New Roman" w:hAnsi="Times New Roman" w:cs="Times New Roman" w:eastAsia="Times New Roman" w:hint="default"/>
        </w:rPr>
        <w:t>1.5%</w:t>
      </w:r>
      <w:r>
        <w:rPr/>
        <w:t>支付；茂硕投资同时享有投资项目收益分成：</w:t>
      </w:r>
      <w:r>
        <w:rPr>
          <w:rFonts w:ascii="Times New Roman" w:hAnsi="Times New Roman" w:cs="Times New Roman" w:eastAsia="Times New Roman" w:hint="default"/>
        </w:rPr>
        <w:t>A</w:t>
      </w:r>
      <w:r>
        <w:rPr/>
        <w:t>、</w:t>
      </w:r>
      <w:r>
        <w:rPr>
          <w:rFonts w:ascii="Times New Roman" w:hAnsi="Times New Roman" w:cs="Times New Roman" w:eastAsia="Times New Roman" w:hint="default"/>
        </w:rPr>
        <w:t>PE/VC</w:t>
      </w:r>
      <w:r>
        <w:rPr/>
        <w:t>等参股型项目： 如已投资参股型项目</w:t>
      </w:r>
      <w:r>
        <w:rPr>
          <w:rFonts w:ascii="Times New Roman" w:hAnsi="Times New Roman" w:cs="Times New Roman" w:eastAsia="Times New Roman" w:hint="default"/>
        </w:rPr>
        <w:t>IPO</w:t>
      </w:r>
      <w:r>
        <w:rPr/>
        <w:t>或重组等方式退出，项目投资收益率达到</w:t>
      </w:r>
      <w:r>
        <w:rPr>
          <w:rFonts w:ascii="Times New Roman" w:hAnsi="Times New Roman" w:cs="Times New Roman" w:eastAsia="Times New Roman" w:hint="default"/>
        </w:rPr>
        <w:t>8%</w:t>
      </w:r>
      <w:r>
        <w:rPr/>
        <w:t>时，茂硕投资享有实现项目净收益的</w:t>
      </w:r>
      <w:r>
        <w:rPr>
          <w:rFonts w:ascii="Times New Roman" w:hAnsi="Times New Roman" w:cs="Times New Roman" w:eastAsia="Times New Roman" w:hint="default"/>
        </w:rPr>
        <w:t>20%</w:t>
      </w:r>
      <w:r>
        <w:rPr/>
        <w:t>的分成；</w:t>
      </w:r>
      <w:r>
        <w:rPr>
          <w:rFonts w:ascii="Times New Roman" w:hAnsi="Times New Roman" w:cs="Times New Roman" w:eastAsia="Times New Roman" w:hint="default"/>
        </w:rPr>
        <w:t>B</w:t>
      </w:r>
      <w:r>
        <w:rPr/>
        <w:t>、</w:t>
      </w:r>
      <w:r>
        <w:rPr>
          <w:spacing w:val="-76"/>
        </w:rPr>
        <w:t> </w:t>
      </w:r>
      <w:r>
        <w:rPr/>
        <w:t>控股型投资项目：当控股项目年度投资收益率达到</w:t>
      </w:r>
      <w:r>
        <w:rPr>
          <w:rFonts w:ascii="Times New Roman" w:hAnsi="Times New Roman" w:cs="Times New Roman" w:eastAsia="Times New Roman" w:hint="default"/>
        </w:rPr>
        <w:t>8%</w:t>
      </w:r>
      <w:r>
        <w:rPr/>
        <w:t>时，茂硕投资按年度分享实现收益（归属上市公司的利润）的</w:t>
      </w:r>
      <w:r>
        <w:rPr>
          <w:rFonts w:ascii="Times New Roman" w:hAnsi="Times New Roman" w:cs="Times New Roman" w:eastAsia="Times New Roman" w:hint="default"/>
        </w:rPr>
        <w:t>20%</w:t>
      </w:r>
      <w:r>
        <w:rPr/>
        <w:t>，</w:t>
      </w:r>
      <w:r>
        <w:rPr>
          <w:spacing w:val="-26"/>
        </w:rPr>
        <w:t> </w:t>
      </w:r>
      <w:r>
        <w:rPr>
          <w:spacing w:val="-2"/>
        </w:rPr>
        <w:t>如前期控股项目处于亏损阶段，则按累计归属于茂硕电源的净利润进行计算，只有累计归属茂硕电源的净利润为正值时，方</w:t>
      </w:r>
      <w:r>
        <w:rPr>
          <w:spacing w:val="-66"/>
        </w:rPr>
        <w:t> </w:t>
      </w:r>
      <w:r>
        <w:rPr>
          <w:spacing w:val="-66"/>
        </w:rPr>
      </w:r>
      <w:r>
        <w:rPr/>
        <w:t>可提取；如控股型项目独立</w:t>
      </w:r>
      <w:r>
        <w:rPr>
          <w:rFonts w:ascii="Times New Roman" w:hAnsi="Times New Roman" w:cs="Times New Roman" w:eastAsia="Times New Roman" w:hint="default"/>
        </w:rPr>
        <w:t>IPO</w:t>
      </w:r>
      <w:r>
        <w:rPr/>
        <w:t>或转让退出，茂硕投资享有实现项目退出净收益的</w:t>
      </w:r>
      <w:r>
        <w:rPr>
          <w:rFonts w:ascii="Times New Roman" w:hAnsi="Times New Roman" w:cs="Times New Roman" w:eastAsia="Times New Roman" w:hint="default"/>
        </w:rPr>
        <w:t>20%</w:t>
      </w:r>
      <w:r>
        <w:rPr/>
        <w:t>。</w:t>
      </w:r>
    </w:p>
    <w:p>
      <w:pPr>
        <w:pStyle w:val="BodyText"/>
        <w:spacing w:line="240" w:lineRule="auto" w:before="9"/>
        <w:ind w:left="513" w:right="1130"/>
        <w:jc w:val="left"/>
      </w:pPr>
      <w:r>
        <w:rPr/>
        <w:t>除存在上述承诺事项外，截止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3"/>
        <w:spacing w:line="240" w:lineRule="auto"/>
        <w:ind w:right="1130"/>
        <w:jc w:val="left"/>
        <w:rPr>
          <w:b w:val="0"/>
          <w:bCs w:val="0"/>
        </w:rPr>
      </w:pPr>
      <w:bookmarkStart w:name="2、或有事项" w:id="482"/>
      <w:bookmarkEnd w:id="48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1）资产负债表日存在的重要或有事项" w:id="483"/>
      <w:bookmarkEnd w:id="48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1"/>
        <w:rPr>
          <w:rFonts w:ascii="宋体" w:hAnsi="宋体" w:cs="宋体" w:eastAsia="宋体" w:hint="default"/>
          <w:b/>
          <w:bCs/>
          <w:sz w:val="26"/>
          <w:szCs w:val="26"/>
        </w:rPr>
      </w:pPr>
    </w:p>
    <w:p>
      <w:pPr>
        <w:pStyle w:val="Heading4"/>
        <w:spacing w:line="240" w:lineRule="auto"/>
        <w:ind w:right="1130"/>
        <w:jc w:val="left"/>
        <w:rPr>
          <w:b w:val="0"/>
          <w:bCs w:val="0"/>
        </w:rPr>
      </w:pPr>
      <w:r>
        <w:rPr/>
        <w:t>㈠未决诉讼或仲裁形成的或有事项及其财务影响</w:t>
      </w:r>
      <w:r>
        <w:rPr>
          <w:b w:val="0"/>
          <w:bCs w:val="0"/>
        </w:rPr>
      </w:r>
    </w:p>
    <w:p>
      <w:pPr>
        <w:pStyle w:val="BodyText"/>
        <w:spacing w:line="312" w:lineRule="auto" w:before="76"/>
        <w:ind w:left="154" w:right="1050" w:firstLine="360"/>
        <w:jc w:val="both"/>
      </w:pPr>
      <w:r>
        <w:rPr/>
        <w:t>①本公司之子公司新余茂硕由于工程纠纷事宜被江西通力电业发展有限公司起诉，诉讼涉及金额共计</w:t>
      </w:r>
      <w:r>
        <w:rPr>
          <w:rFonts w:ascii="Times New Roman" w:hAnsi="Times New Roman" w:cs="Times New Roman" w:eastAsia="Times New Roman" w:hint="default"/>
        </w:rPr>
        <w:t>27,475,559.00</w:t>
      </w:r>
      <w:r>
        <w:rPr/>
        <w:t>元。 </w:t>
      </w:r>
      <w:r>
        <w:rPr>
          <w:spacing w:val="-2"/>
        </w:rPr>
        <w:t>由于案件审理过程中，双方诉讼答辩未达成一致，因此主张对工程结果进行司法鉴定。截止目前已完成司法鉴定程序，但尚</w:t>
      </w:r>
      <w:r>
        <w:rPr>
          <w:spacing w:val="-66"/>
        </w:rPr>
        <w:t> </w:t>
      </w:r>
      <w:r>
        <w:rPr>
          <w:spacing w:val="-66"/>
        </w:rPr>
      </w:r>
      <w:r>
        <w:rPr/>
        <w:t>未取得司法鉴定结果。经与律师沟通，新余茂硕胜诉概率较大，因此账面未计提预计负债。截至本财务报表批准报出日止， 此案正在审理过程中。</w:t>
      </w:r>
    </w:p>
    <w:p>
      <w:pPr>
        <w:pStyle w:val="BodyText"/>
        <w:spacing w:line="300" w:lineRule="auto" w:before="22"/>
        <w:ind w:right="1139" w:firstLine="360"/>
        <w:jc w:val="both"/>
      </w:pPr>
      <w:r>
        <w:rPr/>
        <w:t>②本公司因有关软件著作权纠纷事宜被他人起诉，诉讼赔偿金额为人民币</w:t>
      </w:r>
      <w:r>
        <w:rPr>
          <w:rFonts w:ascii="Times New Roman" w:hAnsi="Times New Roman" w:cs="Times New Roman" w:eastAsia="Times New Roman" w:hint="default"/>
        </w:rPr>
        <w:t>100</w:t>
      </w:r>
      <w:r>
        <w:rPr/>
        <w:t>万元。截至本财务报表批准报出日止，此 案正在审理过程中。该项诉讼</w:t>
      </w:r>
      <w:r>
        <w:rPr>
          <w:rFonts w:ascii="Times New Roman" w:hAnsi="Times New Roman" w:cs="Times New Roman" w:eastAsia="Times New Roman" w:hint="default"/>
        </w:rPr>
        <w:t>2017</w:t>
      </w:r>
      <w:r>
        <w:rPr/>
        <w:t>年度已计提预计负债。</w:t>
      </w:r>
    </w:p>
    <w:p>
      <w:pPr>
        <w:spacing w:line="240" w:lineRule="auto" w:before="11"/>
        <w:rPr>
          <w:rFonts w:ascii="宋体" w:hAnsi="宋体" w:cs="宋体" w:eastAsia="宋体" w:hint="default"/>
          <w:sz w:val="24"/>
          <w:szCs w:val="24"/>
        </w:rPr>
      </w:pPr>
    </w:p>
    <w:p>
      <w:pPr>
        <w:spacing w:line="309" w:lineRule="auto" w:before="0"/>
        <w:ind w:left="513" w:right="3913" w:hanging="360"/>
        <w:jc w:val="left"/>
        <w:rPr>
          <w:rFonts w:ascii="宋体" w:hAnsi="宋体" w:cs="宋体" w:eastAsia="宋体" w:hint="default"/>
          <w:sz w:val="18"/>
          <w:szCs w:val="18"/>
        </w:rPr>
      </w:pPr>
      <w:r>
        <w:rPr>
          <w:rFonts w:ascii="宋体" w:hAnsi="宋体" w:cs="宋体" w:eastAsia="宋体" w:hint="default"/>
          <w:b/>
          <w:bCs/>
          <w:sz w:val="18"/>
          <w:szCs w:val="18"/>
        </w:rPr>
        <w:t>㈡对外提供债务担保形成的或有事项及其财务影响</w:t>
      </w:r>
      <w:r>
        <w:rPr>
          <w:rFonts w:ascii="宋体" w:hAnsi="宋体" w:cs="宋体" w:eastAsia="宋体" w:hint="default"/>
          <w:b/>
          <w:bCs/>
          <w:w w:val="99"/>
          <w:sz w:val="18"/>
          <w:szCs w:val="18"/>
        </w:rPr>
        <w:t> </w:t>
      </w:r>
      <w:r>
        <w:rPr>
          <w:rFonts w:ascii="宋体" w:hAnsi="宋体" w:cs="宋体" w:eastAsia="宋体" w:hint="default"/>
          <w:sz w:val="18"/>
          <w:szCs w:val="18"/>
        </w:rPr>
        <w:t>为关联方提供提保详见本报告第十一节、十二、关联方及关联交易之</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日，本公司为非关联方单位提供保证情况如下：单位人民币万元</w:t>
      </w:r>
    </w:p>
    <w:tbl>
      <w:tblPr>
        <w:tblW w:w="0" w:type="auto"/>
        <w:jc w:val="left"/>
        <w:tblInd w:w="146" w:type="dxa"/>
        <w:tblLayout w:type="fixed"/>
        <w:tblCellMar>
          <w:top w:w="0" w:type="dxa"/>
          <w:left w:w="0" w:type="dxa"/>
          <w:bottom w:w="0" w:type="dxa"/>
          <w:right w:w="0" w:type="dxa"/>
        </w:tblCellMar>
        <w:tblLook w:val="01E0"/>
      </w:tblPr>
      <w:tblGrid>
        <w:gridCol w:w="2428"/>
        <w:gridCol w:w="1854"/>
        <w:gridCol w:w="1140"/>
        <w:gridCol w:w="2946"/>
      </w:tblGrid>
      <w:tr>
        <w:trPr>
          <w:trHeight w:val="355" w:hRule="exact"/>
        </w:trPr>
        <w:tc>
          <w:tcPr>
            <w:tcW w:w="2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576" w:right="0"/>
              <w:jc w:val="left"/>
              <w:rPr>
                <w:rFonts w:ascii="宋体" w:hAnsi="宋体" w:cs="宋体" w:eastAsia="宋体" w:hint="default"/>
                <w:sz w:val="18"/>
                <w:szCs w:val="18"/>
              </w:rPr>
            </w:pPr>
            <w:r>
              <w:rPr>
                <w:rFonts w:ascii="宋体" w:hAnsi="宋体" w:cs="宋体" w:eastAsia="宋体" w:hint="default"/>
                <w:sz w:val="18"/>
                <w:szCs w:val="18"/>
              </w:rPr>
              <w:t>被担保单位名称</w:t>
            </w:r>
          </w:p>
        </w:tc>
        <w:tc>
          <w:tcPr>
            <w:tcW w:w="1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left="559" w:right="0"/>
              <w:jc w:val="left"/>
              <w:rPr>
                <w:rFonts w:ascii="宋体" w:hAnsi="宋体" w:cs="宋体" w:eastAsia="宋体" w:hint="default"/>
                <w:sz w:val="18"/>
                <w:szCs w:val="18"/>
              </w:rPr>
            </w:pPr>
            <w:r>
              <w:rPr>
                <w:rFonts w:ascii="宋体" w:hAnsi="宋体" w:cs="宋体" w:eastAsia="宋体" w:hint="default"/>
                <w:sz w:val="18"/>
                <w:szCs w:val="18"/>
              </w:rPr>
              <w:t>担保事项</w:t>
            </w:r>
          </w:p>
        </w:tc>
        <w:tc>
          <w:tcPr>
            <w:tcW w:w="1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4"/>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53" w:hRule="exact"/>
        </w:trPr>
        <w:tc>
          <w:tcPr>
            <w:tcW w:w="2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平定县中天新能源有限公司</w:t>
            </w:r>
          </w:p>
        </w:tc>
        <w:tc>
          <w:tcPr>
            <w:tcW w:w="18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left="29" w:right="0"/>
              <w:jc w:val="left"/>
              <w:rPr>
                <w:rFonts w:ascii="宋体" w:hAnsi="宋体" w:cs="宋体" w:eastAsia="宋体" w:hint="default"/>
                <w:sz w:val="18"/>
                <w:szCs w:val="18"/>
              </w:rPr>
            </w:pPr>
            <w:r>
              <w:rPr>
                <w:rFonts w:ascii="宋体" w:hAnsi="宋体" w:cs="宋体" w:eastAsia="宋体" w:hint="default"/>
                <w:sz w:val="18"/>
                <w:szCs w:val="18"/>
              </w:rPr>
              <w:t>企业流动资金借款</w:t>
            </w: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7"/>
              <w:jc w:val="right"/>
              <w:rPr>
                <w:rFonts w:ascii="Times New Roman" w:hAnsi="Times New Roman" w:cs="Times New Roman" w:eastAsia="Times New Roman" w:hint="default"/>
                <w:sz w:val="18"/>
                <w:szCs w:val="18"/>
              </w:rPr>
            </w:pPr>
            <w:r>
              <w:rPr>
                <w:rFonts w:ascii="Times New Roman"/>
                <w:sz w:val="18"/>
              </w:rPr>
              <w:t>300.00</w:t>
            </w:r>
          </w:p>
        </w:tc>
        <w:tc>
          <w:tcPr>
            <w:tcW w:w="294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52" w:hRule="exact"/>
        </w:trPr>
        <w:tc>
          <w:tcPr>
            <w:tcW w:w="24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12" w:space="0" w:color="000000"/>
              <w:left w:val="single" w:sz="6" w:space="0" w:color="000000"/>
              <w:bottom w:val="single" w:sz="12" w:space="0" w:color="000000"/>
              <w:right w:val="single" w:sz="6" w:space="0" w:color="000000"/>
            </w:tcBorders>
          </w:tcPr>
          <w:p>
            <w:pP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5"/>
              <w:ind w:right="27"/>
              <w:jc w:val="right"/>
              <w:rPr>
                <w:rFonts w:ascii="Times New Roman" w:hAnsi="Times New Roman" w:cs="Times New Roman" w:eastAsia="Times New Roman" w:hint="default"/>
                <w:sz w:val="18"/>
                <w:szCs w:val="18"/>
              </w:rPr>
            </w:pPr>
            <w:r>
              <w:rPr>
                <w:rFonts w:ascii="Times New Roman"/>
                <w:sz w:val="18"/>
              </w:rPr>
              <w:t>300.00</w:t>
            </w:r>
          </w:p>
        </w:tc>
        <w:tc>
          <w:tcPr>
            <w:tcW w:w="294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6"/>
          <w:szCs w:val="6"/>
        </w:rPr>
      </w:pPr>
    </w:p>
    <w:p>
      <w:pPr>
        <w:pStyle w:val="BodyText"/>
        <w:spacing w:line="240" w:lineRule="auto" w:before="44"/>
        <w:ind w:left="514" w:right="1130"/>
        <w:jc w:val="left"/>
      </w:pPr>
      <w:r>
        <w:rPr/>
        <w:t>除存在上述或有事项外，截止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日，本公司无其他应披露未披露的重要或有事项。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3"/>
        <w:spacing w:line="240" w:lineRule="auto"/>
        <w:ind w:right="1130"/>
        <w:jc w:val="left"/>
        <w:rPr>
          <w:b w:val="0"/>
          <w:bCs w:val="0"/>
        </w:rPr>
      </w:pPr>
      <w:bookmarkStart w:name="（2）公司没有需要披露的重要或有事项，也应予以说明" w:id="484"/>
      <w:bookmarkEnd w:id="48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30"/>
        <w:jc w:val="left"/>
      </w:pPr>
      <w:r>
        <w:rPr/>
        <w:t>公司不存在需要披露的重要或有事项。</w:t>
      </w:r>
    </w:p>
    <w:p>
      <w:pPr>
        <w:spacing w:line="240" w:lineRule="auto" w:before="0"/>
        <w:rPr>
          <w:rFonts w:ascii="宋体" w:hAnsi="宋体" w:cs="宋体" w:eastAsia="宋体" w:hint="default"/>
          <w:sz w:val="18"/>
          <w:szCs w:val="18"/>
        </w:rPr>
      </w:pPr>
    </w:p>
    <w:p>
      <w:pPr>
        <w:spacing w:line="499" w:lineRule="auto" w:before="123"/>
        <w:ind w:left="153" w:right="7862" w:firstLine="0"/>
        <w:jc w:val="left"/>
        <w:rPr>
          <w:rFonts w:ascii="宋体" w:hAnsi="宋体" w:cs="宋体" w:eastAsia="宋体" w:hint="default"/>
          <w:sz w:val="20"/>
          <w:szCs w:val="20"/>
        </w:rPr>
      </w:pPr>
      <w:bookmarkStart w:name="3、其他" w:id="485"/>
      <w:bookmarkEnd w:id="485"/>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十五、资产负债表日后事项" w:id="486"/>
      <w:bookmarkEnd w:id="486"/>
      <w:r>
        <w:rPr>
          <w:rFonts w:ascii="宋体" w:hAnsi="宋体" w:cs="宋体" w:eastAsia="宋体" w:hint="default"/>
          <w:b/>
          <w:bCs/>
          <w:w w:val="99"/>
          <w:sz w:val="20"/>
          <w:szCs w:val="20"/>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87"/>
      <w:bookmarkEnd w:id="487"/>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、重要的非调整事项</w:t>
      </w:r>
      <w:r>
        <w:rPr>
          <w:rFonts w:ascii="宋体" w:hAnsi="宋体" w:cs="宋体" w:eastAsia="宋体" w:hint="default"/>
          <w:sz w:val="20"/>
          <w:szCs w:val="20"/>
        </w:rPr>
      </w:r>
    </w:p>
    <w:p>
      <w:pPr>
        <w:pStyle w:val="BodyText"/>
        <w:spacing w:line="240" w:lineRule="auto" w:before="11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重大诉讼、仲裁、承诺</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7"/>
              <w:jc w:val="center"/>
              <w:rPr>
                <w:rFonts w:ascii="宋体" w:hAnsi="宋体" w:cs="宋体" w:eastAsia="宋体" w:hint="default"/>
                <w:sz w:val="18"/>
                <w:szCs w:val="18"/>
              </w:rPr>
            </w:pPr>
            <w:r>
              <w:rPr>
                <w:rFonts w:ascii="宋体" w:hAnsi="宋体" w:cs="宋体" w:eastAsia="宋体" w:hint="default"/>
                <w:sz w:val="18"/>
                <w:szCs w:val="18"/>
              </w:rPr>
              <w:t>本公司之子公司新余茂硕因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317" w:hRule="exact"/>
        </w:trPr>
        <w:tc>
          <w:tcPr>
            <w:tcW w:w="2494" w:type="dxa"/>
            <w:vMerge w:val="restart"/>
            <w:tcBorders>
              <w:top w:val="single" w:sz="4" w:space="0" w:color="000000"/>
              <w:left w:val="single" w:sz="4" w:space="0" w:color="000000"/>
              <w:right w:val="single" w:sz="4" w:space="0" w:color="000000"/>
            </w:tcBorders>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工程纠纷事宜向深圳市仲裁</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委员会申请仲裁。请求裁决</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江西通力电业发展有限公司</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赔偿相关损失预计为</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23,904,982.00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元。此案目前</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08" w:hRule="exact"/>
        </w:trPr>
        <w:tc>
          <w:tcPr>
            <w:tcW w:w="2494" w:type="dxa"/>
            <w:vMerge/>
            <w:tcBorders>
              <w:left w:val="single" w:sz="4" w:space="0" w:color="000000"/>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已由深圳市仲裁委员会受</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57" w:hRule="exact"/>
        </w:trPr>
        <w:tc>
          <w:tcPr>
            <w:tcW w:w="2494" w:type="dxa"/>
            <w:vMerge/>
            <w:tcBorders>
              <w:left w:val="single" w:sz="4" w:space="0" w:color="000000"/>
              <w:bottom w:val="single" w:sz="4" w:space="0" w:color="000000"/>
              <w:right w:val="single" w:sz="4" w:space="0" w:color="000000"/>
            </w:tcBorders>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利润分配情况" w:id="488"/>
      <w:bookmarkEnd w:id="48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销售退回" w:id="489"/>
      <w:bookmarkEnd w:id="48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4、其他资产负债表日后事项说明" w:id="490"/>
      <w:bookmarkEnd w:id="49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514" w:right="113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月以挂牌价</w:t>
      </w:r>
      <w:r>
        <w:rPr>
          <w:rFonts w:ascii="Times New Roman" w:hAnsi="Times New Roman" w:cs="Times New Roman" w:eastAsia="Times New Roman" w:hint="default"/>
        </w:rPr>
        <w:t>7,076.67</w:t>
      </w:r>
      <w:r>
        <w:rPr/>
        <w:t>万元购买惠州茂硕少数股东</w:t>
      </w:r>
      <w:r>
        <w:rPr>
          <w:rFonts w:ascii="Times New Roman" w:hAnsi="Times New Roman" w:cs="Times New Roman" w:eastAsia="Times New Roman" w:hint="default"/>
        </w:rPr>
        <w:t>10%</w:t>
      </w:r>
      <w:r>
        <w:rPr/>
        <w:t>的股权，惠州茂硕成为茂硕电源公司全资子公司。 </w:t>
      </w:r>
      <w:r>
        <w:rPr>
          <w:spacing w:val="-2"/>
        </w:rPr>
        <w:t>除存在上述资产负债表日后事项外，截至财务报告批准报出日止，本公司无其他应披露未披露的重大资产负债表日后事</w:t>
      </w:r>
    </w:p>
    <w:p>
      <w:pPr>
        <w:pStyle w:val="BodyText"/>
        <w:spacing w:line="240" w:lineRule="auto" w:before="31"/>
        <w:ind w:left="154" w:right="1130"/>
        <w:jc w:val="left"/>
      </w:pPr>
      <w:r>
        <w:rPr/>
        <w:t>项的。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left="154" w:right="1130"/>
        <w:jc w:val="left"/>
        <w:rPr>
          <w:b w:val="0"/>
          <w:bCs w:val="0"/>
        </w:rPr>
      </w:pPr>
      <w:bookmarkStart w:name="十六、其他重要事项" w:id="491"/>
      <w:bookmarkEnd w:id="491"/>
      <w:r>
        <w:rPr>
          <w:b w:val="0"/>
          <w:bCs w:val="0"/>
        </w:rPr>
      </w:r>
      <w:r>
        <w:rPr/>
        <w:t>十六、其他重要事项</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前期会计差错更正" w:id="492"/>
      <w:bookmarkEnd w:id="49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1）追溯重述法" w:id="493"/>
      <w:bookmarkEnd w:id="4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9"/>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未来适用法" w:id="494"/>
      <w:bookmarkEnd w:id="4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b/>
          <w:bCs/>
          <w:sz w:val="25"/>
          <w:szCs w:val="25"/>
        </w:rPr>
      </w:pPr>
    </w:p>
    <w:p>
      <w:pPr>
        <w:pStyle w:val="Heading3"/>
        <w:spacing w:line="240" w:lineRule="auto" w:before="38"/>
        <w:ind w:right="1130"/>
        <w:jc w:val="left"/>
        <w:rPr>
          <w:b w:val="0"/>
          <w:bCs w:val="0"/>
        </w:rPr>
      </w:pPr>
      <w:bookmarkStart w:name="2、债务重组" w:id="495"/>
      <w:bookmarkEnd w:id="4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3、资产置换" w:id="496"/>
      <w:bookmarkEnd w:id="4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非货币性资产交换" w:id="497"/>
      <w:bookmarkEnd w:id="4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2）其他资产置换" w:id="498"/>
      <w:bookmarkEnd w:id="4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30"/>
        <w:jc w:val="left"/>
        <w:rPr>
          <w:b w:val="0"/>
          <w:bCs w:val="0"/>
        </w:rPr>
      </w:pPr>
      <w:bookmarkStart w:name="（1）报告分部的确定依据与会计政策" w:id="502"/>
      <w:bookmarkEnd w:id="5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130" w:firstLine="360"/>
        <w:jc w:val="left"/>
      </w:pPr>
      <w:r>
        <w:rPr>
          <w:spacing w:val="-2"/>
        </w:rPr>
        <w:t>本公司以内部组织结构、管理要求、内部报告制度为依据确定经营分部。本公司的经营分部是指同时满足下列条件的组</w:t>
      </w:r>
      <w:r>
        <w:rPr/>
        <w:t> 成部分：</w:t>
      </w:r>
    </w:p>
    <w:p>
      <w:pPr>
        <w:pStyle w:val="BodyText"/>
        <w:spacing w:line="240" w:lineRule="auto" w:before="19"/>
        <w:ind w:left="444" w:right="1130"/>
        <w:jc w:val="left"/>
      </w:pPr>
      <w:r>
        <w:rPr/>
        <w:t>①该组成部分能够在日常活动中产生收入、发生费用；</w:t>
      </w:r>
    </w:p>
    <w:p>
      <w:pPr>
        <w:pStyle w:val="BodyText"/>
        <w:spacing w:line="240" w:lineRule="auto" w:before="76"/>
        <w:ind w:left="444" w:right="1130"/>
        <w:jc w:val="left"/>
      </w:pPr>
      <w:r>
        <w:rPr/>
        <w:t>②管理层能够定期评价该组成部分的经营成果，以决定向其配置资源、评价其业绩；</w:t>
      </w:r>
    </w:p>
    <w:p>
      <w:pPr>
        <w:pStyle w:val="BodyText"/>
        <w:spacing w:line="316" w:lineRule="auto" w:before="76"/>
        <w:ind w:left="513" w:right="3373" w:hanging="70"/>
        <w:jc w:val="left"/>
      </w:pPr>
      <w:r>
        <w:rPr/>
        <w:t>③能够取得该组成部分的财务状况、经营成果和现金流量等有关会计信息。 本公司以经营分部为基础确定报告分部，满足下列条件之一的经营分部确定为报告分部：</w:t>
      </w:r>
    </w:p>
    <w:p>
      <w:pPr>
        <w:pStyle w:val="BodyText"/>
        <w:spacing w:line="240" w:lineRule="auto" w:before="19"/>
        <w:ind w:left="444" w:right="1130"/>
        <w:jc w:val="left"/>
      </w:pPr>
      <w:r>
        <w:rPr/>
        <w:t>①该经营分部的分部收入占所有分部收入合计的</w:t>
      </w:r>
      <w:r>
        <w:rPr>
          <w:rFonts w:ascii="Times New Roman" w:hAnsi="Times New Roman" w:cs="Times New Roman" w:eastAsia="Times New Roman" w:hint="default"/>
        </w:rPr>
        <w:t>10%</w:t>
      </w:r>
      <w:r>
        <w:rPr/>
        <w:t>或者以上；</w:t>
      </w:r>
    </w:p>
    <w:p>
      <w:pPr>
        <w:pStyle w:val="BodyText"/>
        <w:spacing w:line="316" w:lineRule="auto" w:before="63"/>
        <w:ind w:right="1130" w:firstLine="290"/>
        <w:jc w:val="left"/>
      </w:pPr>
      <w:r>
        <w:rPr>
          <w:spacing w:val="-1"/>
        </w:rPr>
        <w:t>②该分部的分部利润（亏损）的绝对额，占所有盈利分部利润合计额或者所有亏损分部亏损合计额的绝对额两者中较大</w:t>
      </w:r>
      <w:r>
        <w:rPr/>
        <w:t> 者的</w:t>
      </w:r>
      <w:r>
        <w:rPr>
          <w:rFonts w:ascii="Times New Roman" w:hAnsi="Times New Roman" w:cs="Times New Roman" w:eastAsia="Times New Roman" w:hint="default"/>
        </w:rPr>
        <w:t>10%</w:t>
      </w:r>
      <w:r>
        <w:rPr/>
        <w:t>或者以上。</w:t>
      </w:r>
    </w:p>
    <w:p>
      <w:pPr>
        <w:pStyle w:val="BodyText"/>
        <w:spacing w:line="300" w:lineRule="auto"/>
        <w:ind w:right="1116" w:firstLine="360"/>
        <w:jc w:val="left"/>
      </w:pPr>
      <w:r>
        <w:rPr>
          <w:spacing w:val="-1"/>
        </w:rPr>
        <w:t>按上述会计政策确定的报告分部的经营分部的对外交易收入合计额占合并总收入的比重未达到</w:t>
      </w:r>
      <w:r>
        <w:rPr>
          <w:rFonts w:ascii="Times New Roman" w:hAnsi="Times New Roman" w:cs="Times New Roman" w:eastAsia="Times New Roman" w:hint="default"/>
          <w:spacing w:val="-1"/>
        </w:rPr>
        <w:t>75%</w:t>
      </w:r>
      <w:r>
        <w:rPr>
          <w:spacing w:val="-1"/>
        </w:rPr>
        <w:t>时，增加报告分部的</w:t>
      </w:r>
      <w:r>
        <w:rPr/>
        <w:t> 数量，按下述规定将其他未作为报告分部的经营分部纳入报告分部的范围，直到该比重达到</w:t>
      </w:r>
      <w:r>
        <w:rPr>
          <w:rFonts w:ascii="Times New Roman" w:hAnsi="Times New Roman" w:cs="Times New Roman" w:eastAsia="Times New Roman" w:hint="default"/>
        </w:rPr>
        <w:t>75%</w:t>
      </w:r>
      <w:r>
        <w:rPr/>
        <w:t>：</w:t>
      </w:r>
    </w:p>
    <w:p>
      <w:pPr>
        <w:pStyle w:val="BodyText"/>
        <w:spacing w:line="240" w:lineRule="auto" w:before="13"/>
        <w:ind w:left="444" w:right="1130"/>
        <w:jc w:val="left"/>
      </w:pPr>
      <w:r>
        <w:rPr/>
        <w:t>①将管理层认为披露该经营分部信息对会计信息使用者有用的经营分部确定为报告分部；</w:t>
      </w:r>
    </w:p>
    <w:p>
      <w:pPr>
        <w:pStyle w:val="BodyText"/>
        <w:spacing w:line="316" w:lineRule="auto" w:before="76"/>
        <w:ind w:right="1130" w:firstLine="290"/>
        <w:jc w:val="left"/>
      </w:pPr>
      <w:r>
        <w:rPr>
          <w:spacing w:val="-1"/>
        </w:rPr>
        <w:t>②将该经营分部与一个或一个以上的具有相似经济特征、满足经营分部合并条件的其他经营分部合并，作为一个报告分</w:t>
      </w:r>
      <w:r>
        <w:rPr/>
        <w:t> 部。</w:t>
      </w:r>
    </w:p>
    <w:p>
      <w:pPr>
        <w:pStyle w:val="BodyText"/>
        <w:spacing w:line="240" w:lineRule="auto" w:before="19"/>
        <w:ind w:left="444" w:right="1130"/>
        <w:jc w:val="left"/>
      </w:pPr>
      <w:r>
        <w:rPr/>
        <w:t>分部间转移价格参照市场价格确定，与各分部共同使用的资产、相关的费用按照收入比例在不同的分部之间分配。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Heading3"/>
        <w:spacing w:line="240" w:lineRule="auto"/>
        <w:ind w:right="1130"/>
        <w:jc w:val="left"/>
        <w:rPr>
          <w:b w:val="0"/>
          <w:bCs w:val="0"/>
        </w:rPr>
      </w:pPr>
      <w:bookmarkStart w:name="（2）报告分部的财务信息" w:id="503"/>
      <w:bookmarkEnd w:id="5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9"/>
        <w:gridCol w:w="1368"/>
        <w:gridCol w:w="1366"/>
        <w:gridCol w:w="1367"/>
        <w:gridCol w:w="1367"/>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电源</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电路板</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逆变器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116,597.51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31,031.88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163,479.70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96,542.73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25,517.07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132,063.33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197,446.84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40,636.82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12,262.54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-45,554.73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204,791.47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102,645.88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31,461.99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11,403.35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-30,970.83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114,540.39</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公司无报告分部的，或者不能披露各报告分部的资产总额和负债总额的，应说明原因" w:id="504"/>
      <w:bookmarkEnd w:id="5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30"/>
        <w:jc w:val="left"/>
        <w:rPr>
          <w:b w:val="0"/>
          <w:bCs w:val="0"/>
        </w:rPr>
      </w:pPr>
      <w:bookmarkStart w:name="（4）其他说明" w:id="505"/>
      <w:bookmarkEnd w:id="50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7、其他对投资者决策有影响的重要交易和事项" w:id="506"/>
      <w:bookmarkEnd w:id="50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t>茂硕电源公司正在筹划非公开发行公司债券，公司于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日收到深圳证券交易所关于茂硕电源科技股份有限公司</w:t>
      </w:r>
    </w:p>
    <w:p>
      <w:pPr>
        <w:pStyle w:val="BodyText"/>
        <w:spacing w:line="240" w:lineRule="auto" w:before="63"/>
        <w:ind w:right="1130"/>
        <w:jc w:val="left"/>
      </w:pPr>
      <w:r>
        <w:rPr>
          <w:rFonts w:ascii="Times New Roman" w:hAnsi="Times New Roman" w:cs="Times New Roman" w:eastAsia="Times New Roman" w:hint="default"/>
        </w:rPr>
        <w:t>2017</w:t>
      </w:r>
      <w:r>
        <w:rPr/>
        <w:t>年非公开发行公司债券符合深交所转让条件的无异议函。目前，该事项正在进行中。</w:t>
      </w:r>
    </w:p>
    <w:p>
      <w:pPr>
        <w:spacing w:line="240" w:lineRule="auto" w:before="8"/>
        <w:rPr>
          <w:rFonts w:ascii="宋体" w:hAnsi="宋体" w:cs="宋体" w:eastAsia="宋体" w:hint="default"/>
          <w:sz w:val="26"/>
          <w:szCs w:val="26"/>
        </w:rPr>
      </w:pPr>
    </w:p>
    <w:p>
      <w:pPr>
        <w:spacing w:line="499" w:lineRule="auto" w:before="0"/>
        <w:ind w:left="153" w:right="6793" w:firstLine="0"/>
        <w:jc w:val="left"/>
        <w:rPr>
          <w:rFonts w:ascii="宋体" w:hAnsi="宋体" w:cs="宋体" w:eastAsia="宋体" w:hint="default"/>
          <w:sz w:val="20"/>
          <w:szCs w:val="20"/>
        </w:rPr>
      </w:pPr>
      <w:bookmarkStart w:name="8、其他" w:id="507"/>
      <w:bookmarkEnd w:id="507"/>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、其他</w:t>
      </w:r>
      <w:r>
        <w:rPr>
          <w:rFonts w:ascii="宋体" w:hAnsi="宋体" w:cs="宋体" w:eastAsia="宋体" w:hint="default"/>
          <w:b/>
          <w:bCs/>
          <w:w w:val="99"/>
          <w:sz w:val="20"/>
          <w:szCs w:val="20"/>
        </w:rPr>
        <w:t> </w:t>
      </w:r>
      <w:bookmarkStart w:name="十七、母公司财务报表主要项目注释" w:id="508"/>
      <w:bookmarkEnd w:id="508"/>
      <w:r>
        <w:rPr>
          <w:rFonts w:ascii="宋体" w:hAnsi="宋体" w:cs="宋体" w:eastAsia="宋体" w:hint="default"/>
          <w:b/>
          <w:bCs/>
          <w:w w:val="99"/>
          <w:sz w:val="20"/>
          <w:szCs w:val="20"/>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9"/>
      <w:bookmarkEnd w:id="50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pStyle w:val="Heading3"/>
        <w:spacing w:line="240" w:lineRule="auto" w:before="97"/>
        <w:ind w:right="1130"/>
        <w:jc w:val="left"/>
        <w:rPr>
          <w:b w:val="0"/>
          <w:bCs w:val="0"/>
        </w:rPr>
      </w:pPr>
      <w:bookmarkStart w:name="（1）应收账款分类披露" w:id="510"/>
      <w:bookmarkEnd w:id="51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15,993,0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26.09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14,355,7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40.97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1,637,285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11,773,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684.15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9,993,846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1,779,837.3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314,129,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224.72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34,062,1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280,067,0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284,327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,960.43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28,284,85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256,043,10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7.32</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330,122,</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250.81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48,417,9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10.20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14.67%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281,704,3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40.61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296,101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,644.58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38,278,69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257,822,94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4.69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01"/>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Brilliant info</w:t>
            </w:r>
            <w:r>
              <w:rPr>
                <w:rFonts w:ascii="Times New Roman"/>
                <w:spacing w:val="-3"/>
                <w:sz w:val="18"/>
              </w:rPr>
              <w:t> </w:t>
            </w:r>
            <w:r>
              <w:rPr>
                <w:rFonts w:ascii="Times New Roman"/>
                <w:sz w:val="18"/>
              </w:rPr>
              <w:t>Corp</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8,186,425.59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6,549,140.47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6"/>
              <w:jc w:val="left"/>
              <w:rPr>
                <w:rFonts w:ascii="Times New Roman" w:hAnsi="Times New Roman" w:cs="Times New Roman" w:eastAsia="Times New Roman" w:hint="default"/>
                <w:sz w:val="18"/>
                <w:szCs w:val="18"/>
              </w:rPr>
            </w:pPr>
            <w:r>
              <w:rPr>
                <w:rFonts w:ascii="Times New Roman"/>
                <w:sz w:val="18"/>
              </w:rPr>
              <w:t>CLOSED JOIN</w:t>
            </w:r>
            <w:r>
              <w:rPr>
                <w:rFonts w:ascii="Times New Roman"/>
                <w:spacing w:val="-1"/>
                <w:sz w:val="18"/>
              </w:rPr>
              <w:t> </w:t>
            </w:r>
            <w:r>
              <w:rPr>
                <w:rFonts w:ascii="Times New Roman"/>
                <w:sz w:val="18"/>
              </w:rPr>
              <w:t>STOCK</w:t>
            </w:r>
            <w:r>
              <w:rPr>
                <w:rFonts w:ascii="Times New Roman"/>
                <w:w w:val="99"/>
                <w:sz w:val="18"/>
              </w:rPr>
              <w:t> </w:t>
            </w:r>
            <w:r>
              <w:rPr>
                <w:rFonts w:ascii="Times New Roman"/>
                <w:sz w:val="18"/>
              </w:rPr>
              <w:t>COMPANY</w:t>
            </w:r>
            <w:r>
              <w:rPr>
                <w:rFonts w:ascii="Times New Roman"/>
                <w:spacing w:val="-3"/>
                <w:sz w:val="18"/>
              </w:rPr>
              <w:t> </w:t>
            </w:r>
            <w:r>
              <w:rPr>
                <w:rFonts w:ascii="Times New Roman"/>
                <w:sz w:val="18"/>
              </w:rPr>
              <w:t>OPTOGAN</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2,729,610.04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2,729,610.04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湖北诺亚光电科技有限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2,076,456.50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2,076,456.50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福建省能宝光电集团有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1,962,009.87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1,962,009.87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深圳市中景科创光电科 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1,038,524.09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1,038,524.09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按照预计不可收回比例 计提</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15,993,026.09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14,355,740.97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198,678,738.05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30,040,402.83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1,587,789.29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228,719,140.88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1,587,789.29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7,427,770.46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742,777.05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4,864,990.50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972,998.10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6,665,631.80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3,332,815.90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27,425,788.89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27,425,788.89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275,103,322.53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34,062,169.23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1"/>
          <w:szCs w:val="21"/>
        </w:rPr>
      </w:pPr>
    </w:p>
    <w:p>
      <w:pPr>
        <w:pStyle w:val="Heading3"/>
        <w:spacing w:line="240" w:lineRule="auto"/>
        <w:ind w:right="1130"/>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right="-13"/>
        <w:jc w:val="left"/>
      </w:pPr>
      <w:r>
        <w:rPr/>
        <w:t>本期计提坏账准备金额</w:t>
      </w:r>
      <w:r>
        <w:rPr>
          <w:spacing w:val="-47"/>
        </w:rPr>
        <w:t> </w:t>
      </w:r>
      <w:r>
        <w:rPr>
          <w:rFonts w:ascii="Times New Roman" w:hAnsi="Times New Roman" w:cs="Times New Roman" w:eastAsia="Times New Roman" w:hint="default"/>
        </w:rPr>
        <w:t>12,806,854.13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3）本期实际核销的应收账款情况" w:id="512"/>
      <w:bookmarkEnd w:id="51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2,667,643.82</w:t>
            </w:r>
          </w:p>
        </w:tc>
      </w:tr>
    </w:tbl>
    <w:p>
      <w:pPr>
        <w:pStyle w:val="BodyText"/>
        <w:spacing w:line="240" w:lineRule="auto" w:before="51"/>
        <w:ind w:left="154" w:right="113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Altech</w:t>
            </w:r>
            <w:r>
              <w:rPr>
                <w:rFonts w:ascii="Times New Roman"/>
                <w:spacing w:val="-4"/>
                <w:sz w:val="18"/>
              </w:rPr>
              <w:t> </w:t>
            </w:r>
            <w:r>
              <w:rPr>
                <w:rFonts w:ascii="Times New Roman"/>
                <w:sz w:val="18"/>
              </w:rPr>
              <w:t>UEC(Pty)LTD</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1,307,581.07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4"/>
              <w:jc w:val="left"/>
              <w:rPr>
                <w:rFonts w:ascii="Times New Roman" w:hAnsi="Times New Roman" w:cs="Times New Roman" w:eastAsia="Times New Roman" w:hint="default"/>
                <w:sz w:val="18"/>
                <w:szCs w:val="18"/>
              </w:rPr>
            </w:pPr>
            <w:r>
              <w:rPr>
                <w:rFonts w:ascii="Times New Roman"/>
                <w:sz w:val="18"/>
              </w:rPr>
              <w:t>CODED</w:t>
            </w:r>
            <w:r>
              <w:rPr>
                <w:rFonts w:ascii="Times New Roman"/>
                <w:w w:val="99"/>
                <w:sz w:val="18"/>
              </w:rPr>
              <w:t> </w:t>
            </w:r>
            <w:r>
              <w:rPr>
                <w:rFonts w:ascii="Times New Roman"/>
                <w:sz w:val="18"/>
              </w:rPr>
              <w:t>INSTRUCTION</w:t>
            </w:r>
            <w:r>
              <w:rPr>
                <w:rFonts w:ascii="Times New Roman"/>
                <w:w w:val="99"/>
                <w:sz w:val="18"/>
              </w:rPr>
              <w:t> </w:t>
            </w:r>
            <w:r>
              <w:rPr>
                <w:rFonts w:ascii="Times New Roman"/>
                <w:sz w:val="18"/>
              </w:rPr>
              <w:t>SECURITY</w:t>
            </w:r>
            <w:r>
              <w:rPr>
                <w:rFonts w:ascii="Times New Roman"/>
                <w:spacing w:val="-2"/>
                <w:sz w:val="18"/>
              </w:rPr>
              <w:t> </w:t>
            </w:r>
            <w:r>
              <w:rPr>
                <w:rFonts w:ascii="Times New Roman"/>
                <w:sz w:val="18"/>
              </w:rPr>
              <w:t>CORP</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905,844.70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2,213,425.77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3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24"/>
        <w:ind w:left="154" w:right="1130"/>
        <w:jc w:val="left"/>
        <w:rPr>
          <w:b w:val="0"/>
          <w:bCs w:val="0"/>
        </w:rPr>
      </w:pPr>
      <w:bookmarkStart w:name="（4）按欠款方归集的期末余额前五名的应收账款情况" w:id="513"/>
      <w:bookmarkEnd w:id="51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154" w:right="1152"/>
        <w:jc w:val="left"/>
      </w:pPr>
      <w:r>
        <w:rPr/>
        <w:t>本公司年末余额前五名应收账款金额为</w:t>
      </w:r>
      <w:r>
        <w:rPr>
          <w:rFonts w:ascii="Times New Roman" w:hAnsi="Times New Roman" w:cs="Times New Roman" w:eastAsia="Times New Roman" w:hint="default"/>
        </w:rPr>
        <w:t>132,137,246.22</w:t>
      </w:r>
      <w:r>
        <w:rPr/>
        <w:t>元，占应收账款年末余额合计数的比例为</w:t>
      </w:r>
      <w:r>
        <w:rPr>
          <w:rFonts w:ascii="Times New Roman" w:hAnsi="Times New Roman" w:cs="Times New Roman" w:eastAsia="Times New Roman" w:hint="default"/>
        </w:rPr>
        <w:t>40.03%</w:t>
      </w:r>
      <w:r>
        <w:rPr/>
        <w:t>，相应计提的坏账准 备年末余额汇总金额为</w:t>
      </w:r>
      <w:r>
        <w:rPr>
          <w:rFonts w:ascii="Times New Roman" w:hAnsi="Times New Roman" w:cs="Times New Roman" w:eastAsia="Times New Roman" w:hint="default"/>
        </w:rPr>
        <w:t>3,842,496.16</w:t>
      </w:r>
      <w:r>
        <w:rPr/>
        <w:t>元。</w:t>
      </w:r>
    </w:p>
    <w:p>
      <w:pPr>
        <w:spacing w:line="240" w:lineRule="auto" w:before="11"/>
        <w:rPr>
          <w:rFonts w:ascii="宋体" w:hAnsi="宋体" w:cs="宋体" w:eastAsia="宋体" w:hint="default"/>
          <w:sz w:val="22"/>
          <w:szCs w:val="22"/>
        </w:rPr>
      </w:pPr>
    </w:p>
    <w:p>
      <w:pPr>
        <w:pStyle w:val="Heading3"/>
        <w:spacing w:line="240" w:lineRule="auto"/>
        <w:ind w:left="154" w:right="1130"/>
        <w:jc w:val="left"/>
        <w:rPr>
          <w:b w:val="0"/>
          <w:bCs w:val="0"/>
        </w:rPr>
      </w:pPr>
      <w:bookmarkStart w:name="（5）因金融资产转移而终止确认的应收账款" w:id="514"/>
      <w:bookmarkEnd w:id="51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54" w:right="1130"/>
        <w:jc w:val="left"/>
      </w:pPr>
      <w:r>
        <w:rPr/>
        <w:t>本报告期无因金融资产转移而终止确认的应收款项。</w:t>
      </w:r>
    </w:p>
    <w:p>
      <w:pPr>
        <w:spacing w:line="240" w:lineRule="auto" w:before="0"/>
        <w:rPr>
          <w:rFonts w:ascii="宋体" w:hAnsi="宋体" w:cs="宋体" w:eastAsia="宋体" w:hint="default"/>
          <w:sz w:val="18"/>
          <w:szCs w:val="18"/>
        </w:rPr>
      </w:pPr>
    </w:p>
    <w:p>
      <w:pPr>
        <w:pStyle w:val="Heading3"/>
        <w:spacing w:line="240" w:lineRule="auto" w:before="126"/>
        <w:ind w:left="154" w:right="1130"/>
        <w:jc w:val="left"/>
        <w:rPr>
          <w:b w:val="0"/>
          <w:bCs w:val="0"/>
        </w:rPr>
      </w:pPr>
      <w:bookmarkStart w:name="（6）转移应收账款且继续涉入形成的资产、负债金额" w:id="515"/>
      <w:bookmarkEnd w:id="51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Heading4"/>
        <w:spacing w:line="676" w:lineRule="auto"/>
        <w:ind w:left="154" w:right="5533"/>
        <w:jc w:val="left"/>
        <w:rPr>
          <w:rFonts w:ascii="宋体" w:hAnsi="宋体" w:cs="宋体" w:eastAsia="宋体" w:hint="default"/>
          <w:b w:val="0"/>
          <w:bCs w:val="0"/>
        </w:rPr>
      </w:pPr>
      <w:r>
        <w:rPr>
          <w:w w:val="95"/>
        </w:rPr>
        <w:t>本报告期无因转移应收款项且继续涉入而形成的资产、负债。</w:t>
      </w:r>
      <w:r>
        <w:rPr>
          <w:spacing w:val="66"/>
          <w:w w:val="95"/>
        </w:rPr>
        <w:t> </w:t>
      </w:r>
      <w:r>
        <w:rPr>
          <w:spacing w:val="66"/>
          <w:w w:val="95"/>
        </w:rPr>
      </w:r>
      <w:r>
        <w:rPr>
          <w:rFonts w:ascii="宋体" w:hAnsi="宋体" w:cs="宋体" w:eastAsia="宋体" w:hint="default"/>
          <w:b w:val="0"/>
          <w:bCs w:val="0"/>
        </w:rPr>
        <w:t>其他说明：</w:t>
      </w:r>
    </w:p>
    <w:p>
      <w:pPr>
        <w:pStyle w:val="Heading3"/>
        <w:spacing w:line="240" w:lineRule="auto" w:before="31"/>
        <w:ind w:left="154" w:right="1130"/>
        <w:jc w:val="left"/>
        <w:rPr>
          <w:b w:val="0"/>
          <w:bCs w:val="0"/>
        </w:rPr>
      </w:pPr>
      <w:bookmarkStart w:name="2、其他应收款" w:id="516"/>
      <w:bookmarkEnd w:id="51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其他应收款分类披露" w:id="517"/>
      <w:bookmarkEnd w:id="51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1,500,00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3" w:right="0"/>
              <w:jc w:val="left"/>
              <w:rPr>
                <w:rFonts w:ascii="Times New Roman" w:hAnsi="Times New Roman" w:cs="Times New Roman" w:eastAsia="Times New Roman" w:hint="default"/>
                <w:sz w:val="18"/>
                <w:szCs w:val="18"/>
              </w:rPr>
            </w:pPr>
            <w:r>
              <w:rPr>
                <w:rFonts w:ascii="Times New Roman"/>
                <w:sz w:val="18"/>
              </w:rPr>
              <w:t>0.39%</w:t>
            </w:r>
          </w:p>
        </w:tc>
        <w:tc>
          <w:tcPr>
            <w:tcW w:w="77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1,500,000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378,713,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245.66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650,149.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378,063,0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311,173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731,035.0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310,442,29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9.32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748,572.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748,572.8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380,961,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818.52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650,149.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380,311,6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69.50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311,173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,334.34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731,035.0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310,442,29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深圳市桑泰实业发展有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押金，无坏账风险</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浪潮软件集团有限公司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保证金，无坏账风险</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6"/>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23,768,006.38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152,646.72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7,632.34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23,920,653.10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7,632.34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42,226.20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8,445.24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634,061.44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634,061.44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24,597,040.74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650,149.02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1984"/>
        <w:gridCol w:w="1985"/>
        <w:gridCol w:w="1424"/>
      </w:tblGrid>
      <w:tr>
        <w:trPr>
          <w:trHeight w:val="355" w:hRule="exact"/>
        </w:trPr>
        <w:tc>
          <w:tcPr>
            <w:tcW w:w="294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2944" w:type="dxa"/>
            <w:vMerge/>
            <w:tcBorders>
              <w:left w:val="single" w:sz="6" w:space="0" w:color="000000"/>
              <w:bottom w:val="single" w:sz="12" w:space="0" w:color="000000"/>
              <w:right w:val="single" w:sz="6" w:space="0" w:color="000000"/>
            </w:tcBorders>
          </w:tcPr>
          <w:p>
            <w:pP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3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354,116,204.92</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4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不计提坏账</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354,116,204.92</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42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8"/>
        <w:ind w:left="154" w:right="1130"/>
        <w:jc w:val="left"/>
        <w:rPr>
          <w:b w:val="0"/>
          <w:bCs w:val="0"/>
        </w:rPr>
      </w:pPr>
      <w:bookmarkStart w:name="（2）本期计提、收回或转回的坏账准备情况" w:id="518"/>
      <w:bookmarkEnd w:id="5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80,886.00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229" w:space="2601"/>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本期实际核销的其他应收款情况" w:id="519"/>
      <w:bookmarkEnd w:id="51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13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357" w:lineRule="auto" w:before="52"/>
        <w:ind w:left="154" w:right="7861" w:firstLine="0"/>
        <w:jc w:val="left"/>
        <w:rPr>
          <w:rFonts w:ascii="宋体" w:hAnsi="宋体" w:cs="宋体" w:eastAsia="宋体" w:hint="default"/>
          <w:sz w:val="18"/>
          <w:szCs w:val="18"/>
        </w:rPr>
      </w:pPr>
      <w:r>
        <w:rPr>
          <w:rFonts w:ascii="宋体" w:hAnsi="宋体" w:cs="宋体" w:eastAsia="宋体" w:hint="default"/>
          <w:sz w:val="18"/>
          <w:szCs w:val="18"/>
        </w:rPr>
        <w:t>其他应收款核销说明： </w:t>
      </w:r>
      <w:r>
        <w:rPr>
          <w:rFonts w:ascii="宋体" w:hAnsi="宋体" w:cs="宋体" w:eastAsia="宋体" w:hint="default"/>
          <w:b/>
          <w:bCs/>
          <w:sz w:val="18"/>
          <w:szCs w:val="18"/>
        </w:rPr>
        <w:t>本报告期无实际核销的其他应收款。</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6"/>
          <w:szCs w:val="26"/>
        </w:rPr>
      </w:pPr>
    </w:p>
    <w:p>
      <w:pPr>
        <w:pStyle w:val="Heading3"/>
        <w:spacing w:line="240" w:lineRule="auto"/>
        <w:ind w:right="1130"/>
        <w:jc w:val="left"/>
        <w:rPr>
          <w:b w:val="0"/>
          <w:bCs w:val="0"/>
        </w:rPr>
      </w:pPr>
      <w:bookmarkStart w:name="（4）其他应收款按款项性质分类情况" w:id="520"/>
      <w:bookmarkEnd w:id="52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354,116,204.92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293,321,637.61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23,717,911.44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11,917,010.76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2,248,572.86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2,478,920.15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200,607.58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2,779,478.18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678,521.72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676,287.64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380,961,818.52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311,173,334.34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3"/>
        <w:rPr>
          <w:rFonts w:ascii="宋体" w:hAnsi="宋体" w:cs="宋体" w:eastAsia="宋体" w:hint="default"/>
          <w:sz w:val="25"/>
          <w:szCs w:val="25"/>
        </w:rPr>
      </w:pPr>
    </w:p>
    <w:p>
      <w:pPr>
        <w:pStyle w:val="Heading3"/>
        <w:spacing w:line="240" w:lineRule="auto" w:before="38"/>
        <w:ind w:right="1130"/>
        <w:jc w:val="left"/>
        <w:rPr>
          <w:b w:val="0"/>
          <w:bCs w:val="0"/>
        </w:rPr>
      </w:pPr>
      <w:bookmarkStart w:name="（5）按欠款方归集的期末余额前五名的其他应收款情况" w:id="521"/>
      <w:bookmarkEnd w:id="52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深圳茂硕新能源科技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96,073,227.76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深圳茂硕电子科技有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84,856,829.49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新余茂硕新能源科技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63,666,215.77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深圳茂硕能源技术研 究院有限公司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深圳茂硕电气有限公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23,942,443.76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329,268,716.78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6）涉及政府补助的应收款项" w:id="522"/>
      <w:bookmarkEnd w:id="52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8"/>
        <w:rPr>
          <w:rFonts w:ascii="宋体" w:hAnsi="宋体" w:cs="宋体" w:eastAsia="宋体" w:hint="default"/>
          <w:sz w:val="6"/>
          <w:szCs w:val="6"/>
        </w:rPr>
      </w:pPr>
    </w:p>
    <w:p>
      <w:pPr>
        <w:pStyle w:val="Heading4"/>
        <w:spacing w:line="240" w:lineRule="auto" w:before="44"/>
        <w:ind w:left="154" w:right="1130"/>
        <w:jc w:val="left"/>
        <w:rPr>
          <w:b w:val="0"/>
          <w:bCs w:val="0"/>
        </w:rPr>
      </w:pPr>
      <w:r>
        <w:rPr/>
        <w:t>本报告期无涉及政府补助的应收款项。</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5"/>
          <w:szCs w:val="15"/>
        </w:rPr>
      </w:pPr>
    </w:p>
    <w:p>
      <w:pPr>
        <w:pStyle w:val="Heading3"/>
        <w:spacing w:line="240" w:lineRule="auto"/>
        <w:ind w:right="1130"/>
        <w:jc w:val="left"/>
        <w:rPr>
          <w:b w:val="0"/>
          <w:bCs w:val="0"/>
        </w:rPr>
      </w:pPr>
      <w:bookmarkStart w:name="（7）因金融资产转移而终止确认的其他应收款" w:id="523"/>
      <w:bookmarkEnd w:id="52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2"/>
        <w:rPr>
          <w:rFonts w:ascii="宋体" w:hAnsi="宋体" w:cs="宋体" w:eastAsia="宋体" w:hint="default"/>
          <w:b/>
          <w:bCs/>
          <w:sz w:val="26"/>
          <w:szCs w:val="26"/>
        </w:rPr>
      </w:pPr>
    </w:p>
    <w:p>
      <w:pPr>
        <w:pStyle w:val="Heading4"/>
        <w:spacing w:line="240" w:lineRule="auto"/>
        <w:ind w:right="1130"/>
        <w:jc w:val="left"/>
        <w:rPr>
          <w:b w:val="0"/>
          <w:bCs w:val="0"/>
        </w:rPr>
      </w:pPr>
      <w:r>
        <w:rPr/>
        <w:t>本报告期无因金融资产转移而终止确认的其他应收款项。</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5"/>
          <w:szCs w:val="15"/>
        </w:rPr>
      </w:pPr>
    </w:p>
    <w:p>
      <w:pPr>
        <w:pStyle w:val="Heading3"/>
        <w:spacing w:line="240" w:lineRule="auto"/>
        <w:ind w:right="1130"/>
        <w:jc w:val="left"/>
        <w:rPr>
          <w:b w:val="0"/>
          <w:bCs w:val="0"/>
        </w:rPr>
      </w:pPr>
      <w:bookmarkStart w:name="（8）转移其他应收款且继续涉入形成的资产、负债金额" w:id="524"/>
      <w:bookmarkEnd w:id="52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Heading4"/>
        <w:spacing w:line="676" w:lineRule="auto"/>
        <w:ind w:right="5874"/>
        <w:jc w:val="left"/>
        <w:rPr>
          <w:rFonts w:ascii="宋体" w:hAnsi="宋体" w:cs="宋体" w:eastAsia="宋体" w:hint="default"/>
          <w:b w:val="0"/>
          <w:bCs w:val="0"/>
        </w:rPr>
      </w:pPr>
      <w:r>
        <w:rPr/>
        <w:t>本报告期无转移其他应收款且继续涉入而形成的资产、负债。</w:t>
      </w:r>
      <w:r>
        <w:rPr>
          <w:w w:val="99"/>
        </w:rPr>
        <w:t> </w:t>
      </w:r>
      <w:r>
        <w:rPr>
          <w:rFonts w:ascii="宋体" w:hAnsi="宋体" w:cs="宋体" w:eastAsia="宋体" w:hint="default"/>
          <w:b w:val="0"/>
          <w:bCs w:val="0"/>
        </w:rPr>
        <w:t>其他说明：</w:t>
      </w:r>
    </w:p>
    <w:p>
      <w:pPr>
        <w:pStyle w:val="Heading3"/>
        <w:spacing w:line="240" w:lineRule="auto" w:before="31"/>
        <w:ind w:right="1130"/>
        <w:jc w:val="left"/>
        <w:rPr>
          <w:b w:val="0"/>
          <w:bCs w:val="0"/>
        </w:rPr>
      </w:pPr>
      <w:bookmarkStart w:name="3、长期股权投资" w:id="525"/>
      <w:bookmarkEnd w:id="52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495,101,192.30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495,101,192.30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625,506,621.95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625,506,621.95</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138,474,700.36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138,474,700.36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35,369,220.46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35,369,220.46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633,575,892.66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633,575,892.66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660,875,842.41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660,875,842.41</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1）对子公司投资" w:id="526"/>
      <w:bookmarkEnd w:id="5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深圳茂硕新能源 技术研究院有限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惠州茂硕能源科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280,770,000.00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280,770,000.00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茂硕能源科技（香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港）国际有限公司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34,058,882.65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34,058,882.65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深圳茂硕电子科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30,637,000.00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30,637,000.00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海宁茂硕诺华能 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深圳茂硕电气有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33,181,235.30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33,181,235.30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湖南省方正达电 子科技有限公司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201,559,504.00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201,559,504.00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加码技术有限公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瑞盈茂硕融资租 </w:t>
            </w:r>
            <w:r>
              <w:rPr>
                <w:rFonts w:ascii="宋体" w:hAnsi="宋体" w:cs="宋体" w:eastAsia="宋体" w:hint="default"/>
                <w:spacing w:val="-7"/>
                <w:sz w:val="18"/>
                <w:szCs w:val="18"/>
              </w:rPr>
              <w:t>赁（深圳）有限公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46,154,074.35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46,154,074.35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625,506,621.95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71,154,074.35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center"/>
              <w:rPr>
                <w:rFonts w:ascii="Times New Roman" w:hAnsi="Times New Roman" w:cs="Times New Roman" w:eastAsia="Times New Roman" w:hint="default"/>
                <w:sz w:val="18"/>
                <w:szCs w:val="18"/>
              </w:rPr>
            </w:pPr>
            <w:r>
              <w:rPr>
                <w:rFonts w:ascii="Times New Roman"/>
                <w:sz w:val="18"/>
              </w:rPr>
              <w:t>201,559,504.00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495,101,192.30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2）对联营、合营企业投资" w:id="527"/>
      <w:bookmarkEnd w:id="52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深圳华智 测控技术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1,357,759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-432,919.</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924,840.1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深圳茂硕 投资发展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4,837,912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4,837,912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长兴九派 兴硕股权 投资基金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深圳鑫四 方检测科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1,621,042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1,621,042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瑞盈茂硕 融资租赁</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27,552,50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5.48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-27,552,5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05.48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湖南省方 正达电子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10,097,95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97,451,90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107,549,8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35,369,22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6,458,955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9,665,035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69,899,39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138,474,7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00.36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35,369,22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6,458,955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9,665,035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69,899,39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138,474,7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00.36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3）其他说明" w:id="528"/>
      <w:bookmarkEnd w:id="52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4、营业收入和营业成本" w:id="529"/>
      <w:bookmarkEnd w:id="52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775,113,723.97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675,622,951.25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595,444,021.73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508,003,211.97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4,483,673.92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2,398,388.21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3,457,256.77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2,539,187.24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779,597,397.89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678,021,339.46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598,901,278.50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510,542,399.21</w:t>
            </w:r>
          </w:p>
        </w:tc>
      </w:tr>
    </w:tbl>
    <w:p>
      <w:pPr>
        <w:pStyle w:val="BodyText"/>
        <w:spacing w:line="240" w:lineRule="auto" w:before="51"/>
        <w:ind w:left="154" w:right="113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1130"/>
        <w:jc w:val="left"/>
        <w:rPr>
          <w:b w:val="0"/>
          <w:bCs w:val="0"/>
        </w:rPr>
      </w:pPr>
      <w:bookmarkStart w:name="5、投资收益" w:id="530"/>
      <w:bookmarkEnd w:id="53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9,665,035.99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123,106.80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31,000,151.19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-718,671.61</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锁汇确认的投资收益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-182,100.00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-3,567,229.42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40,483,087.18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-4,162,794.23</w:t>
            </w:r>
          </w:p>
        </w:tc>
      </w:tr>
    </w:tbl>
    <w:p>
      <w:pPr>
        <w:spacing w:line="240" w:lineRule="auto" w:before="8"/>
        <w:rPr>
          <w:rFonts w:ascii="宋体" w:hAnsi="宋体" w:cs="宋体" w:eastAsia="宋体" w:hint="default"/>
          <w:sz w:val="19"/>
          <w:szCs w:val="19"/>
        </w:rPr>
      </w:pPr>
    </w:p>
    <w:p>
      <w:pPr>
        <w:pStyle w:val="Heading3"/>
        <w:spacing w:line="240" w:lineRule="auto" w:before="38"/>
        <w:ind w:left="154" w:right="1130"/>
        <w:jc w:val="left"/>
        <w:rPr>
          <w:b w:val="0"/>
          <w:bCs w:val="0"/>
        </w:rPr>
      </w:pPr>
      <w:bookmarkStart w:name="6、其他" w:id="531"/>
      <w:bookmarkEnd w:id="531"/>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right="1130"/>
        <w:jc w:val="left"/>
        <w:rPr>
          <w:b w:val="0"/>
          <w:bCs w:val="0"/>
        </w:rPr>
      </w:pPr>
      <w:bookmarkStart w:name="十八、补充资料" w:id="532"/>
      <w:bookmarkEnd w:id="532"/>
      <w:r>
        <w:rPr>
          <w:b w:val="0"/>
          <w:bCs w:val="0"/>
        </w:rPr>
      </w:r>
      <w:r>
        <w:rPr/>
        <w:t>十八、补充资料</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30"/>
        <w:jc w:val="left"/>
        <w:rPr>
          <w:b w:val="0"/>
          <w:bCs w:val="0"/>
        </w:rPr>
      </w:pPr>
      <w:bookmarkStart w:name="1、当期非经常性损益明细表" w:id="533"/>
      <w:bookmarkEnd w:id="53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12,892,461.74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11,454,289.54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151,254.68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215,408.22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5,523,113.17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4,692,825.93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1,511,762.17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24,031,939.25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2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3"/>
        <w:spacing w:line="240" w:lineRule="auto" w:before="38"/>
        <w:ind w:right="1130"/>
        <w:jc w:val="left"/>
        <w:rPr>
          <w:b w:val="0"/>
          <w:bCs w:val="0"/>
        </w:rPr>
      </w:pPr>
      <w:bookmarkStart w:name="2、净资产收益率及每股收益" w:id="534"/>
      <w:bookmarkEnd w:id="53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r>
    </w:tbl>
    <w:p>
      <w:pPr>
        <w:spacing w:line="240" w:lineRule="auto" w:before="8"/>
        <w:rPr>
          <w:rFonts w:ascii="宋体" w:hAnsi="宋体" w:cs="宋体" w:eastAsia="宋体" w:hint="default"/>
          <w:b/>
          <w:bCs/>
          <w:sz w:val="19"/>
          <w:szCs w:val="19"/>
        </w:rPr>
      </w:pPr>
    </w:p>
    <w:p>
      <w:pPr>
        <w:pStyle w:val="Heading3"/>
        <w:spacing w:line="240" w:lineRule="auto" w:before="38"/>
        <w:ind w:left="154" w:right="1130"/>
        <w:jc w:val="left"/>
        <w:rPr>
          <w:b w:val="0"/>
          <w:bCs w:val="0"/>
        </w:rPr>
      </w:pPr>
      <w:bookmarkStart w:name="3、境内外会计准则下会计数据差异" w:id="535"/>
      <w:bookmarkEnd w:id="53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4" w:right="1130"/>
        <w:jc w:val="left"/>
        <w:rPr>
          <w:b w:val="0"/>
          <w:bCs w:val="0"/>
        </w:rPr>
      </w:pPr>
      <w:bookmarkStart w:name="（1）同时按照国际会计准则与按中国会计准则披露的财务报告中净利润和净资产差异情况" w:id="536"/>
      <w:bookmarkEnd w:id="53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54"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30"/>
        <w:jc w:val="left"/>
        <w:rPr>
          <w:b w:val="0"/>
          <w:bCs w:val="0"/>
        </w:rPr>
      </w:pPr>
      <w:bookmarkStart w:name="（2）同时按照境外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73" w:lineRule="auto"/>
        <w:ind w:right="1130"/>
        <w:jc w:val="left"/>
        <w:rPr>
          <w:b w:val="0"/>
          <w:bCs w:val="0"/>
        </w:rPr>
      </w:pPr>
      <w:bookmarkStart w:name="（3）境内外会计准则下会计数据差异原因说明，对已经境外审计机构审计的数据进行差异" w:id="538"/>
      <w:bookmarkEnd w:id="538"/>
      <w:r>
        <w:rPr>
          <w:b w:val="0"/>
          <w:bCs w:val="0"/>
        </w:rPr>
      </w:r>
      <w:r>
        <w:rPr>
          <w:spacing w:val="-2"/>
          <w:w w:val="95"/>
        </w:rPr>
        <w:t>（</w:t>
      </w:r>
      <w:r>
        <w:rPr>
          <w:rFonts w:ascii="Times New Roman" w:hAnsi="Times New Roman" w:cs="Times New Roman" w:eastAsia="Times New Roman" w:hint="default"/>
          <w:spacing w:val="-2"/>
          <w:w w:val="95"/>
        </w:rPr>
        <w:t>3</w:t>
      </w:r>
      <w:r>
        <w:rPr>
          <w:spacing w:val="-2"/>
          <w:w w:val="95"/>
        </w:rPr>
        <w:t>）境内外会计准则下会计数据差异原因说明，对已经境外审计机构审计的数据进行差异调节的，应注明该境</w:t>
      </w:r>
      <w:r>
        <w:rPr>
          <w:spacing w:val="1"/>
          <w:w w:val="95"/>
        </w:rPr>
        <w:t> </w:t>
      </w:r>
      <w:r>
        <w:rPr>
          <w:spacing w:val="1"/>
          <w:w w:val="95"/>
        </w:rPr>
      </w:r>
      <w:r>
        <w:rPr/>
        <w:t>外机构的名称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0"/>
        <w:jc w:val="left"/>
        <w:rPr>
          <w:b w:val="0"/>
          <w:bCs w:val="0"/>
        </w:rPr>
      </w:pPr>
      <w:bookmarkStart w:name="4、其他" w:id="539"/>
      <w:bookmarkEnd w:id="53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30"/>
        <w:jc w:val="left"/>
        <w:rPr>
          <w:b w:val="0"/>
          <w:bCs w:val="0"/>
        </w:rPr>
      </w:pPr>
      <w:bookmarkStart w:name="第十二节 备查文件目录" w:id="540"/>
      <w:bookmarkEnd w:id="540"/>
      <w:r>
        <w:rPr>
          <w:b w:val="0"/>
          <w:bCs w:val="0"/>
        </w:rPr>
      </w:r>
      <w:bookmarkStart w:name="_bookmark11" w:id="541"/>
      <w:bookmarkEnd w:id="541"/>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1130"/>
        <w:jc w:val="left"/>
      </w:pPr>
      <w:r>
        <w:rPr>
          <w:rFonts w:ascii="Times New Roman" w:hAnsi="Times New Roman" w:cs="Times New Roman" w:eastAsia="Times New Roman" w:hint="default"/>
        </w:rPr>
        <w:t>1</w:t>
      </w:r>
      <w:r>
        <w:rPr/>
        <w:t>、载有公司董事长签署的</w:t>
      </w:r>
      <w:r>
        <w:rPr>
          <w:rFonts w:ascii="Times New Roman" w:hAnsi="Times New Roman" w:cs="Times New Roman" w:eastAsia="Times New Roman" w:hint="default"/>
        </w:rPr>
        <w:t>2017</w:t>
      </w:r>
      <w:r>
        <w:rPr/>
        <w:t>年年度报告正本。</w:t>
      </w:r>
    </w:p>
    <w:p>
      <w:pPr>
        <w:pStyle w:val="BodyText"/>
        <w:spacing w:line="240" w:lineRule="auto" w:before="63"/>
        <w:ind w:left="154" w:right="1130"/>
        <w:jc w:val="left"/>
      </w:pPr>
      <w:r>
        <w:rPr>
          <w:rFonts w:ascii="Times New Roman" w:hAnsi="Times New Roman" w:cs="Times New Roman" w:eastAsia="Times New Roman" w:hint="default"/>
        </w:rPr>
        <w:t>2</w:t>
      </w:r>
      <w:r>
        <w:rPr/>
        <w:t>、载有公司负责人、主管会计工作负责人及会计机构负责人签名并盖章的财务报表。</w:t>
      </w:r>
    </w:p>
    <w:p>
      <w:pPr>
        <w:pStyle w:val="BodyText"/>
        <w:spacing w:line="240" w:lineRule="auto" w:before="63"/>
        <w:ind w:right="113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240" w:lineRule="auto" w:before="63"/>
        <w:ind w:right="1130"/>
        <w:jc w:val="left"/>
      </w:pPr>
      <w:r>
        <w:rPr>
          <w:rFonts w:ascii="Times New Roman" w:hAnsi="Times New Roman" w:cs="Times New Roman" w:eastAsia="Times New Roman" w:hint="default"/>
        </w:rPr>
        <w:t>4</w:t>
      </w:r>
      <w:r>
        <w:rPr/>
        <w:t>、报告期内在中国证监会指定信息披露载体上公开披露过的所有公司文件的正本及公告的原稿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20" w:lineRule="exact"/>
        <w:ind w:left="6955" w:right="0" w:firstLine="0"/>
        <w:rPr>
          <w:rFonts w:ascii="宋体" w:hAnsi="宋体" w:cs="宋体" w:eastAsia="宋体" w:hint="default"/>
          <w:sz w:val="2"/>
          <w:szCs w:val="2"/>
        </w:rPr>
      </w:pPr>
      <w:r>
        <w:rPr>
          <w:rFonts w:ascii="宋体" w:hAnsi="宋体" w:cs="宋体" w:eastAsia="宋体" w:hint="default"/>
          <w:sz w:val="2"/>
          <w:szCs w:val="2"/>
        </w:rPr>
        <w:pict>
          <v:group style="width:142.15pt;height:.45pt;mso-position-horizontal-relative:char;mso-position-vertical-relative:line" coordorigin="0,0" coordsize="2843,9">
            <v:group style="position:absolute;left:4;top:4;width:2834;height:2" coordorigin="4,4" coordsize="2834,2">
              <v:shape style="position:absolute;left:4;top:4;width:2834;height:2" coordorigin="4,4" coordsize="2834,0" path="m4,4l2838,4e" filled="false" stroked="true" strokeweight=".42pt" strokecolor="#000000">
                <v:path arrowok="t"/>
              </v:shape>
            </v:group>
          </v:group>
        </w:pict>
      </w:r>
      <w:r>
        <w:rPr>
          <w:rFonts w:ascii="宋体" w:hAnsi="宋体" w:cs="宋体" w:eastAsia="宋体" w:hint="default"/>
          <w:sz w:val="2"/>
          <w:szCs w:val="2"/>
        </w:rPr>
      </w:r>
    </w:p>
    <w:p>
      <w:pPr>
        <w:spacing w:line="273" w:lineRule="auto" w:before="9"/>
        <w:ind w:left="6979" w:right="1130" w:firstLine="0"/>
        <w:jc w:val="center"/>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pacing w:val="-21"/>
          <w:sz w:val="21"/>
          <w:szCs w:val="21"/>
        </w:rPr>
        <w:t> </w:t>
      </w:r>
      <w:r>
        <w:rPr>
          <w:rFonts w:ascii="宋体" w:hAnsi="宋体" w:cs="宋体" w:eastAsia="宋体" w:hint="default"/>
          <w:sz w:val="21"/>
          <w:szCs w:val="21"/>
        </w:rPr>
        <w:t>顾永德（签章）</w:t>
      </w:r>
      <w:r>
        <w:rPr>
          <w:rFonts w:ascii="宋体" w:hAnsi="宋体" w:cs="宋体" w:eastAsia="宋体" w:hint="default"/>
          <w:sz w:val="21"/>
          <w:szCs w:val="21"/>
        </w:rPr>
        <w:t> 茂硕电源科技股份有限公司 二〇一八年三月二十六日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984" type="#_x0000_t75" stroked="false">
          <v:imagedata r:id="rId1" o:title=""/>
        </v:shape>
      </w:pict>
    </w:r>
    <w:r>
      <w:rPr/>
      <w:pict>
        <v:shape style="position:absolute;margin-left:533.179993pt;margin-top:795.517944pt;width:6.5pt;height:11pt;mso-position-horizontal-relative:page;mso-position-vertical-relative:page;z-index:-13189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936" type="#_x0000_t75" stroked="false">
          <v:imagedata r:id="rId1" o:title=""/>
        </v:shape>
      </w:pict>
    </w:r>
    <w:r>
      <w:rPr/>
      <w:pict>
        <v:shape style="position:absolute;margin-left:527.679993pt;margin-top:781.957947pt;width:13pt;height:11pt;mso-position-horizontal-relative:page;mso-position-vertical-relative:page;z-index:-1318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888" type="#_x0000_t75" stroked="false">
          <v:imagedata r:id="rId1" o:title=""/>
        </v:shape>
      </w:pict>
    </w:r>
    <w:r>
      <w:rPr/>
      <w:pict>
        <v:shape style="position:absolute;margin-left:524.179993pt;margin-top:781.957947pt;width:15.5pt;height:11pt;mso-position-horizontal-relative:page;mso-position-vertical-relative:page;z-index:-1318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840" type="#_x0000_t75" stroked="false">
          <v:imagedata r:id="rId1" o:title=""/>
        </v:shape>
      </w:pict>
    </w:r>
    <w:r>
      <w:rPr/>
      <w:pict>
        <v:shape style="position:absolute;margin-left:523.179993pt;margin-top:781.957947pt;width:17.5pt;height:11pt;mso-position-horizontal-relative:page;mso-position-vertical-relative:page;z-index:-1318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792" type="#_x0000_t75" stroked="false">
          <v:imagedata r:id="rId1" o:title=""/>
        </v:shape>
      </w:pict>
    </w:r>
    <w:r>
      <w:rPr/>
      <w:pict>
        <v:shape style="position:absolute;margin-left:55.700001pt;margin-top:755.965637pt;width:182pt;height:11pt;mso-position-horizontal-relative:page;mso-position-vertical-relative:page;z-index:-1318768" type="#_x0000_t202" filled="false" stroked="false">
          <v:textbox inset="0,0,0,0">
            <w:txbxContent>
              <w:p>
                <w:pPr>
                  <w:pStyle w:val="BodyText"/>
                  <w:spacing w:line="200" w:lineRule="exact"/>
                  <w:ind w:left="20" w:right="0"/>
                  <w:jc w:val="left"/>
                </w:pPr>
                <w:r>
                  <w:rPr/>
                  <w:t>来的暂估价值，但不调整原已计提的折旧额。</w:t>
                </w:r>
              </w:p>
            </w:txbxContent>
          </v:textbox>
          <w10:wrap type="none"/>
        </v:shape>
      </w:pict>
    </w:r>
    <w:r>
      <w:rPr/>
      <w:pict>
        <v:shape style="position:absolute;margin-left:523.179993pt;margin-top:781.957947pt;width:17.5pt;height:11pt;mso-position-horizontal-relative:page;mso-position-vertical-relative:page;z-index:-1318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720" type="#_x0000_t75" stroked="false">
          <v:imagedata r:id="rId1" o:title=""/>
        </v:shape>
      </w:pict>
    </w:r>
    <w:r>
      <w:rPr/>
      <w:pict>
        <v:shape style="position:absolute;margin-left:523.179993pt;margin-top:781.957947pt;width:17.5pt;height:11pt;mso-position-horizontal-relative:page;mso-position-vertical-relative:page;z-index:-1318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672" type="#_x0000_t75" stroked="false">
          <v:imagedata r:id="rId1" o:title=""/>
        </v:shape>
      </w:pict>
    </w:r>
    <w:r>
      <w:rPr/>
      <w:pict>
        <v:shape style="position:absolute;margin-left:524.179993pt;margin-top:781.957947pt;width:15.5pt;height:11pt;mso-position-horizontal-relative:page;mso-position-vertical-relative:page;z-index:-13186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318624" type="#_x0000_t75" stroked="false">
          <v:imagedata r:id="rId1" o:title=""/>
        </v:shape>
      </w:pict>
    </w:r>
    <w:r>
      <w:rPr/>
      <w:pict>
        <v:shape style="position:absolute;margin-left:523.179993pt;margin-top:781.957947pt;width:17.5pt;height:11pt;mso-position-horizontal-relative:page;mso-position-vertical-relative:page;z-index:-1318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319008" type="#_x0000_t202" filled="false" stroked="false">
          <v:textbox inset="0,0,0,0">
            <w:txbxContent>
              <w:p>
                <w:pPr>
                  <w:pStyle w:val="BodyText"/>
                  <w:spacing w:line="214" w:lineRule="exact"/>
                  <w:ind w:left="20" w:right="0"/>
                  <w:jc w:val="left"/>
                </w:pPr>
                <w:r>
                  <w:rPr/>
                  <w:t>茂硕电源科技股份有限公司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1"/>
      <w:ind w:left="153"/>
    </w:pPr>
    <w:rPr>
      <w:rFonts w:ascii="宋体" w:hAnsi="宋体" w:eastAsia="宋体"/>
      <w:sz w:val="21"/>
      <w:szCs w:val="21"/>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0"/>
      <w:szCs w:val="20"/>
    </w:rPr>
  </w:style>
  <w:style w:styleId="Heading4" w:type="paragraph">
    <w:name w:val="Heading 4"/>
    <w:basedOn w:val="Normal"/>
    <w:uiPriority w:val="1"/>
    <w:qFormat/>
    <w:pPr>
      <w:ind w:left="1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mosopower.com/" TargetMode="External"/><Relationship Id="rId9" Type="http://schemas.openxmlformats.org/officeDocument/2006/relationships/hyperlink" Target="mailto:GYD@mosopower.com" TargetMode="External"/><Relationship Id="rId10" Type="http://schemas.openxmlformats.org/officeDocument/2006/relationships/hyperlink" Target="mailto:chunhua.xie@mosopower.com" TargetMode="External"/><Relationship Id="rId11" Type="http://schemas.openxmlformats.org/officeDocument/2006/relationships/hyperlink" Target="mailto:yaoyao.zhu@mosopower.com" TargetMode="External"/><Relationship Id="rId12" Type="http://schemas.openxmlformats.org/officeDocument/2006/relationships/hyperlink" Target="http://www.cninfo.com.cn/" TargetMode="External"/><Relationship Id="rId13" Type="http://schemas.openxmlformats.org/officeDocument/2006/relationships/hyperlink" Target="http://www/" TargetMode="External"/><Relationship Id="rId14" Type="http://schemas.openxmlformats.org/officeDocument/2006/relationships/hyperlink" Target="http://solar.ofweek.com/" TargetMode="External"/><Relationship Id="rId15" Type="http://schemas.openxmlformats.org/officeDocument/2006/relationships/image" Target="media/image2.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茂硕电源科技股份有限公司</dc:creator>
  <dc:title>茂硕电源科技股份有限公司2017年年度报告全文</dc:title>
  <dcterms:created xsi:type="dcterms:W3CDTF">2020-05-02T22:59:54Z</dcterms:created>
  <dcterms:modified xsi:type="dcterms:W3CDTF">2020-05-02T22:59:54Z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Office Word 2007</vt:lpwstr>
  </property>
  <property fmtid="{D5CDD505-2E9C-101B-9397-08002B2CF9AE}" pid="4" name="LastSaved">
    <vt:filetime>2020-05-02T00:00:00Z</vt:filetime>
  </property>
</Properties>
</file>