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53" w:right="1130"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茂硕电源科技股份有限公司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51" w:right="113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4" w:right="113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公司负责人顾永德、主管会计工作负责人刘爱民及会计机构负责人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秦利红声明：保证年度报告中财务报告的真实、准确、完整。</w:t>
      </w:r>
      <w:r>
        <w:rPr>
          <w:rFonts w:ascii="宋体" w:hAnsi="宋体" w:cs="宋体" w:eastAsia="宋体" w:hint="default"/>
          <w:sz w:val="28"/>
          <w:szCs w:val="28"/>
        </w:rPr>
      </w:r>
    </w:p>
    <w:p>
      <w:pPr>
        <w:spacing w:line="472" w:lineRule="auto" w:before="147"/>
        <w:ind w:left="716" w:right="113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本年度报告内容所涉及的未来计划、发展战略等前瞻性描述，不构成公司</w:t>
      </w:r>
      <w:r>
        <w:rPr>
          <w:rFonts w:ascii="宋体" w:hAnsi="宋体" w:cs="宋体" w:eastAsia="宋体" w:hint="default"/>
          <w:spacing w:val="3"/>
          <w:sz w:val="28"/>
          <w:szCs w:val="28"/>
        </w:rPr>
      </w:r>
    </w:p>
    <w:p>
      <w:pPr>
        <w:spacing w:line="448" w:lineRule="auto" w:before="0"/>
        <w:ind w:left="716" w:right="1130" w:hanging="562"/>
        <w:jc w:val="left"/>
        <w:rPr>
          <w:rFonts w:ascii="宋体" w:hAnsi="宋体" w:cs="宋体" w:eastAsia="宋体" w:hint="default"/>
          <w:sz w:val="28"/>
          <w:szCs w:val="28"/>
        </w:rPr>
      </w:pPr>
      <w:r>
        <w:rPr>
          <w:rFonts w:ascii="宋体" w:hAnsi="宋体" w:cs="宋体" w:eastAsia="宋体" w:hint="default"/>
          <w:b/>
          <w:bCs/>
          <w:sz w:val="28"/>
          <w:szCs w:val="28"/>
        </w:rPr>
        <w:t>对投资者的实质承诺，敬请投资者注意投资风险</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3"/>
          <w:sz w:val="28"/>
          <w:szCs w:val="28"/>
        </w:rPr>
        <w:t>公司可能面临的风险详见本报告第四节 </w:t>
      </w:r>
      <w:r>
        <w:rPr>
          <w:rFonts w:ascii="宋体" w:hAnsi="宋体" w:cs="宋体" w:eastAsia="宋体" w:hint="default"/>
          <w:b/>
          <w:bCs/>
          <w:spacing w:val="2"/>
          <w:sz w:val="28"/>
          <w:szCs w:val="28"/>
        </w:rPr>
        <w:t>管理层讨论与分析</w:t>
      </w:r>
      <w:r>
        <w:rPr>
          <w:rFonts w:ascii="宋体" w:hAnsi="宋体" w:cs="宋体" w:eastAsia="宋体" w:hint="default"/>
          <w:b/>
          <w:bCs/>
          <w:spacing w:val="-24"/>
          <w:sz w:val="28"/>
          <w:szCs w:val="28"/>
        </w:rPr>
        <w:t> </w:t>
      </w:r>
      <w:r>
        <w:rPr>
          <w:rFonts w:ascii="宋体" w:hAnsi="宋体" w:cs="宋体" w:eastAsia="宋体" w:hint="default"/>
          <w:b/>
          <w:bCs/>
          <w:spacing w:val="3"/>
          <w:sz w:val="28"/>
          <w:szCs w:val="28"/>
        </w:rPr>
        <w:t>九、公司未来</w:t>
      </w:r>
      <w:r>
        <w:rPr>
          <w:rFonts w:ascii="宋体" w:hAnsi="宋体" w:cs="宋体" w:eastAsia="宋体" w:hint="default"/>
          <w:spacing w:val="3"/>
          <w:sz w:val="28"/>
          <w:szCs w:val="28"/>
        </w:rPr>
      </w:r>
    </w:p>
    <w:p>
      <w:pPr>
        <w:spacing w:line="472" w:lineRule="auto" w:before="15"/>
        <w:ind w:left="716" w:right="1130" w:hanging="562"/>
        <w:jc w:val="left"/>
        <w:rPr>
          <w:rFonts w:ascii="宋体" w:hAnsi="宋体" w:cs="宋体" w:eastAsia="宋体" w:hint="default"/>
          <w:sz w:val="28"/>
          <w:szCs w:val="28"/>
        </w:rPr>
      </w:pPr>
      <w:r>
        <w:rPr>
          <w:rFonts w:ascii="宋体" w:hAnsi="宋体" w:cs="宋体" w:eastAsia="宋体" w:hint="default"/>
          <w:b/>
          <w:bCs/>
          <w:sz w:val="28"/>
          <w:szCs w:val="28"/>
        </w:rPr>
        <w:t>发展的展望</w:t>
      </w:r>
      <w:r>
        <w:rPr>
          <w:rFonts w:ascii="宋体" w:hAnsi="宋体" w:cs="宋体" w:eastAsia="宋体" w:hint="default"/>
          <w:b/>
          <w:bCs/>
          <w:spacing w:val="1"/>
          <w:sz w:val="28"/>
          <w:szCs w:val="28"/>
        </w:rPr>
        <w:t> </w:t>
      </w:r>
      <w:r>
        <w:rPr>
          <w:rFonts w:ascii="宋体" w:hAnsi="宋体" w:cs="宋体" w:eastAsia="宋体" w:hint="default"/>
          <w:b/>
          <w:bCs/>
          <w:sz w:val="28"/>
          <w:szCs w:val="28"/>
        </w:rPr>
        <w:t>（五）面临的风险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72"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54" w:right="113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75" w:val="right" w:leader="dot"/>
            </w:tabs>
            <w:spacing w:line="240" w:lineRule="auto" w:before="218"/>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36</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63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70</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84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85</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208</w:t>
            </w:r>
          </w:hyperlink>
        </w:p>
        <w:p>
          <w:pPr/>
          <w:r>
            <w:fldChar w:fldCharType="end"/>
          </w:r>
        </w:p>
      </w:sdtContent>
    </w:sdt>
    <w:p>
      <w:pPr>
        <w:spacing w:after="0"/>
        <w:sectPr>
          <w:pgSz w:w="11910" w:h="16840"/>
          <w:pgMar w:header="747" w:footer="979" w:top="1060" w:bottom="1160" w:left="980" w:right="0"/>
        </w:sectPr>
      </w:pPr>
    </w:p>
    <w:p>
      <w:pPr>
        <w:spacing w:before="946"/>
        <w:ind w:left="154" w:right="11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香港加码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瑞盈茂硕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前海九派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深圳市前海九派资本管理合伙企业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安徽新国利英核能源有限公司，原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浙江国利英核能源有限公司</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弘康茂硕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聚电网络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宋体" w:hAnsi="宋体" w:cs="宋体" w:eastAsia="宋体" w:hint="default"/>
                <w:sz w:val="18"/>
                <w:szCs w:val="18"/>
              </w:rPr>
              <w:t>、</w:t>
            </w: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开关电源、消费电子电源</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为各类消费电子产品提供所需电力的装置，属于消费电子产品必需配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件；为公司主营产品之一</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宋体" w:hAnsi="宋体" w:cs="宋体" w:eastAsia="宋体" w:hint="default"/>
                <w:sz w:val="18"/>
                <w:szCs w:val="18"/>
              </w:rPr>
              <w:t>、柔性印制电路板、柔性电路板或柔性 线路板</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组装电子零件用的基板，是在柔性基材上按预定设计形成点间连接及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印制元件的印制板</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30247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113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002660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Moso Power Supply Technology</w:t>
            </w:r>
            <w:r>
              <w:rPr>
                <w:rFonts w:ascii="Times New Roman"/>
                <w:spacing w:val="-2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Moso</w:t>
            </w:r>
            <w:r>
              <w:rPr>
                <w:rFonts w:ascii="Times New Roman"/>
                <w:spacing w:val="-3"/>
                <w:sz w:val="18"/>
              </w:rPr>
              <w:t> </w:t>
            </w:r>
            <w:r>
              <w:rPr>
                <w:rFonts w:ascii="Times New Roman"/>
                <w:sz w:val="18"/>
              </w:rPr>
              <w:t>Power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广东省深圳市南山区松白路关外小白芒桑泰工业园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www.mosopower.com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GYD@mosopower.com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3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朱瑶瑶</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号茂硕科 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号茂硕科 技园</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0755-27659888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GYD@mosopower.com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yaoyao.zhu@mosopower.com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3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3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91440300786559921G</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日，公司原控股股东深圳德旺投资发展有限公司（以下简称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德旺 </w:t>
            </w:r>
            <w:r>
              <w:rPr>
                <w:rFonts w:ascii="宋体" w:hAnsi="宋体" w:cs="宋体" w:eastAsia="宋体" w:hint="default"/>
                <w:spacing w:val="-3"/>
                <w:w w:val="99"/>
                <w:sz w:val="18"/>
                <w:szCs w:val="18"/>
              </w:rPr>
              <w:t>投资</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）与顾永德先生签署了《股权转让合同》，徳旺投资为顾永德先生的全资控</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宋体" w:hAnsi="宋体" w:cs="宋体" w:eastAsia="宋体" w:hint="default"/>
                <w:sz w:val="18"/>
                <w:szCs w:val="18"/>
              </w:rPr>
              <w:t>股公司，德旺投资将其持有的茂硕电源无限售流通股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49,200,347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股协议转让给公 司实际控制人顾永德先生，顾永德先生现为公司控股股东。</w:t>
            </w:r>
          </w:p>
        </w:tc>
      </w:tr>
    </w:tbl>
    <w:p>
      <w:pPr>
        <w:spacing w:line="240" w:lineRule="auto" w:before="2"/>
        <w:rPr>
          <w:rFonts w:ascii="宋体" w:hAnsi="宋体" w:cs="宋体" w:eastAsia="宋体" w:hint="default"/>
          <w:b/>
          <w:bCs/>
          <w:sz w:val="18"/>
          <w:szCs w:val="18"/>
        </w:rPr>
      </w:pPr>
    </w:p>
    <w:p>
      <w:pPr>
        <w:pStyle w:val="Heading2"/>
        <w:spacing w:line="240" w:lineRule="auto" w:before="26"/>
        <w:ind w:right="113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王建华 刘国军</w:t>
            </w:r>
          </w:p>
        </w:tc>
      </w:tr>
    </w:tbl>
    <w:p>
      <w:pPr>
        <w:pStyle w:val="BodyText"/>
        <w:spacing w:line="240" w:lineRule="auto" w:before="51"/>
        <w:ind w:right="1130"/>
        <w:jc w:val="left"/>
      </w:pPr>
      <w:r>
        <w:rPr/>
        <w:t>公司聘请的报告期内履行持续督导职责的保荐机构</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贵州省贵阳市观山湖区长岭 北路中天会展城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区金融商务 区集中商业（北）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常江、万弢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鉴于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 票保荐代表人及主要项目人 员工作发生变动，公司将保荐 机构更换为中天国富证券有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公司首次公开发行股 票的募集专户资金尚未使用 完结，中天国富证券有限公司 对公司的持续督导义务将至 募集专户资金使用完结为止。</w:t>
            </w:r>
          </w:p>
        </w:tc>
      </w:tr>
    </w:tbl>
    <w:p>
      <w:pPr>
        <w:pStyle w:val="BodyText"/>
        <w:spacing w:line="240" w:lineRule="auto" w:before="51"/>
        <w:ind w:right="1130"/>
        <w:jc w:val="left"/>
      </w:pPr>
      <w:r>
        <w:rPr/>
        <w:t>公司聘请的报告期内履行持续督导职责的财务顾问</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公司是否需追溯调整或重述以前年度会计数据</w:t>
      </w:r>
    </w:p>
    <w:p>
      <w:pPr>
        <w:pStyle w:val="BodyText"/>
        <w:spacing w:line="338" w:lineRule="auto" w:before="117"/>
        <w:ind w:right="19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w:t>
      </w:r>
    </w:p>
    <w:p>
      <w:pPr>
        <w:pStyle w:val="BodyText"/>
        <w:spacing w:line="240" w:lineRule="auto" w:before="42"/>
        <w:ind w:left="574" w:right="-20"/>
        <w:jc w:val="left"/>
      </w:pPr>
      <w:r>
        <w:rPr/>
        <w:t>会计政策变更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53" w:right="0"/>
        <w:jc w:val="left"/>
      </w:pPr>
      <w:r>
        <w:rPr/>
        <w:t>单位：人民币元</w:t>
      </w:r>
    </w:p>
    <w:p>
      <w:pPr>
        <w:spacing w:after="0" w:line="240" w:lineRule="auto"/>
        <w:jc w:val="left"/>
        <w:sectPr>
          <w:type w:val="continuous"/>
          <w:pgSz w:w="11910" w:h="16840"/>
          <w:pgMar w:top="1060" w:bottom="1160" w:left="980" w:right="0"/>
          <w:cols w:num="2" w:equalWidth="0">
            <w:col w:w="3755" w:space="4625"/>
            <w:col w:w="2550"/>
          </w:cols>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956"/>
        <w:gridCol w:w="1369"/>
        <w:gridCol w:w="1370"/>
        <w:gridCol w:w="1368"/>
        <w:gridCol w:w="884"/>
        <w:gridCol w:w="1367"/>
        <w:gridCol w:w="1369"/>
      </w:tblGrid>
      <w:tr>
        <w:trPr>
          <w:trHeight w:val="206" w:hRule="exact"/>
        </w:trPr>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8" w:right="74"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6" w:hRule="exact"/>
        </w:trPr>
        <w:tc>
          <w:tcPr>
            <w:tcW w:w="1956" w:type="dxa"/>
            <w:vMerge w:val="restart"/>
            <w:tcBorders>
              <w:top w:val="nil" w:sz="6" w:space="0" w:color="auto"/>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9" w:space="0" w:color="D9D9D9"/>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8" w:type="dxa"/>
            <w:gridSpan w:val="2"/>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9" w:space="0" w:color="D9D9D9"/>
            </w:tcBorders>
            <w:shd w:val="clear" w:color="auto" w:fill="D2D2D2"/>
          </w:tcPr>
          <w:p>
            <w:pPr/>
          </w:p>
        </w:tc>
        <w:tc>
          <w:tcPr>
            <w:tcW w:w="1370"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8" w:type="dxa"/>
            <w:vMerge w:val="restart"/>
            <w:tcBorders>
              <w:top w:val="single" w:sz="4" w:space="0" w:color="000000"/>
              <w:left w:val="single" w:sz="4" w:space="0" w:color="000000"/>
              <w:right w:val="single" w:sz="13" w:space="0" w:color="D2D2D2"/>
            </w:tcBorders>
            <w:shd w:val="clear" w:color="auto" w:fill="D9D9D9"/>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84" w:type="dxa"/>
            <w:vMerge/>
            <w:tcBorders>
              <w:left w:val="single" w:sz="4" w:space="0" w:color="000000"/>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4" w:space="0" w:color="000000"/>
            </w:tcBorders>
            <w:shd w:val="clear" w:color="auto" w:fill="D9D9D9"/>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06" w:hRule="exact"/>
        </w:trPr>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13" w:space="0" w:color="D9D9D9"/>
            </w:tcBorders>
            <w:shd w:val="clear" w:color="auto" w:fill="D2D2D2"/>
          </w:tcPr>
          <w:p>
            <w:pPr/>
          </w:p>
        </w:tc>
        <w:tc>
          <w:tcPr>
            <w:tcW w:w="1370" w:type="dxa"/>
            <w:vMerge/>
            <w:tcBorders>
              <w:left w:val="single" w:sz="9" w:space="0" w:color="D2D2D2"/>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13" w:space="0" w:color="D2D2D2"/>
            </w:tcBorders>
            <w:shd w:val="clear" w:color="auto" w:fill="D9D9D9"/>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4" w:space="0" w:color="000000"/>
            </w:tcBorders>
            <w:shd w:val="clear" w:color="auto" w:fill="D9D9D9"/>
          </w:tcPr>
          <w:p>
            <w:pPr/>
          </w:p>
        </w:tc>
        <w:tc>
          <w:tcPr>
            <w:tcW w:w="1369"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1,337,775,109.10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1,652,076,282.01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1,652,076,282.01</w:t>
            </w:r>
          </w:p>
        </w:tc>
        <w:tc>
          <w:tcPr>
            <w:tcW w:w="884"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z w:val="18"/>
              </w:rPr>
              <w:t>-19.02%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1,292,958,187.22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1,292,958,187.22</w:t>
            </w:r>
          </w:p>
        </w:tc>
      </w:tr>
      <w:tr>
        <w:trPr>
          <w:trHeight w:val="71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2"/>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-255,760,999.17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13,065,004.57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13,065,004.57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-2057.60%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-1,788,124.06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-1,788,124.06</w:t>
            </w:r>
          </w:p>
        </w:tc>
      </w:tr>
      <w:tr>
        <w:trPr>
          <w:trHeight w:val="1026"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2"/>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-255,794,949.21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-10,966,934.68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-10,966,934.68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-2232.42%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-20,478,668.92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-20,478,668.92</w:t>
            </w:r>
          </w:p>
        </w:tc>
      </w:tr>
      <w:tr>
        <w:trPr>
          <w:trHeight w:val="71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2"/>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77,843,793.97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196,239,173.63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199,949,173.63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2,181,305.76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2,181,305.76</w:t>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-1960.00%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-1960.00%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c>
          <w:tcPr>
            <w:tcW w:w="884" w:type="dxa"/>
            <w:tcBorders>
              <w:top w:val="single" w:sz="4" w:space="0" w:color="000000"/>
              <w:left w:val="single" w:sz="4" w:space="0" w:color="000000"/>
              <w:bottom w:val="single" w:sz="18"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r>
        <w:trPr>
          <w:trHeight w:val="206" w:hRule="exact"/>
        </w:trPr>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8" w:right="74"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1956" w:type="dxa"/>
            <w:vMerge w:val="restart"/>
            <w:tcBorders>
              <w:top w:val="nil" w:sz="6" w:space="0" w:color="auto"/>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8" w:type="dxa"/>
            <w:gridSpan w:val="2"/>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273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84" w:type="dxa"/>
            <w:vMerge/>
            <w:tcBorders>
              <w:left w:val="single" w:sz="4" w:space="0" w:color="000000"/>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06" w:hRule="exact"/>
        </w:trPr>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1,704,948,943.24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2,047,914,695.95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2,047,914,695.95</w:t>
            </w:r>
          </w:p>
        </w:tc>
        <w:tc>
          <w:tcPr>
            <w:tcW w:w="88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-16.75%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2,273,730,374.07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2,273,730,374.07</w:t>
            </w:r>
          </w:p>
        </w:tc>
      </w:tr>
      <w:tr>
        <w:trPr>
          <w:trHeight w:val="71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2"/>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555,321,673.04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850,558,239.12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850,558,239.12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861,737,756.77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861,737,756.77</w:t>
            </w:r>
          </w:p>
        </w:tc>
      </w:tr>
    </w:tbl>
    <w:p>
      <w:pPr>
        <w:pStyle w:val="BodyText"/>
        <w:spacing w:line="206" w:lineRule="exact"/>
        <w:ind w:left="514" w:right="1130"/>
        <w:jc w:val="left"/>
      </w:pPr>
      <w:r>
        <w:rPr/>
        <w:t>会计政策变更的原因及会计差错更正的情况</w:t>
      </w:r>
    </w:p>
    <w:p>
      <w:pPr>
        <w:pStyle w:val="BodyText"/>
        <w:spacing w:line="357" w:lineRule="auto" w:before="115"/>
        <w:ind w:right="1131" w:firstLine="360"/>
        <w:jc w:val="both"/>
      </w:pPr>
      <w:r>
        <w:rPr>
          <w:spacing w:val="-2"/>
        </w:rPr>
        <w:t>公司上年编制现金流量表时，将收到的与资产相关的政府补助分类为“收到的其他与投资活动有关的现金”，将收到的</w:t>
      </w:r>
      <w:r>
        <w:rPr/>
        <w:t> </w:t>
      </w:r>
      <w:r>
        <w:rPr>
          <w:spacing w:val="-3"/>
        </w:rPr>
        <w:t>与财政贴息款相关的政府补助分类为“收到的其他与筹资活动有关的现金”。根据财政部</w:t>
      </w:r>
      <w:r>
        <w:rPr>
          <w:spacing w:val="-38"/>
        </w:rPr>
        <w:t> </w:t>
      </w:r>
      <w:r>
        <w:rPr>
          <w:rFonts w:ascii="宋体" w:hAnsi="宋体" w:cs="宋体" w:eastAsia="宋体" w:hint="default"/>
        </w:rPr>
        <w:t>2018</w:t>
      </w:r>
      <w:r>
        <w:rPr>
          <w:rFonts w:ascii="宋体" w:hAnsi="宋体" w:cs="宋体" w:eastAsia="宋体" w:hint="default"/>
          <w:spacing w:val="-38"/>
        </w:rPr>
        <w:t> </w:t>
      </w:r>
      <w:r>
        <w:rPr/>
        <w:t>年</w:t>
      </w:r>
      <w:r>
        <w:rPr>
          <w:spacing w:val="-40"/>
        </w:rPr>
        <w:t> </w:t>
      </w:r>
      <w:r>
        <w:rPr>
          <w:rFonts w:ascii="宋体" w:hAnsi="宋体" w:cs="宋体" w:eastAsia="宋体" w:hint="default"/>
        </w:rPr>
        <w:t>6</w:t>
      </w:r>
      <w:r>
        <w:rPr>
          <w:rFonts w:ascii="宋体" w:hAnsi="宋体" w:cs="宋体" w:eastAsia="宋体" w:hint="default"/>
          <w:spacing w:val="-40"/>
        </w:rPr>
        <w:t> </w:t>
      </w:r>
      <w:r>
        <w:rPr/>
        <w:t>月</w:t>
      </w:r>
      <w:r>
        <w:rPr>
          <w:spacing w:val="-39"/>
        </w:rPr>
        <w:t> </w:t>
      </w:r>
      <w:r>
        <w:rPr>
          <w:rFonts w:ascii="宋体" w:hAnsi="宋体" w:cs="宋体" w:eastAsia="宋体" w:hint="default"/>
        </w:rPr>
        <w:t>15</w:t>
      </w:r>
      <w:r>
        <w:rPr>
          <w:rFonts w:ascii="宋体" w:hAnsi="宋体" w:cs="宋体" w:eastAsia="宋体" w:hint="default"/>
          <w:spacing w:val="-39"/>
        </w:rPr>
        <w:t> </w:t>
      </w:r>
      <w:r>
        <w:rPr>
          <w:spacing w:val="-1"/>
        </w:rPr>
        <w:t>日发布的《关于修</w:t>
      </w:r>
      <w:r>
        <w:rPr/>
        <w:t> 订印发 </w:t>
      </w:r>
      <w:r>
        <w:rPr>
          <w:rFonts w:ascii="宋体" w:hAnsi="宋体" w:cs="宋体" w:eastAsia="宋体" w:hint="default"/>
        </w:rPr>
        <w:t>2018 </w:t>
      </w:r>
      <w:r>
        <w:rPr>
          <w:spacing w:val="-4"/>
        </w:rPr>
        <w:t>年度一般企业财务报表格式的通知》（财会</w:t>
      </w:r>
      <w:r>
        <w:rPr>
          <w:rFonts w:ascii="宋体" w:hAnsi="宋体" w:cs="宋体" w:eastAsia="宋体" w:hint="default"/>
          <w:spacing w:val="-4"/>
        </w:rPr>
        <w:t>[2018]15</w:t>
      </w:r>
      <w:r>
        <w:rPr>
          <w:rFonts w:ascii="宋体" w:hAnsi="宋体" w:cs="宋体" w:eastAsia="宋体" w:hint="default"/>
          <w:spacing w:val="-67"/>
        </w:rPr>
        <w:t> </w:t>
      </w:r>
      <w:r>
        <w:rPr/>
        <w:t>号）及其解读和企业会计准则的要求中关于具体报表项目 </w:t>
      </w:r>
      <w:r>
        <w:rPr>
          <w:spacing w:val="-2"/>
        </w:rPr>
        <w:t>的列示规定：“实际收到的政府补助，无论是与资产相关还是与收益相关，在编制现金流量表时均作为经营活动产生的现金</w:t>
      </w:r>
      <w:r>
        <w:rPr>
          <w:spacing w:val="-65"/>
        </w:rPr>
        <w:t> </w:t>
      </w:r>
      <w:r>
        <w:rPr>
          <w:spacing w:val="-65"/>
        </w:rPr>
      </w:r>
      <w:r>
        <w:rPr>
          <w:spacing w:val="-5"/>
        </w:rPr>
        <w:t>流量列报等。”因此公司将上年实际收到的与资产相关的政府补助</w:t>
      </w:r>
      <w:r>
        <w:rPr>
          <w:spacing w:val="-33"/>
        </w:rPr>
        <w:t> </w:t>
      </w:r>
      <w:r>
        <w:rPr>
          <w:rFonts w:ascii="宋体" w:hAnsi="宋体" w:cs="宋体" w:eastAsia="宋体" w:hint="default"/>
        </w:rPr>
        <w:t>1,680,000.00</w:t>
      </w:r>
      <w:r>
        <w:rPr>
          <w:rFonts w:ascii="宋体" w:hAnsi="宋体" w:cs="宋体" w:eastAsia="宋体" w:hint="default"/>
          <w:spacing w:val="-33"/>
        </w:rPr>
        <w:t> </w:t>
      </w:r>
      <w:r>
        <w:rPr>
          <w:spacing w:val="-3"/>
        </w:rPr>
        <w:t>元在现金流量表中的列报由“收到的其他与</w:t>
      </w:r>
      <w:r>
        <w:rPr>
          <w:spacing w:val="-88"/>
        </w:rPr>
        <w:t> </w:t>
      </w:r>
      <w:r>
        <w:rPr>
          <w:spacing w:val="-88"/>
        </w:rPr>
      </w:r>
      <w:r>
        <w:rPr>
          <w:spacing w:val="12"/>
        </w:rPr>
        <w:t>投资活动有关的现金”调整为“收到的其他与经营活动有关的现金”，将实际收到的与财政贴息款相关的政府</w:t>
      </w:r>
      <w:r>
        <w:rPr>
          <w:spacing w:val="-72"/>
        </w:rPr>
        <w:t> </w:t>
      </w:r>
      <w:r>
        <w:rPr>
          <w:spacing w:val="7"/>
        </w:rPr>
        <w:t>补助</w:t>
      </w:r>
      <w:r>
        <w:rPr>
          <w:spacing w:val="-86"/>
        </w:rPr>
        <w:t> </w:t>
      </w:r>
      <w:r>
        <w:rPr>
          <w:spacing w:val="-86"/>
        </w:rPr>
      </w:r>
      <w:r>
        <w:rPr>
          <w:rFonts w:ascii="宋体" w:hAnsi="宋体" w:cs="宋体" w:eastAsia="宋体" w:hint="default"/>
        </w:rPr>
        <w:t>2,030,000.00</w:t>
      </w:r>
      <w:r>
        <w:rPr>
          <w:rFonts w:ascii="宋体" w:hAnsi="宋体" w:cs="宋体" w:eastAsia="宋体" w:hint="default"/>
          <w:spacing w:val="6"/>
        </w:rPr>
        <w:t> </w:t>
      </w:r>
      <w:r>
        <w:rPr/>
        <w:t>元在现金流量表中的列报由“收到的其他与筹资活动有关的现金”调整为“收到的其他与经营活动有关的现 </w:t>
      </w:r>
      <w:r>
        <w:rPr>
          <w:spacing w:val="-30"/>
        </w:rPr>
        <w:t>金”。</w:t>
      </w:r>
    </w:p>
    <w:p>
      <w:pPr>
        <w:spacing w:line="240" w:lineRule="auto" w:before="5"/>
        <w:rPr>
          <w:rFonts w:ascii="宋体" w:hAnsi="宋体" w:cs="宋体" w:eastAsia="宋体" w:hint="default"/>
          <w:sz w:val="24"/>
          <w:szCs w:val="24"/>
        </w:rPr>
      </w:pPr>
    </w:p>
    <w:p>
      <w:pPr>
        <w:pStyle w:val="Heading2"/>
        <w:spacing w:line="240" w:lineRule="auto"/>
        <w:ind w:right="113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13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270,858,781.35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356,276,248.49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347,652,673.75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362,987,405.51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-4,606,132.81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6,960,516.26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4,920,618.17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-263,036,000.79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-9,408,693.56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5,098,451.36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7,319,023.80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-258,803,730.81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41,442,472.91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-85,663,375.12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93,423,364.21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28,641,331.97</w:t>
            </w:r>
          </w:p>
        </w:tc>
      </w:tr>
    </w:tbl>
    <w:p>
      <w:pPr>
        <w:pStyle w:val="BodyText"/>
        <w:spacing w:line="240" w:lineRule="auto" w:before="51"/>
        <w:ind w:right="1130"/>
        <w:jc w:val="left"/>
      </w:pPr>
      <w:r>
        <w:rPr/>
        <w:t>上述财务指标或其加总数是否与公司已披露季度报告、半年度报告相关财务指标存在重大差异</w:t>
      </w:r>
    </w:p>
    <w:p>
      <w:pPr>
        <w:pStyle w:val="BodyText"/>
        <w:spacing w:line="240" w:lineRule="auto" w:before="116"/>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13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-7,433,728.55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12,892,461.74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-131,508.95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13,704,004.73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11,454,289.54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7,591,650.79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523,404.45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151,254.68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34,799.27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144,089.22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215,408.22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-8,704,259.74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-2,060,800.00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-3,567,229.42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1,156,901.52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2,742,027.10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5,523,113.17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-2,666,632.78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22,340,082.62</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37,688.69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4,692,825.93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3,970,230.03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1,511,762.17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940,386.64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33,950.04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24,031,939.25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18,690,544.86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131" w:firstLine="360"/>
        <w:jc w:val="both"/>
      </w:pPr>
      <w:r>
        <w:rPr/>
        <w:t>消费电子电源和</w:t>
      </w:r>
      <w:r>
        <w:rPr>
          <w:rFonts w:ascii="宋体" w:hAnsi="宋体" w:cs="宋体" w:eastAsia="宋体" w:hint="default"/>
        </w:rPr>
        <w:t>LED</w:t>
      </w:r>
      <w:r>
        <w:rPr/>
        <w:t>电源是公司的传统主业，公司在该领域经过多年的大力发展，已成为全球领先的电源解决方案供应 商和国内电源行业的标志性企业。</w:t>
      </w:r>
    </w:p>
    <w:p>
      <w:pPr>
        <w:pStyle w:val="BodyText"/>
        <w:spacing w:line="316" w:lineRule="auto" w:before="19"/>
        <w:ind w:left="514" w:right="1130" w:firstLine="1"/>
        <w:jc w:val="left"/>
      </w:pPr>
      <w:r>
        <w:rPr>
          <w:rFonts w:ascii="宋体" w:hAnsi="宋体" w:cs="宋体" w:eastAsia="宋体" w:hint="default"/>
          <w:b/>
          <w:bCs/>
        </w:rPr>
        <w:t>消费电子类电源方面：</w:t>
      </w:r>
      <w:r>
        <w:rPr>
          <w:rFonts w:ascii="宋体" w:hAnsi="宋体" w:cs="宋体" w:eastAsia="宋体" w:hint="default"/>
          <w:b/>
          <w:bCs/>
          <w:w w:val="99"/>
        </w:rPr>
        <w:t> </w:t>
      </w:r>
      <w:r>
        <w:rPr>
          <w:spacing w:val="-2"/>
        </w:rPr>
        <w:t>消费电子类电源是指为各类消费电子产品提供所需电力的装置，属于消费电子产品必需配件，广泛应用于移动终端、家</w:t>
      </w:r>
    </w:p>
    <w:p>
      <w:pPr>
        <w:pStyle w:val="BodyText"/>
        <w:spacing w:line="316" w:lineRule="auto" w:before="19"/>
        <w:ind w:left="514" w:right="1122" w:hanging="360"/>
        <w:jc w:val="left"/>
      </w:pPr>
      <w:r>
        <w:rPr/>
        <w:t>庭娱乐及应用领域。 公司消费电子类电源产品应用领域涵盖网络通信、安防、移动终端、医疗器械、电动工具、小家电、</w:t>
      </w:r>
      <w:r>
        <w:rPr>
          <w:rFonts w:ascii="宋体" w:hAnsi="宋体" w:cs="宋体" w:eastAsia="宋体" w:hint="default"/>
        </w:rPr>
        <w:t>POS</w:t>
      </w:r>
      <w:r>
        <w:rPr/>
        <w:t>机、打印机、</w:t>
      </w:r>
    </w:p>
    <w:p>
      <w:pPr>
        <w:pStyle w:val="BodyText"/>
        <w:spacing w:line="316" w:lineRule="auto" w:before="19"/>
        <w:ind w:right="1129"/>
        <w:jc w:val="both"/>
      </w:pPr>
      <w:r>
        <w:rPr/>
        <w:t>打标机、无人机等，尤其在高端机顶盒电源市场方面在全球占有领先地位。经过多年的积累</w:t>
      </w:r>
      <w:r>
        <w:rPr>
          <w:rFonts w:ascii="宋体" w:hAnsi="宋体" w:cs="宋体" w:eastAsia="宋体" w:hint="default"/>
        </w:rPr>
        <w:t>,</w:t>
      </w:r>
      <w:r>
        <w:rPr/>
        <w:t>公司已迅速成长为消费电子类</w:t>
      </w:r>
      <w:r>
        <w:rPr>
          <w:spacing w:val="-82"/>
        </w:rPr>
        <w:t> </w:t>
      </w:r>
      <w:r>
        <w:rPr>
          <w:spacing w:val="-82"/>
        </w:rPr>
      </w:r>
      <w:r>
        <w:rPr>
          <w:spacing w:val="-2"/>
        </w:rPr>
        <w:t>电源行业的知名企业，公司凭借先进的科技含量、优质的产品质量和快速响应客户需求的能力，形成了自己稳定的大客户群</w:t>
      </w:r>
      <w:r>
        <w:rPr>
          <w:spacing w:val="-66"/>
        </w:rPr>
        <w:t> </w:t>
      </w:r>
      <w:r>
        <w:rPr>
          <w:spacing w:val="-66"/>
        </w:rPr>
      </w:r>
      <w:r>
        <w:rPr/>
        <w:t>体，在消费电子类电源领域，公司市场份额不断扩大，并且公司与法国萨基姆</w:t>
      </w:r>
      <w:r>
        <w:rPr>
          <w:rFonts w:ascii="宋体" w:hAnsi="宋体" w:cs="宋体" w:eastAsia="宋体" w:hint="default"/>
        </w:rPr>
        <w:t>SAGEMCOM</w:t>
      </w:r>
      <w:r>
        <w:rPr/>
        <w:t>、印度</w:t>
      </w:r>
      <w:r>
        <w:rPr>
          <w:rFonts w:ascii="宋体" w:hAnsi="宋体" w:cs="宋体" w:eastAsia="宋体" w:hint="default"/>
        </w:rPr>
        <w:t>TATA</w:t>
      </w:r>
      <w:r>
        <w:rPr/>
        <w:t>、韩国</w:t>
      </w:r>
      <w:r>
        <w:rPr>
          <w:rFonts w:ascii="宋体" w:hAnsi="宋体" w:cs="宋体" w:eastAsia="宋体" w:hint="default"/>
        </w:rPr>
        <w:t>Kaonmedia</w:t>
      </w:r>
      <w:r>
        <w:rPr/>
        <w:t>、德国</w:t>
      </w:r>
      <w:r>
        <w:rPr>
          <w:spacing w:val="-83"/>
        </w:rPr>
        <w:t> </w:t>
      </w:r>
      <w:r>
        <w:rPr>
          <w:rFonts w:ascii="宋体" w:hAnsi="宋体" w:cs="宋体" w:eastAsia="宋体" w:hint="default"/>
          <w:spacing w:val="-2"/>
        </w:rPr>
        <w:t>Dewert</w:t>
      </w:r>
      <w:r>
        <w:rPr>
          <w:spacing w:val="-2"/>
        </w:rPr>
        <w:t>等世界知名企业保持长期合作，报告期内，公司在电工工具领域及激光打印机领域已经取得了与世界五百强企业的合</w:t>
      </w:r>
      <w:r>
        <w:rPr>
          <w:spacing w:val="-58"/>
        </w:rPr>
        <w:t> </w:t>
      </w:r>
      <w:r>
        <w:rPr>
          <w:spacing w:val="-58"/>
        </w:rPr>
      </w:r>
      <w:r>
        <w:rPr/>
        <w:t>作。</w:t>
      </w:r>
    </w:p>
    <w:p>
      <w:pPr>
        <w:pStyle w:val="BodyText"/>
        <w:spacing w:line="316" w:lineRule="auto" w:before="19"/>
        <w:ind w:right="1130" w:firstLine="360"/>
        <w:jc w:val="both"/>
      </w:pPr>
      <w:r>
        <w:rPr/>
        <w:t>报告期内，公司研发中心立项与开发了</w:t>
      </w:r>
      <w:r>
        <w:rPr>
          <w:rFonts w:ascii="宋体" w:hAnsi="宋体" w:cs="宋体" w:eastAsia="宋体" w:hint="default"/>
        </w:rPr>
        <w:t>5W~150W</w:t>
      </w:r>
      <w:r>
        <w:rPr/>
        <w:t>等一系列标准型产品，完成了真正意义标准品系列的定义与发布，同时 突破并完成了由中小功率产品向大功率产品的开发升级（最大达到</w:t>
      </w:r>
      <w:r>
        <w:rPr>
          <w:rFonts w:ascii="宋体" w:hAnsi="宋体" w:cs="宋体" w:eastAsia="宋体" w:hint="default"/>
        </w:rPr>
        <w:t>2500W</w:t>
      </w:r>
      <w:r>
        <w:rPr/>
        <w:t>激光设备电源），逐步完善了公司单个功能电源到</w:t>
      </w:r>
      <w:r>
        <w:rPr>
          <w:spacing w:val="-82"/>
        </w:rPr>
        <w:t> </w:t>
      </w:r>
      <w:r>
        <w:rPr>
          <w:spacing w:val="-82"/>
        </w:rPr>
      </w:r>
      <w:r>
        <w:rPr>
          <w:spacing w:val="-2"/>
        </w:rPr>
        <w:t>智能系统的多元化产品。公司将坚决执行“一个中心、两个重点”的发展战略，即以客户满意为中心，重点抓公司系列产品</w:t>
      </w:r>
      <w:r>
        <w:rPr>
          <w:spacing w:val="-67"/>
        </w:rPr>
        <w:t> </w:t>
      </w:r>
      <w:r>
        <w:rPr>
          <w:spacing w:val="-67"/>
        </w:rPr>
      </w:r>
      <w:r>
        <w:rPr/>
        <w:t>的标准化、重点抓</w:t>
      </w:r>
      <w:r>
        <w:rPr>
          <w:rFonts w:ascii="宋体" w:hAnsi="宋体" w:cs="宋体" w:eastAsia="宋体" w:hint="default"/>
        </w:rPr>
        <w:t>VIP</w:t>
      </w:r>
      <w:r>
        <w:rPr/>
        <w:t>客户定制产品的个性化。通过中小功率产品的标准化（针对不同应用领域），来实现设计优化、成本</w:t>
      </w:r>
      <w:r>
        <w:rPr>
          <w:spacing w:val="-83"/>
        </w:rPr>
        <w:t> </w:t>
      </w:r>
      <w:r>
        <w:rPr>
          <w:spacing w:val="-83"/>
        </w:rPr>
      </w:r>
      <w:r>
        <w:rPr/>
        <w:t>优化、工艺优化、品质优化，从而保障公司基本面的市场竞争能力；通过</w:t>
      </w:r>
      <w:r>
        <w:rPr>
          <w:rFonts w:ascii="宋体" w:hAnsi="宋体" w:cs="宋体" w:eastAsia="宋体" w:hint="default"/>
        </w:rPr>
        <w:t>VIP</w:t>
      </w:r>
      <w:r>
        <w:rPr/>
        <w:t>客户定制产品的个性化来实现性价比最高产品</w:t>
      </w:r>
      <w:r>
        <w:rPr>
          <w:spacing w:val="-83"/>
        </w:rPr>
        <w:t> </w:t>
      </w:r>
      <w:r>
        <w:rPr>
          <w:spacing w:val="-83"/>
        </w:rPr>
      </w:r>
      <w:r>
        <w:rPr/>
        <w:t>的输出，从而提升公司盈利能力，为股东创造利润。</w:t>
      </w:r>
    </w:p>
    <w:p>
      <w:pPr>
        <w:pStyle w:val="BodyText"/>
        <w:spacing w:line="316" w:lineRule="auto" w:before="19"/>
        <w:ind w:left="514" w:right="1032" w:firstLine="1"/>
        <w:jc w:val="left"/>
      </w:pPr>
      <w:r>
        <w:rPr>
          <w:rFonts w:ascii="宋体" w:hAnsi="宋体" w:cs="宋体" w:eastAsia="宋体" w:hint="default"/>
          <w:b/>
          <w:bCs/>
        </w:rPr>
        <w:t>LED</w:t>
      </w:r>
      <w:r>
        <w:rPr>
          <w:rFonts w:ascii="宋体" w:hAnsi="宋体" w:cs="宋体" w:eastAsia="宋体" w:hint="default"/>
          <w:b/>
          <w:bCs/>
        </w:rPr>
        <w:t>电源方面：</w:t>
      </w:r>
      <w:r>
        <w:rPr>
          <w:rFonts w:ascii="宋体" w:hAnsi="宋体" w:cs="宋体" w:eastAsia="宋体" w:hint="default"/>
          <w:b/>
          <w:bCs/>
          <w:w w:val="99"/>
        </w:rPr>
        <w:t> </w:t>
      </w:r>
      <w:r>
        <w:rPr>
          <w:rFonts w:ascii="宋体" w:hAnsi="宋体" w:cs="宋体" w:eastAsia="宋体" w:hint="default"/>
        </w:rPr>
        <w:t>LED</w:t>
      </w:r>
      <w:r>
        <w:rPr/>
        <w:t>驱动电源是把电源供应转换为特定的电压电流以驱动</w:t>
      </w:r>
      <w:r>
        <w:rPr>
          <w:rFonts w:ascii="宋体" w:hAnsi="宋体" w:cs="宋体" w:eastAsia="宋体" w:hint="default"/>
        </w:rPr>
        <w:t>LED</w:t>
      </w:r>
      <w:r>
        <w:rPr/>
        <w:t>发光的电力转换器，大功率</w:t>
      </w:r>
      <w:r>
        <w:rPr>
          <w:rFonts w:ascii="宋体" w:hAnsi="宋体" w:cs="宋体" w:eastAsia="宋体" w:hint="default"/>
        </w:rPr>
        <w:t>LED</w:t>
      </w:r>
      <w:r>
        <w:rPr/>
        <w:t>驱动电源主要用于</w:t>
      </w:r>
      <w:r>
        <w:rPr>
          <w:rFonts w:ascii="宋体" w:hAnsi="宋体" w:cs="宋体" w:eastAsia="宋体" w:hint="default"/>
        </w:rPr>
        <w:t>LED</w:t>
      </w:r>
      <w:r>
        <w:rPr/>
        <w:t>路灯、</w:t>
      </w:r>
    </w:p>
    <w:p>
      <w:pPr>
        <w:pStyle w:val="BodyText"/>
        <w:spacing w:line="316" w:lineRule="auto" w:before="19"/>
        <w:ind w:right="1130"/>
        <w:jc w:val="both"/>
      </w:pPr>
      <w:r>
        <w:rPr/>
        <w:t>隧道灯、工矿灯、地铁（轻轨）灯及景观亮化等户外大功率</w:t>
      </w:r>
      <w:r>
        <w:rPr>
          <w:rFonts w:ascii="宋体" w:hAnsi="宋体" w:cs="宋体" w:eastAsia="宋体" w:hint="default"/>
        </w:rPr>
        <w:t>LED</w:t>
      </w:r>
      <w:r>
        <w:rPr/>
        <w:t>照明设备等，其功能是将交流电转换成直流电，同时完成与</w:t>
      </w:r>
      <w:r>
        <w:rPr>
          <w:spacing w:val="-82"/>
        </w:rPr>
        <w:t> </w:t>
      </w:r>
      <w:r>
        <w:rPr>
          <w:spacing w:val="-82"/>
        </w:rPr>
      </w:r>
      <w:r>
        <w:rPr/>
        <w:t>大功率</w:t>
      </w:r>
      <w:r>
        <w:rPr>
          <w:rFonts w:ascii="宋体" w:hAnsi="宋体" w:cs="宋体" w:eastAsia="宋体" w:hint="default"/>
        </w:rPr>
        <w:t>LED</w:t>
      </w:r>
      <w:r>
        <w:rPr/>
        <w:t>电压与电流的匹配。</w:t>
      </w:r>
    </w:p>
    <w:p>
      <w:pPr>
        <w:pStyle w:val="BodyText"/>
        <w:spacing w:line="316" w:lineRule="auto" w:before="19"/>
        <w:ind w:right="1032" w:firstLine="360"/>
        <w:jc w:val="left"/>
      </w:pPr>
      <w:r>
        <w:rPr/>
        <w:t>公司</w:t>
      </w:r>
      <w:r>
        <w:rPr>
          <w:rFonts w:ascii="宋体" w:hAnsi="宋体" w:cs="宋体" w:eastAsia="宋体" w:hint="default"/>
        </w:rPr>
        <w:t>LED</w:t>
      </w:r>
      <w:r>
        <w:rPr/>
        <w:t>智能驱动电源产品应用领域主要涵盖了工业照明、道路照明、景观照明、轨道交通照明等领域，经过多年的发 展，已经成为了我国最具有影响力的大功率</w:t>
      </w:r>
      <w:r>
        <w:rPr>
          <w:rFonts w:ascii="宋体" w:hAnsi="宋体" w:cs="宋体" w:eastAsia="宋体" w:hint="default"/>
        </w:rPr>
        <w:t>LED</w:t>
      </w:r>
      <w:r>
        <w:rPr/>
        <w:t>路灯高可靠智能驱动解决方案提供商，在道路照明应用领域一直处于行业领</w:t>
      </w:r>
      <w:r>
        <w:rPr>
          <w:spacing w:val="-83"/>
        </w:rPr>
        <w:t> </w:t>
      </w:r>
      <w:r>
        <w:rPr>
          <w:spacing w:val="-83"/>
        </w:rPr>
      </w:r>
      <w:r>
        <w:rPr>
          <w:spacing w:val="-2"/>
        </w:rPr>
        <w:t>先地位。公司</w:t>
      </w:r>
      <w:r>
        <w:rPr>
          <w:rFonts w:ascii="宋体" w:hAnsi="宋体" w:cs="宋体" w:eastAsia="宋体" w:hint="default"/>
          <w:spacing w:val="-2"/>
        </w:rPr>
        <w:t>LED</w:t>
      </w:r>
      <w:r>
        <w:rPr>
          <w:spacing w:val="-2"/>
        </w:rPr>
        <w:t>业务方面以大功率驱动电源为主；同时深耕细分，深度挖掘有潜力的细分市场，如城市轨道交通公共照明；</w:t>
      </w:r>
      <w:r>
        <w:rPr>
          <w:spacing w:val="-62"/>
        </w:rPr>
        <w:t> </w:t>
      </w:r>
      <w:r>
        <w:rPr>
          <w:spacing w:val="-62"/>
        </w:rPr>
      </w:r>
      <w:r>
        <w:rPr/>
        <w:t>坚持多元化发展，除以道路照明为主外，兼顾工业、景观照明及城市轨道交通照明，同时根据市场发展需求，拓展了</w:t>
      </w:r>
      <w:r>
        <w:rPr>
          <w:rFonts w:ascii="宋体" w:hAnsi="宋体" w:cs="宋体" w:eastAsia="宋体" w:hint="default"/>
        </w:rPr>
        <w:t>LED</w:t>
      </w:r>
      <w:r>
        <w:rPr/>
        <w:t>显</w:t>
      </w:r>
      <w:r>
        <w:rPr>
          <w:spacing w:val="-81"/>
        </w:rPr>
        <w:t> </w:t>
      </w:r>
      <w:r>
        <w:rPr/>
        <w:t>示屏及植物照明智能驱动应用领域。通过差异化竞争、提升产品附加值等方式进入竞争的蓝海，同时，顺应行业发展大势， 重新定位，将茂硕电子打造成一家智能物联网</w:t>
      </w:r>
      <w:r>
        <w:rPr>
          <w:rFonts w:ascii="宋体" w:hAnsi="宋体" w:cs="宋体" w:eastAsia="宋体" w:hint="default"/>
        </w:rPr>
        <w:t>LED</w:t>
      </w:r>
      <w:r>
        <w:rPr/>
        <w:t>照明解决方案企业，加快布局互联互通智能照明领域。</w:t>
      </w:r>
    </w:p>
    <w:p>
      <w:pPr>
        <w:pStyle w:val="BodyText"/>
        <w:spacing w:line="316" w:lineRule="auto" w:before="19"/>
        <w:ind w:right="1132" w:firstLine="360"/>
        <w:jc w:val="both"/>
      </w:pPr>
      <w:r>
        <w:rPr>
          <w:spacing w:val="-2"/>
        </w:rPr>
        <w:t>由于宏观经济政策及相关行业环境影响，控股子公司深圳茂硕电气有限公司光伏产业的逆变器业务受到冲击，茂硕电气</w:t>
      </w:r>
      <w:r>
        <w:rPr/>
        <w:t> </w:t>
      </w:r>
      <w:r>
        <w:rPr>
          <w:spacing w:val="-2"/>
        </w:rPr>
        <w:t>将转型为专注于研发的科技型公司，全力开拓电源类行业定制技术研发市场，发挥茂硕电气在技术储备、技术创新能力方面</w:t>
      </w:r>
      <w:r>
        <w:rPr>
          <w:spacing w:val="-66"/>
        </w:rPr>
        <w:t> </w:t>
      </w:r>
      <w:r>
        <w:rPr>
          <w:spacing w:val="-66"/>
        </w:rPr>
      </w:r>
      <w:r>
        <w:rPr/>
        <w:t>的优势，并助力公司主营业务消费电源及</w:t>
      </w:r>
      <w:r>
        <w:rPr>
          <w:rFonts w:ascii="宋体" w:hAnsi="宋体" w:cs="宋体" w:eastAsia="宋体" w:hint="default"/>
        </w:rPr>
        <w:t>LED</w:t>
      </w:r>
      <w:r>
        <w:rPr/>
        <w:t>电源方面的研发。</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after="0" w:line="240" w:lineRule="auto"/>
        <w:jc w:val="both"/>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华智测控及方正达计提资产减值准备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月完成台州南瑞 </w:t>
            </w:r>
            <w:r>
              <w:rPr>
                <w:rFonts w:ascii="Times New Roman" w:hAnsi="Times New Roman" w:cs="Times New Roman" w:eastAsia="Times New Roman" w:hint="default"/>
                <w:spacing w:val="-3"/>
                <w:sz w:val="18"/>
                <w:szCs w:val="18"/>
              </w:rPr>
              <w:t>100.0%</w:t>
            </w:r>
            <w:r>
              <w:rPr>
                <w:rFonts w:ascii="宋体" w:hAnsi="宋体" w:cs="宋体" w:eastAsia="宋体" w:hint="default"/>
                <w:spacing w:val="-3"/>
                <w:sz w:val="18"/>
                <w:szCs w:val="18"/>
              </w:rPr>
              <w:t>股权出售；</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月公司子公司茂硕电气完成对山西茂硕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26.40%</w:t>
            </w:r>
            <w:r>
              <w:rPr>
                <w:rFonts w:ascii="宋体" w:hAnsi="宋体" w:cs="宋体" w:eastAsia="宋体" w:hint="default"/>
                <w:sz w:val="18"/>
                <w:szCs w:val="18"/>
              </w:rPr>
              <w:t>股权出 售，茂硕电气持股比例由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降至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24.60%</w:t>
            </w:r>
            <w:r>
              <w:rPr>
                <w:rFonts w:ascii="宋体" w:hAnsi="宋体" w:cs="宋体" w:eastAsia="宋体" w:hint="default"/>
                <w:sz w:val="18"/>
                <w:szCs w:val="18"/>
              </w:rPr>
              <w:t>。</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光伏电站计提资产减值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1142.75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08"/>
              <w:jc w:val="left"/>
              <w:rPr>
                <w:rFonts w:ascii="宋体" w:hAnsi="宋体" w:cs="宋体" w:eastAsia="宋体" w:hint="default"/>
                <w:sz w:val="18"/>
                <w:szCs w:val="18"/>
              </w:rPr>
            </w:pPr>
            <w:r>
              <w:rPr>
                <w:rFonts w:ascii="宋体" w:hAnsi="宋体" w:cs="宋体" w:eastAsia="宋体" w:hint="default"/>
                <w:sz w:val="18"/>
                <w:szCs w:val="18"/>
              </w:rPr>
              <w:t>何家边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太阳能光伏电站及罗家边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太阳能光伏电站在建工程计提资 产减值准备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930.83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113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left="514" w:right="1130"/>
        <w:jc w:val="left"/>
      </w:pPr>
      <w:r>
        <w:rPr/>
        <w:t>报告期内，公司通过内生增长，进一步优化在研发技术、产业链延伸等方面的核心竞争力。</w:t>
      </w:r>
    </w:p>
    <w:p>
      <w:pPr>
        <w:pStyle w:val="BodyText"/>
        <w:spacing w:line="319" w:lineRule="auto" w:before="76"/>
        <w:ind w:left="514" w:right="1130"/>
        <w:jc w:val="left"/>
      </w:pPr>
      <w:r>
        <w:rPr/>
        <w:t>（</w:t>
      </w:r>
      <w:r>
        <w:rPr>
          <w:rFonts w:ascii="宋体" w:hAnsi="宋体" w:cs="宋体" w:eastAsia="宋体" w:hint="default"/>
        </w:rPr>
        <w:t>1</w:t>
      </w:r>
      <w:r>
        <w:rPr/>
        <w:t>）业内领先的技术研发能力 </w:t>
      </w:r>
      <w:r>
        <w:rPr>
          <w:spacing w:val="-2"/>
        </w:rPr>
        <w:t>茂硕电源及子公司茂硕电子、茂硕电气、茂硕新能源均是国家级高新技术企业，公司自创立以来，秉承“科技创新、驱</w:t>
      </w:r>
    </w:p>
    <w:p>
      <w:pPr>
        <w:pStyle w:val="BodyText"/>
        <w:spacing w:line="316" w:lineRule="auto" w:before="17"/>
        <w:ind w:right="1131"/>
        <w:jc w:val="both"/>
      </w:pPr>
      <w:r>
        <w:rPr>
          <w:spacing w:val="-2"/>
        </w:rPr>
        <w:t>动未来”的理念，十分重视产品的研发及创新，公司聘请了资深电源专家和国内知名大学共同主导研发，着重加强了产品研</w:t>
      </w:r>
      <w:r>
        <w:rPr>
          <w:spacing w:val="-66"/>
        </w:rPr>
        <w:t> </w:t>
      </w:r>
      <w:r>
        <w:rPr>
          <w:spacing w:val="-66"/>
        </w:rPr>
      </w:r>
      <w:r>
        <w:rPr>
          <w:spacing w:val="-2"/>
        </w:rPr>
        <w:t>发的过程管控，开发设计与客户及供应商紧密配合，使得产品直通率有效提升，缩减了产品开发周期和开发成本，使得产品</w:t>
      </w:r>
      <w:r>
        <w:rPr>
          <w:spacing w:val="-66"/>
        </w:rPr>
        <w:t> </w:t>
      </w:r>
      <w:r>
        <w:rPr>
          <w:spacing w:val="-66"/>
        </w:rPr>
      </w:r>
      <w:r>
        <w:rPr/>
        <w:t>市场竞争力进一步增强。</w:t>
      </w:r>
    </w:p>
    <w:p>
      <w:pPr>
        <w:pStyle w:val="BodyText"/>
        <w:spacing w:line="316" w:lineRule="auto" w:before="19"/>
        <w:ind w:left="514" w:right="1130"/>
        <w:jc w:val="left"/>
      </w:pPr>
      <w:r>
        <w:rPr/>
        <w:t>经过多年的技术攻关和生产实践；公司在研发方面取得了长足的进步： </w:t>
      </w:r>
      <w:r>
        <w:rPr>
          <w:spacing w:val="-2"/>
        </w:rPr>
        <w:t>报告期内，公司</w:t>
      </w:r>
      <w:r>
        <w:rPr>
          <w:rFonts w:ascii="宋体" w:hAnsi="宋体" w:cs="宋体" w:eastAsia="宋体" w:hint="default"/>
          <w:spacing w:val="-2"/>
        </w:rPr>
        <w:t>SPS</w:t>
      </w:r>
      <w:r>
        <w:rPr>
          <w:spacing w:val="-2"/>
        </w:rPr>
        <w:t>消费类电源方面，研发技术骨干开发完成开关电源</w:t>
      </w:r>
      <w:r>
        <w:rPr>
          <w:rFonts w:ascii="宋体" w:hAnsi="宋体" w:cs="宋体" w:eastAsia="宋体" w:hint="default"/>
          <w:spacing w:val="-2"/>
        </w:rPr>
        <w:t>5W~150W</w:t>
      </w:r>
      <w:r>
        <w:rPr>
          <w:spacing w:val="-2"/>
        </w:rPr>
        <w:t>等一系列标准型产品，共完成新产品开发</w:t>
      </w:r>
    </w:p>
    <w:p>
      <w:pPr>
        <w:pStyle w:val="BodyText"/>
        <w:spacing w:line="316" w:lineRule="auto" w:before="19"/>
        <w:ind w:right="1129"/>
        <w:jc w:val="both"/>
      </w:pPr>
      <w:r>
        <w:rPr/>
        <w:t>共</w:t>
      </w:r>
      <w:r>
        <w:rPr>
          <w:rFonts w:ascii="宋体" w:hAnsi="宋体" w:cs="宋体" w:eastAsia="宋体" w:hint="default"/>
        </w:rPr>
        <w:t>18</w:t>
      </w:r>
      <w:r>
        <w:rPr/>
        <w:t>个系列型号；</w:t>
      </w:r>
      <w:r>
        <w:rPr>
          <w:rFonts w:ascii="宋体" w:hAnsi="宋体" w:cs="宋体" w:eastAsia="宋体" w:hint="default"/>
        </w:rPr>
        <w:t>SPS</w:t>
      </w:r>
      <w:r>
        <w:rPr/>
        <w:t>开关电源完成安规认证取证共</w:t>
      </w:r>
      <w:r>
        <w:rPr>
          <w:rFonts w:ascii="宋体" w:hAnsi="宋体" w:cs="宋体" w:eastAsia="宋体" w:hint="default"/>
        </w:rPr>
        <w:t>74</w:t>
      </w:r>
      <w:r>
        <w:rPr/>
        <w:t>个系列，完成多款定制产品的开发设计。</w:t>
      </w:r>
      <w:r>
        <w:rPr>
          <w:rFonts w:ascii="宋体" w:hAnsi="宋体" w:cs="宋体" w:eastAsia="宋体" w:hint="default"/>
        </w:rPr>
        <w:t>2018</w:t>
      </w:r>
      <w:r>
        <w:rPr/>
        <w:t>年公司还拓宽了开关电</w:t>
      </w:r>
      <w:r>
        <w:rPr>
          <w:spacing w:val="-83"/>
        </w:rPr>
        <w:t> </w:t>
      </w:r>
      <w:r>
        <w:rPr>
          <w:spacing w:val="-83"/>
        </w:rPr>
      </w:r>
      <w:r>
        <w:rPr>
          <w:spacing w:val="-2"/>
        </w:rPr>
        <w:t>源产品应用方面新的领域</w:t>
      </w:r>
      <w:r>
        <w:rPr>
          <w:rFonts w:ascii="宋体" w:hAnsi="宋体" w:cs="宋体" w:eastAsia="宋体" w:hint="default"/>
          <w:spacing w:val="-2"/>
        </w:rPr>
        <w:t>:</w:t>
      </w:r>
      <w:r>
        <w:rPr>
          <w:spacing w:val="-2"/>
        </w:rPr>
        <w:t>组织开发了①</w:t>
      </w:r>
      <w:r>
        <w:rPr>
          <w:rFonts w:ascii="宋体" w:hAnsi="宋体" w:cs="宋体" w:eastAsia="宋体" w:hint="default"/>
          <w:spacing w:val="-2"/>
        </w:rPr>
        <w:t>2KW</w:t>
      </w:r>
      <w:r>
        <w:rPr>
          <w:spacing w:val="-2"/>
        </w:rPr>
        <w:t>、</w:t>
      </w:r>
      <w:r>
        <w:rPr>
          <w:rFonts w:ascii="宋体" w:hAnsi="宋体" w:cs="宋体" w:eastAsia="宋体" w:hint="default"/>
          <w:spacing w:val="-2"/>
        </w:rPr>
        <w:t>4KW</w:t>
      </w:r>
      <w:r>
        <w:rPr>
          <w:spacing w:val="-2"/>
        </w:rPr>
        <w:t>激光电源项目；②</w:t>
      </w:r>
      <w:r>
        <w:rPr>
          <w:rFonts w:ascii="宋体" w:hAnsi="宋体" w:cs="宋体" w:eastAsia="宋体" w:hint="default"/>
          <w:spacing w:val="-2"/>
        </w:rPr>
        <w:t>1KW</w:t>
      </w:r>
      <w:r>
        <w:rPr>
          <w:spacing w:val="-2"/>
        </w:rPr>
        <w:t>数字微波电源方面项目；③区块链电源项目；④工业</w:t>
      </w:r>
      <w:r>
        <w:rPr>
          <w:spacing w:val="-57"/>
        </w:rPr>
        <w:t> </w:t>
      </w:r>
      <w:r>
        <w:rPr>
          <w:spacing w:val="-57"/>
        </w:rPr>
      </w:r>
      <w:r>
        <w:rPr/>
        <w:t>控制电源标准品项目；⑤</w:t>
      </w:r>
      <w:r>
        <w:rPr>
          <w:rFonts w:ascii="宋体" w:hAnsi="宋体" w:cs="宋体" w:eastAsia="宋体" w:hint="default"/>
        </w:rPr>
        <w:t>3C</w:t>
      </w:r>
      <w:r>
        <w:rPr/>
        <w:t>周边（快充、</w:t>
      </w:r>
      <w:r>
        <w:rPr>
          <w:rFonts w:ascii="宋体" w:hAnsi="宋体" w:cs="宋体" w:eastAsia="宋体" w:hint="default"/>
        </w:rPr>
        <w:t>PD</w:t>
      </w:r>
      <w:r>
        <w:rPr/>
        <w:t>、车充）电源等，逐步完善了公司单个功能电源到智能系统的多元化产品。</w:t>
      </w:r>
    </w:p>
    <w:p>
      <w:pPr>
        <w:pStyle w:val="BodyText"/>
        <w:spacing w:line="316" w:lineRule="auto" w:before="19"/>
        <w:ind w:right="1042" w:firstLine="360"/>
        <w:jc w:val="left"/>
      </w:pPr>
      <w:r>
        <w:rPr/>
        <w:t>报告期内，</w:t>
      </w:r>
      <w:r>
        <w:rPr>
          <w:spacing w:val="-47"/>
        </w:rPr>
        <w:t> </w:t>
      </w:r>
      <w:r>
        <w:rPr>
          <w:rFonts w:ascii="宋体" w:hAnsi="宋体" w:cs="宋体" w:eastAsia="宋体" w:hint="default"/>
        </w:rPr>
        <w:t>LED</w:t>
      </w:r>
      <w:r>
        <w:rPr/>
        <w:t>驱动电源方面，</w:t>
      </w:r>
      <w:r>
        <w:rPr>
          <w:rFonts w:ascii="宋体" w:hAnsi="宋体" w:cs="宋体" w:eastAsia="宋体" w:hint="default"/>
        </w:rPr>
        <w:t>2018</w:t>
      </w:r>
      <w:r>
        <w:rPr/>
        <w:t>年产品发展有两个方向，一方面持续扩大现有优势，深耕户外电源市场和区域照明 </w:t>
      </w:r>
      <w:r>
        <w:rPr>
          <w:spacing w:val="-2"/>
        </w:rPr>
        <w:t>市场，着重提升性价比的优化，推出了</w:t>
      </w:r>
      <w:r>
        <w:rPr>
          <w:rFonts w:ascii="宋体" w:hAnsi="宋体" w:cs="宋体" w:eastAsia="宋体" w:hint="default"/>
          <w:spacing w:val="-2"/>
        </w:rPr>
        <w:t>PHC/MTP/MTN/STN/RTN</w:t>
      </w:r>
      <w:r>
        <w:rPr>
          <w:spacing w:val="-2"/>
        </w:rPr>
        <w:t>等系列新品，</w:t>
      </w:r>
      <w:r>
        <w:rPr>
          <w:rFonts w:ascii="宋体" w:hAnsi="宋体" w:cs="宋体" w:eastAsia="宋体" w:hint="default"/>
          <w:spacing w:val="-2"/>
        </w:rPr>
        <w:t>PHC</w:t>
      </w:r>
      <w:r>
        <w:rPr>
          <w:spacing w:val="-2"/>
        </w:rPr>
        <w:t>系列主要应用于户外路灯场合，尤其是适用于</w:t>
      </w:r>
      <w:r>
        <w:rPr>
          <w:spacing w:val="-44"/>
        </w:rPr>
        <w:t> </w:t>
      </w:r>
      <w:r>
        <w:rPr>
          <w:spacing w:val="-44"/>
        </w:rPr>
      </w:r>
      <w:r>
        <w:rPr>
          <w:spacing w:val="-2"/>
        </w:rPr>
        <w:t>电网不稳定地区，兼顾成本、低谐波、低频闪的性能要求，融合原来的产品系列针对不同客户的需求提供全面的路灯照明解</w:t>
      </w:r>
      <w:r>
        <w:rPr>
          <w:spacing w:val="-66"/>
        </w:rPr>
        <w:t> </w:t>
      </w:r>
      <w:r>
        <w:rPr>
          <w:spacing w:val="-66"/>
        </w:rPr>
      </w:r>
      <w:r>
        <w:rPr/>
        <w:t>决方案；</w:t>
      </w:r>
      <w:r>
        <w:rPr>
          <w:rFonts w:ascii="宋体" w:hAnsi="宋体" w:cs="宋体" w:eastAsia="宋体" w:hint="default"/>
        </w:rPr>
        <w:t>MTP/MTN/STN/RTN</w:t>
      </w:r>
      <w:r>
        <w:rPr/>
        <w:t>这四个系列主要应用于厂房、工矿等工矿照明场合，工矿照明</w:t>
      </w:r>
      <w:r>
        <w:rPr>
          <w:rFonts w:ascii="宋体" w:hAnsi="宋体" w:cs="宋体" w:eastAsia="宋体" w:hint="default"/>
        </w:rPr>
        <w:t>2018</w:t>
      </w:r>
      <w:r>
        <w:rPr/>
        <w:t>年迎来了井喷行情，这四个系</w:t>
      </w:r>
      <w:r>
        <w:rPr>
          <w:spacing w:val="-84"/>
        </w:rPr>
        <w:t> </w:t>
      </w:r>
      <w:r>
        <w:rPr>
          <w:spacing w:val="-84"/>
        </w:rPr>
      </w:r>
      <w:r>
        <w:rPr>
          <w:spacing w:val="-2"/>
        </w:rPr>
        <w:t>列产品是在对客户、地域需求的深度理解后规划开发出来的产品，可以分别满足客户现在和将来产品升级的期望，且满足北</w:t>
      </w:r>
      <w:r>
        <w:rPr>
          <w:spacing w:val="-66"/>
        </w:rPr>
        <w:t> </w:t>
      </w:r>
      <w:r>
        <w:rPr>
          <w:spacing w:val="-66"/>
        </w:rPr>
      </w:r>
      <w:r>
        <w:rPr>
          <w:spacing w:val="-4"/>
        </w:rPr>
        <w:t>美、欧洲及亚太地区不同的产品需求，通过结构及功能的创新大大提升产品的竞争力，同时在行业中首次采用数字编程技术，</w:t>
      </w:r>
      <w:r>
        <w:rPr>
          <w:spacing w:val="-43"/>
        </w:rPr>
        <w:t> </w:t>
      </w:r>
      <w:r>
        <w:rPr>
          <w:spacing w:val="-43"/>
        </w:rPr>
      </w:r>
      <w:r>
        <w:rPr/>
        <w:t>大大提升产品的标准化程度，给客户在使用上带来极大的便利；另一方面深度和智能技术结合，积极参与前沿技术的研究， 配合国家半导体照明工程研发及产业联盟主导的行业标准研究，参与制定了《基于</w:t>
      </w:r>
      <w:r>
        <w:rPr>
          <w:rFonts w:ascii="宋体" w:hAnsi="宋体" w:cs="宋体" w:eastAsia="宋体" w:hint="default"/>
        </w:rPr>
        <w:t>NB-IoT </w:t>
      </w:r>
      <w:r>
        <w:rPr/>
        <w:t>技术的道路照明控制终端接口要</w:t>
      </w:r>
      <w:r>
        <w:rPr>
          <w:spacing w:val="-83"/>
        </w:rPr>
        <w:t> </w:t>
      </w:r>
      <w:r>
        <w:rPr>
          <w:spacing w:val="-83"/>
        </w:rPr>
      </w:r>
      <w:r>
        <w:rPr/>
        <w:t>求》和《景观照明用</w:t>
      </w:r>
      <w:r>
        <w:rPr>
          <w:rFonts w:ascii="宋体" w:hAnsi="宋体" w:cs="宋体" w:eastAsia="宋体" w:hint="default"/>
        </w:rPr>
        <w:t>LED</w:t>
      </w:r>
      <w:r>
        <w:rPr/>
        <w:t>驱动电源通用技术规范》两项标准，并基于</w:t>
      </w:r>
      <w:r>
        <w:rPr>
          <w:rFonts w:ascii="宋体" w:hAnsi="宋体" w:cs="宋体" w:eastAsia="宋体" w:hint="default"/>
        </w:rPr>
        <w:t>NB-IOT</w:t>
      </w:r>
      <w:r>
        <w:rPr/>
        <w:t>技术开发了一体化的智能电源，提升公司在智能</w:t>
      </w:r>
      <w:r>
        <w:rPr>
          <w:spacing w:val="-83"/>
        </w:rPr>
        <w:t> </w:t>
      </w:r>
      <w:r>
        <w:rPr>
          <w:spacing w:val="-83"/>
        </w:rPr>
      </w:r>
      <w:r>
        <w:rPr/>
        <w:t>物联网领域的影响力。</w:t>
      </w:r>
    </w:p>
    <w:p>
      <w:pPr>
        <w:pStyle w:val="BodyText"/>
        <w:spacing w:line="316" w:lineRule="auto" w:before="19"/>
        <w:ind w:left="514" w:right="1130"/>
        <w:jc w:val="left"/>
      </w:pPr>
      <w:r>
        <w:rPr/>
        <w:t>（</w:t>
      </w:r>
      <w:r>
        <w:rPr>
          <w:rFonts w:ascii="宋体" w:hAnsi="宋体" w:cs="宋体" w:eastAsia="宋体" w:hint="default"/>
        </w:rPr>
        <w:t>2</w:t>
      </w:r>
      <w:r>
        <w:rPr/>
        <w:t>）产品质量优势 </w:t>
      </w:r>
      <w:r>
        <w:rPr>
          <w:spacing w:val="-2"/>
        </w:rPr>
        <w:t>公司始终坚持“卓越设计、稳定可靠；持续改进，客户满意”的质量方针，对产品的质量方面严格把关，专业的品质中</w:t>
      </w:r>
    </w:p>
    <w:p>
      <w:pPr>
        <w:pStyle w:val="BodyText"/>
        <w:spacing w:line="316" w:lineRule="auto" w:before="19"/>
        <w:ind w:right="1130"/>
        <w:jc w:val="both"/>
      </w:pPr>
      <w:r>
        <w:rPr/>
        <w:t>心负责实施质量管理体系工作，按照国际质量体系标准，实行涵盖整个公司业务的质量管理控制。公司及子公司先后通过</w:t>
      </w:r>
      <w:r>
        <w:rPr>
          <w:spacing w:val="-9"/>
        </w:rPr>
        <w:t> </w:t>
      </w:r>
      <w:r>
        <w:rPr>
          <w:spacing w:val="-9"/>
        </w:rPr>
      </w:r>
      <w:r>
        <w:rPr>
          <w:rFonts w:ascii="宋体" w:hAnsi="宋体" w:cs="宋体" w:eastAsia="宋体" w:hint="default"/>
        </w:rPr>
        <w:t>ISO9001</w:t>
      </w:r>
      <w:r>
        <w:rPr/>
        <w:t>质量管理体系认证、</w:t>
      </w:r>
      <w:r>
        <w:rPr>
          <w:rFonts w:ascii="宋体" w:hAnsi="宋体" w:cs="宋体" w:eastAsia="宋体" w:hint="default"/>
        </w:rPr>
        <w:t>ISO14001</w:t>
      </w:r>
      <w:r>
        <w:rPr/>
        <w:t>环境管理体系认证及</w:t>
      </w:r>
      <w:r>
        <w:rPr>
          <w:rFonts w:ascii="宋体" w:hAnsi="宋体" w:cs="宋体" w:eastAsia="宋体" w:hint="default"/>
        </w:rPr>
        <w:t>ISO45001</w:t>
      </w:r>
      <w:r>
        <w:rPr/>
        <w:t>职业健康安全体系认证，同时，公司已取得世界权威机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构颁发的</w:t>
      </w:r>
      <w:r>
        <w:rPr>
          <w:rFonts w:ascii="宋体" w:hAnsi="宋体" w:cs="宋体" w:eastAsia="宋体" w:hint="default"/>
          <w:spacing w:val="-2"/>
        </w:rPr>
        <w:t>UL</w:t>
      </w:r>
      <w:r>
        <w:rPr>
          <w:spacing w:val="-2"/>
        </w:rPr>
        <w:t>、</w:t>
      </w:r>
      <w:r>
        <w:rPr>
          <w:rFonts w:ascii="宋体" w:hAnsi="宋体" w:cs="宋体" w:eastAsia="宋体" w:hint="default"/>
          <w:spacing w:val="-2"/>
        </w:rPr>
        <w:t>C-UL</w:t>
      </w:r>
      <w:r>
        <w:rPr>
          <w:spacing w:val="-2"/>
        </w:rPr>
        <w:t>、</w:t>
      </w:r>
      <w:r>
        <w:rPr>
          <w:rFonts w:ascii="宋体" w:hAnsi="宋体" w:cs="宋体" w:eastAsia="宋体" w:hint="default"/>
          <w:spacing w:val="-2"/>
        </w:rPr>
        <w:t>GS</w:t>
      </w:r>
      <w:r>
        <w:rPr>
          <w:spacing w:val="-2"/>
        </w:rPr>
        <w:t>、</w:t>
      </w:r>
      <w:r>
        <w:rPr>
          <w:rFonts w:ascii="宋体" w:hAnsi="宋体" w:cs="宋体" w:eastAsia="宋体" w:hint="default"/>
          <w:spacing w:val="-2"/>
        </w:rPr>
        <w:t>BS</w:t>
      </w:r>
      <w:r>
        <w:rPr>
          <w:spacing w:val="-2"/>
        </w:rPr>
        <w:t>、</w:t>
      </w:r>
      <w:r>
        <w:rPr>
          <w:rFonts w:ascii="宋体" w:hAnsi="宋体" w:cs="宋体" w:eastAsia="宋体" w:hint="default"/>
          <w:spacing w:val="-2"/>
        </w:rPr>
        <w:t>CE</w:t>
      </w:r>
      <w:r>
        <w:rPr>
          <w:spacing w:val="-2"/>
        </w:rPr>
        <w:t>、</w:t>
      </w:r>
      <w:r>
        <w:rPr>
          <w:rFonts w:ascii="宋体" w:hAnsi="宋体" w:cs="宋体" w:eastAsia="宋体" w:hint="default"/>
          <w:spacing w:val="-2"/>
        </w:rPr>
        <w:t>CB</w:t>
      </w:r>
      <w:r>
        <w:rPr>
          <w:spacing w:val="-2"/>
        </w:rPr>
        <w:t>、</w:t>
      </w:r>
      <w:r>
        <w:rPr>
          <w:rFonts w:ascii="宋体" w:hAnsi="宋体" w:cs="宋体" w:eastAsia="宋体" w:hint="default"/>
          <w:spacing w:val="-2"/>
        </w:rPr>
        <w:t>CCC</w:t>
      </w:r>
      <w:r>
        <w:rPr>
          <w:spacing w:val="-2"/>
        </w:rPr>
        <w:t>、</w:t>
      </w:r>
      <w:r>
        <w:rPr>
          <w:rFonts w:ascii="宋体" w:hAnsi="宋体" w:cs="宋体" w:eastAsia="宋体" w:hint="default"/>
          <w:spacing w:val="-2"/>
        </w:rPr>
        <w:t>PSE</w:t>
      </w:r>
      <w:r>
        <w:rPr>
          <w:spacing w:val="-2"/>
        </w:rPr>
        <w:t>、</w:t>
      </w:r>
      <w:r>
        <w:rPr>
          <w:rFonts w:ascii="宋体" w:hAnsi="宋体" w:cs="宋体" w:eastAsia="宋体" w:hint="default"/>
          <w:spacing w:val="-2"/>
        </w:rPr>
        <w:t>KC</w:t>
      </w:r>
      <w:r>
        <w:rPr>
          <w:spacing w:val="-2"/>
        </w:rPr>
        <w:t>、</w:t>
      </w:r>
      <w:r>
        <w:rPr>
          <w:rFonts w:ascii="宋体" w:hAnsi="宋体" w:cs="宋体" w:eastAsia="宋体" w:hint="default"/>
          <w:spacing w:val="-2"/>
        </w:rPr>
        <w:t>PSE</w:t>
      </w:r>
      <w:r>
        <w:rPr>
          <w:spacing w:val="-2"/>
        </w:rPr>
        <w:t>、</w:t>
      </w:r>
      <w:r>
        <w:rPr>
          <w:rFonts w:ascii="宋体" w:hAnsi="宋体" w:cs="宋体" w:eastAsia="宋体" w:hint="default"/>
          <w:spacing w:val="-2"/>
        </w:rPr>
        <w:t>ENEC</w:t>
      </w:r>
      <w:r>
        <w:rPr>
          <w:spacing w:val="-2"/>
        </w:rPr>
        <w:t>、</w:t>
      </w:r>
      <w:r>
        <w:rPr>
          <w:rFonts w:ascii="宋体" w:hAnsi="宋体" w:cs="宋体" w:eastAsia="宋体" w:hint="default"/>
          <w:spacing w:val="-2"/>
        </w:rPr>
        <w:t>SAA</w:t>
      </w:r>
      <w:r>
        <w:rPr>
          <w:spacing w:val="-2"/>
        </w:rPr>
        <w:t>等多个国家和地区的安全认证。公司所有电源产品完</w:t>
      </w:r>
      <w:r>
        <w:rPr>
          <w:spacing w:val="-39"/>
        </w:rPr>
        <w:t> </w:t>
      </w:r>
      <w:r>
        <w:rPr>
          <w:spacing w:val="-39"/>
        </w:rPr>
      </w:r>
      <w:r>
        <w:rPr/>
        <w:t>全满足世界最新能效标准和欧盟</w:t>
      </w:r>
      <w:r>
        <w:rPr>
          <w:rFonts w:ascii="宋体" w:hAnsi="宋体" w:cs="宋体" w:eastAsia="宋体" w:hint="default"/>
        </w:rPr>
        <w:t>ROHS</w:t>
      </w:r>
      <w:r>
        <w:rPr/>
        <w:t>环保要求。</w:t>
      </w:r>
    </w:p>
    <w:p>
      <w:pPr>
        <w:pStyle w:val="BodyText"/>
        <w:spacing w:line="319" w:lineRule="auto" w:before="19"/>
        <w:ind w:right="1130" w:firstLine="360"/>
        <w:jc w:val="both"/>
      </w:pPr>
      <w:r>
        <w:rPr>
          <w:spacing w:val="-2"/>
        </w:rPr>
        <w:t>对于品质近乎苛刻的要求是茂硕人坚持不懈的追求，茂硕拥有总占地面积</w:t>
      </w:r>
      <w:r>
        <w:rPr>
          <w:rFonts w:ascii="宋体" w:hAnsi="宋体" w:cs="宋体" w:eastAsia="宋体" w:hint="default"/>
          <w:spacing w:val="-2"/>
        </w:rPr>
        <w:t>1000</w:t>
      </w:r>
      <w:r>
        <w:rPr>
          <w:spacing w:val="-2"/>
        </w:rPr>
        <w:t>多平方米、投资超过</w:t>
      </w:r>
      <w:r>
        <w:rPr>
          <w:rFonts w:ascii="宋体" w:hAnsi="宋体" w:cs="宋体" w:eastAsia="宋体" w:hint="default"/>
          <w:spacing w:val="-2"/>
        </w:rPr>
        <w:t>3000</w:t>
      </w:r>
      <w:r>
        <w:rPr>
          <w:spacing w:val="-2"/>
        </w:rPr>
        <w:t>万元的国家级第</w:t>
      </w:r>
      <w:r>
        <w:rPr/>
        <w:t> </w:t>
      </w:r>
      <w:r>
        <w:rPr>
          <w:spacing w:val="-2"/>
        </w:rPr>
        <w:t>三方检测中心，全面导入</w:t>
      </w:r>
      <w:r>
        <w:rPr>
          <w:rFonts w:ascii="宋体" w:hAnsi="宋体" w:cs="宋体" w:eastAsia="宋体" w:hint="default"/>
          <w:spacing w:val="-2"/>
        </w:rPr>
        <w:t>CNAS</w:t>
      </w:r>
      <w:r>
        <w:rPr>
          <w:spacing w:val="-2"/>
        </w:rPr>
        <w:t>实验室管理体系。该检测中心被认定为深圳市企业技术中心，承担了多个省市级重大技术攻关</w:t>
      </w:r>
      <w:r>
        <w:rPr>
          <w:spacing w:val="-62"/>
        </w:rPr>
        <w:t> </w:t>
      </w:r>
      <w:r>
        <w:rPr>
          <w:spacing w:val="-62"/>
        </w:rPr>
      </w:r>
      <w:r>
        <w:rPr/>
        <w:t>项目。</w:t>
      </w:r>
    </w:p>
    <w:p>
      <w:pPr>
        <w:pStyle w:val="BodyText"/>
        <w:spacing w:line="316" w:lineRule="auto" w:before="17"/>
        <w:ind w:left="514" w:right="1130"/>
        <w:jc w:val="left"/>
      </w:pPr>
      <w:r>
        <w:rPr/>
        <w:t>（</w:t>
      </w:r>
      <w:r>
        <w:rPr>
          <w:rFonts w:ascii="宋体" w:hAnsi="宋体" w:cs="宋体" w:eastAsia="宋体" w:hint="default"/>
        </w:rPr>
        <w:t>3</w:t>
      </w:r>
      <w:r>
        <w:rPr/>
        <w:t>）品牌影响力 </w:t>
      </w:r>
      <w:r>
        <w:rPr>
          <w:spacing w:val="-2"/>
        </w:rPr>
        <w:t>品牌是企业的软实力，更是企业的核心竞争力。公司一直把建立和完善企业的品牌形象做为长期发展战略的重要组成部</w:t>
      </w:r>
    </w:p>
    <w:p>
      <w:pPr>
        <w:pStyle w:val="BodyText"/>
        <w:spacing w:line="316" w:lineRule="auto" w:before="19"/>
        <w:ind w:right="1130"/>
        <w:jc w:val="left"/>
      </w:pPr>
      <w:r>
        <w:rPr>
          <w:spacing w:val="-2"/>
        </w:rPr>
        <w:t>分，公司以“品牌电源、诚信共赢”为基调，紧紧围绕品牌定位、品牌差异化、品牌可持续、品牌文化等四大方面，整合内</w:t>
      </w:r>
      <w:r>
        <w:rPr>
          <w:spacing w:val="-69"/>
        </w:rPr>
        <w:t> </w:t>
      </w:r>
      <w:r>
        <w:rPr>
          <w:spacing w:val="-69"/>
        </w:rPr>
      </w:r>
      <w:r>
        <w:rPr/>
        <w:t>外资源，加大对公司、产品、客户等多元化宣传的力度，形成了有效的品牌壁垒。</w:t>
      </w:r>
    </w:p>
    <w:p>
      <w:pPr>
        <w:pStyle w:val="BodyText"/>
        <w:spacing w:line="316" w:lineRule="auto" w:before="19"/>
        <w:ind w:right="1129" w:firstLine="360"/>
        <w:jc w:val="both"/>
      </w:pPr>
      <w:r>
        <w:rPr>
          <w:spacing w:val="-2"/>
        </w:rPr>
        <w:t>公司拥有的“茂硕”及“</w:t>
      </w:r>
      <w:r>
        <w:rPr>
          <w:rFonts w:ascii="宋体" w:hAnsi="宋体" w:cs="宋体" w:eastAsia="宋体" w:hint="default"/>
          <w:spacing w:val="-2"/>
        </w:rPr>
        <w:t>MOSO</w:t>
      </w:r>
      <w:r>
        <w:rPr>
          <w:spacing w:val="-2"/>
        </w:rPr>
        <w:t>”商标被国家工商行政管理总局商标评审委员会认定为『中国驰名商标』，并通过『广东</w:t>
      </w:r>
      <w:r>
        <w:rPr/>
        <w:t> 省著名商标』延续认定，实现自</w:t>
      </w:r>
      <w:r>
        <w:rPr>
          <w:rFonts w:ascii="宋体" w:hAnsi="宋体" w:cs="宋体" w:eastAsia="宋体" w:hint="default"/>
        </w:rPr>
        <w:t>2014</w:t>
      </w:r>
      <w:r>
        <w:rPr/>
        <w:t>年起连续两届获得认定；</w:t>
      </w:r>
      <w:r>
        <w:rPr>
          <w:rFonts w:ascii="宋体" w:hAnsi="宋体" w:cs="宋体" w:eastAsia="宋体" w:hint="default"/>
        </w:rPr>
        <w:t>2018</w:t>
      </w:r>
      <w:r>
        <w:rPr/>
        <w:t>年</w:t>
      </w:r>
      <w:r>
        <w:rPr>
          <w:rFonts w:ascii="宋体" w:hAnsi="宋体" w:cs="宋体" w:eastAsia="宋体" w:hint="default"/>
        </w:rPr>
        <w:t>1</w:t>
      </w:r>
      <w:r>
        <w:rPr/>
        <w:t>月，茂硕电源获“</w:t>
      </w:r>
      <w:r>
        <w:rPr>
          <w:rFonts w:ascii="宋体" w:hAnsi="宋体" w:cs="宋体" w:eastAsia="宋体" w:hint="default"/>
        </w:rPr>
        <w:t>2017</w:t>
      </w:r>
      <w:r>
        <w:rPr/>
        <w:t>年度十大优秀高新技术企业之</w:t>
      </w:r>
      <w:r>
        <w:rPr>
          <w:spacing w:val="-83"/>
        </w:rPr>
        <w:t> </w:t>
      </w:r>
      <w:r>
        <w:rPr>
          <w:spacing w:val="-83"/>
        </w:rPr>
      </w:r>
      <w:r>
        <w:rPr>
          <w:spacing w:val="-2"/>
        </w:rPr>
        <w:t>最具影响力品牌奖”，</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月，公司再次通过高新技术企业认定，本次是公司</w:t>
      </w:r>
      <w:r>
        <w:rPr>
          <w:rFonts w:ascii="宋体" w:hAnsi="宋体" w:cs="宋体" w:eastAsia="宋体" w:hint="default"/>
          <w:spacing w:val="-2"/>
        </w:rPr>
        <w:t>2009</w:t>
      </w:r>
      <w:r>
        <w:rPr>
          <w:spacing w:val="-2"/>
        </w:rPr>
        <w:t>年首次通过国家级高新技术企业资质</w:t>
      </w:r>
      <w:r>
        <w:rPr>
          <w:spacing w:val="-56"/>
        </w:rPr>
        <w:t> </w:t>
      </w:r>
      <w:r>
        <w:rPr/>
        <w:t>认定之后，连续四届获得该项资质认证。</w:t>
      </w:r>
    </w:p>
    <w:p>
      <w:pPr>
        <w:pStyle w:val="BodyText"/>
        <w:spacing w:line="316" w:lineRule="auto" w:before="19"/>
        <w:ind w:left="514" w:right="0"/>
        <w:jc w:val="left"/>
      </w:pPr>
      <w:r>
        <w:rPr>
          <w:spacing w:val="-2"/>
        </w:rPr>
        <w:t>公司研发团队的“无线可编程恒功率</w:t>
      </w:r>
      <w:r>
        <w:rPr>
          <w:rFonts w:ascii="宋体" w:hAnsi="宋体" w:cs="宋体" w:eastAsia="宋体" w:hint="default"/>
          <w:spacing w:val="-2"/>
        </w:rPr>
        <w:t>LED</w:t>
      </w:r>
      <w:r>
        <w:rPr>
          <w:spacing w:val="-2"/>
        </w:rPr>
        <w:t>电源的研发与产业化”科技攻关项目获得了</w:t>
      </w:r>
      <w:r>
        <w:rPr>
          <w:rFonts w:ascii="宋体" w:hAnsi="宋体" w:cs="宋体" w:eastAsia="宋体" w:hint="default"/>
          <w:spacing w:val="-2"/>
        </w:rPr>
        <w:t>2018</w:t>
      </w:r>
      <w:r>
        <w:rPr>
          <w:spacing w:val="-2"/>
        </w:rPr>
        <w:t>年度深圳市科技进步奖二等奖。</w:t>
      </w:r>
      <w:r>
        <w:rPr>
          <w:spacing w:val="-60"/>
        </w:rPr>
        <w:t> </w:t>
      </w:r>
      <w:r>
        <w:rPr/>
        <w:t>“茂硕电源”已成为行业知名品牌，已经得到市场和客户的广泛认可，在同行中已经享有较高的知名度和美誉度。</w:t>
      </w:r>
    </w:p>
    <w:p>
      <w:pPr>
        <w:pStyle w:val="BodyText"/>
        <w:spacing w:line="316" w:lineRule="auto" w:before="19"/>
        <w:ind w:left="514" w:right="1130"/>
        <w:jc w:val="left"/>
      </w:pPr>
      <w:r>
        <w:rPr/>
        <w:t>（</w:t>
      </w:r>
      <w:r>
        <w:rPr>
          <w:rFonts w:ascii="宋体" w:hAnsi="宋体" w:cs="宋体" w:eastAsia="宋体" w:hint="default"/>
        </w:rPr>
        <w:t>4</w:t>
      </w:r>
      <w:r>
        <w:rPr/>
        <w:t>）团队及公司治理优势 </w:t>
      </w:r>
      <w:r>
        <w:rPr>
          <w:spacing w:val="-2"/>
        </w:rPr>
        <w:t>公司大力引进专业型人才，扩招的管理人才基本是在行业的资深人士；管理骨干综合素质高，能对公司的规划制度提出</w:t>
      </w:r>
    </w:p>
    <w:p>
      <w:pPr>
        <w:pStyle w:val="BodyText"/>
        <w:spacing w:line="240" w:lineRule="auto" w:before="19"/>
        <w:ind w:right="1130"/>
        <w:jc w:val="left"/>
      </w:pPr>
      <w:r>
        <w:rPr/>
        <w:t>有效的建议，并高效实施公司的发展战略，维持公司的健康运营。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3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0" w:firstLine="360"/>
        <w:jc w:val="both"/>
      </w:pPr>
      <w:r>
        <w:rPr>
          <w:rFonts w:ascii="Times New Roman" w:hAnsi="Times New Roman" w:cs="Times New Roman" w:eastAsia="Times New Roman" w:hint="default"/>
          <w:spacing w:val="-2"/>
        </w:rPr>
        <w:t>2018</w:t>
      </w:r>
      <w:r>
        <w:rPr>
          <w:spacing w:val="-2"/>
        </w:rPr>
        <w:t>年，全球经济环境错综复杂，美联储加息、新兴市场局部危机、美股剧烈动荡、欧元区内部分化与债务压力、原油</w:t>
      </w:r>
      <w:r>
        <w:rPr/>
        <w:t> </w:t>
      </w:r>
      <w:r>
        <w:rPr>
          <w:spacing w:val="-2"/>
        </w:rPr>
        <w:t>价格的大幅波动，造成主要经济体增长态势进一步疲软分化，国内经济新旧能动转换，经济下行压</w:t>
      </w:r>
      <w:r>
        <w:rPr>
          <w:rFonts w:ascii="Arial" w:hAnsi="Arial" w:cs="Arial" w:eastAsia="Arial" w:hint="default"/>
          <w:spacing w:val="-2"/>
        </w:rPr>
        <w:t>力</w:t>
      </w:r>
      <w:r>
        <w:rPr>
          <w:spacing w:val="-2"/>
        </w:rPr>
        <w:t>进一步加大，经济运行</w:t>
      </w:r>
      <w:r>
        <w:rPr>
          <w:spacing w:val="-66"/>
        </w:rPr>
        <w:t> </w:t>
      </w:r>
      <w:r>
        <w:rPr>
          <w:spacing w:val="-66"/>
        </w:rPr>
      </w:r>
      <w:r>
        <w:rPr/>
        <w:t>稳中有变、变中有忧。</w:t>
      </w:r>
    </w:p>
    <w:p>
      <w:pPr>
        <w:pStyle w:val="BodyText"/>
        <w:spacing w:line="319" w:lineRule="auto" w:before="68"/>
        <w:ind w:right="1032" w:firstLine="360"/>
        <w:jc w:val="left"/>
      </w:pPr>
      <w:r>
        <w:rPr/>
        <w:t>报告期内，面对复杂多变的经营环境和竞争不断加剧的市场形势，公司进一步深化经营体制改革，提升内部成本管控， </w:t>
      </w:r>
      <w:r>
        <w:rPr>
          <w:spacing w:val="-2"/>
        </w:rPr>
        <w:t>充分发挥全面预算管理的资源整合功能，提高公司运营效率，开源节流，公司同口径主营业务保持小幅增长，但由于宏观经</w:t>
      </w:r>
      <w:r>
        <w:rPr>
          <w:spacing w:val="-66"/>
        </w:rPr>
        <w:t> </w:t>
      </w:r>
      <w:r>
        <w:rPr>
          <w:spacing w:val="-66"/>
        </w:rPr>
      </w:r>
      <w:r>
        <w:rPr/>
        <w:t>济及相关行业环境影响，光伏资产、投资等减值导致公司亏损。</w:t>
      </w:r>
    </w:p>
    <w:p>
      <w:pPr>
        <w:pStyle w:val="BodyText"/>
        <w:spacing w:line="302" w:lineRule="auto" w:before="55"/>
        <w:ind w:right="1132" w:firstLine="360"/>
        <w:jc w:val="both"/>
      </w:pPr>
      <w:r>
        <w:rPr>
          <w:rFonts w:ascii="Times New Roman" w:hAnsi="Times New Roman" w:cs="Times New Roman" w:eastAsia="Times New Roman" w:hint="default"/>
          <w:spacing w:val="-1"/>
        </w:rPr>
        <w:t>2018</w:t>
      </w:r>
      <w:r>
        <w:rPr>
          <w:spacing w:val="-1"/>
        </w:rPr>
        <w:t>年度实现营业总收入</w:t>
      </w:r>
      <w:r>
        <w:rPr>
          <w:rFonts w:ascii="Times New Roman" w:hAnsi="Times New Roman" w:cs="Times New Roman" w:eastAsia="Times New Roman" w:hint="default"/>
          <w:spacing w:val="-1"/>
        </w:rPr>
        <w:t>13.38</w:t>
      </w:r>
      <w:r>
        <w:rPr>
          <w:spacing w:val="-1"/>
        </w:rPr>
        <w:t>亿元，同比下降</w:t>
      </w:r>
      <w:r>
        <w:rPr>
          <w:rFonts w:ascii="Times New Roman" w:hAnsi="Times New Roman" w:cs="Times New Roman" w:eastAsia="Times New Roman" w:hint="default"/>
          <w:spacing w:val="-1"/>
        </w:rPr>
        <w:t>19.02%</w:t>
      </w:r>
      <w:r>
        <w:rPr>
          <w:spacing w:val="-1"/>
        </w:rPr>
        <w:t>；营业利润</w:t>
      </w:r>
      <w:r>
        <w:rPr>
          <w:rFonts w:ascii="Times New Roman" w:hAnsi="Times New Roman" w:cs="Times New Roman" w:eastAsia="Times New Roman" w:hint="default"/>
          <w:spacing w:val="-1"/>
        </w:rPr>
        <w:t>-2.65</w:t>
      </w:r>
      <w:r>
        <w:rPr>
          <w:spacing w:val="-1"/>
        </w:rPr>
        <w:t>亿元，同比下降</w:t>
      </w:r>
      <w:r>
        <w:rPr>
          <w:rFonts w:ascii="Times New Roman" w:hAnsi="Times New Roman" w:cs="Times New Roman" w:eastAsia="Times New Roman" w:hint="default"/>
          <w:spacing w:val="-1"/>
        </w:rPr>
        <w:t>12.89</w:t>
      </w:r>
      <w:r>
        <w:rPr>
          <w:spacing w:val="-1"/>
        </w:rPr>
        <w:t>倍；利润总额</w:t>
      </w:r>
      <w:r>
        <w:rPr>
          <w:rFonts w:ascii="Times New Roman" w:hAnsi="Times New Roman" w:cs="Times New Roman" w:eastAsia="Times New Roman" w:hint="default"/>
          <w:spacing w:val="-1"/>
        </w:rPr>
        <w:t>-2.72</w:t>
      </w:r>
      <w:r>
        <w:rPr>
          <w:spacing w:val="-1"/>
        </w:rPr>
        <w:t>亿元，同</w:t>
      </w:r>
      <w:r>
        <w:rPr/>
        <w:t> 比下降</w:t>
      </w:r>
      <w:r>
        <w:rPr>
          <w:rFonts w:ascii="Times New Roman" w:hAnsi="Times New Roman" w:cs="Times New Roman" w:eastAsia="Times New Roman" w:hint="default"/>
        </w:rPr>
        <w:t>10.92</w:t>
      </w:r>
      <w:r>
        <w:rPr/>
        <w:t>倍；归属于上市公司股东的净利润为</w:t>
      </w:r>
      <w:r>
        <w:rPr>
          <w:rFonts w:ascii="Times New Roman" w:hAnsi="Times New Roman" w:cs="Times New Roman" w:eastAsia="Times New Roman" w:hint="default"/>
        </w:rPr>
        <w:t>-2.56</w:t>
      </w:r>
      <w:r>
        <w:rPr/>
        <w:t>亿元，同比下降</w:t>
      </w:r>
      <w:r>
        <w:rPr>
          <w:rFonts w:ascii="Times New Roman" w:hAnsi="Times New Roman" w:cs="Times New Roman" w:eastAsia="Times New Roman" w:hint="default"/>
        </w:rPr>
        <w:t>20.58</w:t>
      </w:r>
      <w:r>
        <w:rPr/>
        <w:t>倍。</w:t>
      </w:r>
    </w:p>
    <w:p>
      <w:pPr>
        <w:pStyle w:val="BodyText"/>
        <w:spacing w:line="300" w:lineRule="auto" w:before="50"/>
        <w:ind w:right="1131" w:firstLine="360"/>
        <w:jc w:val="both"/>
      </w:pPr>
      <w:r>
        <w:rPr>
          <w:rFonts w:ascii="Times New Roman" w:hAnsi="Times New Roman" w:cs="Times New Roman" w:eastAsia="Times New Roman" w:hint="default"/>
          <w:spacing w:val="-2"/>
        </w:rPr>
        <w:t>2018</w:t>
      </w:r>
      <w:r>
        <w:rPr>
          <w:spacing w:val="-2"/>
        </w:rPr>
        <w:t>年下半年，公司及时调整发展战略，回归主业，深耕主营业务，拓展利润渠道，坚持</w:t>
      </w:r>
      <w:r>
        <w:rPr>
          <w:rFonts w:ascii="Times New Roman" w:hAnsi="Times New Roman" w:cs="Times New Roman" w:eastAsia="Times New Roman" w:hint="default"/>
          <w:spacing w:val="-2"/>
        </w:rPr>
        <w:t>“</w:t>
      </w:r>
      <w:r>
        <w:rPr>
          <w:spacing w:val="-2"/>
        </w:rPr>
        <w:t>创新技术，产品为王</w:t>
      </w:r>
      <w:r>
        <w:rPr>
          <w:rFonts w:ascii="Times New Roman" w:hAnsi="Times New Roman" w:cs="Times New Roman" w:eastAsia="Times New Roman" w:hint="default"/>
          <w:spacing w:val="-2"/>
        </w:rPr>
        <w:t>”</w:t>
      </w:r>
      <w:r>
        <w:rPr>
          <w:spacing w:val="-2"/>
        </w:rPr>
        <w:t>的产品</w:t>
      </w:r>
      <w:r>
        <w:rPr/>
        <w:t> </w:t>
      </w:r>
      <w:r>
        <w:rPr>
          <w:spacing w:val="-4"/>
        </w:rPr>
        <w:t>策略，以</w:t>
      </w:r>
      <w:r>
        <w:rPr>
          <w:rFonts w:ascii="Times New Roman" w:hAnsi="Times New Roman" w:cs="Times New Roman" w:eastAsia="Times New Roman" w:hint="default"/>
          <w:spacing w:val="-4"/>
        </w:rPr>
        <w:t>“</w:t>
      </w:r>
      <w:r>
        <w:rPr>
          <w:spacing w:val="-4"/>
        </w:rPr>
        <w:t>产品平台、交付平台、销售平台</w:t>
      </w:r>
      <w:r>
        <w:rPr>
          <w:rFonts w:ascii="Times New Roman" w:hAnsi="Times New Roman" w:cs="Times New Roman" w:eastAsia="Times New Roman" w:hint="default"/>
          <w:spacing w:val="-4"/>
        </w:rPr>
        <w:t>”</w:t>
      </w:r>
      <w:r>
        <w:rPr>
          <w:spacing w:val="-4"/>
        </w:rPr>
        <w:t>的</w:t>
      </w:r>
      <w:r>
        <w:rPr>
          <w:rFonts w:ascii="Times New Roman" w:hAnsi="Times New Roman" w:cs="Times New Roman" w:eastAsia="Times New Roman" w:hint="default"/>
          <w:spacing w:val="-4"/>
        </w:rPr>
        <w:t>“</w:t>
      </w:r>
      <w:r>
        <w:rPr>
          <w:spacing w:val="-4"/>
        </w:rPr>
        <w:t>铁三角</w:t>
      </w:r>
      <w:r>
        <w:rPr>
          <w:rFonts w:ascii="Times New Roman" w:hAnsi="Times New Roman" w:cs="Times New Roman" w:eastAsia="Times New Roman" w:hint="default"/>
          <w:spacing w:val="-4"/>
        </w:rPr>
        <w:t>”</w:t>
      </w:r>
      <w:r>
        <w:rPr>
          <w:spacing w:val="-4"/>
        </w:rPr>
        <w:t>团队来全力服务</w:t>
      </w:r>
      <w:r>
        <w:rPr>
          <w:rFonts w:ascii="Times New Roman" w:hAnsi="Times New Roman" w:cs="Times New Roman" w:eastAsia="Times New Roman" w:hint="default"/>
          <w:spacing w:val="-4"/>
        </w:rPr>
        <w:t>VIP</w:t>
      </w:r>
      <w:r>
        <w:rPr>
          <w:spacing w:val="-4"/>
        </w:rPr>
        <w:t>客户，争取开发更多客户的市场份额，同时借助</w:t>
      </w:r>
      <w:r>
        <w:rPr>
          <w:rFonts w:ascii="Times New Roman" w:hAnsi="Times New Roman" w:cs="Times New Roman" w:eastAsia="Times New Roman" w:hint="default"/>
          <w:spacing w:val="-4"/>
        </w:rPr>
        <w:t>“</w:t>
      </w:r>
      <w:r>
        <w:rPr>
          <w:spacing w:val="-4"/>
        </w:rPr>
        <w:t>茂</w:t>
      </w:r>
      <w:r>
        <w:rPr/>
        <w:t> </w:t>
      </w:r>
      <w:r>
        <w:rPr>
          <w:spacing w:val="-2"/>
        </w:rPr>
        <w:t>硕</w:t>
      </w:r>
      <w:r>
        <w:rPr>
          <w:rFonts w:ascii="Times New Roman" w:hAnsi="Times New Roman" w:cs="Times New Roman" w:eastAsia="Times New Roman" w:hint="default"/>
          <w:spacing w:val="-2"/>
        </w:rPr>
        <w:t>”</w:t>
      </w:r>
      <w:r>
        <w:rPr>
          <w:spacing w:val="-2"/>
        </w:rPr>
        <w:t>的平台资源，始终瞄准全球市场，聚焦</w:t>
      </w:r>
      <w:r>
        <w:rPr>
          <w:rFonts w:ascii="Times New Roman" w:hAnsi="Times New Roman" w:cs="Times New Roman" w:eastAsia="Times New Roman" w:hint="default"/>
          <w:spacing w:val="-2"/>
        </w:rPr>
        <w:t>“</w:t>
      </w:r>
      <w:r>
        <w:rPr>
          <w:spacing w:val="-2"/>
        </w:rPr>
        <w:t>渠道</w:t>
      </w:r>
      <w:r>
        <w:rPr>
          <w:rFonts w:ascii="Times New Roman" w:hAnsi="Times New Roman" w:cs="Times New Roman" w:eastAsia="Times New Roman" w:hint="default"/>
          <w:spacing w:val="-2"/>
        </w:rPr>
        <w:t>+</w:t>
      </w:r>
      <w:r>
        <w:rPr>
          <w:spacing w:val="-2"/>
        </w:rPr>
        <w:t>大客户</w:t>
      </w:r>
      <w:r>
        <w:rPr>
          <w:rFonts w:ascii="Times New Roman" w:hAnsi="Times New Roman" w:cs="Times New Roman" w:eastAsia="Times New Roman" w:hint="default"/>
          <w:spacing w:val="-2"/>
        </w:rPr>
        <w:t>”</w:t>
      </w:r>
      <w:r>
        <w:rPr>
          <w:spacing w:val="-2"/>
        </w:rPr>
        <w:t>的战略布局，积极研发及开辟新产品线，争取深度挖掘更多有潜力</w:t>
      </w:r>
      <w:r>
        <w:rPr>
          <w:spacing w:val="-44"/>
        </w:rPr>
        <w:t> </w:t>
      </w:r>
      <w:r>
        <w:rPr>
          <w:spacing w:val="-44"/>
        </w:rPr>
      </w:r>
      <w:r>
        <w:rPr/>
        <w:t>的细分市场。</w:t>
      </w:r>
    </w:p>
    <w:p>
      <w:pPr>
        <w:pStyle w:val="BodyText"/>
        <w:spacing w:line="338" w:lineRule="auto" w:before="71"/>
        <w:ind w:left="604" w:right="4002" w:hanging="90"/>
        <w:jc w:val="left"/>
      </w:pPr>
      <w:r>
        <w:rPr>
          <w:rFonts w:ascii="Times New Roman" w:hAnsi="Times New Roman" w:cs="Times New Roman" w:eastAsia="Times New Roman" w:hint="default"/>
        </w:rPr>
        <w:t>1</w:t>
      </w:r>
      <w:r>
        <w:rPr/>
        <w:t>、消费电子电源板块： 报告期内，</w:t>
      </w:r>
      <w:r>
        <w:rPr>
          <w:rFonts w:ascii="Times New Roman" w:hAnsi="Times New Roman" w:cs="Times New Roman" w:eastAsia="Times New Roman" w:hint="default"/>
        </w:rPr>
        <w:t>SPS</w:t>
      </w:r>
      <w:r>
        <w:rPr/>
        <w:t>消费电子电源销售收入实现全年</w:t>
      </w:r>
      <w:r>
        <w:rPr>
          <w:rFonts w:ascii="Times New Roman" w:hAnsi="Times New Roman" w:cs="Times New Roman" w:eastAsia="Times New Roman" w:hint="default"/>
        </w:rPr>
        <w:t>7.85</w:t>
      </w:r>
      <w:r>
        <w:rPr/>
        <w:t>亿，较去年同期增长</w:t>
      </w:r>
      <w:r>
        <w:rPr>
          <w:rFonts w:ascii="Times New Roman" w:hAnsi="Times New Roman" w:cs="Times New Roman" w:eastAsia="Times New Roman" w:hint="default"/>
        </w:rPr>
        <w:t>1.25%</w:t>
      </w:r>
      <w:r>
        <w:rPr/>
        <w:t>。</w:t>
      </w:r>
    </w:p>
    <w:p>
      <w:pPr>
        <w:pStyle w:val="BodyText"/>
        <w:spacing w:line="307" w:lineRule="auto" w:before="22"/>
        <w:ind w:right="1129" w:firstLine="360"/>
        <w:jc w:val="both"/>
      </w:pPr>
      <w:r>
        <w:rPr>
          <w:spacing w:val="-2"/>
        </w:rPr>
        <w:t>公司的传统中小功率电源产品（适配器、充电器）从定制品向标准品、衍生品归集，特定领域大功率电源产品（激光电</w:t>
      </w:r>
      <w:r>
        <w:rPr/>
        <w:t> </w:t>
      </w:r>
      <w:r>
        <w:rPr>
          <w:spacing w:val="-2"/>
        </w:rPr>
        <w:t>源、数字化集成电源）通过引入高技术人才完成各类目标新应用领域产品的技术预研。报告期内，公司完成了</w:t>
      </w:r>
      <w:r>
        <w:rPr>
          <w:rFonts w:ascii="Times New Roman" w:hAnsi="Times New Roman" w:cs="Times New Roman" w:eastAsia="Times New Roman" w:hint="default"/>
          <w:spacing w:val="-2"/>
        </w:rPr>
        <w:t>18</w:t>
      </w:r>
      <w:r>
        <w:rPr>
          <w:spacing w:val="-2"/>
        </w:rPr>
        <w:t>个系列标准</w:t>
      </w:r>
      <w:r>
        <w:rPr>
          <w:spacing w:val="-64"/>
        </w:rPr>
        <w:t> </w:t>
      </w:r>
      <w:r>
        <w:rPr>
          <w:spacing w:val="-2"/>
        </w:rPr>
        <w:t>品电源（中小功率）定义，着力推广公司标准品；完成了</w:t>
      </w:r>
      <w:r>
        <w:rPr>
          <w:rFonts w:ascii="Times New Roman" w:hAnsi="Times New Roman" w:cs="Times New Roman" w:eastAsia="Times New Roman" w:hint="default"/>
          <w:spacing w:val="-2"/>
        </w:rPr>
        <w:t>74</w:t>
      </w:r>
      <w:r>
        <w:rPr>
          <w:spacing w:val="-2"/>
        </w:rPr>
        <w:t>款电源的安规认证取证工作。扩充大功率产品研发技术人员，应</w:t>
      </w:r>
      <w:r>
        <w:rPr>
          <w:spacing w:val="-65"/>
        </w:rPr>
        <w:t> </w:t>
      </w:r>
      <w:r>
        <w:rPr>
          <w:spacing w:val="-65"/>
        </w:rPr>
      </w:r>
      <w:r>
        <w:rPr/>
        <w:t>用技术上也从传统的</w:t>
      </w:r>
      <w:r>
        <w:rPr>
          <w:rFonts w:ascii="Times New Roman" w:hAnsi="Times New Roman" w:cs="Times New Roman" w:eastAsia="Times New Roman" w:hint="default"/>
        </w:rPr>
        <w:t>SSR</w:t>
      </w:r>
      <w:r>
        <w:rPr/>
        <w:t>、</w:t>
      </w:r>
      <w:r>
        <w:rPr>
          <w:rFonts w:ascii="Times New Roman" w:hAnsi="Times New Roman" w:cs="Times New Roman" w:eastAsia="Times New Roman" w:hint="default"/>
        </w:rPr>
        <w:t>PSR</w:t>
      </w:r>
      <w:r>
        <w:rPr/>
        <w:t>方案提升到</w:t>
      </w:r>
      <w:r>
        <w:rPr>
          <w:rFonts w:ascii="Times New Roman" w:hAnsi="Times New Roman" w:cs="Times New Roman" w:eastAsia="Times New Roman" w:hint="default"/>
        </w:rPr>
        <w:t>PFC+LLC</w:t>
      </w:r>
      <w:r>
        <w:rPr/>
        <w:t>、</w:t>
      </w:r>
      <w:r>
        <w:rPr>
          <w:rFonts w:ascii="Times New Roman" w:hAnsi="Times New Roman" w:cs="Times New Roman" w:eastAsia="Times New Roman" w:hint="default"/>
        </w:rPr>
        <w:t>ZVS</w:t>
      </w:r>
      <w:r>
        <w:rPr/>
        <w:t>移向全桥、交错并联</w:t>
      </w:r>
      <w:r>
        <w:rPr>
          <w:rFonts w:ascii="Times New Roman" w:hAnsi="Times New Roman" w:cs="Times New Roman" w:eastAsia="Times New Roman" w:hint="default"/>
        </w:rPr>
        <w:t>PFC</w:t>
      </w:r>
      <w:r>
        <w:rPr/>
        <w:t>等新兴前卫技术。产品应用领域也由传 </w:t>
      </w:r>
      <w:r>
        <w:rPr>
          <w:spacing w:val="-2"/>
        </w:rPr>
        <w:t>统的机顶盒、网通、安防、医疗等领域增加了激光投影仪、激光设备、微波设备、通讯、工业控制等领域，使得公司产品更</w:t>
      </w:r>
      <w:r>
        <w:rPr>
          <w:spacing w:val="-67"/>
        </w:rPr>
        <w:t> </w:t>
      </w:r>
      <w:r>
        <w:rPr>
          <w:spacing w:val="-67"/>
        </w:rPr>
      </w:r>
      <w:r>
        <w:rPr/>
        <w:t>多元化，涉及面更广泛。</w:t>
      </w:r>
    </w:p>
    <w:p>
      <w:pPr>
        <w:pStyle w:val="BodyText"/>
        <w:spacing w:line="309" w:lineRule="auto" w:before="64"/>
        <w:ind w:right="1130" w:firstLine="360"/>
        <w:jc w:val="both"/>
      </w:pPr>
      <w:r>
        <w:rPr>
          <w:spacing w:val="-2"/>
        </w:rPr>
        <w:t>公司凭借先进的技术与研发水平，与国内外众多知名企业建立了战略合作伙伴关系，形成了自己稳定的客户群体，公司</w:t>
      </w:r>
      <w:r>
        <w:rPr/>
        <w:t> </w:t>
      </w:r>
      <w:r>
        <w:rPr>
          <w:spacing w:val="-2"/>
        </w:rPr>
        <w:t>在稳固现有国际大客户的同时，不断提升客户服务质量，报告期内，顺利导入世界五百强合作，进一步提升</w:t>
      </w:r>
      <w:r>
        <w:rPr>
          <w:rFonts w:ascii="Times New Roman" w:hAnsi="Times New Roman" w:cs="Times New Roman" w:eastAsia="Times New Roman" w:hint="default"/>
          <w:spacing w:val="-2"/>
        </w:rPr>
        <w:t>“</w:t>
      </w:r>
      <w:r>
        <w:rPr>
          <w:spacing w:val="-2"/>
        </w:rPr>
        <w:t>茂硕</w:t>
      </w:r>
      <w:r>
        <w:rPr>
          <w:rFonts w:ascii="Times New Roman" w:hAnsi="Times New Roman" w:cs="Times New Roman" w:eastAsia="Times New Roman" w:hint="default"/>
          <w:spacing w:val="-2"/>
        </w:rPr>
        <w:t>”</w:t>
      </w:r>
      <w:r>
        <w:rPr>
          <w:spacing w:val="-2"/>
        </w:rPr>
        <w:t>品牌影响</w:t>
      </w:r>
      <w:r>
        <w:rPr>
          <w:spacing w:val="-43"/>
        </w:rPr>
        <w:t> </w:t>
      </w:r>
      <w:r>
        <w:rPr/>
        <w:t>力。</w:t>
      </w:r>
    </w:p>
    <w:p>
      <w:pPr>
        <w:pStyle w:val="BodyText"/>
        <w:spacing w:line="300" w:lineRule="auto" w:before="62"/>
        <w:ind w:left="604" w:right="458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电源板块 报告期内，</w:t>
      </w:r>
      <w:r>
        <w:rPr>
          <w:rFonts w:ascii="Times New Roman" w:hAnsi="Times New Roman" w:cs="Times New Roman" w:eastAsia="Times New Roman" w:hint="default"/>
        </w:rPr>
        <w:t>LED</w:t>
      </w:r>
      <w:r>
        <w:rPr/>
        <w:t>电源销售收入实现全年</w:t>
      </w:r>
      <w:r>
        <w:rPr>
          <w:rFonts w:ascii="Times New Roman" w:hAnsi="Times New Roman" w:cs="Times New Roman" w:eastAsia="Times New Roman" w:hint="default"/>
        </w:rPr>
        <w:t>4.22</w:t>
      </w:r>
      <w:r>
        <w:rPr/>
        <w:t>亿，较去年同期增长</w:t>
      </w:r>
      <w:r>
        <w:rPr>
          <w:rFonts w:ascii="Times New Roman" w:hAnsi="Times New Roman" w:cs="Times New Roman" w:eastAsia="Times New Roman" w:hint="default"/>
        </w:rPr>
        <w:t>13.86%</w:t>
      </w:r>
      <w:r>
        <w:rPr/>
        <w:t>。</w:t>
      </w:r>
    </w:p>
    <w:p>
      <w:pPr>
        <w:pStyle w:val="BodyText"/>
        <w:spacing w:line="304" w:lineRule="auto" w:before="13"/>
        <w:ind w:right="1032" w:firstLine="450"/>
        <w:jc w:val="left"/>
      </w:pPr>
      <w:r>
        <w:rPr/>
        <w:t>公司</w:t>
      </w:r>
      <w:r>
        <w:rPr>
          <w:rFonts w:ascii="Times New Roman" w:hAnsi="Times New Roman" w:cs="Times New Roman" w:eastAsia="Times New Roman" w:hint="default"/>
        </w:rPr>
        <w:t>LED</w:t>
      </w:r>
      <w:r>
        <w:rPr/>
        <w:t>电源板块以大功率驱动电源为主，产品应用领域主要涵盖了工业照明、道路照明、景观照明、轨道交通照明 </w:t>
      </w:r>
      <w:r>
        <w:rPr>
          <w:spacing w:val="-2"/>
        </w:rPr>
        <w:t>等领域，公司提出</w:t>
      </w:r>
      <w:r>
        <w:rPr>
          <w:rFonts w:ascii="Times New Roman" w:hAnsi="Times New Roman" w:cs="Times New Roman" w:eastAsia="Times New Roman" w:hint="default"/>
          <w:spacing w:val="-2"/>
        </w:rPr>
        <w:t>“</w:t>
      </w:r>
      <w:r>
        <w:rPr>
          <w:spacing w:val="-2"/>
        </w:rPr>
        <w:t>通用市场保份额，细分市场要利润</w:t>
      </w:r>
      <w:r>
        <w:rPr>
          <w:rFonts w:ascii="Times New Roman" w:hAnsi="Times New Roman" w:cs="Times New Roman" w:eastAsia="Times New Roman" w:hint="default"/>
          <w:spacing w:val="-2"/>
        </w:rPr>
        <w:t>”</w:t>
      </w:r>
      <w:r>
        <w:rPr>
          <w:spacing w:val="-2"/>
        </w:rPr>
        <w:t>的思路，深度挖掘有潜力的细分市场，如城市轨道交通公共照明；坚</w:t>
      </w:r>
      <w:r>
        <w:rPr>
          <w:spacing w:val="-46"/>
        </w:rPr>
        <w:t> </w:t>
      </w:r>
      <w:r>
        <w:rPr>
          <w:spacing w:val="-46"/>
        </w:rPr>
      </w:r>
      <w:r>
        <w:rPr/>
        <w:t>持多元化发展，除以道路照明为主外，兼顾工业、景观、室内商照</w:t>
      </w:r>
      <w:r>
        <w:rPr>
          <w:rFonts w:ascii="Times New Roman" w:hAnsi="Times New Roman" w:cs="Times New Roman" w:eastAsia="Times New Roman" w:hint="default"/>
        </w:rPr>
        <w:t>&amp;</w:t>
      </w:r>
      <w:r>
        <w:rPr/>
        <w:t>家居照明，同时根据市场发展需求，拓展了</w:t>
      </w:r>
      <w:r>
        <w:rPr>
          <w:rFonts w:ascii="Times New Roman" w:hAnsi="Times New Roman" w:cs="Times New Roman" w:eastAsia="Times New Roman" w:hint="default"/>
        </w:rPr>
        <w:t>LED</w:t>
      </w:r>
      <w:r>
        <w:rPr/>
        <w:t>显示屏 及植物照明等应用领域。报告期内，推出了</w:t>
      </w:r>
      <w:r>
        <w:rPr>
          <w:rFonts w:ascii="Times New Roman" w:hAnsi="Times New Roman" w:cs="Times New Roman" w:eastAsia="Times New Roman" w:hint="default"/>
        </w:rPr>
        <w:t>PHC/MTP/MTN/STN/RTN</w:t>
      </w:r>
      <w:r>
        <w:rPr/>
        <w:t>四个系列新品，</w:t>
      </w:r>
      <w:r>
        <w:rPr>
          <w:rFonts w:ascii="Times New Roman" w:hAnsi="Times New Roman" w:cs="Times New Roman" w:eastAsia="Times New Roman" w:hint="default"/>
        </w:rPr>
        <w:t>LED</w:t>
      </w:r>
      <w:r>
        <w:rPr/>
        <w:t>应用技术也得到进一步突破，继</w:t>
      </w:r>
      <w:r>
        <w:rPr>
          <w:spacing w:val="-34"/>
        </w:rPr>
        <w:t> </w:t>
      </w:r>
      <w:r>
        <w:rPr>
          <w:spacing w:val="-34"/>
        </w:rPr>
      </w:r>
      <w:r>
        <w:rPr/>
        <w:t>首创的红外遥控编程功能、恒功率设计、高等级防雷到离线编程、控制线功能复用（供电、调光、编程三者合一）技术后， </w:t>
      </w:r>
      <w:r>
        <w:rPr>
          <w:spacing w:val="-2"/>
        </w:rPr>
        <w:t>在行业领域首次应用</w:t>
      </w:r>
      <w:r>
        <w:rPr>
          <w:rFonts w:ascii="Times New Roman" w:hAnsi="Times New Roman" w:cs="Times New Roman" w:eastAsia="Times New Roman" w:hint="default"/>
          <w:spacing w:val="-2"/>
        </w:rPr>
        <w:t>“</w:t>
      </w:r>
      <w:r>
        <w:rPr>
          <w:spacing w:val="-2"/>
        </w:rPr>
        <w:t>黑匣子</w:t>
      </w:r>
      <w:r>
        <w:rPr>
          <w:rFonts w:ascii="Times New Roman" w:hAnsi="Times New Roman" w:cs="Times New Roman" w:eastAsia="Times New Roman" w:hint="default"/>
          <w:spacing w:val="-2"/>
        </w:rPr>
        <w:t>”</w:t>
      </w:r>
      <w:r>
        <w:rPr>
          <w:spacing w:val="-2"/>
        </w:rPr>
        <w:t>功能，通过设计能够记录工作数据，即使电源失效也能读取其历史数据，以便通过记录的数据</w:t>
      </w:r>
      <w:r>
        <w:rPr>
          <w:spacing w:val="-45"/>
        </w:rPr>
        <w:t> </w:t>
      </w:r>
      <w:r>
        <w:rPr>
          <w:spacing w:val="-45"/>
        </w:rPr>
      </w:r>
      <w:r>
        <w:rPr>
          <w:spacing w:val="-2"/>
        </w:rPr>
        <w:t>初步诊断电源失效原因；同时，深度和智能技术结合，积极参与前沿技术的研究，配合国家半导体照明工程研发及产业联盟</w:t>
      </w:r>
      <w:r>
        <w:rPr>
          <w:spacing w:val="-66"/>
        </w:rPr>
        <w:t> </w:t>
      </w:r>
      <w:r>
        <w:rPr>
          <w:spacing w:val="-66"/>
        </w:rPr>
      </w:r>
      <w:r>
        <w:rPr/>
        <w:t>主导的行业标准研究，提升公司在智能物联网领域的影响力。</w:t>
      </w:r>
    </w:p>
    <w:p>
      <w:pPr>
        <w:pStyle w:val="BodyText"/>
        <w:spacing w:line="300" w:lineRule="auto" w:before="28"/>
        <w:ind w:right="1130" w:firstLine="450"/>
        <w:jc w:val="left"/>
      </w:pPr>
      <w:r>
        <w:rPr/>
        <w:t>公司与</w:t>
      </w:r>
      <w:r>
        <w:rPr>
          <w:rFonts w:ascii="Times New Roman" w:hAnsi="Times New Roman" w:cs="Times New Roman" w:eastAsia="Times New Roman" w:hint="default"/>
        </w:rPr>
        <w:t>VIP</w:t>
      </w:r>
      <w:r>
        <w:rPr/>
        <w:t>客户建立长久的战略合作关系，同时积极拓展新客户进行审厂，确保订单的持续稳定增长，公司是国内最 早进入大功率</w:t>
      </w:r>
      <w:r>
        <w:rPr>
          <w:rFonts w:ascii="Times New Roman" w:hAnsi="Times New Roman" w:cs="Times New Roman" w:eastAsia="Times New Roman" w:hint="default"/>
        </w:rPr>
        <w:t>LED</w:t>
      </w:r>
      <w:r>
        <w:rPr/>
        <w:t>驱动电源领域的企业之一，并与众多行业领先的</w:t>
      </w:r>
      <w:r>
        <w:rPr>
          <w:rFonts w:ascii="Times New Roman" w:hAnsi="Times New Roman" w:cs="Times New Roman" w:eastAsia="Times New Roman" w:hint="default"/>
        </w:rPr>
        <w:t>LED</w:t>
      </w:r>
      <w:r>
        <w:rPr/>
        <w:t>照明企业形成了长期稳定的战略合作关系。</w:t>
      </w:r>
    </w:p>
    <w:p>
      <w:pPr>
        <w:pStyle w:val="BodyText"/>
        <w:spacing w:line="300" w:lineRule="auto" w:before="13"/>
        <w:ind w:right="1130" w:firstLine="360"/>
        <w:jc w:val="left"/>
      </w:pPr>
      <w:r>
        <w:rPr/>
        <w:t>未来公司将以智慧家居照明及智慧城市建设为大背景，以</w:t>
      </w:r>
      <w:r>
        <w:rPr>
          <w:rFonts w:ascii="Times New Roman" w:hAnsi="Times New Roman" w:cs="Times New Roman" w:eastAsia="Times New Roman" w:hint="default"/>
        </w:rPr>
        <w:t>5G</w:t>
      </w:r>
      <w:r>
        <w:rPr/>
        <w:t>技术、</w:t>
      </w:r>
      <w:r>
        <w:rPr>
          <w:rFonts w:ascii="Times New Roman" w:hAnsi="Times New Roman" w:cs="Times New Roman" w:eastAsia="Times New Roman" w:hint="default"/>
        </w:rPr>
        <w:t>AI</w:t>
      </w:r>
      <w:r>
        <w:rPr/>
        <w:t>技术的突破与应用为基础，持续加大在智能产品 的研究与开发，提升产品与服务的附加值，提升企业的竞争能力与赢利能力。</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2"/>
        </w:rPr>
        <w:t>公司在稳固现有客户的同时持续推进公司品牌推广与渠道建设，经全面认真的市场调研制定精准的广告投放策略及量身</w:t>
      </w:r>
      <w:r>
        <w:rPr/>
        <w:t> 制定活动推广方案，坚持</w:t>
      </w:r>
      <w:r>
        <w:rPr>
          <w:rFonts w:ascii="Times New Roman" w:hAnsi="Times New Roman" w:cs="Times New Roman" w:eastAsia="Times New Roman" w:hint="default"/>
        </w:rPr>
        <w:t>“</w:t>
      </w:r>
      <w:r>
        <w:rPr/>
        <w:t>巩固国内市场，拓展海外市场</w:t>
      </w:r>
      <w:r>
        <w:rPr>
          <w:rFonts w:ascii="Times New Roman" w:hAnsi="Times New Roman" w:cs="Times New Roman" w:eastAsia="Times New Roman" w:hint="default"/>
        </w:rPr>
        <w:t>”</w:t>
      </w:r>
      <w:r>
        <w:rPr/>
        <w:t>的市场营销策略，通过参加国内外知名展会与召开新产品发布会</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推介会全面地展示公司产品与形象，进一步扩大品牌影响力。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113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1,337,775,109.10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1,652,076,282.01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1,207,392,842.70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1,456,649,550.86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光伏电站运营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119,580,172.13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158,300,339.74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10,802,094.27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37,126,391.41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785,391,787.77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775,710,995.95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422,001,054.93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370,619,769.67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75,050,080.22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102,155,243.00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44,530,091.91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56,145,096.74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310,318,785.24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10,802,094.27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37,126,391.41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685,124,727.15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1,061,962,791.25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652,650,381.95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590,113,490.76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after="0" w:line="34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1,207,392,842.70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997,361,486.30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785,391,787.77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679,753,513.64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422,001,054.93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317,607,972.66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685,124,727.15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542,204,338.94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652,650,381.95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541,891,829.65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w:t>
            </w:r>
          </w:p>
        </w:tc>
      </w:tr>
    </w:tbl>
    <w:p>
      <w:pPr>
        <w:pStyle w:val="BodyText"/>
        <w:spacing w:line="240" w:lineRule="auto" w:before="51"/>
        <w:ind w:right="113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47,822,858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46,847,613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47,055,037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47,230,916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4,240,596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3,425,380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3,474,843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-65.32%</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4,970,952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44,355,695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44,744,953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44,355,695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44,744,953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9"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驱动电源业务推行标准品作业，调整库存结构，为积极满足客户交期由原来的成品备库转为半品备库，成品库存下</w:t>
      </w:r>
      <w:r>
        <w:rPr>
          <w:spacing w:val="-76"/>
        </w:rPr>
        <w:t> </w:t>
      </w:r>
      <w:r>
        <w:rPr>
          <w:spacing w:val="-76"/>
        </w:rPr>
      </w:r>
      <w:r>
        <w:rPr/>
        <w:t>降幅度较大； </w:t>
      </w:r>
      <w:r>
        <w:rPr>
          <w:rFonts w:ascii="Times New Roman" w:hAnsi="Times New Roman" w:cs="Times New Roman" w:eastAsia="Times New Roman" w:hint="default"/>
        </w:rPr>
        <w:t>2</w:t>
      </w:r>
      <w:r>
        <w:rPr/>
        <w:t>）逆变器业务受国家及行业政策影响明显，</w:t>
      </w:r>
      <w:r>
        <w:rPr>
          <w:rFonts w:ascii="Times New Roman" w:hAnsi="Times New Roman" w:cs="Times New Roman" w:eastAsia="Times New Roman" w:hint="default"/>
        </w:rPr>
        <w:t>5</w:t>
      </w:r>
      <w:r>
        <w:rPr/>
        <w:t>月起光伏行业下游业务停滞，电站建设项目锐减，逆变器业务急剧下滑；</w:t>
      </w:r>
    </w:p>
    <w:p>
      <w:pPr>
        <w:pStyle w:val="BodyText"/>
        <w:spacing w:line="247" w:lineRule="exact"/>
        <w:ind w:right="1130"/>
        <w:jc w:val="left"/>
      </w:pPr>
      <w:r>
        <w:rPr>
          <w:rFonts w:ascii="Times New Roman" w:hAnsi="Times New Roman" w:cs="Times New Roman" w:eastAsia="Times New Roman" w:hint="default"/>
        </w:rPr>
        <w:t>3</w:t>
      </w:r>
      <w:r>
        <w:rPr/>
        <w:t>）电路板业务因公司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月出售方正达</w:t>
      </w:r>
      <w:r>
        <w:rPr>
          <w:rFonts w:ascii="Times New Roman" w:hAnsi="Times New Roman" w:cs="Times New Roman" w:eastAsia="Times New Roman" w:hint="default"/>
        </w:rPr>
        <w:t>34%</w:t>
      </w:r>
      <w:r>
        <w:rPr/>
        <w:t>股权，电路板业务不再并表。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3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533,766,990.14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521,294,018.94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273,319,639.08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238,697,050.14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173,840,261.17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50,665,262.75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69,106,051.78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14,923,486.77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15,244,466.90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w:t>
            </w:r>
          </w:p>
        </w:tc>
      </w:tr>
    </w:tbl>
    <w:p>
      <w:pPr>
        <w:pStyle w:val="BodyText"/>
        <w:spacing w:line="240" w:lineRule="auto" w:before="51"/>
        <w:ind w:right="113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本公司本年度合并范围较上年度的变化详见本报告第十一节、八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9"/>
          <w:szCs w:val="19"/>
        </w:rPr>
      </w:pPr>
    </w:p>
    <w:p>
      <w:pPr>
        <w:pStyle w:val="Heading3"/>
        <w:spacing w:line="240" w:lineRule="auto"/>
        <w:ind w:right="113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338,177,163.86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87,635,312.06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76,480,764.82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65,592,695.17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57,905,411.38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50,562,980.43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338,177,163.86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25.28%</w:t>
            </w:r>
          </w:p>
        </w:tc>
      </w:tr>
    </w:tbl>
    <w:p>
      <w:pPr>
        <w:pStyle w:val="BodyText"/>
        <w:spacing w:line="240" w:lineRule="auto" w:before="51"/>
        <w:ind w:right="113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149,973,371.49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63,895,700.36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23,333,098.83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22,405,350.42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20,369,456.92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19,969,764.96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149,973,371.49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w:t>
            </w:r>
          </w:p>
        </w:tc>
      </w:tr>
    </w:tbl>
    <w:p>
      <w:pPr>
        <w:pStyle w:val="BodyText"/>
        <w:spacing w:line="240" w:lineRule="auto" w:before="51"/>
        <w:ind w:right="1130"/>
        <w:jc w:val="left"/>
      </w:pPr>
      <w:r>
        <w:rPr/>
        <w:t>主要供应商其他情况说明</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8"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87,731,963.56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87,378,862.28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3" w:right="0"/>
              <w:jc w:val="left"/>
              <w:rPr>
                <w:rFonts w:ascii="Times New Roman" w:hAnsi="Times New Roman" w:cs="Times New Roman" w:eastAsia="Times New Roman" w:hint="default"/>
                <w:sz w:val="18"/>
                <w:szCs w:val="18"/>
              </w:rPr>
            </w:pPr>
            <w:r>
              <w:rPr>
                <w:rFonts w:ascii="Times New Roman"/>
                <w:sz w:val="18"/>
              </w:rPr>
              <w:t>0.40%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168"/>
              <w:jc w:val="both"/>
              <w:rPr>
                <w:rFonts w:ascii="宋体" w:hAnsi="宋体" w:cs="宋体" w:eastAsia="宋体" w:hint="default"/>
                <w:sz w:val="18"/>
                <w:szCs w:val="18"/>
              </w:rPr>
            </w:pPr>
            <w:r>
              <w:rPr>
                <w:rFonts w:ascii="宋体" w:hAnsi="宋体" w:cs="宋体" w:eastAsia="宋体" w:hint="default"/>
                <w:sz w:val="18"/>
                <w:szCs w:val="18"/>
              </w:rPr>
              <w:t>同口径比较略有下降，较上年增长 </w:t>
            </w:r>
            <w:r>
              <w:rPr>
                <w:rFonts w:ascii="Times New Roman" w:hAnsi="Times New Roman" w:cs="Times New Roman" w:eastAsia="Times New Roman" w:hint="default"/>
                <w:sz w:val="18"/>
                <w:szCs w:val="18"/>
              </w:rPr>
              <w:t>0.4%</w:t>
            </w:r>
            <w:r>
              <w:rPr>
                <w:rFonts w:ascii="宋体" w:hAnsi="宋体" w:cs="宋体" w:eastAsia="宋体" w:hint="default"/>
                <w:sz w:val="18"/>
                <w:szCs w:val="18"/>
              </w:rPr>
              <w:t>主要系方正达业务不再并表所 致</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70,912,140.81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88,602,824.30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-19.97%</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3"/>
              <w:ind w:left="22" w:right="21"/>
              <w:jc w:val="left"/>
              <w:rPr>
                <w:rFonts w:ascii="宋体" w:hAnsi="宋体" w:cs="宋体" w:eastAsia="宋体" w:hint="default"/>
                <w:sz w:val="18"/>
                <w:szCs w:val="18"/>
              </w:rPr>
            </w:pPr>
            <w:r>
              <w:rPr>
                <w:rFonts w:ascii="宋体" w:hAnsi="宋体" w:cs="宋体" w:eastAsia="宋体" w:hint="default"/>
                <w:spacing w:val="-2"/>
                <w:sz w:val="18"/>
                <w:szCs w:val="18"/>
              </w:rPr>
              <w:t>同口径比较所有下降，但较上年比较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w:t>
            </w:r>
            <w:r>
              <w:rPr>
                <w:rFonts w:ascii="宋体" w:hAnsi="宋体" w:cs="宋体" w:eastAsia="宋体" w:hint="default"/>
                <w:sz w:val="18"/>
                <w:szCs w:val="18"/>
              </w:rPr>
              <w:t>主要系方正达业务不再 并表所致</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12,535,750.03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33,052,398.23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3" w:right="0"/>
              <w:jc w:val="left"/>
              <w:rPr>
                <w:rFonts w:ascii="Times New Roman" w:hAnsi="Times New Roman" w:cs="Times New Roman" w:eastAsia="Times New Roman" w:hint="default"/>
                <w:sz w:val="18"/>
                <w:szCs w:val="18"/>
              </w:rPr>
            </w:pPr>
            <w:r>
              <w:rPr>
                <w:rFonts w:ascii="Times New Roman"/>
                <w:sz w:val="18"/>
              </w:rPr>
              <w:t>-62.07%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主要系汇率变动导致本报告期内汇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兑收益增加</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58,476,084.06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62,328,089.01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2" w:right="0"/>
              <w:jc w:val="left"/>
              <w:rPr>
                <w:rFonts w:ascii="Times New Roman" w:hAnsi="Times New Roman" w:cs="Times New Roman" w:eastAsia="Times New Roman" w:hint="default"/>
                <w:sz w:val="18"/>
                <w:szCs w:val="18"/>
              </w:rPr>
            </w:pPr>
            <w:r>
              <w:rPr>
                <w:rFonts w:ascii="Times New Roman"/>
                <w:sz w:val="18"/>
              </w:rPr>
              <w:t>-6.18%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同口径比较研发投入增加，较上年比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w:t>
            </w:r>
            <w:r>
              <w:rPr>
                <w:rFonts w:ascii="宋体" w:hAnsi="宋体" w:cs="宋体" w:eastAsia="宋体" w:hint="default"/>
                <w:sz w:val="18"/>
                <w:szCs w:val="18"/>
              </w:rPr>
              <w:t>主要系方正达业务不再 并表所致</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084" w:firstLine="506"/>
        <w:jc w:val="both"/>
      </w:pPr>
      <w:r>
        <w:rPr/>
        <w:t>公司一直以完善核心技术体系建设为发展动力，高度重视新产品和新技术的开发研究工作。不断加大研发投入力度， </w:t>
      </w:r>
      <w:r>
        <w:rPr>
          <w:spacing w:val="-2"/>
        </w:rPr>
        <w:t>以确保技术研究和成果推广应用工作顺利进行。公司依托现有的研发资源和平台，深入整合公司内外部资源，充分利用科研</w:t>
      </w:r>
      <w:r>
        <w:rPr>
          <w:spacing w:val="-66"/>
        </w:rPr>
        <w:t> </w:t>
      </w:r>
      <w:r>
        <w:rPr>
          <w:spacing w:val="-66"/>
        </w:rPr>
      </w:r>
      <w:r>
        <w:rPr>
          <w:spacing w:val="-2"/>
        </w:rPr>
        <w:t>人才和硬件设备进行新产品新工艺研发及前瞻性研究，开展了一系列科研项目，以进一步完善技术和专利布局，优化产品体</w:t>
      </w:r>
      <w:r>
        <w:rPr>
          <w:spacing w:val="-66"/>
        </w:rPr>
        <w:t> </w:t>
      </w:r>
      <w:r>
        <w:rPr>
          <w:spacing w:val="-66"/>
        </w:rPr>
      </w:r>
      <w:r>
        <w:rPr/>
        <w:t>系，提升创新实力，延续在行业中长期保持的技术优势。</w:t>
      </w:r>
    </w:p>
    <w:p>
      <w:pPr>
        <w:pStyle w:val="BodyText"/>
        <w:spacing w:line="240" w:lineRule="auto" w:before="59"/>
        <w:ind w:right="113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58,476,084.06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62,328,089.01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1,373,773,327.19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1,556,962,769.48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1,295,929,533.22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1,357,013,595.85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77,843,793.97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199,949,173.63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70,021,073.24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176,986,513.55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96,752,394.94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129,318,908.17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-26,731,321.70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47,667,605.38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-156.08%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594,080,040.90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400,490,169.20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721,031,924.66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635,740,903.90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-126,951,883.76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-235,250,734.70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-75,080,436.06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8,367,474.16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-997.29%</w:t>
            </w:r>
            <w:r>
              <w:rPr>
                <w:rFonts w:ascii="Times New Roman"/>
                <w:sz w:val="18"/>
              </w:rPr>
            </w:r>
          </w:p>
        </w:tc>
      </w:tr>
    </w:tbl>
    <w:p>
      <w:pPr>
        <w:pStyle w:val="BodyText"/>
        <w:spacing w:line="240" w:lineRule="auto" w:before="51"/>
        <w:ind w:right="1130"/>
        <w:jc w:val="left"/>
      </w:pPr>
      <w:r>
        <w:rPr/>
        <w:t>相关数据同比发生重大变动的主要影响因素说明</w:t>
      </w:r>
    </w:p>
    <w:p>
      <w:pPr>
        <w:pStyle w:val="BodyText"/>
        <w:spacing w:line="319"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报告期内经营活动产生的现金流量净额较去年减少主要系银行授信额度缩减，供应商结算由票据支付逐渐调整为电汇支付</w:t>
      </w:r>
      <w:r>
        <w:rPr>
          <w:spacing w:val="-87"/>
        </w:rPr>
        <w:t> </w:t>
      </w:r>
      <w:r>
        <w:rPr>
          <w:spacing w:val="-87"/>
        </w:rPr>
      </w:r>
      <w:r>
        <w:rPr/>
        <w:t>导致；</w:t>
      </w:r>
    </w:p>
    <w:p>
      <w:pPr>
        <w:pStyle w:val="BodyText"/>
        <w:spacing w:line="240" w:lineRule="auto" w:before="17"/>
        <w:ind w:right="1130"/>
        <w:jc w:val="left"/>
      </w:pPr>
      <w:r>
        <w:rPr>
          <w:rFonts w:ascii="Times New Roman" w:hAnsi="Times New Roman" w:cs="Times New Roman" w:eastAsia="Times New Roman" w:hint="default"/>
        </w:rPr>
        <w:t>2)</w:t>
      </w:r>
      <w:r>
        <w:rPr/>
        <w:t>报告期内投资活动产生的现金流量净额较去年同期减少主要系上年同期公司处置方正达股权收回投资所致；</w:t>
      </w:r>
    </w:p>
    <w:p>
      <w:pPr>
        <w:pStyle w:val="BodyText"/>
        <w:spacing w:line="300" w:lineRule="auto" w:before="63"/>
        <w:ind w:right="1117"/>
        <w:jc w:val="left"/>
      </w:pPr>
      <w:r>
        <w:rPr>
          <w:rFonts w:ascii="Times New Roman" w:hAnsi="Times New Roman" w:cs="Times New Roman" w:eastAsia="Times New Roman" w:hint="default"/>
          <w:spacing w:val="-1"/>
        </w:rPr>
        <w:t>3)</w:t>
      </w:r>
      <w:r>
        <w:rPr>
          <w:spacing w:val="-1"/>
        </w:rPr>
        <w:t>报告期内筹资活动产生的现金流量净额较去年减少主要系公司银行授信额度减少，付款方式改变，开票承兑保证金减少所</w:t>
      </w:r>
      <w:r>
        <w:rPr>
          <w:w w:val="99"/>
        </w:rPr>
        <w:t> </w:t>
      </w:r>
      <w:r>
        <w:rPr/>
        <w:t>致；</w:t>
      </w:r>
    </w:p>
    <w:p>
      <w:pPr>
        <w:pStyle w:val="BodyText"/>
        <w:spacing w:line="340" w:lineRule="auto" w:before="31"/>
        <w:ind w:right="4272"/>
        <w:jc w:val="left"/>
      </w:pPr>
      <w:r>
        <w:rPr>
          <w:rFonts w:ascii="Times New Roman" w:hAnsi="Times New Roman" w:cs="Times New Roman" w:eastAsia="Times New Roman" w:hint="default"/>
        </w:rPr>
        <w:t>4)</w:t>
      </w:r>
      <w:r>
        <w:rPr/>
        <w:t>现金及现金等价物净增加额，变动原因同上。</w:t>
      </w:r>
      <w:r>
        <w:rPr>
          <w:w w:val="99"/>
        </w:rPr>
        <w:t> </w:t>
      </w:r>
      <w:r>
        <w:rPr/>
        <w:t>报告期内公司经营活动产生的现金净流量与本年度净利润存在重大差异的原因说明</w:t>
      </w:r>
    </w:p>
    <w:p>
      <w:pPr>
        <w:pStyle w:val="BodyText"/>
        <w:spacing w:line="240" w:lineRule="auto" w:before="41"/>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-1,689,749.42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主要系权益法核算的长期股 权投资收益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-2,060,800.00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主要系远期外汇合约的公允 价值变动产生的损失</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785"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285,293,182.90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-104.92%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主要系计提的应收账款坏账 准备、存货跌价准备、固定 资产及在建工程减值准备、 长期股权投资及可供出售金 融资产减值准备、商誉减值 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785"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2,909,400.21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-1.07%</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主要系子公司海宁电站收到 的损失赔偿款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9,507,909.93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-3.50%</w:t>
            </w:r>
          </w:p>
        </w:tc>
        <w:tc>
          <w:tcPr>
            <w:tcW w:w="2254"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主要系公司与斐翔供应链管 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有限公司因非现金 资产抵债产生的债务重组损 失</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12,050,005.68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-4.48%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主要系收到的各项政府补助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282,352,971.2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16.56%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318,161,764.45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15.54%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1.02%</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462,779,717.6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479,781,809.01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3.71%</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应收帐款降低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0.17</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亿，主要系公司报</w:t>
            </w:r>
            <w:r>
              <w:rPr>
                <w:rFonts w:ascii="宋体" w:hAnsi="宋体" w:cs="宋体" w:eastAsia="宋体" w:hint="default"/>
                <w:sz w:val="18"/>
                <w:szCs w:val="18"/>
              </w:rPr>
              <w:t> 告期末总资产减少，占比提升</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139,270,809.3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8.17%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203,103,287.66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-1.75%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主要系公司逆变器业务受行业新政 </w:t>
            </w:r>
            <w:r>
              <w:rPr>
                <w:rFonts w:ascii="宋体" w:hAnsi="宋体" w:cs="宋体" w:eastAsia="宋体" w:hint="default"/>
                <w:spacing w:val="-2"/>
                <w:sz w:val="18"/>
                <w:szCs w:val="18"/>
              </w:rPr>
              <w:t>影响，消库存且计提大额减值，电源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类业务推行标准品作业，强调周转率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提升</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122,956,056.2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145,805,355.11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7.12%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主要系减少茂硕海量的部分投资，方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正达的长投计提资产减值准备，处置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山西茂硕部分股权导致长投转为权 益法核算</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409,077,159.8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573,473,388.15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-4.01%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主要系公司光伏资产计提资产减值</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7,590,000.00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16,877,519.80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-0.37%</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主要系何家边</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3.44MW</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太阳能光伏电 站在建工程计提资产减值</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222,101,360.0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244,551,780.00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9"/>
        <w:gridCol w:w="1207"/>
        <w:gridCol w:w="1213"/>
        <w:gridCol w:w="1207"/>
        <w:gridCol w:w="1219"/>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24"/>
              <w:jc w:val="right"/>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8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9" w:right="0"/>
              <w:jc w:val="left"/>
              <w:rPr>
                <w:rFonts w:ascii="Times New Roman" w:hAnsi="Times New Roman" w:cs="Times New Roman" w:eastAsia="Times New Roman" w:hint="default"/>
                <w:sz w:val="18"/>
                <w:szCs w:val="18"/>
              </w:rPr>
            </w:pPr>
            <w:r>
              <w:rPr>
                <w:rFonts w:ascii="Times New Roman"/>
                <w:sz w:val="18"/>
              </w:rPr>
              <w:t>3,911,787.40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3,911,787.40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98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的金融资产</w:t>
            </w:r>
          </w:p>
          <w:p>
            <w:pPr>
              <w:pStyle w:val="TableParagraph"/>
              <w:spacing w:line="319" w:lineRule="auto" w:before="76"/>
              <w:ind w:left="22" w:right="105"/>
              <w:jc w:val="left"/>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38,647,283.21</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22,382,162.37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27,265,120.8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42,559,070.61</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22,382,162.37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3,911,787.40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27,265,120.8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-2,060,800.00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2,060,800.00</w:t>
            </w:r>
          </w:p>
        </w:tc>
      </w:tr>
    </w:tbl>
    <w:p>
      <w:pPr>
        <w:pStyle w:val="BodyText"/>
        <w:spacing w:line="240" w:lineRule="auto" w:before="51"/>
        <w:ind w:left="514" w:right="0"/>
        <w:jc w:val="left"/>
      </w:pPr>
      <w:r>
        <w:rPr/>
        <w:t>以公允价值计量且其变动计入当期损益的金融资产（不含衍生金融资产）本期出售金额</w:t>
      </w:r>
      <w:r>
        <w:rPr>
          <w:spacing w:val="-65"/>
        </w:rPr>
        <w:t> </w:t>
      </w:r>
      <w:r>
        <w:rPr>
          <w:rFonts w:ascii="Times New Roman" w:hAnsi="Times New Roman" w:cs="Times New Roman" w:eastAsia="Times New Roman" w:hint="default"/>
        </w:rPr>
        <w:t>3,911,787.40</w:t>
      </w:r>
      <w:r>
        <w:rPr>
          <w:rFonts w:ascii="Times New Roman" w:hAnsi="Times New Roman" w:cs="Times New Roman" w:eastAsia="Times New Roman" w:hint="default"/>
          <w:spacing w:val="-20"/>
        </w:rPr>
        <w:t> </w:t>
      </w:r>
      <w:r>
        <w:rPr/>
        <w:t>元系本公司之联营</w:t>
      </w:r>
    </w:p>
    <w:p>
      <w:pPr>
        <w:pStyle w:val="BodyText"/>
        <w:spacing w:line="240" w:lineRule="auto" w:before="61"/>
        <w:ind w:right="0"/>
        <w:jc w:val="left"/>
      </w:pPr>
      <w:r>
        <w:rPr/>
        <w:t>公司湖南方正达</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年度未完成业绩承诺，根据公司与方笑求、蓝顺明签署的《盈利预测补偿协议》及补充协议的约定，</w:t>
      </w:r>
    </w:p>
    <w:p>
      <w:pPr>
        <w:pStyle w:val="BodyText"/>
        <w:spacing w:line="240" w:lineRule="auto" w:before="63"/>
        <w:ind w:right="0"/>
        <w:jc w:val="left"/>
      </w:pPr>
      <w:r>
        <w:rPr>
          <w:spacing w:val="-3"/>
        </w:rPr>
        <w:t>公司回购方笑求、蓝顺明股份合计</w:t>
      </w:r>
      <w:r>
        <w:rPr>
          <w:spacing w:val="-45"/>
        </w:rPr>
        <w:t> </w:t>
      </w:r>
      <w:r>
        <w:rPr>
          <w:rFonts w:ascii="Times New Roman" w:hAnsi="Times New Roman" w:cs="Times New Roman" w:eastAsia="Times New Roman" w:hint="default"/>
        </w:rPr>
        <w:t>452,751.00 </w:t>
      </w:r>
      <w:r>
        <w:rPr>
          <w:spacing w:val="-3"/>
        </w:rPr>
        <w:t>股并予以注销，减少股本人民币</w:t>
      </w:r>
      <w:r>
        <w:rPr>
          <w:spacing w:val="-45"/>
        </w:rPr>
        <w:t> </w:t>
      </w:r>
      <w:r>
        <w:rPr>
          <w:rFonts w:ascii="Times New Roman" w:hAnsi="Times New Roman" w:cs="Times New Roman" w:eastAsia="Times New Roman" w:hint="default"/>
        </w:rPr>
        <w:t>452,751.00 </w:t>
      </w:r>
      <w:r>
        <w:rPr>
          <w:spacing w:val="-6"/>
        </w:rPr>
        <w:t>元，减少资本公积</w:t>
      </w:r>
      <w:r>
        <w:rPr>
          <w:spacing w:val="-45"/>
        </w:rPr>
        <w:t> </w:t>
      </w:r>
      <w:r>
        <w:rPr>
          <w:rFonts w:ascii="Times New Roman" w:hAnsi="Times New Roman" w:cs="Times New Roman" w:eastAsia="Times New Roman" w:hint="default"/>
        </w:rPr>
        <w:t>3,459,017.64</w:t>
      </w:r>
      <w:r>
        <w:rPr>
          <w:rFonts w:ascii="Times New Roman" w:hAnsi="Times New Roman" w:cs="Times New Roman" w:eastAsia="Times New Roman" w:hint="default"/>
          <w:spacing w:val="-1"/>
        </w:rPr>
        <w:t> </w:t>
      </w:r>
      <w:r>
        <w:rPr/>
        <w:t>元。</w:t>
      </w:r>
    </w:p>
    <w:p>
      <w:pPr>
        <w:pStyle w:val="BodyText"/>
        <w:spacing w:line="240" w:lineRule="auto" w:before="64"/>
        <w:ind w:right="1130"/>
        <w:jc w:val="left"/>
      </w:pPr>
      <w:r>
        <w:rPr/>
        <w:t>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月完成注销。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1130"/>
        <w:jc w:val="left"/>
      </w:pPr>
      <w:r>
        <w:rPr/>
        <w:t>报告期内公司主要资产计量属性是否发生重大变化</w:t>
      </w:r>
    </w:p>
    <w:p>
      <w:pPr>
        <w:pStyle w:val="BodyText"/>
        <w:spacing w:line="240" w:lineRule="auto" w:before="116"/>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2"/>
          <w:szCs w:val="12"/>
        </w:rPr>
      </w:pPr>
    </w:p>
    <w:p>
      <w:pPr>
        <w:spacing w:line="1394" w:lineRule="exact"/>
        <w:ind w:left="154"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328.8pt;height:69.75pt;mso-position-horizontal-relative:char;mso-position-vertical-relative:line" coordorigin="0,0" coordsize="6576,1395">
            <v:shape style="position:absolute;left:10;top:14;width:6555;height:1366" type="#_x0000_t75" stroked="false">
              <v:imagedata r:id="rId12" o:title=""/>
            </v:shape>
            <v:group style="position:absolute;left:10;top:10;width:6557;height:2" coordorigin="10,10" coordsize="6557,2">
              <v:shape style="position:absolute;left:10;top:10;width:6557;height:2" coordorigin="10,10" coordsize="6557,0" path="m10,10l6566,10e" filled="false" stroked="true" strokeweight=".48001pt" strokecolor="#000000">
                <v:path arrowok="t"/>
              </v:shape>
            </v:group>
            <v:group style="position:absolute;left:5;top:5;width:2;height:1386" coordorigin="5,5" coordsize="2,1386">
              <v:shape style="position:absolute;left:5;top:5;width:2;height:1386" coordorigin="5,5" coordsize="0,1386" path="m5,5l5,1390e" filled="false" stroked="true" strokeweight=".48pt" strokecolor="#000000">
                <v:path arrowok="t"/>
              </v:shape>
            </v:group>
            <v:group style="position:absolute;left:6571;top:5;width:2;height:1386" coordorigin="6571,5" coordsize="2,1386">
              <v:shape style="position:absolute;left:6571;top:5;width:2;height:1386" coordorigin="6571,5" coordsize="0,1386" path="m6571,5l6571,1390e" filled="false" stroked="true" strokeweight=".47998pt" strokecolor="#000000">
                <v:path arrowok="t"/>
              </v:shape>
            </v:group>
            <v:group style="position:absolute;left:10;top:1385;width:6557;height:2" coordorigin="10,1385" coordsize="6557,2">
              <v:shape style="position:absolute;left:10;top:1385;width:6557;height:2" coordorigin="10,1385" coordsize="6557,0" path="m10,1385l6566,1385e" filled="false" stroked="true" strokeweight=".48001pt" strokecolor="#000000">
                <v:path arrowok="t"/>
              </v:shape>
            </v:group>
          </v:group>
        </w:pict>
      </w:r>
      <w:r>
        <w:rPr>
          <w:rFonts w:ascii="宋体" w:hAnsi="宋体" w:cs="宋体" w:eastAsia="宋体" w:hint="default"/>
          <w:position w:val="-27"/>
          <w:sz w:val="20"/>
          <w:szCs w:val="20"/>
        </w:rPr>
      </w:r>
    </w:p>
    <w:p>
      <w:pPr>
        <w:spacing w:line="240" w:lineRule="auto" w:before="7"/>
        <w:rPr>
          <w:rFonts w:ascii="宋体" w:hAnsi="宋体" w:cs="宋体" w:eastAsia="宋体" w:hint="default"/>
          <w:b/>
          <w:bCs/>
          <w:sz w:val="24"/>
          <w:szCs w:val="24"/>
        </w:rPr>
      </w:pPr>
    </w:p>
    <w:p>
      <w:pPr>
        <w:pStyle w:val="Heading2"/>
        <w:spacing w:line="240" w:lineRule="auto" w:before="26"/>
        <w:ind w:right="113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-75.41%</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41,418.55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43,135.19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4,497.57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4,497.57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45,916.12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47632.76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894.90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77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（一）首次公开发行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股茂硕电源科技股份有限公司经中国证券监督管理委员会（证监许可</w:t>
            </w:r>
            <w:r>
              <w:rPr>
                <w:rFonts w:ascii="Times New Roman" w:hAnsi="Times New Roman" w:cs="Times New Roman" w:eastAsia="Times New Roman" w:hint="default"/>
                <w:sz w:val="18"/>
                <w:szCs w:val="18"/>
              </w:rPr>
              <w:t>[2012]186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号文）核准，由主 承销商民生证券有限责任公司采用网下询价配售与网上资金申购定价发行相结合的方式发行人民币普通股（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 </w:t>
            </w:r>
            <w:r>
              <w:rPr>
                <w:rFonts w:ascii="Times New Roman" w:hAnsi="Times New Roman" w:cs="Times New Roman" w:eastAsia="Times New Roman" w:hint="default"/>
                <w:sz w:val="18"/>
                <w:szCs w:val="18"/>
              </w:rPr>
              <w:t>24,280,000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元。本次发行募集资金总额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44,918.00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3,499.45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w:t>
            </w:r>
          </w:p>
          <w:p>
            <w:pPr>
              <w:pStyle w:val="TableParagraph"/>
              <w:spacing w:line="300" w:lineRule="auto" w:before="13"/>
              <w:ind w:left="22" w:right="21"/>
              <w:jc w:val="both"/>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41,418.55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万元。上述资金到位情况经深圳市鹏城会计师事务所有限公司于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出 具的深鹏所验字</w:t>
            </w:r>
            <w:r>
              <w:rPr>
                <w:rFonts w:ascii="Times New Roman" w:hAnsi="Times New Roman" w:cs="Times New Roman" w:eastAsia="Times New Roman" w:hint="default"/>
                <w:sz w:val="18"/>
                <w:szCs w:val="18"/>
              </w:rPr>
              <w:t>[2012]0051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号验资报告验证确认。根据公司的招股说明书，公司将运用本次募集资金投资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 科技有限公司电源驱动生产项目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惠州茂硕能源科技有限公司研发中心建设项目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惠州茂硕能源科技有限公司信息化 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三个项目，计划使用募集资金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27,317.00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万元；扣除上述募投项目资金需求总额外，公司此次超额募集资金</w:t>
            </w:r>
          </w:p>
          <w:p>
            <w:pPr>
              <w:pStyle w:val="TableParagraph"/>
              <w:spacing w:line="309"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净额部分为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14,101.55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万元。（二）发行股票购买资产（湖南方正达）项目经中国证券监督管理委员会证监许可</w:t>
            </w:r>
            <w:r>
              <w:rPr>
                <w:rFonts w:ascii="Times New Roman" w:hAnsi="Times New Roman" w:cs="Times New Roman" w:eastAsia="Times New Roman" w:hint="default"/>
                <w:spacing w:val="-2"/>
                <w:sz w:val="18"/>
                <w:szCs w:val="18"/>
              </w:rPr>
              <w:t>[2015]233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1"/>
                <w:sz w:val="18"/>
                <w:szCs w:val="18"/>
              </w:rPr>
              <w:t>号文件《关于核准茂硕电源科技股份有限公司向方笑求等发行股份购买资产并募集配套资金的批复》核准：公司向方笑求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935</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万股股份、向蓝顺明发行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935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万股股份购买相关资产；公司非公开发行不超过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623.33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万股新股募集本次发行股份</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购买资产的配套资金。公司非公开发行股份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623.33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万股，由自然人宗佩民、曹国熊各认购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311.665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万股，每股面值人民币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元，每股价格人民币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8.64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元，总价值人民币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5,385.5712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万元，扣除发生的券商承销佣金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万元，实际净筹得募集资金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4,947.5712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万元。经瑞华会计师事务所（特殊普通合伙）于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日出具的瑞华验字</w:t>
            </w:r>
            <w:r>
              <w:rPr>
                <w:rFonts w:ascii="Times New Roman" w:hAnsi="Times New Roman" w:cs="Times New Roman" w:eastAsia="Times New Roman" w:hint="default"/>
                <w:sz w:val="18"/>
                <w:szCs w:val="18"/>
              </w:rPr>
              <w:t>[2015]48060005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资报告验证，上述募集资金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4,497.5712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万元（扣除支付西南证券股份有限公司财务顾问费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日汇入公司华夏银行深圳高新支行的账户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10860000000309257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shape style="position:absolute;margin-left:56.459999pt;margin-top:89.609985pt;width:479.2pt;height:667.8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5"/>
                    <w:gridCol w:w="784"/>
                    <w:gridCol w:w="780"/>
                    <w:gridCol w:w="779"/>
                    <w:gridCol w:w="780"/>
                    <w:gridCol w:w="784"/>
                    <w:gridCol w:w="773"/>
                    <w:gridCol w:w="788"/>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1"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8"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限公司电源驱动生产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26,065.67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108.25%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-4,288.86</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限公司研发中心建设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1,384.71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83.52%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限公司信息化系统建 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62.61%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重大资产重组（湖南方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4,497.57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4,497.57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221.73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31,814.57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31,814.57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364.72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32,937.15</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w w:val="95"/>
                            <w:sz w:val="18"/>
                          </w:rPr>
                          <w:t>-4,067.13</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2"/>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2"/>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9,695.61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9,695.61</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14,695.61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14,695.61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14,695.61</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46,510.18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46,510.18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364.72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47,632.76</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-4,067.13</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94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4" w:lineRule="auto" w:before="52"/>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、惠州茂硕能源科技有限公司电源驱动生产项目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工厂落成投产，产能已经逐步释放，但是由于行 业竞争加剧，盈利能力未达到预期</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、惠州茂硕能源科技有限公司研发中心建设项目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研发设备的购 置需根据惠州茂硕产能增加逐步提升，且部分新产品处于预研、研发期或客户认定阶段，基于谨慎 性的考虑，研发中心建设项目整体投资分批付款进度滞后于预期投资进度，公司研发中心建设项目 的建设按新计划进度有序进行</w:t>
                        </w:r>
                        <w:r>
                          <w:rPr>
                            <w:rFonts w:ascii="Times New Roman" w:hAnsi="Times New Roman" w:cs="Times New Roman" w:eastAsia="Times New Roman" w:hint="default"/>
                            <w:sz w:val="18"/>
                            <w:szCs w:val="18"/>
                          </w:rPr>
                          <w:t>;3</w:t>
                        </w:r>
                        <w:r>
                          <w:rPr>
                            <w:rFonts w:ascii="宋体" w:hAnsi="宋体" w:cs="宋体" w:eastAsia="宋体" w:hint="default"/>
                            <w:sz w:val="18"/>
                            <w:szCs w:val="18"/>
                          </w:rPr>
                          <w:t>、惠州茂硕能源科技有限公司信息化系统建设项目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该项目主要是服 务于</w:t>
                        </w:r>
                        <w:r>
                          <w:rPr>
                            <w:rFonts w:ascii="Times New Roman" w:hAnsi="Times New Roman" w:cs="Times New Roman" w:eastAsia="Times New Roman" w:hint="default"/>
                            <w:sz w:val="18"/>
                            <w:szCs w:val="18"/>
                          </w:rPr>
                          <w:t>“</w:t>
                        </w:r>
                        <w:r>
                          <w:rPr>
                            <w:rFonts w:ascii="宋体" w:hAnsi="宋体" w:cs="宋体" w:eastAsia="宋体" w:hint="default"/>
                            <w:sz w:val="18"/>
                            <w:szCs w:val="18"/>
                          </w:rPr>
                          <w:t>电源驱动生产项目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投入使用以及公司产能扩张后的配套项目，为建设智慧工厂，完成工厂智 能自动化目标，信息化系统建设项目将进行配套升级，为保证项目实施质量，</w:t>
                        </w:r>
                        <w:r>
                          <w:rPr>
                            <w:rFonts w:ascii="Times New Roman" w:hAnsi="Times New Roman" w:cs="Times New Roman" w:eastAsia="Times New Roman" w:hint="default"/>
                            <w:sz w:val="18"/>
                            <w:szCs w:val="18"/>
                          </w:rPr>
                          <w:t>SRM </w:t>
                        </w:r>
                        <w:r>
                          <w:rPr>
                            <w:rFonts w:ascii="宋体" w:hAnsi="宋体" w:cs="宋体" w:eastAsia="宋体" w:hint="default"/>
                            <w:sz w:val="18"/>
                            <w:szCs w:val="18"/>
                          </w:rPr>
                          <w:t>系统、</w:t>
                        </w: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 统、信息化安全异地备份等信息化建设，</w:t>
                        </w:r>
                        <w:r>
                          <w:rPr>
                            <w:rFonts w:ascii="Times New Roman" w:hAnsi="Times New Roman" w:cs="Times New Roman" w:eastAsia="Times New Roman" w:hint="default"/>
                            <w:sz w:val="18"/>
                            <w:szCs w:val="18"/>
                          </w:rPr>
                          <w:t>SRM </w:t>
                        </w:r>
                        <w:r>
                          <w:rPr>
                            <w:rFonts w:ascii="宋体" w:hAnsi="宋体" w:cs="宋体" w:eastAsia="宋体" w:hint="default"/>
                            <w:sz w:val="18"/>
                            <w:szCs w:val="18"/>
                          </w:rPr>
                          <w:t>系统、</w:t>
                        </w: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系统已经投入运行，但尚有余款未付款 信息化安全异地备份等信息化建设已新签相关合同并开始启动，但尚未付款。</w:t>
                        </w:r>
                      </w:p>
                    </w:tc>
                  </w:tr>
                  <w:tr>
                    <w:trPr>
                      <w:trHeight w:val="101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94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8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6"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2D2D2"/>
                          <w:bottom w:val="single" w:sz="4" w:space="0" w:color="000000"/>
                          <w:right w:val="single" w:sz="4" w:space="0" w:color="000000"/>
                        </w:tcBorders>
                      </w:tcPr>
                      <w:p>
                        <w:pPr/>
                      </w:p>
                    </w:tc>
                  </w:tr>
                  <w:tr>
                    <w:trPr>
                      <w:trHeight w:val="488"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超额募集资金部分为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14,101.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度永久性补充流动资金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万元和归还银行贷款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5,000</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72"/>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2"/>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2"/>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tc>
                  </w:tr>
                  <w:tr>
                    <w:trPr>
                      <w:trHeight w:val="18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、惠州茂硕能源科技有限公司电源驱动生产项目：截至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日，公司以自筹资金预先投</w:t>
            </w:r>
          </w:p>
          <w:p>
            <w:pPr>
              <w:pStyle w:val="TableParagraph"/>
              <w:spacing w:line="300"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入募集资金投资项目的实际投资额为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 </w:t>
            </w:r>
            <w:r>
              <w:rPr>
                <w:rFonts w:ascii="宋体" w:hAnsi="宋体" w:cs="宋体" w:eastAsia="宋体" w:hint="default"/>
                <w:spacing w:val="-1"/>
                <w:sz w:val="18"/>
                <w:szCs w:val="18"/>
              </w:rPr>
              <w:t>专字</w:t>
            </w:r>
            <w:r>
              <w:rPr>
                <w:rFonts w:ascii="Times New Roman" w:hAnsi="Times New Roman" w:cs="Times New Roman" w:eastAsia="Times New Roman" w:hint="default"/>
                <w:spacing w:val="-1"/>
                <w:sz w:val="18"/>
                <w:szCs w:val="18"/>
              </w:rPr>
              <w:t>[2012]0478</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专项鉴证报告确认。经公司董事会审议通过，保荐机构发表明确同意意见后，公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司以募集资金置换预先已投入募集资金投资项目的自筹资金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w:t>
            </w:r>
          </w:p>
          <w:p>
            <w:pPr>
              <w:pStyle w:val="TableParagraph"/>
              <w:spacing w:line="307" w:lineRule="auto" w:before="13"/>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公司研发中心建设项目：截至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日，公司以自筹资金预先投入募集资金投资项目的实 际投资额为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[2012]0478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专项鉴 证报告确认。经公司董事会审议通过，保荐机构发表明确同意意见后，公司以募集资金置换预先已 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款项存放于募集资金专户中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3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8787"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台州南 瑞新能 源有限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501.58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本次股 权转让 完成 后，台 州南瑞 将不再 纳入公 司合并 报表范 围内， 本次交 易产生 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w:t>
            </w: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万元转 让损 失，本 次交 易的顺 利实 施，是 公司剥 离与战 略无关 资产的 重要举 措，有 利于公 司盘活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3"/>
                <w:sz w:val="18"/>
                <w:szCs w:val="18"/>
              </w:rPr>
              <w:t>（</w:t>
            </w:r>
            <w:hyperlink r:id="rId13">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的《关 于转让 台州南 瑞新能 源有限 公司股 权的公 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4731"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资金， 增 加 公司的 营运资 金，实 现公司 整体利 益最大 化，对 于公司 正常生 产经营 不存在 重大 影响。</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11"/>
              <w:jc w:val="both"/>
              <w:rPr>
                <w:rFonts w:ascii="宋体" w:hAnsi="宋体" w:cs="宋体" w:eastAsia="宋体" w:hint="default"/>
                <w:sz w:val="18"/>
                <w:szCs w:val="18"/>
              </w:rPr>
            </w:pPr>
            <w:r>
              <w:rPr>
                <w:rFonts w:ascii="宋体" w:hAnsi="宋体" w:cs="宋体" w:eastAsia="宋体" w:hint="default"/>
                <w:sz w:val="18"/>
                <w:szCs w:val="18"/>
              </w:rPr>
              <w:t>连云港 闰洋光 伏发电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95%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连云港</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月成 立，自 成立实 质未开 展业 务，本 次处置 对公司 无实质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11"/>
              <w:jc w:val="both"/>
              <w:rPr>
                <w:rFonts w:ascii="宋体" w:hAnsi="宋体" w:cs="宋体" w:eastAsia="宋体" w:hint="default"/>
                <w:sz w:val="18"/>
                <w:szCs w:val="18"/>
              </w:rPr>
            </w:pPr>
            <w:r>
              <w:rPr>
                <w:rFonts w:ascii="宋体" w:hAnsi="宋体" w:cs="宋体" w:eastAsia="宋体" w:hint="default"/>
                <w:sz w:val="18"/>
                <w:szCs w:val="18"/>
              </w:rPr>
              <w:t>山西茂 硕光伏 电力有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本次股 权转让 完成 后，山 西茂硕 将不再 纳入公 司合并 报表范 围内， 本次交 易产生 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元转让 收益。</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13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601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深圳茂硕电 子科技有限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计算机软件 开发、系统 集成、技术 服务和销 售；经营进 出口业务</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（法律、行 政法规、</w:t>
            </w:r>
            <w:r>
              <w:rPr>
                <w:rFonts w:ascii="宋体" w:hAnsi="宋体" w:cs="宋体" w:eastAsia="宋体" w:hint="default"/>
                <w:spacing w:val="-2"/>
                <w:sz w:val="18"/>
                <w:szCs w:val="18"/>
              </w:rPr>
              <w:t> </w:t>
            </w:r>
            <w:r>
              <w:rPr>
                <w:rFonts w:ascii="宋体" w:hAnsi="宋体" w:cs="宋体" w:eastAsia="宋体" w:hint="default"/>
                <w:sz w:val="18"/>
                <w:szCs w:val="18"/>
              </w:rPr>
              <w:t>国</w:t>
            </w:r>
            <w:r>
              <w:rPr>
                <w:rFonts w:ascii="宋体" w:hAnsi="宋体" w:cs="宋体" w:eastAsia="宋体" w:hint="default"/>
                <w:sz w:val="18"/>
                <w:szCs w:val="18"/>
              </w:rPr>
              <w:t> 务院决定禁 止的项目除 外，限制的 项目须取得 许可后方可 </w:t>
            </w:r>
            <w:r>
              <w:rPr>
                <w:rFonts w:ascii="宋体" w:hAnsi="宋体" w:cs="宋体" w:eastAsia="宋体" w:hint="default"/>
                <w:spacing w:val="-16"/>
                <w:sz w:val="18"/>
                <w:szCs w:val="18"/>
              </w:rPr>
              <w:t>经营）。开关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电源、变压 器、电感的 设计、技术 开发、生产 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484,289,271.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52,941,379.3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422,822,011.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6,313,421.80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7,529,325.11</w:t>
            </w:r>
          </w:p>
        </w:tc>
      </w:tr>
      <w:tr>
        <w:trPr>
          <w:trHeight w:val="566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深圳茂硕新 能源科技有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工业控制设 备、工业自 动化软件、 太阳能光伏 逆变器的技 术开发与销 售；电子电 力器材的销 售；国内贸 易；经营进 出口业务</w:t>
            </w:r>
          </w:p>
          <w:p>
            <w:pPr>
              <w:pStyle w:val="TableParagraph"/>
              <w:spacing w:line="316" w:lineRule="auto" w:before="19"/>
              <w:ind w:left="22" w:right="110"/>
              <w:jc w:val="both"/>
              <w:rPr>
                <w:rFonts w:ascii="宋体" w:hAnsi="宋体" w:cs="宋体" w:eastAsia="宋体" w:hint="default"/>
                <w:sz w:val="18"/>
                <w:szCs w:val="18"/>
              </w:rPr>
            </w:pPr>
            <w:r>
              <w:rPr>
                <w:rFonts w:ascii="宋体" w:hAnsi="宋体" w:cs="宋体" w:eastAsia="宋体" w:hint="default"/>
                <w:sz w:val="18"/>
                <w:szCs w:val="18"/>
              </w:rPr>
              <w:t>（法律、行 政法规、国 务院决定禁 止的项目除 外，限制的 项目须取得 许可后方可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22,825,000.0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93,824,579.5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11,744,595.9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3" w:right="0"/>
              <w:jc w:val="center"/>
              <w:rPr>
                <w:rFonts w:ascii="Times New Roman" w:hAnsi="Times New Roman" w:cs="Times New Roman" w:eastAsia="Times New Roman" w:hint="default"/>
                <w:sz w:val="18"/>
                <w:szCs w:val="18"/>
              </w:rPr>
            </w:pPr>
            <w:r>
              <w:rPr>
                <w:rFonts w:ascii="Times New Roman"/>
                <w:sz w:val="18"/>
              </w:rPr>
              <w:t>1,762,268.90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-6,520,586.1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-8,841,523.3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376.5pt;mso-position-horizontal-relative:page;mso-position-vertical-relative:page;z-index:-1302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运营、</w:t>
                  </w:r>
                </w:p>
              </w:txbxContent>
            </v:textbox>
            <w10:wrap type="none"/>
          </v:shape>
        </w:pict>
      </w:r>
      <w:r>
        <w:rPr/>
        <w:pict>
          <v:shape style="position:absolute;margin-left:197.537003pt;margin-top:449.439972pt;width:75.95pt;height:117pt;mso-position-horizontal-relative:page;mso-position-vertical-relative:page;z-index:-1302376" type="#_x0000_t202" filled="false" stroked="false">
            <v:textbox inset="0,0,0,0">
              <w:txbxContent>
                <w:p>
                  <w:pPr>
                    <w:pStyle w:val="BodyText"/>
                    <w:spacing w:line="240" w:lineRule="auto" w:before="51"/>
                    <w:ind w:left="0" w:right="0"/>
                    <w:jc w:val="left"/>
                  </w:pPr>
                  <w:r>
                    <w:rPr/>
                    <w:t>销售：</w:t>
                  </w:r>
                </w:p>
              </w:txbxContent>
            </v:textbox>
            <w10:wrap type="none"/>
          </v:shape>
        </w:pict>
      </w:r>
      <w:r>
        <w:rPr/>
        <w:pict>
          <v:group style="position:absolute;margin-left:221.720001pt;margin-top:72.47998pt;width:51.75pt;height:529.75pt;mso-position-horizontal-relative:page;mso-position-vertical-relative:page;z-index:-1302352" coordorigin="4434,1450" coordsize="1035,10595">
            <v:group style="position:absolute;left:4434;top:1450;width:1035;height:7530" coordorigin="4434,1450" coordsize="1035,7530">
              <v:shape style="position:absolute;left:4434;top:1450;width:1035;height:7530" coordorigin="4434,1450" coordsize="1035,7530" path="m4434,8979l5469,8979,5469,1450,4434,1450,4434,8979xe" filled="true" fillcolor="#ffffff" stroked="false">
                <v:path arrowok="t"/>
                <v:fill type="solid"/>
              </v:shape>
            </v:group>
            <v:group style="position:absolute;left:4434;top:8989;width:1035;height:2340" coordorigin="4434,8989" coordsize="1035,2340">
              <v:shape style="position:absolute;left:4434;top:8989;width:1035;height:2340" coordorigin="4434,8989" coordsize="1035,2340" path="m4434,11329l5469,11329,5469,8989,4434,8989,4434,11329xe" filled="true" fillcolor="#ffffff" stroked="false">
                <v:path arrowok="t"/>
                <v:fill type="solid"/>
              </v:shape>
            </v:group>
            <v:group style="position:absolute;left:4446;top:11329;width:2;height:705" coordorigin="4446,11329" coordsize="2,705">
              <v:shape style="position:absolute;left:4446;top:11329;width:2;height:705" coordorigin="4446,11329" coordsize="0,705" path="m4446,11329l4446,12033e" filled="false" stroked="true" strokeweight="1.140pt" strokecolor="#ffffff">
                <v:path arrowok="t"/>
              </v:shape>
            </v:group>
            <v:group style="position:absolute;left:4457;top:11329;width:990;height:352" coordorigin="4457,11329" coordsize="990,352">
              <v:shape style="position:absolute;left:4457;top:11329;width:990;height:352" coordorigin="4457,11329" coordsize="990,352" path="m4457,11680l5446,11680,5446,11329,4457,11329,4457,11680xe" filled="true" fillcolor="#ffffff" stroked="false">
                <v:path arrowok="t"/>
                <v:fill type="solid"/>
              </v:shape>
            </v:group>
            <v:group style="position:absolute;left:4457;top:11680;width:990;height:353" coordorigin="4457,11680" coordsize="990,353">
              <v:shape style="position:absolute;left:4457;top:11680;width:990;height:353" coordorigin="4457,11680" coordsize="990,353" path="m4457,12033l5446,12033,5446,11680,4457,11680,4457,1203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太阳</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能发电、电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动汽车充电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设备和储能</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系统产品等</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新能源系统</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的设计、开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发、采购、</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监理以及工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程项目总承</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包；汽车租</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赁（不包括</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带操作人员</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的汽车出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90"/>
                <w:sz w:val="18"/>
                <w:szCs w:val="18"/>
              </w:rPr>
              <w:t>）</w:t>
            </w:r>
            <w:r>
              <w:rPr>
                <w:rFonts w:ascii="宋体" w:hAnsi="宋体" w:cs="宋体" w:eastAsia="宋体" w:hint="default"/>
                <w:spacing w:val="-86"/>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生产并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网光伏逆变</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器、离并网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一体光伏逆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变器、光伏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水泵逆变</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器、优化器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（凭有效许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可证经营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1" w:lineRule="exact" w:before="154"/>
              <w:ind w:left="22" w:right="0"/>
              <w:jc w:val="left"/>
              <w:rPr>
                <w:rFonts w:ascii="Times New Roman" w:hAnsi="Times New Roman" w:cs="Times New Roman" w:eastAsia="Times New Roman" w:hint="default"/>
                <w:sz w:val="18"/>
                <w:szCs w:val="18"/>
              </w:rPr>
            </w:pPr>
            <w:r>
              <w:rPr>
                <w:rFonts w:ascii="Times New Roman"/>
                <w:spacing w:val="-4"/>
                <w:sz w:val="18"/>
              </w:rPr>
              <w:t>111,111,111.1</w:t>
            </w:r>
          </w:p>
          <w:p>
            <w:pPr>
              <w:pStyle w:val="TableParagraph"/>
              <w:spacing w:line="17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大功率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路灯电源、</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隧道灯电</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源、汽车充</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电器、光伏</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并网逆变</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惠州茂硕能 源科技有限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器、开关电 源、变压器 电子元器</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623,426,492.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279,348,593.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676,149,020.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-35,257,870.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-42,888,610.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件、五金塑</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胶配件；货</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物进出口</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（法律、行</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政法规禁止</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的、限制的</w:t>
            </w:r>
          </w:p>
        </w:tc>
        <w:tc>
          <w:tcPr>
            <w:tcW w:w="104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海宁茂硕诺 华能源有限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太阳能电站 信息咨询、 工程施工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70,726,860.3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30,730,381.7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18,675,815.0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-28,040,915.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-27,086,702.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（涉及资质 的，凭有效 资质证书经 营）及实业 投资</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深圳茂硕电 气有限公司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新能源汽车 智能充电桩 及充电柜、 有线及无线 充电机、智 能电力电子 变换装置、 智能监控与 网络管理及 装置、电气 控制设备的 研发和销 售；计算机 及其周边设 备、软件产 品的研发、 销售及相关 配套业务； 经营进出口 业务。新能 源汽车智能 充电桩及充 电柜、有线 及无线充电 机、智能电 力电子变换 装置、智能 监控与网络 管理及装 置、电气控 制设备的生 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12,222,222.0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33,120,020.0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-37,462,405.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76,426,509.3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-41,992,058.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-45,054,049.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223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新余茂硕新 能源科技有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工业控制设 备、工业自 动化软件、 太阳能光伏 逆变器的技 术开发与销 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电子电力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10,010,000.0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97,254,235.4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-43,454,902.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13,951,163.6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-50,531,719.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-50,683,389.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461.259979pt;width:75.95pt;height:132.6pt;mso-position-horizontal-relative:page;mso-position-vertical-relative:page;z-index:-1302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监理。</w:t>
                  </w:r>
                </w:p>
              </w:txbxContent>
            </v:textbox>
            <w10:wrap type="none"/>
          </v:shape>
        </w:pict>
      </w:r>
      <w:r>
        <w:rPr/>
        <w:pict>
          <v:shape style="position:absolute;margin-left:197.537003pt;margin-top:594.339966pt;width:75.95pt;height:69.2pt;mso-position-horizontal-relative:page;mso-position-vertical-relative:page;z-index:-1302304" type="#_x0000_t202" filled="false" stroked="false">
            <v:textbox inset="0,0,0,0">
              <w:txbxContent>
                <w:p>
                  <w:pPr>
                    <w:pStyle w:val="BodyText"/>
                    <w:spacing w:line="240" w:lineRule="auto" w:before="51"/>
                    <w:ind w:left="0" w:right="0"/>
                    <w:jc w:val="left"/>
                  </w:pPr>
                  <w:r>
                    <w:rPr/>
                    <w:t>生产、</w:t>
                  </w:r>
                </w:p>
              </w:txbxContent>
            </v:textbox>
            <w10:wrap type="none"/>
          </v:shape>
        </w:pict>
      </w:r>
      <w:r>
        <w:rPr/>
        <w:pict>
          <v:group style="position:absolute;margin-left:221.720001pt;margin-top:461.259979pt;width:51.75pt;height:202.3pt;mso-position-horizontal-relative:page;mso-position-vertical-relative:page;z-index:-1302280" coordorigin="4434,9225" coordsize="1035,4046">
            <v:group style="position:absolute;left:4434;top:9225;width:1035;height:2652" coordorigin="4434,9225" coordsize="1035,2652">
              <v:shape style="position:absolute;left:4434;top:9225;width:1035;height:2652" coordorigin="4434,9225" coordsize="1035,2652" path="m4434,11877l5469,11877,5469,9225,4434,9225,4434,11877xe" filled="true" fillcolor="#ffffff" stroked="false">
                <v:path arrowok="t"/>
                <v:fill type="solid"/>
              </v:shape>
            </v:group>
            <v:group style="position:absolute;left:4434;top:11887;width:1035;height:1384" coordorigin="4434,11887" coordsize="1035,1384">
              <v:shape style="position:absolute;left:4434;top:11887;width:1035;height:1384" coordorigin="4434,11887" coordsize="1035,1384" path="m4434,13270l5469,13270,5469,11887,4434,11887,4434,1327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41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器材的销售</w:t>
            </w:r>
            <w:r>
              <w:rPr>
                <w:rFonts w:ascii="Times New Roman" w:hAnsi="Times New Roman" w:cs="Times New Roman" w:eastAsia="Times New Roman" w:hint="default"/>
                <w:sz w:val="18"/>
                <w:szCs w:val="18"/>
              </w:rPr>
              <w:t>; </w:t>
            </w:r>
            <w:r>
              <w:rPr>
                <w:rFonts w:ascii="宋体" w:hAnsi="宋体" w:cs="宋体" w:eastAsia="宋体" w:hint="default"/>
                <w:sz w:val="18"/>
                <w:szCs w:val="18"/>
              </w:rPr>
              <w:t>太阳能发电 和能源发电 系统的设 计、开发、 施工、监理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 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 相关部门批 准后</w:t>
            </w:r>
            <w:r>
              <w:rPr>
                <w:rFonts w:ascii="Times New Roman" w:hAnsi="Times New Roman" w:cs="Times New Roman" w:eastAsia="Times New Roman" w:hint="default"/>
                <w:sz w:val="18"/>
                <w:szCs w:val="18"/>
              </w:rPr>
              <w:t>,</w:t>
            </w:r>
            <w:r>
              <w:rPr>
                <w:rFonts w:ascii="宋体" w:hAnsi="宋体" w:cs="宋体" w:eastAsia="宋体" w:hint="default"/>
                <w:sz w:val="18"/>
                <w:szCs w:val="18"/>
              </w:rPr>
              <w:t>方可开 展经营活动</w:t>
            </w:r>
            <w:r>
              <w:rPr>
                <w:rFonts w:ascii="Times New Roman" w:hAnsi="Times New Roman" w:cs="Times New Roman" w:eastAsia="Times New Roman" w:hint="default"/>
                <w:sz w:val="18"/>
                <w:szCs w:val="18"/>
              </w:rPr>
              <w:t>, </w:t>
            </w:r>
            <w:r>
              <w:rPr>
                <w:rFonts w:ascii="宋体" w:hAnsi="宋体" w:cs="宋体" w:eastAsia="宋体" w:hint="default"/>
                <w:sz w:val="18"/>
                <w:szCs w:val="18"/>
              </w:rPr>
              <w:t>涉及资质证 的、凭资质 证经营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萍乡茂硕新 能源科技有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工业控制设 备、工业自 动化软件、 太阳能光伏 逆变器的技 术开发与销 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电子电力 器材的销售</w:t>
            </w:r>
            <w:r>
              <w:rPr>
                <w:rFonts w:ascii="Times New Roman" w:hAnsi="Times New Roman" w:cs="Times New Roman" w:eastAsia="Times New Roman" w:hint="default"/>
                <w:sz w:val="18"/>
                <w:szCs w:val="18"/>
              </w:rPr>
              <w:t>, </w:t>
            </w:r>
            <w:r>
              <w:rPr>
                <w:rFonts w:ascii="宋体" w:hAnsi="宋体" w:cs="宋体" w:eastAsia="宋体" w:hint="default"/>
                <w:sz w:val="18"/>
                <w:szCs w:val="18"/>
              </w:rPr>
              <w:t>太阳能发电 和能源发电 系统的设 计、开发、 施工、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 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 相关部门批 准后方可开 展经营活 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58,671,952.8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-29,180,781.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8,696,306.97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-33,810,798.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-33,864,856.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湖南省方正 达电子科技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研发、 销售电子用 挠性材料、 绝缘材料、 覆铜板材 料、铜箔， 电子产品及 线路板的技 术开发、生 产、销售， 货物及技术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30,851,885.0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443,344,312.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254,507,288.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418,451,790.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14,168,023.0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10,393,655.9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进出口（不</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含法律、行</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政法规，国</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务院规定禁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止及决定需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前置审批的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普通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货运</w:t>
            </w:r>
            <w:r>
              <w:rPr>
                <w:rFonts w:ascii="宋体" w:hAnsi="宋体" w:cs="宋体" w:eastAsia="宋体" w:hint="default"/>
                <w:spacing w:val="-92"/>
                <w:sz w:val="18"/>
                <w:szCs w:val="18"/>
              </w:rPr>
              <w:t>。</w:t>
            </w:r>
            <w:r>
              <w:rPr>
                <w:rFonts w:ascii="宋体" w:hAnsi="宋体" w:cs="宋体" w:eastAsia="宋体" w:hint="default"/>
                <w:sz w:val="18"/>
                <w:szCs w:val="18"/>
              </w:rPr>
              <w:t>（依法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项目，经相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关部门批准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报告期内取得和处置子公司的情况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139"/>
        <w:jc w:val="right"/>
      </w:pPr>
      <w:r>
        <w:rPr/>
        <w:pict>
          <v:shape style="position:absolute;margin-left:56.459999pt;margin-top:-165.928284pt;width:479.25pt;height:236.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25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本次股权转让完成后，台州南瑞将不再 纳入公司合并报表范围内，本次交易产 生约 </w:t>
                        </w:r>
                        <w:r>
                          <w:rPr>
                            <w:rFonts w:ascii="Times New Roman" w:hAnsi="Times New Roman" w:cs="Times New Roman" w:eastAsia="Times New Roman" w:hint="default"/>
                            <w:sz w:val="18"/>
                            <w:szCs w:val="18"/>
                          </w:rPr>
                          <w:t>361 </w:t>
                        </w:r>
                        <w:r>
                          <w:rPr>
                            <w:rFonts w:ascii="宋体" w:hAnsi="宋体" w:cs="宋体" w:eastAsia="宋体" w:hint="default"/>
                            <w:sz w:val="18"/>
                            <w:szCs w:val="18"/>
                          </w:rPr>
                          <w:t>万元转让损失，本次交</w:t>
                        </w:r>
                        <w:r>
                          <w:rPr>
                            <w:rFonts w:ascii="宋体" w:hAnsi="宋体" w:cs="宋体" w:eastAsia="宋体" w:hint="default"/>
                            <w:spacing w:val="-62"/>
                            <w:sz w:val="18"/>
                            <w:szCs w:val="18"/>
                          </w:rPr>
                          <w:t> </w:t>
                        </w:r>
                        <w:r>
                          <w:rPr>
                            <w:rFonts w:ascii="宋体" w:hAnsi="宋体" w:cs="宋体" w:eastAsia="宋体" w:hint="default"/>
                            <w:sz w:val="18"/>
                            <w:szCs w:val="18"/>
                          </w:rPr>
                          <w:t>易的顺</w:t>
                        </w:r>
                        <w:r>
                          <w:rPr>
                            <w:rFonts w:ascii="宋体" w:hAnsi="宋体" w:cs="宋体" w:eastAsia="宋体" w:hint="default"/>
                            <w:sz w:val="18"/>
                            <w:szCs w:val="18"/>
                          </w:rPr>
                          <w:t> 利实施，是公司剥离与战略无关资产的 重要举措，有利于公司盘活资金，增</w:t>
                        </w:r>
                        <w:r>
                          <w:rPr>
                            <w:rFonts w:ascii="宋体" w:hAnsi="宋体" w:cs="宋体" w:eastAsia="宋体" w:hint="default"/>
                            <w:spacing w:val="-14"/>
                            <w:sz w:val="18"/>
                            <w:szCs w:val="18"/>
                          </w:rPr>
                          <w:t> </w:t>
                        </w:r>
                        <w:r>
                          <w:rPr>
                            <w:rFonts w:ascii="宋体" w:hAnsi="宋体" w:cs="宋体" w:eastAsia="宋体" w:hint="default"/>
                            <w:sz w:val="18"/>
                            <w:szCs w:val="18"/>
                          </w:rPr>
                          <w:t>加</w:t>
                        </w:r>
                        <w:r>
                          <w:rPr>
                            <w:rFonts w:ascii="宋体" w:hAnsi="宋体" w:cs="宋体" w:eastAsia="宋体" w:hint="default"/>
                            <w:sz w:val="18"/>
                            <w:szCs w:val="18"/>
                          </w:rPr>
                          <w:t> 公司的营运资金，实现公司整体利益最 大化，对于公司正常生产经营不存在重 大 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连云港闰洋光伏发电有限公司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月成立，自成立实质未 开展业务，本次处置对公司无实质影响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本次股权转让完成后，山西茂硕将不再 纳入公司合并报表范围内，本次交易产 生约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元转让收益。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1130"/>
        <w:jc w:val="left"/>
        <w:rPr>
          <w:b w:val="0"/>
          <w:bCs w:val="0"/>
        </w:rPr>
      </w:pPr>
      <w:r>
        <w:rPr/>
        <w:t>（一）行业竞争格局</w:t>
      </w:r>
      <w:r>
        <w:rPr>
          <w:b w:val="0"/>
          <w:bCs w:val="0"/>
        </w:rPr>
      </w:r>
    </w:p>
    <w:p>
      <w:pPr>
        <w:pStyle w:val="BodyText"/>
        <w:spacing w:line="316" w:lineRule="auto" w:before="77"/>
        <w:ind w:left="514" w:right="1130"/>
        <w:jc w:val="left"/>
      </w:pPr>
      <w:r>
        <w:rPr/>
        <w:t>（</w:t>
      </w:r>
      <w:r>
        <w:rPr>
          <w:rFonts w:ascii="宋体" w:hAnsi="宋体" w:cs="宋体" w:eastAsia="宋体" w:hint="default"/>
        </w:rPr>
        <w:t>1</w:t>
      </w:r>
      <w:r>
        <w:rPr/>
        <w:t>）、消费电子类电源市场现状 </w:t>
      </w:r>
      <w:r>
        <w:rPr>
          <w:spacing w:val="-2"/>
        </w:rPr>
        <w:t>消费电子类产品是指围绕着消费者应用而设计的与生活、工作、娱乐息息相关的电子类产品，是电子产品中技术发展最</w:t>
      </w:r>
    </w:p>
    <w:p>
      <w:pPr>
        <w:pStyle w:val="BodyText"/>
        <w:spacing w:line="316" w:lineRule="auto" w:before="19"/>
        <w:ind w:right="1129"/>
        <w:jc w:val="both"/>
      </w:pPr>
      <w:r>
        <w:rPr/>
        <w:t>快、技术应用最广的领域，譬如应运而生的产品领域人工智能、智能音响、激光电视、激光投影仪、</w:t>
      </w:r>
      <w:r>
        <w:rPr>
          <w:rFonts w:ascii="宋体" w:hAnsi="宋体" w:cs="宋体" w:eastAsia="宋体" w:hint="default"/>
        </w:rPr>
        <w:t>3D</w:t>
      </w:r>
      <w:r>
        <w:rPr/>
        <w:t>打印机、</w:t>
      </w:r>
      <w:r>
        <w:rPr>
          <w:rFonts w:ascii="宋体" w:hAnsi="宋体" w:cs="宋体" w:eastAsia="宋体" w:hint="default"/>
        </w:rPr>
        <w:t>POS</w:t>
      </w:r>
      <w:r>
        <w:rPr/>
        <w:t>机、电</w:t>
      </w:r>
      <w:r>
        <w:rPr>
          <w:spacing w:val="-81"/>
        </w:rPr>
        <w:t> </w:t>
      </w:r>
      <w:r>
        <w:rPr>
          <w:spacing w:val="-2"/>
        </w:rPr>
        <w:t>动工具、</w:t>
      </w:r>
      <w:r>
        <w:rPr>
          <w:rFonts w:ascii="宋体" w:hAnsi="宋体" w:cs="宋体" w:eastAsia="宋体" w:hint="default"/>
          <w:spacing w:val="-2"/>
        </w:rPr>
        <w:t>5G</w:t>
      </w:r>
      <w:r>
        <w:rPr>
          <w:spacing w:val="-2"/>
        </w:rPr>
        <w:t>通讯终端等大势兴起。消费电子产业发展获得了政府、社会的广泛支持，国内国际都一直保持较快增长。在新技</w:t>
      </w:r>
      <w:r>
        <w:rPr>
          <w:spacing w:val="-64"/>
        </w:rPr>
        <w:t> </w:t>
      </w:r>
      <w:r>
        <w:rPr>
          <w:spacing w:val="-64"/>
        </w:rPr>
      </w:r>
      <w:r>
        <w:rPr>
          <w:spacing w:val="-2"/>
        </w:rPr>
        <w:t>术的推动下，消费电子产品的深度与广度持续扩展，不断满足人们娱乐、休闲、办公等方面的需求，随着人们生活水平的提</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高，各种消费电子产品进入千家万户，成为居民生活必需品，与人们生活密切相关。</w:t>
      </w:r>
    </w:p>
    <w:p>
      <w:pPr>
        <w:pStyle w:val="BodyText"/>
        <w:spacing w:line="316" w:lineRule="auto" w:before="76"/>
        <w:ind w:left="514" w:right="1122"/>
        <w:jc w:val="left"/>
      </w:pPr>
      <w:r>
        <w:rPr/>
        <w:t>（</w:t>
      </w:r>
      <w:r>
        <w:rPr>
          <w:rFonts w:ascii="宋体" w:hAnsi="宋体" w:cs="宋体" w:eastAsia="宋体" w:hint="default"/>
        </w:rPr>
        <w:t>2</w:t>
      </w:r>
      <w:r>
        <w:rPr/>
        <w:t>）、</w:t>
      </w:r>
      <w:r>
        <w:rPr>
          <w:rFonts w:ascii="宋体" w:hAnsi="宋体" w:cs="宋体" w:eastAsia="宋体" w:hint="default"/>
        </w:rPr>
        <w:t>LED</w:t>
      </w:r>
      <w:r>
        <w:rPr/>
        <w:t>电源行业市场现状 集邦咨询</w:t>
      </w:r>
      <w:r>
        <w:rPr>
          <w:rFonts w:ascii="宋体" w:hAnsi="宋体" w:cs="宋体" w:eastAsia="宋体" w:hint="default"/>
        </w:rPr>
        <w:t>LED</w:t>
      </w:r>
      <w:r>
        <w:rPr/>
        <w:t>研究中心（</w:t>
      </w:r>
      <w:r>
        <w:rPr>
          <w:rFonts w:ascii="宋体" w:hAnsi="宋体" w:cs="宋体" w:eastAsia="宋体" w:hint="default"/>
        </w:rPr>
        <w:t>LEDinside</w:t>
      </w:r>
      <w:r>
        <w:rPr/>
        <w:t>）最新《</w:t>
      </w:r>
      <w:r>
        <w:rPr>
          <w:rFonts w:ascii="宋体" w:hAnsi="宋体" w:cs="宋体" w:eastAsia="宋体" w:hint="default"/>
        </w:rPr>
        <w:t>2018</w:t>
      </w:r>
      <w:r>
        <w:rPr/>
        <w:t>照明级封装与</w:t>
      </w:r>
      <w:r>
        <w:rPr>
          <w:rFonts w:ascii="宋体" w:hAnsi="宋体" w:cs="宋体" w:eastAsia="宋体" w:hint="default"/>
        </w:rPr>
        <w:t>LED</w:t>
      </w:r>
      <w:r>
        <w:rPr/>
        <w:t>照明市场展望》显示，</w:t>
      </w:r>
      <w:r>
        <w:rPr>
          <w:rFonts w:ascii="宋体" w:hAnsi="宋体" w:cs="宋体" w:eastAsia="宋体" w:hint="default"/>
        </w:rPr>
        <w:t>2016~2019</w:t>
      </w:r>
      <w:r>
        <w:rPr/>
        <w:t>年</w:t>
      </w:r>
      <w:r>
        <w:rPr>
          <w:rFonts w:ascii="宋体" w:hAnsi="宋体" w:cs="宋体" w:eastAsia="宋体" w:hint="default"/>
        </w:rPr>
        <w:t>LED</w:t>
      </w:r>
      <w:r>
        <w:rPr/>
        <w:t>照明市场规模</w:t>
      </w:r>
    </w:p>
    <w:p>
      <w:pPr>
        <w:pStyle w:val="BodyText"/>
        <w:spacing w:line="319" w:lineRule="auto" w:before="19"/>
        <w:ind w:right="1132"/>
        <w:jc w:val="both"/>
      </w:pPr>
      <w:r>
        <w:rPr>
          <w:spacing w:val="-2"/>
        </w:rPr>
        <w:t>逐步提升，</w:t>
      </w:r>
      <w:r>
        <w:rPr>
          <w:rFonts w:ascii="宋体" w:hAnsi="宋体" w:cs="宋体" w:eastAsia="宋体" w:hint="default"/>
          <w:spacing w:val="-2"/>
        </w:rPr>
        <w:t>LED</w:t>
      </w:r>
      <w:r>
        <w:rPr>
          <w:spacing w:val="-2"/>
        </w:rPr>
        <w:t>照明市场规模于</w:t>
      </w:r>
      <w:r>
        <w:rPr>
          <w:rFonts w:ascii="宋体" w:hAnsi="宋体" w:cs="宋体" w:eastAsia="宋体" w:hint="default"/>
          <w:spacing w:val="-2"/>
        </w:rPr>
        <w:t>2018</w:t>
      </w:r>
      <w:r>
        <w:rPr>
          <w:spacing w:val="-2"/>
        </w:rPr>
        <w:t>年达到</w:t>
      </w:r>
      <w:r>
        <w:rPr>
          <w:rFonts w:ascii="宋体" w:hAnsi="宋体" w:cs="宋体" w:eastAsia="宋体" w:hint="default"/>
          <w:spacing w:val="-2"/>
        </w:rPr>
        <w:t>327.17</w:t>
      </w:r>
      <w:r>
        <w:rPr>
          <w:spacing w:val="-2"/>
        </w:rPr>
        <w:t>亿美金，</w:t>
      </w:r>
      <w:r>
        <w:rPr>
          <w:rFonts w:ascii="宋体" w:hAnsi="宋体" w:cs="宋体" w:eastAsia="宋体" w:hint="default"/>
          <w:spacing w:val="-2"/>
        </w:rPr>
        <w:t>2019</w:t>
      </w:r>
      <w:r>
        <w:rPr>
          <w:spacing w:val="-2"/>
        </w:rPr>
        <w:t>年达到</w:t>
      </w:r>
      <w:r>
        <w:rPr>
          <w:rFonts w:ascii="宋体" w:hAnsi="宋体" w:cs="宋体" w:eastAsia="宋体" w:hint="default"/>
          <w:spacing w:val="-2"/>
        </w:rPr>
        <w:t>333</w:t>
      </w:r>
      <w:r>
        <w:rPr>
          <w:spacing w:val="-2"/>
        </w:rPr>
        <w:t>亿美金，替换式照明已进入饱和期；工业、景观户</w:t>
      </w:r>
      <w:r>
        <w:rPr>
          <w:spacing w:val="-46"/>
        </w:rPr>
        <w:t> </w:t>
      </w:r>
      <w:r>
        <w:rPr>
          <w:spacing w:val="-46"/>
        </w:rPr>
      </w:r>
      <w:r>
        <w:rPr/>
        <w:t>外、特殊商业照明接续发展。</w:t>
      </w:r>
    </w:p>
    <w:p>
      <w:pPr>
        <w:pStyle w:val="BodyText"/>
        <w:spacing w:line="316" w:lineRule="auto" w:before="17"/>
        <w:ind w:right="1132" w:firstLine="360"/>
        <w:jc w:val="both"/>
      </w:pPr>
      <w:r>
        <w:rPr>
          <w:spacing w:val="-3"/>
        </w:rPr>
        <w:t>根据</w:t>
      </w:r>
      <w:r>
        <w:rPr>
          <w:rFonts w:ascii="宋体" w:hAnsi="宋体" w:cs="宋体" w:eastAsia="宋体" w:hint="default"/>
          <w:spacing w:val="-3"/>
        </w:rPr>
        <w:t>LEDinside</w:t>
      </w:r>
      <w:r>
        <w:rPr>
          <w:spacing w:val="-3"/>
        </w:rPr>
        <w:t>调查全球已安装照明产品存量，</w:t>
      </w:r>
      <w:r>
        <w:rPr>
          <w:rFonts w:ascii="宋体" w:hAnsi="宋体" w:cs="宋体" w:eastAsia="宋体" w:hint="default"/>
          <w:spacing w:val="-3"/>
        </w:rPr>
        <w:t>LED</w:t>
      </w:r>
      <w:r>
        <w:rPr>
          <w:spacing w:val="-3"/>
        </w:rPr>
        <w:t>照明产品对传统照明的替换快速增长，</w:t>
      </w:r>
      <w:r>
        <w:rPr>
          <w:rFonts w:ascii="宋体" w:hAnsi="宋体" w:cs="宋体" w:eastAsia="宋体" w:hint="default"/>
          <w:spacing w:val="-3"/>
        </w:rPr>
        <w:t>2017</w:t>
      </w:r>
      <w:r>
        <w:rPr>
          <w:spacing w:val="-3"/>
        </w:rPr>
        <w:t>年渗透率为</w:t>
      </w:r>
      <w:r>
        <w:rPr>
          <w:rFonts w:ascii="宋体" w:hAnsi="宋体" w:cs="宋体" w:eastAsia="宋体" w:hint="default"/>
          <w:spacing w:val="-3"/>
        </w:rPr>
        <w:t>22%</w:t>
      </w:r>
      <w:r>
        <w:rPr>
          <w:spacing w:val="-3"/>
        </w:rPr>
        <w:t>，预估</w:t>
      </w:r>
      <w:r>
        <w:rPr>
          <w:rFonts w:ascii="宋体" w:hAnsi="宋体" w:cs="宋体" w:eastAsia="宋体" w:hint="default"/>
          <w:spacing w:val="-3"/>
        </w:rPr>
        <w:t>2022</w:t>
      </w:r>
      <w:r>
        <w:rPr>
          <w:rFonts w:ascii="宋体" w:hAnsi="宋体" w:cs="宋体" w:eastAsia="宋体" w:hint="default"/>
        </w:rPr>
        <w:t> </w:t>
      </w:r>
      <w:r>
        <w:rPr/>
        <w:t>年将达</w:t>
      </w:r>
      <w:r>
        <w:rPr>
          <w:rFonts w:ascii="宋体" w:hAnsi="宋体" w:cs="宋体" w:eastAsia="宋体" w:hint="default"/>
        </w:rPr>
        <w:t>63%</w:t>
      </w:r>
      <w:r>
        <w:rPr/>
        <w:t>，</w:t>
      </w:r>
      <w:r>
        <w:rPr>
          <w:rFonts w:ascii="宋体" w:hAnsi="宋体" w:cs="宋体" w:eastAsia="宋体" w:hint="default"/>
        </w:rPr>
        <w:t>2017~2022</w:t>
      </w:r>
      <w:r>
        <w:rPr/>
        <w:t>年</w:t>
      </w:r>
      <w:r>
        <w:rPr>
          <w:rFonts w:ascii="宋体" w:hAnsi="宋体" w:cs="宋体" w:eastAsia="宋体" w:hint="default"/>
        </w:rPr>
        <w:t>LED</w:t>
      </w:r>
      <w:r>
        <w:rPr/>
        <w:t>照明产品存量</w:t>
      </w:r>
      <w:r>
        <w:rPr>
          <w:rFonts w:ascii="宋体" w:hAnsi="宋体" w:cs="宋体" w:eastAsia="宋体" w:hint="default"/>
        </w:rPr>
        <w:t>CAGR</w:t>
      </w:r>
      <w:r>
        <w:rPr/>
        <w:t>达</w:t>
      </w:r>
      <w:r>
        <w:rPr>
          <w:rFonts w:ascii="宋体" w:hAnsi="宋体" w:cs="宋体" w:eastAsia="宋体" w:hint="default"/>
        </w:rPr>
        <w:t>26%</w:t>
      </w:r>
      <w:r>
        <w:rPr/>
        <w:t>。</w:t>
      </w:r>
    </w:p>
    <w:p>
      <w:pPr>
        <w:pStyle w:val="BodyText"/>
        <w:spacing w:line="316" w:lineRule="auto" w:before="19"/>
        <w:ind w:right="1032" w:firstLine="360"/>
        <w:jc w:val="left"/>
      </w:pPr>
      <w:r>
        <w:rPr>
          <w:spacing w:val="-2"/>
        </w:rPr>
        <w:t>近几年，由于</w:t>
      </w:r>
      <w:r>
        <w:rPr>
          <w:rFonts w:ascii="宋体" w:hAnsi="宋体" w:cs="宋体" w:eastAsia="宋体" w:hint="default"/>
          <w:spacing w:val="-2"/>
        </w:rPr>
        <w:t>LED</w:t>
      </w:r>
      <w:r>
        <w:rPr>
          <w:spacing w:val="-2"/>
        </w:rPr>
        <w:t>照明在杭州</w:t>
      </w:r>
      <w:r>
        <w:rPr>
          <w:rFonts w:ascii="宋体" w:hAnsi="宋体" w:cs="宋体" w:eastAsia="宋体" w:hint="default"/>
          <w:spacing w:val="-2"/>
        </w:rPr>
        <w:t>G20</w:t>
      </w:r>
      <w:r>
        <w:rPr>
          <w:spacing w:val="-2"/>
        </w:rPr>
        <w:t>峰会、厦门金砖国家会议等重大场合优异的表现，景观照明呈暴发式增长，而道路照明</w:t>
      </w:r>
      <w:r>
        <w:rPr/>
        <w:t> 需求则比较偏向于理性。从</w:t>
      </w:r>
      <w:r>
        <w:rPr>
          <w:rFonts w:ascii="宋体" w:hAnsi="宋体" w:cs="宋体" w:eastAsia="宋体" w:hint="default"/>
        </w:rPr>
        <w:t>2017</w:t>
      </w:r>
      <w:r>
        <w:rPr/>
        <w:t>年年初开始，多地地方政府提出夜游经济，城市夜景提升工程增多（如广州、厦门、青岛、 上海等城市），加上全国遍地开花的特色小镇及文化创意灯光秀，景观照明将带来新一轮的发展潮。</w:t>
      </w:r>
    </w:p>
    <w:p>
      <w:pPr>
        <w:pStyle w:val="BodyText"/>
        <w:spacing w:line="316" w:lineRule="auto" w:before="19"/>
        <w:ind w:right="1130" w:firstLine="360"/>
        <w:jc w:val="both"/>
      </w:pPr>
      <w:r>
        <w:rPr/>
        <w:t>同时，由于国内市场的竞争趋于白热化，企业纷纷拓展海外市场。</w:t>
      </w:r>
      <w:r>
        <w:rPr>
          <w:rFonts w:ascii="宋体" w:hAnsi="宋体" w:cs="宋体" w:eastAsia="宋体" w:hint="default"/>
        </w:rPr>
        <w:t>LED</w:t>
      </w:r>
      <w:r>
        <w:rPr/>
        <w:t>驱动经过多年的发展其技术己经非常成熟，通用 </w:t>
      </w:r>
      <w:r>
        <w:rPr>
          <w:spacing w:val="-2"/>
        </w:rPr>
        <w:t>型照明驱动的利润己进入薄利，为谋求新的发展，企业必须要走差异化竞争、走细分领域、提供增值服务（如智能照明）才</w:t>
      </w:r>
      <w:r>
        <w:rPr>
          <w:spacing w:val="-67"/>
        </w:rPr>
        <w:t> </w:t>
      </w:r>
      <w:r>
        <w:rPr>
          <w:spacing w:val="-67"/>
        </w:rPr>
      </w:r>
      <w:r>
        <w:rPr/>
        <w:t>能可持续发展。</w:t>
      </w:r>
    </w:p>
    <w:p>
      <w:pPr>
        <w:pStyle w:val="BodyText"/>
        <w:spacing w:line="316" w:lineRule="auto" w:before="19"/>
        <w:ind w:left="514" w:right="0"/>
        <w:jc w:val="left"/>
      </w:pPr>
      <w:r>
        <w:rPr/>
        <w:t>（３）、光伏发电及逆变器行业市场现状 </w:t>
      </w:r>
      <w:r>
        <w:rPr>
          <w:rFonts w:ascii="宋体" w:hAnsi="宋体" w:cs="宋体" w:eastAsia="宋体" w:hint="default"/>
          <w:spacing w:val="-2"/>
        </w:rPr>
        <w:t>2018</w:t>
      </w:r>
      <w:r>
        <w:rPr>
          <w:spacing w:val="-2"/>
        </w:rPr>
        <w:t>年，全国光伏发电量</w:t>
      </w:r>
      <w:r>
        <w:rPr>
          <w:rFonts w:ascii="宋体" w:hAnsi="宋体" w:cs="宋体" w:eastAsia="宋体" w:hint="default"/>
          <w:spacing w:val="-2"/>
        </w:rPr>
        <w:t>1775</w:t>
      </w:r>
      <w:r>
        <w:rPr>
          <w:spacing w:val="-2"/>
        </w:rPr>
        <w:t>亿千瓦时，同比增长</w:t>
      </w:r>
      <w:r>
        <w:rPr>
          <w:rFonts w:ascii="宋体" w:hAnsi="宋体" w:cs="宋体" w:eastAsia="宋体" w:hint="default"/>
          <w:spacing w:val="-2"/>
        </w:rPr>
        <w:t>50%</w:t>
      </w:r>
      <w:r>
        <w:rPr>
          <w:spacing w:val="-2"/>
        </w:rPr>
        <w:t>，全国光伏发电弃光电量</w:t>
      </w:r>
      <w:r>
        <w:rPr>
          <w:rFonts w:ascii="宋体" w:hAnsi="宋体" w:cs="宋体" w:eastAsia="宋体" w:hint="default"/>
          <w:spacing w:val="-2"/>
        </w:rPr>
        <w:t>54.9</w:t>
      </w:r>
      <w:r>
        <w:rPr>
          <w:spacing w:val="-2"/>
        </w:rPr>
        <w:t>亿千瓦时，同比减少</w:t>
      </w:r>
      <w:r>
        <w:rPr>
          <w:rFonts w:ascii="宋体" w:hAnsi="宋体" w:cs="宋体" w:eastAsia="宋体" w:hint="default"/>
          <w:spacing w:val="-2"/>
        </w:rPr>
        <w:t>18.0</w:t>
      </w:r>
      <w:r>
        <w:rPr>
          <w:spacing w:val="-2"/>
        </w:rPr>
        <w:t>亿千瓦时；</w:t>
      </w:r>
    </w:p>
    <w:p>
      <w:pPr>
        <w:pStyle w:val="BodyText"/>
        <w:spacing w:line="316" w:lineRule="auto" w:before="19"/>
        <w:ind w:right="1128"/>
        <w:jc w:val="both"/>
      </w:pPr>
      <w:r>
        <w:rPr/>
        <w:t>弃光率</w:t>
      </w:r>
      <w:r>
        <w:rPr>
          <w:rFonts w:ascii="宋体" w:hAnsi="宋体" w:cs="宋体" w:eastAsia="宋体" w:hint="default"/>
        </w:rPr>
        <w:t>3%</w:t>
      </w:r>
      <w:r>
        <w:rPr/>
        <w:t>，同比下降</w:t>
      </w:r>
      <w:r>
        <w:rPr>
          <w:rFonts w:ascii="宋体" w:hAnsi="宋体" w:cs="宋体" w:eastAsia="宋体" w:hint="default"/>
        </w:rPr>
        <w:t>2.8</w:t>
      </w:r>
      <w:r>
        <w:rPr/>
        <w:t>个百分点；</w:t>
      </w:r>
      <w:r>
        <w:rPr>
          <w:spacing w:val="7"/>
        </w:rPr>
        <w:t> </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日国家能源局针对光伏发电建设规模迅速增长带来的补贴缺口持续扩大、 </w:t>
      </w:r>
      <w:r>
        <w:rPr>
          <w:spacing w:val="-2"/>
        </w:rPr>
        <w:t>弃光限电严重等问题，国家发展改革委、财政部、国家能源局联合印发了《关于</w:t>
      </w:r>
      <w:r>
        <w:rPr>
          <w:rFonts w:ascii="宋体" w:hAnsi="宋体" w:cs="宋体" w:eastAsia="宋体" w:hint="default"/>
          <w:spacing w:val="-2"/>
        </w:rPr>
        <w:t>2018</w:t>
      </w:r>
      <w:r>
        <w:rPr>
          <w:spacing w:val="-2"/>
        </w:rPr>
        <w:t>年光伏发电有关事项的通知》，通知中</w:t>
      </w:r>
      <w:r>
        <w:rPr>
          <w:spacing w:val="-62"/>
        </w:rPr>
        <w:t> </w:t>
      </w:r>
      <w:r>
        <w:rPr>
          <w:spacing w:val="-62"/>
        </w:rPr>
      </w:r>
      <w:r>
        <w:rPr>
          <w:spacing w:val="-2"/>
        </w:rPr>
        <w:t>包含“暂停普通地面电站指标发放”、“分布式光伏规模受限”、“调低上网电价”等内容。按照新政，地面电站、分布式</w:t>
      </w:r>
      <w:r>
        <w:rPr>
          <w:spacing w:val="-72"/>
        </w:rPr>
        <w:t> </w:t>
      </w:r>
      <w:r>
        <w:rPr>
          <w:spacing w:val="-72"/>
        </w:rPr>
      </w:r>
      <w:r>
        <w:rPr>
          <w:spacing w:val="-2"/>
        </w:rPr>
        <w:t>电站和扶贫电站均由国家层面直接安排和管理，同时仅安排</w:t>
      </w:r>
      <w:r>
        <w:rPr>
          <w:rFonts w:ascii="宋体" w:hAnsi="宋体" w:cs="宋体" w:eastAsia="宋体" w:hint="default"/>
          <w:spacing w:val="-2"/>
        </w:rPr>
        <w:t>1000</w:t>
      </w:r>
      <w:r>
        <w:rPr>
          <w:spacing w:val="-2"/>
        </w:rPr>
        <w:t>万千瓦左右的分布式光伏建设规模，进一步下调光伏标杆上</w:t>
      </w:r>
      <w:r>
        <w:rPr>
          <w:spacing w:val="-60"/>
        </w:rPr>
        <w:t> </w:t>
      </w:r>
      <w:r>
        <w:rPr>
          <w:spacing w:val="-60"/>
        </w:rPr>
      </w:r>
      <w:r>
        <w:rPr/>
        <w:t>网电价，降低补贴强度。</w:t>
      </w:r>
    </w:p>
    <w:p>
      <w:pPr>
        <w:pStyle w:val="BodyText"/>
        <w:spacing w:line="316" w:lineRule="auto" w:before="19"/>
        <w:ind w:right="1133" w:firstLine="360"/>
        <w:jc w:val="both"/>
      </w:pPr>
      <w:r>
        <w:rPr>
          <w:spacing w:val="-2"/>
        </w:rPr>
        <w:t>随着平价上网迫近，降本增效与智能化升级成为光伏行业的迫切需求，逆变器作为光伏产业链重要环节，逆变器行业受</w:t>
      </w:r>
      <w:r>
        <w:rPr/>
        <w:t> 到冲击，逆变器行业将再次大规模洗牌。</w:t>
      </w:r>
    </w:p>
    <w:p>
      <w:pPr>
        <w:pStyle w:val="Heading4"/>
        <w:spacing w:line="240" w:lineRule="auto" w:before="19"/>
        <w:ind w:right="1130"/>
        <w:jc w:val="left"/>
        <w:rPr>
          <w:b w:val="0"/>
          <w:bCs w:val="0"/>
        </w:rPr>
      </w:pPr>
      <w:r>
        <w:rPr/>
        <w:t>（二）行业发展趋势</w:t>
      </w:r>
      <w:r>
        <w:rPr>
          <w:b w:val="0"/>
          <w:bCs w:val="0"/>
        </w:rPr>
      </w:r>
    </w:p>
    <w:p>
      <w:pPr>
        <w:pStyle w:val="BodyText"/>
        <w:spacing w:line="240" w:lineRule="auto" w:before="76"/>
        <w:ind w:left="514" w:right="1130"/>
        <w:jc w:val="left"/>
      </w:pPr>
      <w:r>
        <w:rPr/>
        <w:t>（</w:t>
      </w:r>
      <w:r>
        <w:rPr>
          <w:rFonts w:ascii="宋体" w:hAnsi="宋体" w:cs="宋体" w:eastAsia="宋体" w:hint="default"/>
        </w:rPr>
        <w:t>1</w:t>
      </w:r>
      <w:r>
        <w:rPr/>
        <w:t>）、消费电子类电源行业发展趋势</w:t>
      </w:r>
    </w:p>
    <w:p>
      <w:pPr>
        <w:pStyle w:val="BodyText"/>
        <w:spacing w:line="316" w:lineRule="auto" w:before="76"/>
        <w:ind w:left="514" w:right="1130"/>
        <w:jc w:val="left"/>
      </w:pPr>
      <w:r>
        <w:rPr/>
        <w:t>①产业集中化 </w:t>
      </w:r>
      <w:r>
        <w:rPr>
          <w:spacing w:val="-2"/>
        </w:rPr>
        <w:t>全球消费电子行业已经进入相对稳定的成熟期，国际政策也出现不确定性、增加交易风险的预防成本，中国市场物料及</w:t>
      </w:r>
    </w:p>
    <w:p>
      <w:pPr>
        <w:pStyle w:val="BodyText"/>
        <w:spacing w:line="316" w:lineRule="auto" w:before="19"/>
        <w:ind w:right="1130"/>
        <w:jc w:val="both"/>
      </w:pPr>
      <w:r>
        <w:rPr>
          <w:spacing w:val="-2"/>
        </w:rPr>
        <w:t>人工持续上涨，总体评估盈利空间大幅下降，而市场竞争日趋激烈。在这一背景下，主要的消费电子企业纷纷通过规模扩张</w:t>
      </w:r>
      <w:r>
        <w:rPr>
          <w:spacing w:val="-65"/>
        </w:rPr>
        <w:t> </w:t>
      </w:r>
      <w:r>
        <w:rPr>
          <w:spacing w:val="-65"/>
        </w:rPr>
      </w:r>
      <w:r>
        <w:rPr>
          <w:spacing w:val="-2"/>
        </w:rPr>
        <w:t>来强化其竞争力。因此，品牌整合、收购和兼并司空见惯，并且成为大公司保持领先地位的重要手段。随着客户的整合，做</w:t>
      </w:r>
      <w:r>
        <w:rPr>
          <w:spacing w:val="-68"/>
        </w:rPr>
        <w:t> </w:t>
      </w:r>
      <w:r>
        <w:rPr>
          <w:spacing w:val="-68"/>
        </w:rPr>
      </w:r>
      <w:r>
        <w:rPr/>
        <w:t>强，消费电子类电源产品销售将逐步向行业巨头集中，综合性配套产品制造业将会是行业的发展趋势。</w:t>
      </w:r>
    </w:p>
    <w:p>
      <w:pPr>
        <w:pStyle w:val="BodyText"/>
        <w:spacing w:line="316" w:lineRule="auto" w:before="19"/>
        <w:ind w:left="514" w:right="1130"/>
        <w:jc w:val="left"/>
      </w:pPr>
      <w:r>
        <w:rPr/>
        <w:t>②产品品质、管理效率、创新将更加重要 </w:t>
      </w:r>
      <w:r>
        <w:rPr>
          <w:spacing w:val="-2"/>
        </w:rPr>
        <w:t>随着竞争激烈，传统产品线盈利空间下降，只有保持良好的性价比，不断优化管理效率，能够为客户提适配的电源解决</w:t>
      </w:r>
    </w:p>
    <w:p>
      <w:pPr>
        <w:pStyle w:val="BodyText"/>
        <w:spacing w:line="316" w:lineRule="auto" w:before="19"/>
        <w:ind w:right="1130"/>
        <w:jc w:val="both"/>
      </w:pPr>
      <w:r>
        <w:rPr>
          <w:spacing w:val="-2"/>
        </w:rPr>
        <w:t>方案，才能够保持客户份额；对于新产品线则需要不断创新，譬如微波电源大功率段产品、激光设备电源、服务器电源、</w:t>
      </w:r>
      <w:r>
        <w:rPr>
          <w:rFonts w:ascii="宋体" w:hAnsi="宋体" w:cs="宋体" w:eastAsia="宋体" w:hint="default"/>
          <w:spacing w:val="-2"/>
        </w:rPr>
        <w:t>5G</w:t>
      </w:r>
      <w:r>
        <w:rPr>
          <w:rFonts w:ascii="宋体" w:hAnsi="宋体" w:cs="宋体" w:eastAsia="宋体" w:hint="default"/>
          <w:spacing w:val="-67"/>
        </w:rPr>
        <w:t> </w:t>
      </w:r>
      <w:r>
        <w:rPr/>
        <w:t>通讯终端设备电源等，需要做到引领市场需求，才可实现盈利并逐步增长。</w:t>
      </w:r>
    </w:p>
    <w:p>
      <w:pPr>
        <w:pStyle w:val="BodyText"/>
        <w:spacing w:line="316" w:lineRule="auto" w:before="19"/>
        <w:ind w:left="514" w:right="1130"/>
        <w:jc w:val="left"/>
      </w:pPr>
      <w:r>
        <w:rPr/>
        <w:t>③绿色、低碳成为主流 </w:t>
      </w:r>
      <w:r>
        <w:rPr>
          <w:spacing w:val="-2"/>
        </w:rPr>
        <w:t>近年来，绿色和低碳经济成为具有社会责任的消费电子企业的共识，绿色、低碳技术和产品为这些企业带来了新的增长</w:t>
      </w:r>
    </w:p>
    <w:p>
      <w:pPr>
        <w:pStyle w:val="BodyText"/>
        <w:spacing w:line="316" w:lineRule="auto" w:before="19"/>
        <w:ind w:right="1132"/>
        <w:jc w:val="both"/>
      </w:pPr>
      <w:r>
        <w:rPr>
          <w:spacing w:val="-2"/>
        </w:rPr>
        <w:t>点。通用电气、惠普、三星、苹果、</w:t>
      </w:r>
      <w:r>
        <w:rPr>
          <w:rFonts w:ascii="宋体" w:hAnsi="宋体" w:cs="宋体" w:eastAsia="宋体" w:hint="default"/>
          <w:spacing w:val="-2"/>
        </w:rPr>
        <w:t>LG</w:t>
      </w:r>
      <w:r>
        <w:rPr>
          <w:spacing w:val="-2"/>
        </w:rPr>
        <w:t>等知名企业是推动绿色与低碳技术的典型。这些大公司纷纷提早布局，培育市场，将</w:t>
      </w:r>
      <w:r>
        <w:rPr>
          <w:spacing w:val="-65"/>
        </w:rPr>
        <w:t> </w:t>
      </w:r>
      <w:r>
        <w:rPr>
          <w:spacing w:val="-65"/>
        </w:rPr>
      </w:r>
      <w:r>
        <w:rPr/>
        <w:t>技术创新与品牌建设融合，为可持续增长奠定基础。消费电子类电源作为配套产品，也必将向绿色、低碳方向发展。</w:t>
      </w:r>
    </w:p>
    <w:p>
      <w:pPr>
        <w:pStyle w:val="BodyText"/>
        <w:spacing w:line="316" w:lineRule="auto" w:before="19"/>
        <w:ind w:left="514" w:right="1130"/>
        <w:jc w:val="left"/>
      </w:pPr>
      <w:r>
        <w:rPr/>
        <w:t>（</w:t>
      </w:r>
      <w:r>
        <w:rPr>
          <w:rFonts w:ascii="宋体" w:hAnsi="宋体" w:cs="宋体" w:eastAsia="宋体" w:hint="default"/>
        </w:rPr>
        <w:t>2</w:t>
      </w:r>
      <w:r>
        <w:rPr/>
        <w:t>）、大功率</w:t>
      </w:r>
      <w:r>
        <w:rPr>
          <w:rFonts w:ascii="宋体" w:hAnsi="宋体" w:cs="宋体" w:eastAsia="宋体" w:hint="default"/>
        </w:rPr>
        <w:t>LED</w:t>
      </w:r>
      <w:r>
        <w:rPr/>
        <w:t>驱动电源行业发展趋势 </w:t>
      </w:r>
      <w:r>
        <w:rPr>
          <w:rFonts w:ascii="宋体" w:hAnsi="宋体" w:cs="宋体" w:eastAsia="宋体" w:hint="default"/>
          <w:spacing w:val="-2"/>
        </w:rPr>
        <w:t>LED</w:t>
      </w:r>
      <w:r>
        <w:rPr>
          <w:spacing w:val="-2"/>
        </w:rPr>
        <w:t>在经过几年的高速成长以后，</w:t>
      </w:r>
      <w:r>
        <w:rPr>
          <w:rFonts w:ascii="宋体" w:hAnsi="宋体" w:cs="宋体" w:eastAsia="宋体" w:hint="default"/>
          <w:spacing w:val="-2"/>
        </w:rPr>
        <w:t>LED</w:t>
      </w:r>
      <w:r>
        <w:rPr>
          <w:spacing w:val="-2"/>
        </w:rPr>
        <w:t>行业已经步入成熟期，进入低价时代，企业的优势竞争力也从产品和技术能力转变</w:t>
      </w:r>
    </w:p>
    <w:p>
      <w:pPr>
        <w:pStyle w:val="BodyText"/>
        <w:spacing w:line="319" w:lineRule="auto" w:before="19"/>
        <w:ind w:right="1131"/>
        <w:jc w:val="both"/>
      </w:pPr>
      <w:r>
        <w:rPr>
          <w:spacing w:val="-2"/>
        </w:rPr>
        <w:t>企业规模和产品成本。为谋取新的发展，厂商纷纷寻求新业务，其中最受瞩目的领域之一就是更高阶的智慧照明，因为智慧</w:t>
      </w:r>
      <w:r>
        <w:rPr>
          <w:spacing w:val="-66"/>
        </w:rPr>
        <w:t> </w:t>
      </w:r>
      <w:r>
        <w:rPr>
          <w:spacing w:val="-66"/>
        </w:rPr>
      </w:r>
      <w:r>
        <w:rPr/>
        <w:t>照明不仅可获得更高的利润率，也是智慧家居和智慧城市的极佳接入点，可以将</w:t>
      </w:r>
      <w:r>
        <w:rPr>
          <w:rFonts w:ascii="宋体" w:hAnsi="宋体" w:cs="宋体" w:eastAsia="宋体" w:hint="default"/>
        </w:rPr>
        <w:t>LED</w:t>
      </w:r>
      <w:r>
        <w:rPr/>
        <w:t>照明带入更广阔的发展空间。</w:t>
      </w:r>
    </w:p>
    <w:p>
      <w:pPr>
        <w:pStyle w:val="BodyText"/>
        <w:spacing w:line="316" w:lineRule="auto" w:before="17"/>
        <w:ind w:right="1131" w:firstLine="360"/>
        <w:jc w:val="both"/>
      </w:pPr>
      <w:r>
        <w:rPr>
          <w:spacing w:val="-2"/>
        </w:rPr>
        <w:t>智能家居及商业照明为智慧照明最大的应用场域，因为数字化的特征，智慧照明将为这两个领域带来更多新的商业模式</w:t>
      </w:r>
      <w:r>
        <w:rPr/>
        <w:t> 和价值增长点。</w:t>
      </w:r>
      <w:r>
        <w:rPr>
          <w:rFonts w:ascii="宋体" w:hAnsi="宋体" w:cs="宋体" w:eastAsia="宋体" w:hint="default"/>
        </w:rPr>
        <w:t>LED</w:t>
      </w:r>
      <w:r>
        <w:rPr/>
        <w:t>照明将步入数字化时代，相比传统照明，智能照明拥有更多全新的功能，步入数字化时代。智能照明可</w:t>
      </w:r>
      <w:r>
        <w:rPr>
          <w:spacing w:val="-83"/>
        </w:rPr>
        <w:t> </w:t>
      </w:r>
      <w:r>
        <w:rPr>
          <w:spacing w:val="-83"/>
        </w:rPr>
      </w:r>
      <w:r>
        <w:rPr>
          <w:spacing w:val="-2"/>
        </w:rPr>
        <w:t>以通过各种传感器收集用户、环境和其他的信息，并进行数据分析，再进行设备调节。因此，智能照明可以成为智能家居的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接入口，目前智能照明已经在基础功能上衍生出更多全新功能，比如室内定位、监控、医疗、教育等服务，未来可能会涌现</w:t>
      </w:r>
      <w:r>
        <w:rPr>
          <w:spacing w:val="-68"/>
        </w:rPr>
        <w:t> </w:t>
      </w:r>
      <w:r>
        <w:rPr>
          <w:spacing w:val="-68"/>
        </w:rPr>
      </w:r>
      <w:r>
        <w:rPr/>
        <w:t>出一些更富想象力的应用。此外，智慧照明将会成为智慧城市的接入口为智慧城市、灯具遍布在城市各个角落，数量庞大、 使用频率高，是智能城市中的信息桥梁，在交通信息、环境监测、城市安全等领域都会能发挥巨大的作用。</w:t>
      </w:r>
    </w:p>
    <w:p>
      <w:pPr>
        <w:pStyle w:val="BodyText"/>
        <w:spacing w:line="319" w:lineRule="auto" w:before="19"/>
        <w:ind w:left="514" w:right="1130"/>
        <w:jc w:val="left"/>
      </w:pPr>
      <w:r>
        <w:rPr/>
        <w:t>（</w:t>
      </w:r>
      <w:r>
        <w:rPr>
          <w:rFonts w:ascii="宋体" w:hAnsi="宋体" w:cs="宋体" w:eastAsia="宋体" w:hint="default"/>
        </w:rPr>
        <w:t>3</w:t>
      </w:r>
      <w:r>
        <w:rPr/>
        <w:t>）、光伏发电及逆变器行业发展趋势 </w:t>
      </w:r>
      <w:r>
        <w:rPr>
          <w:rFonts w:ascii="宋体" w:hAnsi="宋体" w:cs="宋体" w:eastAsia="宋体" w:hint="default"/>
          <w:spacing w:val="-2"/>
        </w:rPr>
        <w:t>2018</w:t>
      </w:r>
      <w:r>
        <w:rPr>
          <w:spacing w:val="-2"/>
        </w:rPr>
        <w:t>年光伏发电累计装机容量超过</w:t>
      </w:r>
      <w:r>
        <w:rPr>
          <w:rFonts w:ascii="宋体" w:hAnsi="宋体" w:cs="宋体" w:eastAsia="宋体" w:hint="default"/>
          <w:spacing w:val="-2"/>
        </w:rPr>
        <w:t>170GW</w:t>
      </w:r>
      <w:r>
        <w:rPr>
          <w:spacing w:val="-2"/>
        </w:rPr>
        <w:t>，同比增长</w:t>
      </w:r>
      <w:r>
        <w:rPr>
          <w:rFonts w:ascii="宋体" w:hAnsi="宋体" w:cs="宋体" w:eastAsia="宋体" w:hint="default"/>
          <w:spacing w:val="-2"/>
        </w:rPr>
        <w:t>34%</w:t>
      </w:r>
      <w:r>
        <w:rPr>
          <w:spacing w:val="-2"/>
        </w:rPr>
        <w:t>，在光伏新增装机容量中，集中式约</w:t>
      </w:r>
      <w:r>
        <w:rPr>
          <w:rFonts w:ascii="宋体" w:hAnsi="宋体" w:cs="宋体" w:eastAsia="宋体" w:hint="default"/>
          <w:spacing w:val="-2"/>
        </w:rPr>
        <w:t>23GW</w:t>
      </w:r>
      <w:r>
        <w:rPr>
          <w:spacing w:val="-2"/>
        </w:rPr>
        <w:t>，同比下滑</w:t>
      </w:r>
      <w:r>
        <w:rPr>
          <w:rFonts w:ascii="宋体" w:hAnsi="宋体" w:cs="宋体" w:eastAsia="宋体" w:hint="default"/>
          <w:spacing w:val="-2"/>
        </w:rPr>
        <w:t>31%;</w:t>
      </w:r>
      <w:r>
        <w:rPr>
          <w:spacing w:val="-2"/>
        </w:rPr>
        <w:t>分布式</w:t>
      </w:r>
    </w:p>
    <w:p>
      <w:pPr>
        <w:pStyle w:val="BodyText"/>
        <w:spacing w:line="316" w:lineRule="auto" w:before="17"/>
        <w:ind w:right="1032"/>
        <w:jc w:val="left"/>
      </w:pPr>
      <w:r>
        <w:rPr/>
        <w:t>约</w:t>
      </w:r>
      <w:r>
        <w:rPr>
          <w:rFonts w:ascii="宋体" w:hAnsi="宋体" w:cs="宋体" w:eastAsia="宋体" w:hint="default"/>
        </w:rPr>
        <w:t>20GW</w:t>
      </w:r>
      <w:r>
        <w:rPr/>
        <w:t>，同比增长</w:t>
      </w:r>
      <w:r>
        <w:rPr>
          <w:rFonts w:ascii="宋体" w:hAnsi="宋体" w:cs="宋体" w:eastAsia="宋体" w:hint="default"/>
        </w:rPr>
        <w:t>5%</w:t>
      </w:r>
      <w:r>
        <w:rPr/>
        <w:t>。受到政策影响，</w:t>
      </w:r>
      <w:r>
        <w:rPr>
          <w:rFonts w:ascii="宋体" w:hAnsi="宋体" w:cs="宋体" w:eastAsia="宋体" w:hint="default"/>
        </w:rPr>
        <w:t>2018</w:t>
      </w:r>
      <w:r>
        <w:rPr/>
        <w:t>年我国光伏新增装机容量超过</w:t>
      </w:r>
      <w:r>
        <w:rPr>
          <w:rFonts w:ascii="宋体" w:hAnsi="宋体" w:cs="宋体" w:eastAsia="宋体" w:hint="default"/>
        </w:rPr>
        <w:t>43GW</w:t>
      </w:r>
      <w:r>
        <w:rPr/>
        <w:t>，同比下降</w:t>
      </w:r>
      <w:r>
        <w:rPr>
          <w:rFonts w:ascii="宋体" w:hAnsi="宋体" w:cs="宋体" w:eastAsia="宋体" w:hint="default"/>
        </w:rPr>
        <w:t>18%</w:t>
      </w:r>
      <w:r>
        <w:rPr/>
        <w:t>。其中，集中式电站下滑</w:t>
      </w:r>
      <w:r>
        <w:rPr>
          <w:rFonts w:ascii="宋体" w:hAnsi="宋体" w:cs="宋体" w:eastAsia="宋体" w:hint="default"/>
        </w:rPr>
        <w:t>31%</w:t>
      </w:r>
      <w:r>
        <w:rPr/>
        <w:t>。 未来，在政策和资本的作用下，光伏行业整合将成为发展的焦点。</w:t>
      </w:r>
    </w:p>
    <w:p>
      <w:pPr>
        <w:pStyle w:val="BodyText"/>
        <w:spacing w:line="316" w:lineRule="auto" w:before="19"/>
        <w:ind w:right="1133" w:firstLine="360"/>
        <w:jc w:val="both"/>
      </w:pPr>
      <w:r>
        <w:rPr>
          <w:spacing w:val="-2"/>
        </w:rPr>
        <w:t>平价上网是光伏发电行业发展的趋势，但市场增长也将受到补贴拖欠影响，电站开发商资金压力吃紧，难以继续支撑电</w:t>
      </w:r>
      <w:r>
        <w:rPr/>
        <w:t> 站业务大规模开发。国内电站建设规模可获得程度、土地利用以及税费等也增大国内电站开发难度。</w:t>
      </w:r>
    </w:p>
    <w:p>
      <w:pPr>
        <w:pStyle w:val="BodyText"/>
        <w:spacing w:line="316" w:lineRule="auto" w:before="19"/>
        <w:ind w:right="1040" w:firstLine="360"/>
        <w:jc w:val="both"/>
      </w:pPr>
      <w:r>
        <w:rPr>
          <w:rFonts w:ascii="宋体" w:hAnsi="宋体" w:cs="宋体" w:eastAsia="宋体" w:hint="default"/>
          <w:spacing w:val="-2"/>
        </w:rPr>
        <w:t>2018</w:t>
      </w:r>
      <w:r>
        <w:rPr>
          <w:spacing w:val="-2"/>
        </w:rPr>
        <w:t>年度我国逆变器出口额约为</w:t>
      </w:r>
      <w:r>
        <w:rPr>
          <w:rFonts w:ascii="宋体" w:hAnsi="宋体" w:cs="宋体" w:eastAsia="宋体" w:hint="default"/>
          <w:spacing w:val="-2"/>
        </w:rPr>
        <w:t>18.2</w:t>
      </w:r>
      <w:r>
        <w:rPr>
          <w:spacing w:val="-2"/>
        </w:rPr>
        <w:t>亿美元</w:t>
      </w:r>
      <w:r>
        <w:rPr>
          <w:rFonts w:ascii="宋体" w:hAnsi="宋体" w:cs="宋体" w:eastAsia="宋体" w:hint="default"/>
          <w:spacing w:val="-2"/>
        </w:rPr>
        <w:t>(</w:t>
      </w:r>
      <w:r>
        <w:rPr>
          <w:spacing w:val="-2"/>
        </w:rPr>
        <w:t>含光伏、风电、汽车电源等</w:t>
      </w:r>
      <w:r>
        <w:rPr>
          <w:rFonts w:ascii="宋体" w:hAnsi="宋体" w:cs="宋体" w:eastAsia="宋体" w:hint="default"/>
          <w:spacing w:val="-2"/>
        </w:rPr>
        <w:t>)</w:t>
      </w:r>
      <w:r>
        <w:rPr>
          <w:spacing w:val="-2"/>
        </w:rPr>
        <w:t>，受光伏</w:t>
      </w:r>
      <w:r>
        <w:rPr>
          <w:rFonts w:ascii="宋体" w:hAnsi="宋体" w:cs="宋体" w:eastAsia="宋体" w:hint="default"/>
          <w:spacing w:val="-2"/>
        </w:rPr>
        <w:t>531</w:t>
      </w:r>
      <w:r>
        <w:rPr>
          <w:spacing w:val="-2"/>
        </w:rPr>
        <w:t>政策影响，国内逆变器需求下滑，</w:t>
      </w:r>
      <w:r>
        <w:rPr/>
        <w:t> 逆变器价格持续降低，行业的集中度将会得到提升，国内逆变器企业纷纷布局海外市场。</w:t>
      </w:r>
    </w:p>
    <w:p>
      <w:pPr>
        <w:pStyle w:val="BodyText"/>
        <w:spacing w:line="316" w:lineRule="auto" w:before="19"/>
        <w:ind w:left="514" w:right="1130" w:firstLine="1"/>
        <w:jc w:val="left"/>
      </w:pPr>
      <w:r>
        <w:rPr>
          <w:rFonts w:ascii="宋体" w:hAnsi="宋体" w:cs="宋体" w:eastAsia="宋体" w:hint="default"/>
          <w:b/>
          <w:bCs/>
        </w:rPr>
        <w:t>（三）发展战略</w:t>
      </w:r>
      <w:r>
        <w:rPr>
          <w:rFonts w:ascii="宋体" w:hAnsi="宋体" w:cs="宋体" w:eastAsia="宋体" w:hint="default"/>
          <w:b/>
          <w:bCs/>
          <w:w w:val="99"/>
        </w:rPr>
        <w:t> </w:t>
      </w:r>
      <w:r>
        <w:rPr>
          <w:rFonts w:ascii="宋体" w:hAnsi="宋体" w:cs="宋体" w:eastAsia="宋体" w:hint="default"/>
          <w:spacing w:val="-2"/>
        </w:rPr>
        <w:t>2019</w:t>
      </w:r>
      <w:r>
        <w:rPr>
          <w:spacing w:val="-2"/>
        </w:rPr>
        <w:t>年，公司将回归实业，聚焦主业，拓展营销渠道，制定了“创新技术，产品为王”的产品策略，以“产品平台、交</w:t>
      </w:r>
    </w:p>
    <w:p>
      <w:pPr>
        <w:pStyle w:val="BodyText"/>
        <w:spacing w:line="316" w:lineRule="auto" w:before="19"/>
        <w:ind w:right="1122"/>
        <w:jc w:val="left"/>
      </w:pPr>
      <w:r>
        <w:rPr/>
        <w:t>付平台、销售平台”为组合的“铁三角”团队来全力服务</w:t>
      </w:r>
      <w:r>
        <w:rPr>
          <w:rFonts w:ascii="宋体" w:hAnsi="宋体" w:cs="宋体" w:eastAsia="宋体" w:hint="default"/>
        </w:rPr>
        <w:t>VIP</w:t>
      </w:r>
      <w:r>
        <w:rPr/>
        <w:t>客户，争取赢取客户的更多订单，同时借助“茂硕”的平台资</w:t>
      </w:r>
      <w:r>
        <w:rPr>
          <w:spacing w:val="-82"/>
        </w:rPr>
        <w:t> </w:t>
      </w:r>
      <w:r>
        <w:rPr>
          <w:spacing w:val="-82"/>
        </w:rPr>
      </w:r>
      <w:r>
        <w:rPr/>
        <w:t>源，瞄准全球市场，深化“渠道</w:t>
      </w:r>
      <w:r>
        <w:rPr>
          <w:rFonts w:ascii="宋体" w:hAnsi="宋体" w:cs="宋体" w:eastAsia="宋体" w:hint="default"/>
        </w:rPr>
        <w:t>+</w:t>
      </w:r>
      <w:r>
        <w:rPr/>
        <w:t>大客户”的战略布局，积极研发及开辟新产品线，争取深度挖掘更多有潜力的细分市场。</w:t>
      </w:r>
    </w:p>
    <w:p>
      <w:pPr>
        <w:spacing w:line="316" w:lineRule="auto" w:before="19"/>
        <w:ind w:left="514" w:right="8221" w:firstLine="1"/>
        <w:jc w:val="left"/>
        <w:rPr>
          <w:rFonts w:ascii="宋体" w:hAnsi="宋体" w:cs="宋体" w:eastAsia="宋体" w:hint="default"/>
          <w:sz w:val="18"/>
          <w:szCs w:val="18"/>
        </w:rPr>
      </w:pPr>
      <w:r>
        <w:rPr>
          <w:rFonts w:ascii="宋体" w:hAnsi="宋体" w:cs="宋体" w:eastAsia="宋体" w:hint="default"/>
          <w:b/>
          <w:bCs/>
          <w:sz w:val="18"/>
          <w:szCs w:val="18"/>
        </w:rPr>
        <w:t>（四）</w:t>
      </w:r>
      <w:r>
        <w:rPr>
          <w:rFonts w:ascii="宋体" w:hAnsi="宋体" w:cs="宋体" w:eastAsia="宋体" w:hint="default"/>
          <w:b/>
          <w:bCs/>
          <w:sz w:val="18"/>
          <w:szCs w:val="18"/>
        </w:rPr>
        <w:t>2019</w:t>
      </w:r>
      <w:r>
        <w:rPr>
          <w:rFonts w:ascii="宋体" w:hAnsi="宋体" w:cs="宋体" w:eastAsia="宋体" w:hint="default"/>
          <w:b/>
          <w:bCs/>
          <w:sz w:val="18"/>
          <w:szCs w:val="18"/>
        </w:rPr>
        <w:t>年年度经营计划</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、市场营销方面</w:t>
      </w:r>
    </w:p>
    <w:p>
      <w:pPr>
        <w:pStyle w:val="BodyText"/>
        <w:spacing w:line="316" w:lineRule="auto" w:before="19"/>
        <w:ind w:right="0" w:firstLine="360"/>
        <w:jc w:val="left"/>
      </w:pPr>
      <w:r>
        <w:rPr>
          <w:spacing w:val="-2"/>
        </w:rPr>
        <w:t>（</w:t>
      </w:r>
      <w:r>
        <w:rPr>
          <w:rFonts w:ascii="宋体" w:hAnsi="宋体" w:cs="宋体" w:eastAsia="宋体" w:hint="default"/>
          <w:spacing w:val="-2"/>
        </w:rPr>
        <w:t>1</w:t>
      </w:r>
      <w:r>
        <w:rPr>
          <w:spacing w:val="-2"/>
        </w:rPr>
        <w:t>）优化销售模式，加强以大客户直销模式为主、代理及分销模式为辅及特殊渠道为补充的多渠道分销，以达到销量、</w:t>
      </w:r>
      <w:r>
        <w:rPr/>
        <w:t> </w:t>
      </w:r>
      <w:r>
        <w:rPr>
          <w:spacing w:val="-2"/>
        </w:rPr>
        <w:t>利润及品牌目标的可持续平衡发展。同时采用灵活的“价值定制”与“战略定制”，对于特定的战略意义项目或能产生价值</w:t>
      </w:r>
      <w:r>
        <w:rPr>
          <w:spacing w:val="-67"/>
        </w:rPr>
        <w:t> </w:t>
      </w:r>
      <w:r>
        <w:rPr>
          <w:spacing w:val="-67"/>
        </w:rPr>
      </w:r>
      <w:r>
        <w:rPr/>
        <w:t>的项目进行定向性专属开发。</w:t>
      </w:r>
    </w:p>
    <w:p>
      <w:pPr>
        <w:pStyle w:val="BodyText"/>
        <w:spacing w:line="316" w:lineRule="auto" w:before="19"/>
        <w:ind w:right="1131" w:firstLine="360"/>
        <w:jc w:val="both"/>
      </w:pPr>
      <w:r>
        <w:rPr/>
        <w:t>（</w:t>
      </w:r>
      <w:r>
        <w:rPr>
          <w:rFonts w:ascii="宋体" w:hAnsi="宋体" w:cs="宋体" w:eastAsia="宋体" w:hint="default"/>
        </w:rPr>
        <w:t>2</w:t>
      </w:r>
      <w:r>
        <w:rPr/>
        <w:t>）全面贯彻“技术创新、产品为王”的产品策略，持续巩固公司现有主营业务，并积极探索新的业务领域，坚持技 术创新，扩大市场占有率，持续提高公司盈利能力。</w:t>
      </w:r>
    </w:p>
    <w:p>
      <w:pPr>
        <w:pStyle w:val="BodyText"/>
        <w:spacing w:line="316" w:lineRule="auto" w:before="19"/>
        <w:ind w:right="1129" w:firstLine="360"/>
        <w:jc w:val="both"/>
      </w:pPr>
      <w:r>
        <w:rPr>
          <w:spacing w:val="-2"/>
        </w:rPr>
        <w:t>（</w:t>
      </w:r>
      <w:r>
        <w:rPr>
          <w:rFonts w:ascii="宋体" w:hAnsi="宋体" w:cs="宋体" w:eastAsia="宋体" w:hint="default"/>
          <w:spacing w:val="-2"/>
        </w:rPr>
        <w:t>3</w:t>
      </w:r>
      <w:r>
        <w:rPr>
          <w:spacing w:val="-2"/>
        </w:rPr>
        <w:t>）加强服务现有大客户，坚持以客户为导向，提高客户服务质量，与</w:t>
      </w:r>
      <w:r>
        <w:rPr>
          <w:rFonts w:ascii="宋体" w:hAnsi="宋体" w:cs="宋体" w:eastAsia="宋体" w:hint="default"/>
          <w:spacing w:val="-2"/>
        </w:rPr>
        <w:t>VIP</w:t>
      </w:r>
      <w:r>
        <w:rPr>
          <w:spacing w:val="-2"/>
        </w:rPr>
        <w:t>客户建立长久的战略合作关系，同时积极拓</w:t>
      </w:r>
      <w:r>
        <w:rPr/>
        <w:t> </w:t>
      </w:r>
      <w:r>
        <w:rPr>
          <w:spacing w:val="-2"/>
        </w:rPr>
        <w:t>展新客户进行审厂，确保订单的持续稳定增长。随着我国“一带一路”及粤港澳大湾区战略、全球经济一体化进程推进，公</w:t>
      </w:r>
      <w:r>
        <w:rPr>
          <w:spacing w:val="-67"/>
        </w:rPr>
        <w:t> </w:t>
      </w:r>
      <w:r>
        <w:rPr>
          <w:spacing w:val="-67"/>
        </w:rPr>
      </w:r>
      <w:r>
        <w:rPr/>
        <w:t>司秉承 “巩固国内市场，拓展海外市场”的市场营销策略，持续拓展海内外高端客户。</w:t>
      </w:r>
    </w:p>
    <w:p>
      <w:pPr>
        <w:pStyle w:val="BodyText"/>
        <w:spacing w:line="240" w:lineRule="auto" w:before="19"/>
        <w:ind w:left="514" w:right="1130"/>
        <w:jc w:val="left"/>
      </w:pPr>
      <w:r>
        <w:rPr>
          <w:rFonts w:ascii="宋体" w:hAnsi="宋体" w:cs="宋体" w:eastAsia="宋体" w:hint="default"/>
        </w:rPr>
        <w:t>2</w:t>
      </w:r>
      <w:r>
        <w:rPr/>
        <w:t>、提升运营能力</w:t>
      </w:r>
    </w:p>
    <w:p>
      <w:pPr>
        <w:pStyle w:val="BodyText"/>
        <w:spacing w:line="316" w:lineRule="auto" w:before="76"/>
        <w:ind w:right="1131" w:firstLine="360"/>
        <w:jc w:val="both"/>
      </w:pPr>
      <w:r>
        <w:rPr>
          <w:rFonts w:ascii="宋体" w:hAnsi="宋体" w:cs="宋体" w:eastAsia="宋体" w:hint="default"/>
          <w:spacing w:val="-2"/>
        </w:rPr>
        <w:t>2019</w:t>
      </w:r>
      <w:r>
        <w:rPr>
          <w:spacing w:val="-2"/>
        </w:rPr>
        <w:t>年有策略的管控材料成本、提升订单管理能力，使产能效率大幅提升，随着订单整合、高技术含量新产品导入、供</w:t>
      </w:r>
      <w:r>
        <w:rPr/>
        <w:t> </w:t>
      </w:r>
      <w:r>
        <w:rPr>
          <w:spacing w:val="-2"/>
        </w:rPr>
        <w:t>应链统筹管理，整体运营效能将逐步提升。公司已经争取到老客户更多份额、新增新客户大量订单，进一步使产能得到充分</w:t>
      </w:r>
      <w:r>
        <w:rPr>
          <w:spacing w:val="-66"/>
        </w:rPr>
        <w:t> </w:t>
      </w:r>
      <w:r>
        <w:rPr>
          <w:spacing w:val="-66"/>
        </w:rPr>
      </w:r>
      <w:r>
        <w:rPr/>
        <w:t>释放，加速公司销售业绩增长。</w:t>
      </w:r>
    </w:p>
    <w:p>
      <w:pPr>
        <w:pStyle w:val="BodyText"/>
        <w:spacing w:line="240" w:lineRule="auto" w:before="19"/>
        <w:ind w:left="514" w:right="1130"/>
        <w:jc w:val="left"/>
      </w:pPr>
      <w:r>
        <w:rPr>
          <w:rFonts w:ascii="宋体" w:hAnsi="宋体" w:cs="宋体" w:eastAsia="宋体" w:hint="default"/>
        </w:rPr>
        <w:t>3</w:t>
      </w:r>
      <w:r>
        <w:rPr/>
        <w:t>、推进全面预算管理</w:t>
      </w:r>
    </w:p>
    <w:p>
      <w:pPr>
        <w:pStyle w:val="BodyText"/>
        <w:spacing w:line="316" w:lineRule="auto" w:before="76"/>
        <w:ind w:right="1130" w:firstLine="420"/>
        <w:jc w:val="both"/>
      </w:pPr>
      <w:r>
        <w:rPr>
          <w:rFonts w:ascii="宋体" w:hAnsi="宋体" w:cs="宋体" w:eastAsia="宋体" w:hint="default"/>
        </w:rPr>
        <w:t>2019</w:t>
      </w:r>
      <w:r>
        <w:rPr/>
        <w:t>年深入推进全面预算管理，充分发挥全面预算管理的资源整合功能，同时，加强财务管理，按月做好预算执行分 </w:t>
      </w:r>
      <w:r>
        <w:rPr>
          <w:spacing w:val="-2"/>
        </w:rPr>
        <w:t>析和月度经营分析，夯实财务预算在实际经营中的引导作用，跟进经营分析中重点决议事项，推动问题解决，提高公司运营</w:t>
      </w:r>
      <w:r>
        <w:rPr>
          <w:spacing w:val="-66"/>
        </w:rPr>
        <w:t> </w:t>
      </w:r>
      <w:r>
        <w:rPr>
          <w:spacing w:val="-66"/>
        </w:rPr>
      </w:r>
      <w:r>
        <w:rPr/>
        <w:t>效率，加强风险管控。</w:t>
      </w:r>
    </w:p>
    <w:p>
      <w:pPr>
        <w:pStyle w:val="BodyText"/>
        <w:spacing w:line="316" w:lineRule="auto" w:before="19"/>
        <w:ind w:left="514" w:right="1130"/>
        <w:jc w:val="left"/>
      </w:pPr>
      <w:r>
        <w:rPr>
          <w:rFonts w:ascii="宋体" w:hAnsi="宋体" w:cs="宋体" w:eastAsia="宋体" w:hint="default"/>
        </w:rPr>
        <w:t>4</w:t>
      </w:r>
      <w:r>
        <w:rPr/>
        <w:t>、激发组织活力，健全、完善绩效考核与激励机制 </w:t>
      </w:r>
      <w:r>
        <w:rPr>
          <w:spacing w:val="-2"/>
        </w:rPr>
        <w:t>建立绩效考核与激励机制，梳理了各职能部门的工作职责与流程，将产品、交付平台从成本中心调整成利润中心，优化</w:t>
      </w:r>
    </w:p>
    <w:p>
      <w:pPr>
        <w:pStyle w:val="BodyText"/>
        <w:spacing w:line="240" w:lineRule="auto" w:before="19"/>
        <w:ind w:right="1130"/>
        <w:jc w:val="left"/>
      </w:pPr>
      <w:r>
        <w:rPr/>
        <w:t>激励机制，加强团队建设。</w:t>
      </w:r>
    </w:p>
    <w:p>
      <w:pPr>
        <w:spacing w:line="316" w:lineRule="auto" w:before="76"/>
        <w:ind w:left="514" w:right="7422" w:firstLine="1"/>
        <w:jc w:val="left"/>
        <w:rPr>
          <w:rFonts w:ascii="宋体" w:hAnsi="宋体" w:cs="宋体" w:eastAsia="宋体" w:hint="default"/>
          <w:sz w:val="18"/>
          <w:szCs w:val="18"/>
        </w:rPr>
      </w:pPr>
      <w:r>
        <w:rPr>
          <w:rFonts w:ascii="宋体" w:hAnsi="宋体" w:cs="宋体" w:eastAsia="宋体" w:hint="default"/>
          <w:b/>
          <w:bCs/>
          <w:sz w:val="18"/>
          <w:szCs w:val="18"/>
        </w:rPr>
        <w:t>（五）面临的风险</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、市场竞争加剧及毛利率下降的风险</w:t>
      </w:r>
    </w:p>
    <w:p>
      <w:pPr>
        <w:pStyle w:val="BodyText"/>
        <w:spacing w:line="319" w:lineRule="auto" w:before="19"/>
        <w:ind w:right="1130" w:firstLine="360"/>
        <w:jc w:val="both"/>
      </w:pPr>
      <w:r>
        <w:rPr>
          <w:spacing w:val="-2"/>
        </w:rPr>
        <w:t>经过多年的快速发展，中国已成为全球最大的消费类开关电源制造基地。普通开关电源行业是一个充分竞争的行业，作</w:t>
      </w:r>
      <w:r>
        <w:rPr/>
        <w:t> </w:t>
      </w:r>
      <w:r>
        <w:rPr>
          <w:spacing w:val="-2"/>
        </w:rPr>
        <w:t>为传统产业，行业进入门槛相对较低，其竞争主要体现在产品质量、营销渠道、研发设计、客户服务等方面。普通开关电源</w:t>
      </w:r>
      <w:r>
        <w:rPr>
          <w:spacing w:val="-68"/>
        </w:rPr>
        <w:t> </w:t>
      </w:r>
      <w:r>
        <w:rPr>
          <w:spacing w:val="-68"/>
        </w:rPr>
      </w:r>
      <w:r>
        <w:rPr/>
        <w:t>各品牌的市场集中度相对较低，各品牌之间的竞争较为激烈。</w:t>
      </w:r>
      <w:r>
        <w:rPr>
          <w:rFonts w:ascii="宋体" w:hAnsi="宋体" w:cs="宋体" w:eastAsia="宋体" w:hint="default"/>
        </w:rPr>
        <w:t>LED</w:t>
      </w:r>
      <w:r>
        <w:rPr/>
        <w:t>驱动电源虽然为开关电源行业中的新兴细分产业，但新进</w:t>
      </w:r>
      <w:r>
        <w:rPr>
          <w:spacing w:val="-82"/>
        </w:rPr>
        <w:t> </w:t>
      </w:r>
      <w:r>
        <w:rPr>
          <w:spacing w:val="-82"/>
        </w:rPr>
      </w:r>
      <w:r>
        <w:rPr>
          <w:spacing w:val="-2"/>
        </w:rPr>
        <w:t>制造商的不断增加也使其竞争日趋激烈，来自国内外的竞争压力仍将持续甚至加大，如公司无法保持竞争优势，则公司的行</w:t>
      </w:r>
      <w:r>
        <w:rPr>
          <w:spacing w:val="-66"/>
        </w:rPr>
        <w:t> </w:t>
      </w:r>
      <w:r>
        <w:rPr>
          <w:spacing w:val="-66"/>
        </w:rPr>
      </w:r>
      <w:r>
        <w:rPr/>
        <w:t>业地位、市场份额、经营业绩等均会受到不利影响。</w:t>
      </w:r>
    </w:p>
    <w:p>
      <w:pPr>
        <w:pStyle w:val="BodyText"/>
        <w:spacing w:line="240" w:lineRule="auto" w:before="17"/>
        <w:ind w:left="514" w:right="0"/>
        <w:jc w:val="left"/>
      </w:pPr>
      <w:r>
        <w:rPr/>
        <w:t>此外，电子产品普遍呈现同款产品价格逐年下降的趋势。长期来看，随着市场竞争的加剧、供求关系的影响、生产效率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3"/>
        <w:jc w:val="both"/>
      </w:pPr>
      <w:r>
        <w:rPr>
          <w:spacing w:val="-2"/>
        </w:rPr>
        <w:t>的提高，公司各类电源产品价格存在下降趋势，若公司不能通过有效降低产品生产成本来抵消价格下降的风险，或者无法持</w:t>
      </w:r>
      <w:r>
        <w:rPr>
          <w:spacing w:val="-66"/>
        </w:rPr>
        <w:t> </w:t>
      </w:r>
      <w:r>
        <w:rPr>
          <w:spacing w:val="-66"/>
        </w:rPr>
      </w:r>
      <w:r>
        <w:rPr>
          <w:spacing w:val="-4"/>
        </w:rPr>
        <w:t>续推出新产品进行产品结构的升级，公司产品价格的下降将导致产品毛利率的下降，从而影响到公司的财务状况和经营业绩。</w:t>
      </w:r>
    </w:p>
    <w:p>
      <w:pPr>
        <w:pStyle w:val="BodyText"/>
        <w:spacing w:line="316" w:lineRule="auto" w:before="19"/>
        <w:ind w:left="514" w:right="1130"/>
        <w:jc w:val="left"/>
      </w:pPr>
      <w:r>
        <w:rPr>
          <w:rFonts w:ascii="宋体" w:hAnsi="宋体" w:cs="宋体" w:eastAsia="宋体" w:hint="default"/>
        </w:rPr>
        <w:t>2</w:t>
      </w:r>
      <w:r>
        <w:rPr/>
        <w:t>、技术及产品研发风险 </w:t>
      </w:r>
      <w:r>
        <w:rPr>
          <w:rFonts w:ascii="宋体" w:hAnsi="宋体" w:cs="宋体" w:eastAsia="宋体" w:hint="default"/>
          <w:spacing w:val="-2"/>
        </w:rPr>
        <w:t>SPS</w:t>
      </w:r>
      <w:r>
        <w:rPr>
          <w:spacing w:val="-2"/>
        </w:rPr>
        <w:t>开关电源及</w:t>
      </w:r>
      <w:r>
        <w:rPr>
          <w:rFonts w:ascii="宋体" w:hAnsi="宋体" w:cs="宋体" w:eastAsia="宋体" w:hint="default"/>
          <w:spacing w:val="-2"/>
        </w:rPr>
        <w:t>LED</w:t>
      </w:r>
      <w:r>
        <w:rPr>
          <w:spacing w:val="-2"/>
        </w:rPr>
        <w:t>驱动电源等电源产品是公司的传统优势领域。公司十分重视电源技术及产品的研发，逐步增强自身的</w:t>
      </w:r>
    </w:p>
    <w:p>
      <w:pPr>
        <w:pStyle w:val="BodyText"/>
        <w:spacing w:line="316" w:lineRule="auto" w:before="19"/>
        <w:ind w:right="1129"/>
        <w:jc w:val="both"/>
      </w:pPr>
      <w:r>
        <w:rPr/>
        <w:t>研发实力。随着电源产品向高频、高功率、高效率、高可靠、智能化方向发展，电源的研发技术要求，尤其是大功率</w:t>
      </w:r>
      <w:r>
        <w:rPr>
          <w:rFonts w:ascii="宋体" w:hAnsi="宋体" w:cs="宋体" w:eastAsia="宋体" w:hint="default"/>
        </w:rPr>
        <w:t>LED</w:t>
      </w:r>
      <w:r>
        <w:rPr/>
        <w:t>驱</w:t>
      </w:r>
      <w:r>
        <w:rPr>
          <w:spacing w:val="-81"/>
        </w:rPr>
        <w:t> </w:t>
      </w:r>
      <w:r>
        <w:rPr>
          <w:spacing w:val="-2"/>
        </w:rPr>
        <w:t>动电源的技术要求显著提高，工艺技术和行业经验也非常重要，需要长时间的行业积累。虽然公司对电源的技术研发一直处</w:t>
      </w:r>
      <w:r>
        <w:rPr>
          <w:spacing w:val="-66"/>
        </w:rPr>
        <w:t> </w:t>
      </w:r>
      <w:r>
        <w:rPr>
          <w:spacing w:val="-66"/>
        </w:rPr>
      </w:r>
      <w:r>
        <w:rPr>
          <w:spacing w:val="-2"/>
        </w:rPr>
        <w:t>于行业领先水平，但是如果公司技术不能持续进步、保持行业领先，或是研发方向决策错误，开发的新产品不能很好的适应</w:t>
      </w:r>
      <w:r>
        <w:rPr>
          <w:spacing w:val="-66"/>
        </w:rPr>
        <w:t> </w:t>
      </w:r>
      <w:r>
        <w:rPr>
          <w:spacing w:val="-66"/>
        </w:rPr>
      </w:r>
      <w:r>
        <w:rPr/>
        <w:t>市场需求，公司的竞争能力将被削弱。</w:t>
      </w:r>
    </w:p>
    <w:p>
      <w:pPr>
        <w:pStyle w:val="BodyText"/>
        <w:spacing w:line="240" w:lineRule="auto" w:before="19"/>
        <w:ind w:left="514" w:right="1130"/>
        <w:jc w:val="left"/>
      </w:pPr>
      <w:r>
        <w:rPr>
          <w:rFonts w:ascii="宋体" w:hAnsi="宋体" w:cs="宋体" w:eastAsia="宋体" w:hint="default"/>
        </w:rPr>
        <w:t>3</w:t>
      </w:r>
      <w:r>
        <w:rPr/>
        <w:t>、光伏发电项目执行标杆上网电价下调的风险</w:t>
      </w:r>
    </w:p>
    <w:p>
      <w:pPr>
        <w:pStyle w:val="BodyText"/>
        <w:spacing w:line="316" w:lineRule="auto" w:before="76"/>
        <w:ind w:right="1129"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22</w:t>
      </w:r>
      <w:r>
        <w:rPr>
          <w:spacing w:val="-2"/>
        </w:rPr>
        <w:t>日，国家发改委发布《国家发展改革委关于调整光伏电价的通知》，根据当前新能源产业技术进步和成本</w:t>
      </w:r>
      <w:r>
        <w:rPr/>
        <w:t> </w:t>
      </w:r>
      <w:r>
        <w:rPr>
          <w:spacing w:val="-2"/>
        </w:rPr>
        <w:t>降低情况，降低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日之后新核准建设的等陆上风电标杆上网电价，光伏电站</w:t>
      </w:r>
      <w:r>
        <w:rPr>
          <w:rFonts w:ascii="宋体" w:hAnsi="宋体" w:cs="宋体" w:eastAsia="宋体" w:hint="default"/>
          <w:spacing w:val="-2"/>
        </w:rPr>
        <w:t>I</w:t>
      </w:r>
      <w:r>
        <w:rPr>
          <w:spacing w:val="-2"/>
        </w:rPr>
        <w:t>类、</w:t>
      </w:r>
      <w:r>
        <w:rPr>
          <w:rFonts w:ascii="宋体" w:hAnsi="宋体" w:cs="宋体" w:eastAsia="宋体" w:hint="default"/>
          <w:spacing w:val="-2"/>
        </w:rPr>
        <w:t>II</w:t>
      </w:r>
      <w:r>
        <w:rPr>
          <w:spacing w:val="-2"/>
        </w:rPr>
        <w:t>类、</w:t>
      </w:r>
      <w:r>
        <w:rPr>
          <w:rFonts w:ascii="宋体" w:hAnsi="宋体" w:cs="宋体" w:eastAsia="宋体" w:hint="default"/>
          <w:spacing w:val="-2"/>
        </w:rPr>
        <w:t>III</w:t>
      </w:r>
      <w:r>
        <w:rPr>
          <w:spacing w:val="-2"/>
        </w:rPr>
        <w:t>类资源区光伏上网电价</w:t>
      </w:r>
      <w:r>
        <w:rPr>
          <w:spacing w:val="-53"/>
        </w:rPr>
        <w:t> </w:t>
      </w:r>
      <w:r>
        <w:rPr/>
        <w:t>调整为</w:t>
      </w:r>
      <w:r>
        <w:rPr>
          <w:rFonts w:ascii="宋体" w:hAnsi="宋体" w:cs="宋体" w:eastAsia="宋体" w:hint="default"/>
        </w:rPr>
        <w:t>0.55</w:t>
      </w:r>
      <w:r>
        <w:rPr/>
        <w:t>元、</w:t>
      </w:r>
      <w:r>
        <w:rPr>
          <w:rFonts w:ascii="宋体" w:hAnsi="宋体" w:cs="宋体" w:eastAsia="宋体" w:hint="default"/>
        </w:rPr>
        <w:t>0.65</w:t>
      </w:r>
      <w:r>
        <w:rPr/>
        <w:t>元和</w:t>
      </w:r>
      <w:r>
        <w:rPr>
          <w:rFonts w:ascii="宋体" w:hAnsi="宋体" w:cs="宋体" w:eastAsia="宋体" w:hint="default"/>
        </w:rPr>
        <w:t>0.75</w:t>
      </w:r>
      <w:r>
        <w:rPr/>
        <w:t>元，整体下调</w:t>
      </w:r>
      <w:r>
        <w:rPr>
          <w:rFonts w:ascii="宋体" w:hAnsi="宋体" w:cs="宋体" w:eastAsia="宋体" w:hint="default"/>
        </w:rPr>
        <w:t>0.1</w:t>
      </w:r>
      <w:r>
        <w:rPr/>
        <w:t>元。分布式光伏项目度电补贴下调</w:t>
      </w:r>
      <w:r>
        <w:rPr>
          <w:rFonts w:ascii="宋体" w:hAnsi="宋体" w:cs="宋体" w:eastAsia="宋体" w:hint="default"/>
        </w:rPr>
        <w:t>0.05</w:t>
      </w:r>
      <w:r>
        <w:rPr/>
        <w:t>元，由原来的</w:t>
      </w:r>
      <w:r>
        <w:rPr>
          <w:rFonts w:ascii="宋体" w:hAnsi="宋体" w:cs="宋体" w:eastAsia="宋体" w:hint="default"/>
        </w:rPr>
        <w:t>0.42</w:t>
      </w:r>
      <w:r>
        <w:rPr/>
        <w:t>元下调到</w:t>
      </w:r>
      <w:r>
        <w:rPr>
          <w:rFonts w:ascii="宋体" w:hAnsi="宋体" w:cs="宋体" w:eastAsia="宋体" w:hint="default"/>
        </w:rPr>
        <w:t>0.37</w:t>
      </w:r>
      <w:r>
        <w:rPr/>
        <w:t>元。</w:t>
      </w:r>
    </w:p>
    <w:p>
      <w:pPr>
        <w:pStyle w:val="BodyText"/>
        <w:spacing w:line="316" w:lineRule="auto" w:before="19"/>
        <w:ind w:right="1129"/>
        <w:jc w:val="both"/>
      </w:pPr>
      <w:r>
        <w:rPr/>
        <w:t>《调整通知》同时规定，</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日以后投运的光伏发电项目，执行</w:t>
      </w:r>
      <w:r>
        <w:rPr>
          <w:rFonts w:ascii="宋体" w:hAnsi="宋体" w:cs="宋体" w:eastAsia="宋体" w:hint="default"/>
        </w:rPr>
        <w:t>2018</w:t>
      </w:r>
      <w:r>
        <w:rPr/>
        <w:t>年光伏发电标杆上网电价；</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日国家</w:t>
      </w:r>
      <w:r>
        <w:rPr>
          <w:spacing w:val="-83"/>
        </w:rPr>
        <w:t> </w:t>
      </w:r>
      <w:r>
        <w:rPr>
          <w:spacing w:val="-2"/>
        </w:rPr>
        <w:t>发展改革委、财政部、国家能源局联合印发了《关于</w:t>
      </w:r>
      <w:r>
        <w:rPr>
          <w:rFonts w:ascii="宋体" w:hAnsi="宋体" w:cs="宋体" w:eastAsia="宋体" w:hint="default"/>
          <w:spacing w:val="-2"/>
        </w:rPr>
        <w:t>2018</w:t>
      </w:r>
      <w:r>
        <w:rPr>
          <w:spacing w:val="-2"/>
        </w:rPr>
        <w:t>年光伏发电有关事项的通知》，进一步下调光伏标杆上网电价，降</w:t>
      </w:r>
      <w:r>
        <w:rPr>
          <w:spacing w:val="-64"/>
        </w:rPr>
        <w:t> </w:t>
      </w:r>
      <w:r>
        <w:rPr>
          <w:spacing w:val="-64"/>
        </w:rPr>
      </w:r>
      <w:r>
        <w:rPr/>
        <w:t>低补贴强度。</w:t>
      </w:r>
    </w:p>
    <w:p>
      <w:pPr>
        <w:pStyle w:val="BodyText"/>
        <w:spacing w:line="316" w:lineRule="auto" w:before="19"/>
        <w:ind w:left="514" w:right="1130"/>
        <w:jc w:val="left"/>
      </w:pPr>
      <w:r>
        <w:rPr>
          <w:rFonts w:ascii="宋体" w:hAnsi="宋体" w:cs="宋体" w:eastAsia="宋体" w:hint="default"/>
        </w:rPr>
        <w:t>4</w:t>
      </w:r>
      <w:r>
        <w:rPr/>
        <w:t>、汇率波动的风险 </w:t>
      </w:r>
      <w:r>
        <w:rPr>
          <w:spacing w:val="-2"/>
        </w:rPr>
        <w:t>随着公司海外市场业务的不断拓展，外贸销售业务占比持续攀升，公司日常经营涉及大量的外汇收支，在此期间，如果</w:t>
      </w:r>
    </w:p>
    <w:p>
      <w:pPr>
        <w:pStyle w:val="BodyText"/>
        <w:spacing w:line="316" w:lineRule="auto" w:before="19"/>
        <w:ind w:right="1132"/>
        <w:jc w:val="both"/>
      </w:pPr>
      <w:r>
        <w:rPr>
          <w:spacing w:val="-2"/>
        </w:rPr>
        <w:t>国际外汇市场出现剧烈波动，将给公司的经营带来较大波动。针对上述风险，公司通过开展外汇套期保值业务来规避外汇市</w:t>
      </w:r>
      <w:r>
        <w:rPr>
          <w:spacing w:val="-65"/>
        </w:rPr>
        <w:t> </w:t>
      </w:r>
      <w:r>
        <w:rPr>
          <w:spacing w:val="-65"/>
        </w:rPr>
      </w:r>
      <w:r>
        <w:rPr/>
        <w:t>场的风险，防范汇率大幅波动对公司造成的不良影响，锁定汇兑成本；完善经营管理。</w:t>
      </w:r>
    </w:p>
    <w:p>
      <w:pPr>
        <w:pStyle w:val="BodyText"/>
        <w:spacing w:line="316" w:lineRule="auto" w:before="19"/>
        <w:ind w:left="514" w:right="1130"/>
        <w:jc w:val="left"/>
      </w:pPr>
      <w:r>
        <w:rPr>
          <w:rFonts w:ascii="宋体" w:hAnsi="宋体" w:cs="宋体" w:eastAsia="宋体" w:hint="default"/>
        </w:rPr>
        <w:t>5</w:t>
      </w:r>
      <w:r>
        <w:rPr/>
        <w:t>、应收账款的坏账风险 </w:t>
      </w:r>
      <w:r>
        <w:rPr>
          <w:spacing w:val="-2"/>
        </w:rPr>
        <w:t>随着公司业务规模扩大，应收账款规模也会相应增长，存在因客户自身财务问题导致公司产生坏账风险，公司将不断完</w:t>
      </w:r>
    </w:p>
    <w:p>
      <w:pPr>
        <w:pStyle w:val="BodyText"/>
        <w:spacing w:line="319" w:lineRule="auto" w:before="19"/>
        <w:ind w:right="1131"/>
        <w:jc w:val="both"/>
      </w:pPr>
      <w:r>
        <w:rPr>
          <w:spacing w:val="-2"/>
        </w:rPr>
        <w:t>善应收账款风险管理体系，客户账期调整提高防范坏账风险意识，加强客户的风险评估，并加强应收账款的催收，以降低回</w:t>
      </w:r>
      <w:r>
        <w:rPr>
          <w:spacing w:val="-66"/>
        </w:rPr>
        <w:t> </w:t>
      </w:r>
      <w:r>
        <w:rPr>
          <w:spacing w:val="-66"/>
        </w:rPr>
      </w:r>
      <w:r>
        <w:rPr/>
        <w:t>款风险。</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30"/>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报告期内普通股利润分配政策，特别是现金分红政策的制定、执行或调整情况</w:t>
      </w:r>
    </w:p>
    <w:p>
      <w:pPr>
        <w:pStyle w:val="BodyText"/>
        <w:spacing w:line="240"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right="-19"/>
        <w:jc w:val="left"/>
      </w:pPr>
      <w:r>
        <w:rPr>
          <w:rFonts w:ascii="Times New Roman" w:hAnsi="Times New Roman" w:cs="Times New Roman" w:eastAsia="Times New Roman" w:hint="default"/>
        </w:rPr>
        <w:t>2016</w:t>
      </w:r>
      <w:r>
        <w:rPr/>
        <w:t>年，公司不派发现金红利，不送红股，不以公积金转增股本。</w:t>
      </w:r>
    </w:p>
    <w:p>
      <w:pPr>
        <w:pStyle w:val="BodyText"/>
        <w:spacing w:line="240" w:lineRule="auto" w:before="63"/>
        <w:ind w:right="-19"/>
        <w:jc w:val="left"/>
      </w:pPr>
      <w:r>
        <w:rPr>
          <w:rFonts w:ascii="Times New Roman" w:hAnsi="Times New Roman" w:cs="Times New Roman" w:eastAsia="Times New Roman" w:hint="default"/>
        </w:rPr>
        <w:t>2017</w:t>
      </w:r>
      <w:r>
        <w:rPr/>
        <w:t>年，公司不派发现金红利，不送红股，不以公积金转增股本。</w:t>
      </w:r>
    </w:p>
    <w:p>
      <w:pPr>
        <w:pStyle w:val="BodyText"/>
        <w:spacing w:line="340" w:lineRule="auto" w:before="63"/>
        <w:ind w:right="2770"/>
        <w:jc w:val="left"/>
      </w:pPr>
      <w:r>
        <w:rPr>
          <w:rFonts w:ascii="Times New Roman" w:hAnsi="Times New Roman" w:cs="Times New Roman" w:eastAsia="Times New Roman" w:hint="default"/>
        </w:rPr>
        <w:t>2018</w:t>
      </w:r>
      <w:r>
        <w:rPr/>
        <w:t>年，公司不派发现金红利，不送红股，不以公积金转增股本。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8165" w:space="75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5"/>
        <w:gridCol w:w="1197"/>
        <w:gridCol w:w="1196"/>
        <w:gridCol w:w="1195"/>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-255,760,999.1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13,065,004.57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-1,788,124.06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公司报告期内盈利且母公司可供普通股股东分配利润为正但未提出普通股现金红利分配预案</w:t>
      </w:r>
    </w:p>
    <w:p>
      <w:pPr>
        <w:pStyle w:val="BodyText"/>
        <w:spacing w:line="240" w:lineRule="auto" w:before="116"/>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113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13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862"/>
        <w:gridCol w:w="992"/>
        <w:gridCol w:w="1536"/>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62"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108.179985pt;width:71.05pt;height:311.1pt;mso-position-horizontal-relative:page;mso-position-vertical-relative:page;z-index:-1302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pStyle w:val="BodyText"/>
                    <w:spacing w:line="240" w:lineRule="auto"/>
                    <w:ind w:left="0" w:right="0"/>
                    <w:jc w:val="left"/>
                  </w:pPr>
                  <w:r>
                    <w:rPr/>
                    <w:t>时，</w:t>
                  </w:r>
                </w:p>
              </w:txbxContent>
            </v:textbox>
            <w10:wrap type="none"/>
          </v:shape>
        </w:pict>
      </w:r>
      <w:r>
        <w:rPr/>
        <w:pict>
          <v:shape style="position:absolute;margin-left:352.47699pt;margin-top:454.419983pt;width:71.05pt;height:311.1pt;mso-position-horizontal-relative:page;mso-position-vertical-relative:page;z-index:-1302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9"/>
                      <w:szCs w:val="19"/>
                    </w:rPr>
                  </w:pPr>
                </w:p>
                <w:p>
                  <w:pPr>
                    <w:pStyle w:val="BodyText"/>
                    <w:spacing w:line="240" w:lineRule="auto"/>
                    <w:ind w:left="0" w:right="0"/>
                    <w:jc w:val="left"/>
                  </w:pPr>
                  <w:r>
                    <w:rPr/>
                    <w:t>求、</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0" w:lineRule="auto"/>
              <w:ind w:left="23" w:right="44"/>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方笑求、蓝顺明已 经分别出具《关于 股份锁定的承诺 </w:t>
            </w:r>
            <w:r>
              <w:rPr>
                <w:rFonts w:ascii="宋体" w:hAnsi="宋体" w:cs="宋体" w:eastAsia="宋体" w:hint="default"/>
                <w:spacing w:val="-16"/>
                <w:sz w:val="18"/>
                <w:szCs w:val="18"/>
              </w:rPr>
              <w:t>函》，方笑求承诺其</w:t>
            </w:r>
            <w:r>
              <w:rPr>
                <w:rFonts w:ascii="宋体" w:hAnsi="宋体" w:cs="宋体" w:eastAsia="宋体" w:hint="default"/>
                <w:sz w:val="18"/>
                <w:szCs w:val="18"/>
              </w:rPr>
              <w:t> 本次认购茂硕电源 的股份自股份发行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 月内不进行转让。 蓝顺明承诺其本次 认购茂硕电源的股 份自股份发行上市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w:t>
            </w:r>
            <w:r>
              <w:rPr>
                <w:rFonts w:ascii="宋体" w:hAnsi="宋体" w:cs="宋体" w:eastAsia="宋体" w:hint="default"/>
                <w:spacing w:val="-8"/>
                <w:sz w:val="18"/>
                <w:szCs w:val="18"/>
              </w:rPr>
              <w:t>不进行转让。同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为保证盈利预测业 绩补偿的可行性， 自股份发行上市之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个月后，蓝</w:t>
            </w:r>
            <w:r>
              <w:rPr>
                <w:rFonts w:ascii="宋体" w:hAnsi="宋体" w:cs="宋体" w:eastAsia="宋体" w:hint="default"/>
                <w:sz w:val="18"/>
                <w:szCs w:val="18"/>
              </w:rPr>
              <w:t> 顺明本次认购的茂 硕电源股份按以下 比例分批解锁：① 自股份发行上市之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；②自股份 发行上市之日起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6" w:lineRule="auto" w:before="1"/>
              <w:ind w:left="24" w:right="47"/>
              <w:jc w:val="left"/>
              <w:rPr>
                <w:rFonts w:ascii="宋体" w:hAnsi="宋体" w:cs="宋体" w:eastAsia="宋体" w:hint="default"/>
                <w:sz w:val="18"/>
                <w:szCs w:val="18"/>
              </w:rPr>
            </w:pPr>
            <w:r>
              <w:rPr>
                <w:rFonts w:ascii="宋体" w:hAnsi="宋体" w:cs="宋体" w:eastAsia="宋体" w:hint="default"/>
                <w:sz w:val="18"/>
                <w:szCs w:val="18"/>
              </w:rPr>
              <w:t>③自股份发行上市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。前述锁 定期届满后，若方 笑求、蓝顺明需要 按照《盈利预测补 偿协议》的约定对 公司进行股份补 偿，则方笑求、蓝 顺明应先对公司进 行股份补偿，剩余 股份方可解锁转 让，解锁后可以按 照中国证监会及深 交所的有关规定进 </w:t>
            </w:r>
            <w:r>
              <w:rPr>
                <w:rFonts w:ascii="宋体" w:hAnsi="宋体" w:cs="宋体" w:eastAsia="宋体" w:hint="default"/>
                <w:spacing w:val="-8"/>
                <w:sz w:val="18"/>
                <w:szCs w:val="18"/>
              </w:rPr>
              <w:t>行交易。若方笑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蓝顺明未来在茂硕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22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3"/>
                <w:sz w:val="20"/>
                <w:szCs w:val="20"/>
              </w:rPr>
              <w:pict>
                <v:group style="width:55.85pt;height:311.1pt;mso-position-horizontal-relative:char;mso-position-vertical-relative:line" coordorigin="0,0" coordsize="1117,6222">
                  <v:group style="position:absolute;left:0;top:0;width:1117;height:6222" coordorigin="0,0" coordsize="1117,6222">
                    <v:shape style="position:absolute;left:0;top:0;width:1117;height:6222" coordorigin="0,0" coordsize="1117,6222" path="m0,6221l1116,6221,1116,0,0,0,0,6221xe" filled="true" fillcolor="#ffffff" stroked="false">
                      <v:path arrowok="t"/>
                      <v:fill type="solid"/>
                    </v:shape>
                  </v:group>
                </v:group>
              </w:pict>
            </w:r>
            <w:r>
              <w:rPr>
                <w:rFonts w:ascii="Times New Roman" w:hAnsi="Times New Roman" w:cs="Times New Roman" w:eastAsia="Times New Roman" w:hint="default"/>
                <w:position w:val="-123"/>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622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3"/>
                <w:sz w:val="20"/>
                <w:szCs w:val="20"/>
              </w:rPr>
              <w:pict>
                <v:group style="width:55.85pt;height:311.1pt;mso-position-horizontal-relative:char;mso-position-vertical-relative:line" coordorigin="0,0" coordsize="1117,6222">
                  <v:group style="position:absolute;left:0;top:0;width:1117;height:6222" coordorigin="0,0" coordsize="1117,6222">
                    <v:shape style="position:absolute;left:0;top:0;width:1117;height:6222" coordorigin="0,0" coordsize="1117,6222" path="m0,6221l1116,6221,1116,0,0,0,0,6221xe" filled="true" fillcolor="#ffffff" stroked="false">
                      <v:path arrowok="t"/>
                      <v:fill type="solid"/>
                    </v:shape>
                  </v:group>
                </v:group>
              </w:pict>
            </w:r>
            <w:r>
              <w:rPr>
                <w:rFonts w:ascii="Times New Roman" w:hAnsi="Times New Roman" w:cs="Times New Roman" w:eastAsia="Times New Roman" w:hint="default"/>
                <w:position w:val="-123"/>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2.47998pt;width:71.05pt;height:392.1pt;mso-position-horizontal-relative:page;mso-position-vertical-relative:page;z-index:-1302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7"/>
                    <w:ind w:left="0" w:right="0"/>
                    <w:jc w:val="left"/>
                  </w:pPr>
                  <w:r>
                    <w:rPr/>
                    <w:t>求、</w:t>
                  </w:r>
                </w:p>
              </w:txbxContent>
            </v:textbox>
            <w10:wrap type="none"/>
          </v:shape>
        </w:pict>
      </w:r>
      <w:r>
        <w:rPr/>
        <w:pict>
          <v:group style="position:absolute;margin-left:367.660004pt;margin-top:72.47998pt;width:55.85pt;height:524.15pt;mso-position-horizontal-relative:page;mso-position-vertical-relative:page;z-index:-1302112" coordorigin="7353,1450" coordsize="1117,10483">
            <v:group style="position:absolute;left:7353;top:1450;width:1117;height:7842" coordorigin="7353,1450" coordsize="1117,7842">
              <v:shape style="position:absolute;left:7353;top:1450;width:1117;height:7842" coordorigin="7353,1450" coordsize="1117,7842" path="m7353,9291l8470,9291,8470,1450,7353,1450,7353,9291xe" filled="true" fillcolor="#ffffff" stroked="false">
                <v:path arrowok="t"/>
                <v:fill type="solid"/>
              </v:shape>
            </v:group>
            <v:group style="position:absolute;left:7353;top:9301;width:1117;height:2632" coordorigin="7353,9301" coordsize="1117,2632">
              <v:shape style="position:absolute;left:7353;top:9301;width:1117;height:2632" coordorigin="7353,9301" coordsize="1117,2632" path="m7353,11932l8470,11932,8470,9301,7353,9301,7353,119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电源担任董事、监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事或高级管理人员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职务，将按照中国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证监会及证券交易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所关于董事、监事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或高级管理人员转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让所持上市公司股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份的有关规定进行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股份转让。若茂硕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电源在前述锁定期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内实施转增股本或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送红股分配，则方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笑求、蓝顺明因此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获得的新增股份亦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同样遵守上述锁定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期约定。若方笑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蓝顺明所认购股份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的锁定期</w:t>
            </w:r>
            <w:r>
              <w:rPr>
                <w:rFonts w:ascii="Times New Roman" w:hAnsi="Times New Roman" w:cs="Times New Roman" w:eastAsia="Times New Roman" w:hint="default"/>
                <w:sz w:val="18"/>
                <w:szCs w:val="18"/>
              </w:rPr>
              <w:t>/</w:t>
            </w:r>
            <w:r>
              <w:rPr>
                <w:rFonts w:ascii="宋体" w:hAnsi="宋体" w:cs="宋体" w:eastAsia="宋体" w:hint="default"/>
                <w:sz w:val="18"/>
                <w:szCs w:val="18"/>
              </w:rPr>
              <w:t>限售期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的规定与证券监管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机构的最新监管意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见不相符，公司及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方笑求、蓝顺明将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根据相关证券监管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机构的监管意见进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行相应调整。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公司与方笑求、蓝</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顺明于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日签署了《盈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28"/>
              <w:jc w:val="left"/>
              <w:rPr>
                <w:rFonts w:ascii="宋体" w:hAnsi="宋体" w:cs="宋体" w:eastAsia="宋体" w:hint="default"/>
                <w:sz w:val="18"/>
                <w:szCs w:val="18"/>
              </w:rPr>
            </w:pPr>
            <w:r>
              <w:rPr>
                <w:rFonts w:ascii="宋体" w:hAnsi="宋体" w:cs="宋体" w:eastAsia="宋体" w:hint="default"/>
                <w:sz w:val="18"/>
                <w:szCs w:val="18"/>
              </w:rPr>
              <w:t>利预测补偿协议</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其中涉及承诺事项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8"/>
              <w:jc w:val="left"/>
              <w:rPr>
                <w:rFonts w:ascii="宋体" w:hAnsi="宋体" w:cs="宋体" w:eastAsia="宋体" w:hint="default"/>
                <w:sz w:val="18"/>
                <w:szCs w:val="18"/>
              </w:rPr>
            </w:pPr>
            <w:r>
              <w:rPr>
                <w:rFonts w:ascii="宋体" w:hAnsi="宋体" w:cs="宋体" w:eastAsia="宋体" w:hint="default"/>
                <w:sz w:val="18"/>
                <w:szCs w:val="18"/>
              </w:rPr>
              <w:t>的约定如下</w:t>
            </w:r>
            <w:r>
              <w:rPr>
                <w:rFonts w:ascii="宋体" w:hAnsi="宋体" w:cs="宋体" w:eastAsia="宋体" w:hint="default"/>
                <w:spacing w:val="-90"/>
                <w:sz w:val="18"/>
                <w:szCs w:val="18"/>
              </w:rPr>
              <w:t>：</w:t>
            </w:r>
            <w:r>
              <w:rPr>
                <w:rFonts w:ascii="宋体" w:hAnsi="宋体" w:cs="宋体" w:eastAsia="宋体" w:hint="default"/>
                <w:sz w:val="18"/>
                <w:szCs w:val="18"/>
              </w:rPr>
              <w:t>（一）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盈利承诺期及承诺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净利润数方笑求、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2" w:lineRule="auto" w:before="147"/>
              <w:ind w:left="23" w:right="44"/>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57"/>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536"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4" w:right="-35"/>
              <w:jc w:val="left"/>
              <w:rPr>
                <w:rFonts w:ascii="宋体" w:hAnsi="宋体" w:cs="宋体" w:eastAsia="宋体" w:hint="default"/>
                <w:sz w:val="18"/>
                <w:szCs w:val="18"/>
              </w:rPr>
            </w:pPr>
            <w:r>
              <w:rPr>
                <w:rFonts w:ascii="宋体" w:hAnsi="宋体" w:cs="宋体" w:eastAsia="宋体" w:hint="default"/>
                <w:sz w:val="18"/>
                <w:szCs w:val="18"/>
              </w:rPr>
              <w:t>蓝顺明承诺，湖南 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126" w:type="dxa"/>
            <w:tcBorders>
              <w:top w:val="nil" w:sz="6" w:space="0" w:color="auto"/>
              <w:left w:val="single" w:sz="9" w:space="0" w:color="FFFFFF"/>
              <w:bottom w:val="nil" w:sz="6" w:space="0" w:color="auto"/>
              <w:right w:val="single" w:sz="4" w:space="0" w:color="000000"/>
            </w:tcBorders>
          </w:tcPr>
          <w:p>
            <w:pPr>
              <w:pStyle w:val="TableParagraph"/>
              <w:spacing w:line="240" w:lineRule="auto" w:before="14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度的承诺净利润数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额（净利润数额以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后的数额为准，下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同）分别不低于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3,484.8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5,227.2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万元。若本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80011pt;margin-top:72.47998pt;width:71pt;height:686.5pt;mso-position-horizontal-relative:page;mso-position-vertical-relative:page;z-index:-1302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二）</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次发行股份及支付</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现金购买资产事宜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未能在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施完成，则湖南方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正达的承诺净利润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相应调整为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利润数额分别不低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6"/>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实际净利润与标的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资产减值的确定由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公司聘请的具有证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券期货相关业务资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格的审计机构出具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湖南方正达专项审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计报告（与公司的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年度审计报告同日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对湖</w:t>
            </w:r>
            <w:r>
              <w:rPr>
                <w:rFonts w:ascii="宋体" w:hAnsi="宋体" w:cs="宋体" w:eastAsia="宋体" w:hint="default"/>
                <w:spacing w:val="-2"/>
                <w:sz w:val="18"/>
                <w:szCs w:val="18"/>
              </w:rPr>
              <w:t>南</w:t>
            </w:r>
            <w:r>
              <w:rPr>
                <w:rFonts w:ascii="宋体" w:hAnsi="宋体" w:cs="宋体" w:eastAsia="宋体" w:hint="default"/>
                <w:sz w:val="18"/>
                <w:szCs w:val="18"/>
              </w:rPr>
              <w:t>方正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度</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本次发行股份及支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付现金购买资产事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宜未能在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实施完成，则相应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8"/>
              <w:jc w:val="left"/>
              <w:rPr>
                <w:rFonts w:ascii="宋体" w:hAnsi="宋体" w:cs="宋体" w:eastAsia="宋体" w:hint="default"/>
                <w:sz w:val="18"/>
                <w:szCs w:val="18"/>
              </w:rPr>
            </w:pPr>
            <w:r>
              <w:rPr>
                <w:rFonts w:ascii="宋体" w:hAnsi="宋体" w:cs="宋体" w:eastAsia="宋体" w:hint="default"/>
                <w:sz w:val="18"/>
                <w:szCs w:val="18"/>
              </w:rPr>
              <w:t>顺延至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度）的实际净利润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数额进行审计确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（若本次发行股份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及支付现金购买资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产事宜未能在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年实施完成，则相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应顺延至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度）湖南方正达专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项审计报告出具后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日内，由公司聘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请的具有证券期货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相关业务资格的审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计机构出具标的资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产减值测试报告，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2.47998pt;width:71.05pt;height:686.5pt;mso-position-horizontal-relative:page;mso-position-vertical-relative:page;z-index:-1302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firstLine="18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0" w:right="0"/>
                    <w:jc w:val="left"/>
                  </w:pPr>
                  <w:r>
                    <w:rPr/>
                    <w:t>求、</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对标的资产进行减</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值测试</w:t>
            </w:r>
            <w:r>
              <w:rPr>
                <w:rFonts w:ascii="宋体" w:hAnsi="宋体" w:cs="宋体" w:eastAsia="宋体" w:hint="default"/>
                <w:spacing w:val="-116"/>
                <w:sz w:val="18"/>
                <w:szCs w:val="18"/>
              </w:rPr>
              <w:t>。</w:t>
            </w:r>
            <w:r>
              <w:rPr>
                <w:rFonts w:ascii="宋体" w:hAnsi="宋体" w:cs="宋体" w:eastAsia="宋体" w:hint="default"/>
                <w:sz w:val="18"/>
                <w:szCs w:val="18"/>
              </w:rPr>
              <w:t>（三</w:t>
            </w:r>
            <w:r>
              <w:rPr>
                <w:rFonts w:ascii="宋体" w:hAnsi="宋体" w:cs="宋体" w:eastAsia="宋体" w:hint="default"/>
                <w:spacing w:val="-27"/>
                <w:sz w:val="18"/>
                <w:szCs w:val="18"/>
              </w:rPr>
              <w:t>）</w:t>
            </w:r>
            <w:r>
              <w:rPr>
                <w:rFonts w:ascii="宋体" w:hAnsi="宋体" w:cs="宋体" w:eastAsia="宋体" w:hint="default"/>
                <w:sz w:val="18"/>
                <w:szCs w:val="18"/>
              </w:rPr>
              <w:t>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及减值补偿方式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本次发行股份及支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付现金购买资产事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宜实施完成后三年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内（含本次发行股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份及支付现金购买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资产事宜实施完成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当年</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若湖</w:t>
            </w:r>
            <w:r>
              <w:rPr>
                <w:rFonts w:ascii="宋体" w:hAnsi="宋体" w:cs="宋体" w:eastAsia="宋体" w:hint="default"/>
                <w:spacing w:val="-2"/>
                <w:sz w:val="18"/>
                <w:szCs w:val="18"/>
              </w:rPr>
              <w:t>南</w:t>
            </w:r>
            <w:r>
              <w:rPr>
                <w:rFonts w:ascii="宋体" w:hAnsi="宋体" w:cs="宋体" w:eastAsia="宋体" w:hint="default"/>
                <w:sz w:val="18"/>
                <w:szCs w:val="18"/>
              </w:rPr>
              <w:t>方正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达任一年度的实际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净利润数额低于承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诺净利润数额，方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笑求、蓝顺明应向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公司补偿。方笑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蓝顺明各自应承担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的补偿金额按其各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自转让标的资产的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股权比例确定。当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期应补偿金额按以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下公式确定：当期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应补偿金额</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当期期末累计承诺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净利润数额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当期期末累计实际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净利润数额）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期限内三年的承诺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净利润总额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资产交易对价</w:t>
            </w:r>
            <w:r>
              <w:rPr>
                <w:rFonts w:ascii="Times New Roman" w:hAnsi="Times New Roman" w:cs="Times New Roman" w:eastAsia="Times New Roman" w:hint="default"/>
                <w:sz w:val="18"/>
                <w:szCs w:val="18"/>
              </w:rPr>
              <w:t>-</w:t>
            </w:r>
            <w:r>
              <w:rPr>
                <w:rFonts w:ascii="宋体" w:hAnsi="宋体" w:cs="宋体" w:eastAsia="宋体" w:hint="default"/>
                <w:sz w:val="18"/>
                <w:szCs w:val="18"/>
              </w:rPr>
              <w:t>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计已补偿金额。方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笑求、蓝顺明应先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以股份补偿方式补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偿公司，股份补偿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按逐年计算、逐年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回购应补偿股份并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注销的原则执行，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股份补偿方式不足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以补偿公司的，方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笑求、蓝顺明应以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现金补偿方式补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足。具体补偿安排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）股份补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偿公司应在湖南方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正达专项审计报告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3999pt;margin-top:72.47998pt;width:71.05pt;height:686.5pt;mso-position-horizontal-relative:page;mso-position-vertical-relative:page;z-index:-1301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pPr>
                  <w:r>
                    <w:rPr/>
                    <w:t>值，</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出具之日后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日</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内召开董事会、股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东大会，审议当年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明的股份方案，确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定当年应回购方笑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求、蓝顺明的股份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数量，由公司以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元的总对价按《中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华人民共和国公司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《上市公司回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购社会公众股份管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理办法（试行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股票上市规则》等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相关规定回购该被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锁定的股份并在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日内注销所回购的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股份。当期应回购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方笑求、蓝顺明的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股份数量</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（当期期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末累计承诺净利润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数额</w:t>
            </w:r>
            <w:r>
              <w:rPr>
                <w:rFonts w:ascii="Times New Roman" w:hAnsi="Times New Roman" w:cs="Times New Roman" w:eastAsia="Times New Roman" w:hint="default"/>
                <w:sz w:val="18"/>
                <w:szCs w:val="18"/>
              </w:rPr>
              <w:t>-</w:t>
            </w:r>
            <w:r>
              <w:rPr>
                <w:rFonts w:ascii="宋体" w:hAnsi="宋体" w:cs="宋体" w:eastAsia="宋体" w:hint="default"/>
                <w:sz w:val="18"/>
                <w:szCs w:val="18"/>
              </w:rPr>
              <w:t>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计实际净利润数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补偿期限内三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年的承诺净利润总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额</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方笑求、蓝顺明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认购公司非公开发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行的股票数量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偿期限内已回购的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股份数量。补偿期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限内应回购方笑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求、蓝顺明的股份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数量不得超过方笑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求、蓝顺明认购公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司向其非公开发行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的股份数量，超过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的部分由方笑求、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蓝顺明按本条约定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另行以现金补偿方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式补足。若当期计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算的补偿股份数量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即已补偿的股份不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2.47998pt;width:71.05pt;height:686.5pt;mso-position-horizontal-relative:page;mso-position-vertical-relative:page;z-index:-1301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求、</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冲回</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）现金补</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偿若方笑求、蓝顺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明补偿期限内股份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补偿总数不足以补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偿公司，则方笑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蓝顺明应以现金补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偿方式补足。方笑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求、蓝顺明当期应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补偿的现金金额</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计承诺净利润数额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计实际净利润数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额）</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补偿期限内三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年的承诺净利润总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明补偿期限内已补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司非公开发行股票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的发行价格。若当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期计算的现金补偿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取值，即已补偿的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9"/>
                <w:sz w:val="18"/>
                <w:szCs w:val="18"/>
              </w:rPr>
              <w:t>现金不冲回。</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标的资产减值测试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报告确认标的资产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期末减值金额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笑求、蓝顺明补偿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期限内已补偿股份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发行股票的发行价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格</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方笑求、蓝顺明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补偿期限内已补偿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现金金额，则方笑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求、蓝顺明同时应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向公司另行补偿标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的资产期末减值额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与补偿期限内已补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限内已补偿现金金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额之间的差额，方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2.47998pt;width:71.05pt;height:686.5pt;mso-position-horizontal-relative:page;mso-position-vertical-relative:page;z-index:-1301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求、</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笑求、蓝顺明应先</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以股份补偿方式补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偿公司，股份补偿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方式不足以补偿公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司的，方笑求、蓝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顺明应以现金补偿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方式补足</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份补偿公司应在标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的资产减值测试报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告出具之日后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日内召开董事会、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股东大会，审议回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购方笑求、蓝顺明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的股份方案，确定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应回购方笑求、蓝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顺明的股份数量，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对价按《中华人民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共和国公司法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《上市公司回购社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会公众股份管理办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6"/>
                <w:sz w:val="18"/>
                <w:szCs w:val="18"/>
              </w:rPr>
              <w:t>法</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pacing w:val="-116"/>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证券交易所股票上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市规则》等相关规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定回购该被锁定的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股份并在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注销所回购的股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份。应回购方笑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蓝顺明的股份数量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（标的资产期末减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值额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明补偿期限内已补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司非公开发行股票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求、蓝顺明补偿期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限内已补偿的现金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发行股票的发行价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格。补偿期限内应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明的股份数量不得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超过方笑求、蓝顺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明认购公司向其非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2.47998pt;width:71.05pt;height:686.5pt;mso-position-horizontal-relative:page;mso-position-vertical-relative:page;z-index:-1301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求、</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公开发行的股份数</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量，超过的部分由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方笑求、蓝顺明按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本条约定另行以现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金补偿方式补足。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）现金补偿若方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笑求、蓝顺明股份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补偿总数不足以补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偿公司，则方笑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蓝顺明还应以现金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补足。方笑求、蓝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顺明应补偿的现金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限内方笑求、蓝顺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明已补偿的股份数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行股票的发行价格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方笑求、蓝顺明补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偿期限内已补偿的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方笑求、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蓝顺明已补偿的股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开发行股票的发行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价格。</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、若公司在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补偿期限内实施转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增或送股分配，则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方笑求、蓝顺明应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回购注销的股份数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量应相应调整，计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算公式为：应回购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注销的股份数量</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转增或送股比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若公司</w:t>
            </w:r>
            <w:r>
              <w:rPr>
                <w:rFonts w:ascii="宋体" w:hAnsi="宋体" w:cs="宋体" w:eastAsia="宋体" w:hint="default"/>
                <w:spacing w:val="-2"/>
                <w:sz w:val="18"/>
                <w:szCs w:val="18"/>
              </w:rPr>
              <w:t>在</w:t>
            </w:r>
            <w:r>
              <w:rPr>
                <w:rFonts w:ascii="宋体" w:hAnsi="宋体" w:cs="宋体" w:eastAsia="宋体" w:hint="default"/>
                <w:sz w:val="18"/>
                <w:szCs w:val="18"/>
              </w:rPr>
              <w:t>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期限内实施现金分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配，现金分配的部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分应作相应返还，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计算公式为：返还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应回购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注销的股份数量。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、在任何情况下，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因标的资产减值而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发生的补偿与因实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际净利润数额不足 承诺净利润数额而 发生的补偿合计不 超过标的资产的交 易价格。</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02" w:lineRule="auto"/>
              <w:ind w:left="23" w:right="44"/>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8"/>
              <w:jc w:val="both"/>
              <w:rPr>
                <w:rFonts w:ascii="宋体" w:hAnsi="宋体" w:cs="宋体" w:eastAsia="宋体" w:hint="default"/>
                <w:sz w:val="18"/>
                <w:szCs w:val="18"/>
              </w:rPr>
            </w:pPr>
            <w:r>
              <w:rPr>
                <w:rFonts w:ascii="宋体" w:hAnsi="宋体" w:cs="宋体" w:eastAsia="宋体" w:hint="default"/>
                <w:sz w:val="18"/>
                <w:szCs w:val="18"/>
              </w:rPr>
              <w:t>方笑求、蓝顺明已 经分别出具《关于 避免同业竞争的承 </w:t>
            </w:r>
            <w:r>
              <w:rPr>
                <w:rFonts w:ascii="宋体" w:hAnsi="宋体" w:cs="宋体" w:eastAsia="宋体" w:hint="default"/>
                <w:spacing w:val="-10"/>
                <w:sz w:val="18"/>
                <w:szCs w:val="18"/>
              </w:rPr>
              <w:t>诺函》，承诺如下：</w:t>
            </w:r>
          </w:p>
          <w:p>
            <w:pPr>
              <w:pStyle w:val="TableParagraph"/>
              <w:spacing w:line="316" w:lineRule="auto" w:before="19"/>
              <w:ind w:left="24" w:right="60"/>
              <w:jc w:val="left"/>
              <w:rPr>
                <w:rFonts w:ascii="宋体" w:hAnsi="宋体" w:cs="宋体" w:eastAsia="宋体" w:hint="default"/>
                <w:sz w:val="18"/>
                <w:szCs w:val="18"/>
              </w:rPr>
            </w:pPr>
            <w:r>
              <w:rPr>
                <w:rFonts w:ascii="宋体" w:hAnsi="宋体" w:cs="宋体" w:eastAsia="宋体" w:hint="default"/>
                <w:sz w:val="18"/>
                <w:szCs w:val="18"/>
              </w:rPr>
              <w:t>①截至该承诺函签 署日，方笑求、蓝 顺明及其控制的其 他公司、企业或者 其他经济组织未从 事与茂硕电源、湖 南方正达及其控制 的其他公司、企业 或者其他经济组织 存在同业竞争关系 的业务。②在方笑 求、蓝顺明持有茂 硕电源股份期间及 全部减持茂硕电源 股份后五年内或担 任茂硕电源董事、 监事及高级管理人 员期间及离任茂硕 电源董事、监事及 高级管理人员后两 年内，方笑求、蓝 顺明及其控制的其 他公司、企业或者 其他经济组织将避 免与茂硕电源、湖 南方正达及其控制 的其他公司、企业 或者其他经济组织 从事任何相同或相 似且构成或可能构 成竞争关系的业 务，亦不从事任何 可能损害茂硕电 源、湖南方正达及 其控制的其他公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7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4"/>
                <w:sz w:val="20"/>
                <w:szCs w:val="20"/>
              </w:rPr>
              <w:pict>
                <v:group style="width:55.85pt;height:287.6pt;mso-position-horizontal-relative:char;mso-position-vertical-relative:line" coordorigin="0,0" coordsize="1117,5752">
                  <v:group style="position:absolute;left:0;top:0;width:1117;height:5752" coordorigin="0,0" coordsize="1117,5752">
                    <v:shape style="position:absolute;left:0;top:0;width:1117;height:5752" coordorigin="0,0" coordsize="1117,5752" path="m0,5752l1116,5752,1116,0,0,0,0,5752xe" filled="true" fillcolor="#ffffff" stroked="false">
                      <v:path arrowok="t"/>
                      <v:fill type="solid"/>
                    </v:shape>
                  </v:group>
                </v:group>
              </w:pict>
            </w:r>
            <w:r>
              <w:rPr>
                <w:rFonts w:ascii="Times New Roman" w:hAnsi="Times New Roman" w:cs="Times New Roman" w:eastAsia="Times New Roman" w:hint="default"/>
                <w:position w:val="-114"/>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60"/>
              <w:jc w:val="left"/>
              <w:rPr>
                <w:rFonts w:ascii="宋体" w:hAnsi="宋体" w:cs="宋体" w:eastAsia="宋体" w:hint="default"/>
                <w:sz w:val="18"/>
                <w:szCs w:val="18"/>
              </w:rPr>
            </w:pPr>
            <w:r>
              <w:rPr>
                <w:rFonts w:ascii="宋体" w:hAnsi="宋体" w:cs="宋体" w:eastAsia="宋体" w:hint="default"/>
                <w:sz w:val="18"/>
                <w:szCs w:val="18"/>
              </w:rPr>
              <w:t>司、企业或者其他 经济组织利益的活 动。如方笑求、蓝 顺明及其控制的其 他公司、企业或者 其他经济组织遇到 茂硕电源、湖南方 正达及其控制的其 他公司、企业或者 其他经济组织主营 业务范围内的业务 机会，方笑求、蓝 顺明及其控制的其 他公司、企业或者 其他经济组织将该 等合作机会让予茂 硕电源、湖南方正 达及其控制的其他 公司、企业或者其 他经济组织。方笑 求、蓝顺明若违反 上述承诺，将承担 因此而给茂硕电 源、湖南方正达及 其控制的其他公 司、企业或者其他 经济组织造成的一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5"/>
              <w:ind w:left="23" w:right="44"/>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57"/>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方笑求、蓝顺明已 经分别出具《关于 减少和规范关联交 </w:t>
            </w:r>
            <w:r>
              <w:rPr>
                <w:rFonts w:ascii="宋体" w:hAnsi="宋体" w:cs="宋体" w:eastAsia="宋体" w:hint="default"/>
                <w:spacing w:val="-16"/>
                <w:sz w:val="18"/>
                <w:szCs w:val="18"/>
              </w:rPr>
              <w:t>易的承诺函》，承诺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如下：方笑求、蓝 顺明在持有茂硕电 源股份期间或担任 茂硕电源董事、监 事及高级管理人员 期间，方笑求、蓝 顺明及其控制的其 他公司、企业或者 其他经济组织将尽 量减少并规范与茂 硕电源、湖南方正 达及其控制的其他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2.47998pt;width:71.05pt;height:423.3pt;mso-position-horizontal-relative:page;mso-position-vertical-relative:page;z-index:-1301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律、</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60"/>
              <w:jc w:val="left"/>
              <w:rPr>
                <w:rFonts w:ascii="宋体" w:hAnsi="宋体" w:cs="宋体" w:eastAsia="宋体" w:hint="default"/>
                <w:sz w:val="18"/>
                <w:szCs w:val="18"/>
              </w:rPr>
            </w:pPr>
            <w:r>
              <w:rPr>
                <w:rFonts w:ascii="宋体" w:hAnsi="宋体" w:cs="宋体" w:eastAsia="宋体" w:hint="default"/>
                <w:sz w:val="18"/>
                <w:szCs w:val="18"/>
              </w:rPr>
              <w:t>公司、企业或者其 他经济组织之间的 关联交易。对于无 法避免或有合理原 因而发生的关联交 易，方笑求、蓝顺 明及其控制的其他 公司、企业或者其 他经济组织将遵循 市场原则以公允、 合理的市场价格进 </w:t>
            </w:r>
            <w:r>
              <w:rPr>
                <w:rFonts w:ascii="宋体" w:hAnsi="宋体" w:cs="宋体" w:eastAsia="宋体" w:hint="default"/>
                <w:spacing w:val="-8"/>
                <w:sz w:val="18"/>
                <w:szCs w:val="18"/>
              </w:rPr>
              <w:t>行，根据有关法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法规及规范性文件 的规定履行关联交 易决策程序，依法 履行信息披露义务 和办理有关报批程 序，不损害茂硕电 源及其他股东的合 法权益。方笑求、 蓝顺明若违反上述 承诺，将承担因此 而给茂硕电源、湖 南方正达及其控制 的其他公司、企业 或者其他经济组织 造成的一切损失。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846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55.85pt;height:423.3pt;mso-position-horizontal-relative:char;mso-position-vertical-relative:line" coordorigin="0,0" coordsize="1117,8466">
                  <v:group style="position:absolute;left:0;top:0;width:1117;height:8466" coordorigin="0,0" coordsize="1117,8466">
                    <v:shape style="position:absolute;left:0;top:0;width:1117;height:8466" coordorigin="0,0" coordsize="1117,8466" path="m0,8466l1116,8466,1116,0,0,0,0,8466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本公司实际控制人 顾永德先生已经出 具承诺函，承诺如 下：①截至该承诺 函签署日，顾永德 及其控制的其他公 司、企业或者其他 经济组织未从事与 茂硕电源、湖南方 正达及其控制的其 他公司、企业或者 其他经济组织存在 同业竞争关系的业 务。②在作为茂硕 电源的实际控制人 期间，顾永德及其 控制的其他公司、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60"/>
              <w:jc w:val="left"/>
              <w:rPr>
                <w:rFonts w:ascii="宋体" w:hAnsi="宋体" w:cs="宋体" w:eastAsia="宋体" w:hint="default"/>
                <w:sz w:val="18"/>
                <w:szCs w:val="18"/>
              </w:rPr>
            </w:pPr>
            <w:r>
              <w:rPr>
                <w:rFonts w:ascii="宋体" w:hAnsi="宋体" w:cs="宋体" w:eastAsia="宋体" w:hint="default"/>
                <w:sz w:val="18"/>
                <w:szCs w:val="18"/>
              </w:rPr>
              <w:t>企业或者其他经济 组织将避免从事任 何与茂硕电源、湖 南方正达及其控制 的其他公司、企业 或者其他经济组织 相同或相似且构成 或可能构成竞争关 系的业务，亦不从 事任何可能损害茂 硕电源、湖南方正 达及其控制的其他 公司、企业或者其 他经济组织利益的 活动。如顾永德及 其控制的其他公 司、企业或者其他 经济组织遇到茂硕 电源、湖南方正达 及其控制的其他公 司、企业或者其他 经济组织主营业务 范围内的业务机 会，顾永德及其控 制的其他公司、企 业或者其他经济组 织将该等合作机会 让予茂硕电源、湖 南方正达及其控制 的其他公司、企业 或者其他经济组 织。顾永德若违反 上述承诺，将承担 因此而给茂硕电 源、湖南方正达及 其控制的其他公 司、企业或者其他 经济组织造成的损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本公司实际控制人 顾永德先生已经出 具承诺函，承诺如 下：顾永德在作为 茂硕电源的实际控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7699pt;margin-top:709.859985pt;width:71.05pt;height:53.6pt;mso-position-horizontal-relative:page;mso-position-vertical-relative:page;z-index:-1301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9"/>
                    <w:ind w:left="0" w:right="0"/>
                    <w:jc w:val="left"/>
                  </w:pPr>
                  <w:r>
                    <w:rPr/>
                    <w:t>产、</w:t>
                  </w:r>
                </w:p>
              </w:txbxContent>
            </v:textbox>
            <w10:wrap type="none"/>
          </v:shape>
        </w:pict>
      </w:r>
      <w:r>
        <w:rPr/>
        <w:pict>
          <v:group style="position:absolute;margin-left:367.660004pt;margin-top:709.859985pt;width:55.85pt;height:53.6pt;mso-position-horizontal-relative:page;mso-position-vertical-relative:page;z-index:-1301704" coordorigin="7353,14197" coordsize="1117,1072">
            <v:shape style="position:absolute;left:7353;top:14197;width:1117;height:1072" coordorigin="7353,14197" coordsize="1117,1072" path="m7353,15269l8470,15269,8470,14197,7353,1419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制人期间，顾永德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及其控制的其他公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司、企业或者其他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经济组织将尽量减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少并规范与茂硕电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源、湖南方正达及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其控制的其他公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司、企业或者其他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经济组织之间的关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避免或有合理原因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而发生的关联交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易，顾永德及其控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制的其他公司、企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业或者其他经济组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织将遵循市场原则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以公允、合理的市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场价格进行，根据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有关法律、法规及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规范性文件的规定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履行关联交易决策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程序，依法履行信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息披露义务和办理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有关报批程序，不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利用实际控制人地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位损害茂硕电源及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其他股东的合法权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益。顾永德若违反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上述承诺，将承担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因此而给茂硕电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源、湖南方正达及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其控制的其他公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司、企业或者其他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经济组织造成的损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为了保证公司及标</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的资产的独立性，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方笑求、蓝顺明已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2" w:lineRule="auto" w:before="1"/>
              <w:ind w:left="23" w:right="44"/>
              <w:jc w:val="both"/>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r>
              <w:rPr>
                <w:rFonts w:ascii="Times New Roman" w:hAnsi="Times New Roman" w:cs="Times New Roman" w:eastAsia="Times New Roman" w:hint="default"/>
                <w:sz w:val="18"/>
                <w:szCs w:val="18"/>
              </w:rPr>
              <w:t>;</w:t>
            </w:r>
            <w:r>
              <w:rPr>
                <w:rFonts w:ascii="宋体" w:hAnsi="宋体" w:cs="宋体" w:eastAsia="宋体" w:hint="default"/>
                <w:sz w:val="18"/>
                <w:szCs w:val="18"/>
              </w:rPr>
              <w:t>顾永 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4" w:right="22"/>
              <w:jc w:val="both"/>
              <w:rPr>
                <w:rFonts w:ascii="宋体" w:hAnsi="宋体" w:cs="宋体" w:eastAsia="宋体" w:hint="default"/>
                <w:sz w:val="18"/>
                <w:szCs w:val="18"/>
              </w:rPr>
            </w:pPr>
            <w:r>
              <w:rPr>
                <w:rFonts w:ascii="宋体" w:hAnsi="宋体" w:cs="宋体" w:eastAsia="宋体" w:hint="default"/>
                <w:sz w:val="18"/>
                <w:szCs w:val="18"/>
              </w:rPr>
              <w:t>经分别出具《关于 保证独立性的承诺 </w:t>
            </w:r>
            <w:r>
              <w:rPr>
                <w:rFonts w:ascii="宋体" w:hAnsi="宋体" w:cs="宋体" w:eastAsia="宋体" w:hint="default"/>
                <w:spacing w:val="-16"/>
                <w:sz w:val="18"/>
                <w:szCs w:val="18"/>
              </w:rPr>
              <w:t>函》，承诺在本次交</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易完成后，保持公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司和湖南方正达的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人员、机构、资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2.480011pt;margin-top:72.47998pt;width:71pt;height:142.5pt;mso-position-horizontal-relative:page;mso-position-vertical-relative:page;z-index:-1301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务、</w:t>
                  </w:r>
                </w:p>
              </w:txbxContent>
            </v:textbox>
            <w10:wrap type="none"/>
          </v:shape>
        </w:pict>
      </w:r>
      <w:r>
        <w:rPr/>
        <w:pict>
          <v:group style="position:absolute;margin-left:367.660004pt;margin-top:500.73999pt;width:55.85pt;height:101.4pt;mso-position-horizontal-relative:page;mso-position-vertical-relative:page;z-index:-1301632" coordorigin="7353,10015" coordsize="1117,2028">
            <v:shape style="position:absolute;left:7353;top:10015;width:1117;height:2028" coordorigin="7353,10015" coordsize="1117,2028" path="m7353,12043l8470,12043,8470,10015,7353,10015,7353,1204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业务、财务的独立</w:t>
            </w:r>
          </w:p>
        </w:tc>
        <w:tc>
          <w:tcPr>
            <w:tcW w:w="1126"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55.85pt;height:142.5pt;mso-position-horizontal-relative:char;mso-position-vertical-relative:line" coordorigin="0,0" coordsize="1117,2850">
                  <v:group style="position:absolute;left:0;top:0;width:1117;height:2850" coordorigin="0,0" coordsize="1117,2850">
                    <v:shape style="position:absolute;left:0;top:0;width:1117;height:2850" coordorigin="0,0" coordsize="1117,2850" path="m0,2849l1116,2849,1116,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性。本公司实际控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制人顾永德先生已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经出具承诺函，承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诺在本次交易完成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后，保持公司和湖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南方正达的人员、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机构、资产、业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财务的独立性。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方笑求、蓝顺明已</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经分别出具《关于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社会保险、住房公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积金补缴的承诺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承诺如下</w:t>
            </w:r>
            <w:r>
              <w:rPr>
                <w:rFonts w:ascii="宋体" w:hAnsi="宋体" w:cs="宋体" w:eastAsia="宋体" w:hint="default"/>
                <w:spacing w:val="-26"/>
                <w:sz w:val="18"/>
                <w:szCs w:val="18"/>
              </w:rPr>
              <w:t>：</w:t>
            </w:r>
            <w:r>
              <w:rPr>
                <w:rFonts w:ascii="宋体" w:hAnsi="宋体" w:cs="宋体" w:eastAsia="宋体" w:hint="default"/>
                <w:sz w:val="18"/>
                <w:szCs w:val="18"/>
              </w:rPr>
              <w:t>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湖南方正达及其子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公司因未为其员工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足额缴纳社会保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44"/>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60"/>
              <w:jc w:val="left"/>
              <w:rPr>
                <w:rFonts w:ascii="宋体" w:hAnsi="宋体" w:cs="宋体" w:eastAsia="宋体" w:hint="default"/>
                <w:sz w:val="18"/>
                <w:szCs w:val="18"/>
              </w:rPr>
            </w:pPr>
            <w:r>
              <w:rPr>
                <w:rFonts w:ascii="宋体" w:hAnsi="宋体" w:cs="宋体" w:eastAsia="宋体" w:hint="default"/>
                <w:sz w:val="18"/>
                <w:szCs w:val="18"/>
              </w:rPr>
              <w:t>险、住房公积金而 被政府部门要求补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缴社会保险、住房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公积金或被政府部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门处以罚款，方笑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求、蓝顺明将全额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补偿湖南方正达及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其子公司补缴的社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会保险、住房公积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金及缴纳的罚款。</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方笑求、蓝顺明已</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经分别出具《关于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税收追缴补偿的承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8"/>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若湖南方正达因不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符合高新技术企业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3" w:right="44"/>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 顺明</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60"/>
              <w:jc w:val="both"/>
              <w:rPr>
                <w:rFonts w:ascii="宋体" w:hAnsi="宋体" w:cs="宋体" w:eastAsia="宋体" w:hint="default"/>
                <w:sz w:val="18"/>
                <w:szCs w:val="18"/>
              </w:rPr>
            </w:pPr>
            <w:r>
              <w:rPr>
                <w:rFonts w:ascii="宋体" w:hAnsi="宋体" w:cs="宋体" w:eastAsia="宋体" w:hint="default"/>
                <w:sz w:val="18"/>
                <w:szCs w:val="18"/>
              </w:rPr>
              <w:t>资质条件而被税务 部门追缴所享受的 税收优惠或处以罚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款、缴纳滞纳金，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方笑求、蓝顺明将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全额补偿湖南方正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达被追缴的企业所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得税款或缴纳的罚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款、滞纳金。</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本公司实际控制人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851"/>
        <w:gridCol w:w="992"/>
        <w:gridCol w:w="1536"/>
        <w:gridCol w:w="1126"/>
        <w:gridCol w:w="1121"/>
        <w:gridCol w:w="1108"/>
      </w:tblGrid>
      <w:tr>
        <w:trPr>
          <w:trHeight w:val="90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顾永德承诺，自公 司股票在深圳证券 交易所上市之日起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个月内，不转让 或者委托他人管理 本人直接或者间接 持有的公司公开发 行股票前已发行的 股份，也不由公司 回购该部分股份。 作为公司的董事， 本人所持公司股份 在上述锁定期限届 满后，在任职期间 每年转让公司股份 的比例不超过所持 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；公司上市后 如离任，离任后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个月内，不转让本 人所持有的公司股 份；在申报离任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4" w:lineRule="auto" w:before="1"/>
              <w:ind w:left="24" w:right="60"/>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内通过交易所挂牌</w:t>
            </w:r>
            <w:r>
              <w:rPr>
                <w:rFonts w:ascii="宋体" w:hAnsi="宋体" w:cs="宋体" w:eastAsia="宋体" w:hint="default"/>
                <w:sz w:val="18"/>
                <w:szCs w:val="18"/>
              </w:rPr>
              <w:t> 交易出售本公司股 票数量占其所持有 本公司股票总数的 比例不得超过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茂硕电源 科技股份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现金分红的承诺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2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3" w:right="45"/>
              <w:jc w:val="both"/>
              <w:rPr>
                <w:rFonts w:ascii="宋体" w:hAnsi="宋体" w:cs="宋体" w:eastAsia="宋体" w:hint="default"/>
                <w:sz w:val="18"/>
                <w:szCs w:val="18"/>
              </w:rPr>
            </w:pPr>
            <w:r>
              <w:rPr>
                <w:rFonts w:ascii="宋体" w:hAnsi="宋体" w:cs="宋体" w:eastAsia="宋体" w:hint="default"/>
                <w:sz w:val="18"/>
                <w:szCs w:val="18"/>
              </w:rPr>
              <w:t>深圳德旺 投资发展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顾永德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为避免未来可能存 在的同业竞争，公 司控股股东德旺投 资、实际控制人顾 永德先生向本公司 出具了《避免同业 竞争承诺函》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36"/>
        <w:gridCol w:w="6733"/>
      </w:tblGrid>
      <w:tr>
        <w:trPr>
          <w:trHeight w:val="332" w:hRule="exact"/>
        </w:trPr>
        <w:tc>
          <w:tcPr>
            <w:tcW w:w="2836" w:type="dxa"/>
            <w:tcBorders>
              <w:top w:val="nil" w:sz="6" w:space="0" w:color="auto"/>
              <w:left w:val="nil" w:sz="6" w:space="0" w:color="auto"/>
              <w:bottom w:val="single" w:sz="4" w:space="0" w:color="000000"/>
              <w:right w:val="nil" w:sz="6" w:space="0" w:color="auto"/>
            </w:tcBorders>
          </w:tcPr>
          <w:p>
            <w:pPr/>
          </w:p>
        </w:tc>
        <w:tc>
          <w:tcPr>
            <w:tcW w:w="6733"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130"/>
        <w:jc w:val="left"/>
        <w:rPr>
          <w:b w:val="0"/>
          <w:bCs w:val="0"/>
        </w:rPr>
      </w:pPr>
      <w:r>
        <w:rPr/>
        <w:pict>
          <v:group style="position:absolute;margin-left:55.200001pt;margin-top:-80.746353pt;width:485pt;height:.1pt;mso-position-horizontal-relative:page;mso-position-vertical-relative:paragraph;z-index:-1301608" coordorigin="1104,-1615" coordsize="9700,2">
            <v:shape style="position:absolute;left:1104;top:-1615;width:9700;height:2" coordorigin="1104,-1615" coordsize="9700,0" path="m1104,-1615l10804,-1615e" filled="false" stroked="true" strokeweight=".72pt" strokecolor="#000000">
              <v:path arrowok="t"/>
            </v:shape>
            <w10:wrap type="none"/>
          </v:group>
        </w:pict>
      </w: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182" w:firstLine="62"/>
        <w:jc w:val="left"/>
      </w:pPr>
      <w:r>
        <w:rPr>
          <w:rFonts w:ascii="Times New Roman" w:hAnsi="Times New Roman" w:cs="Times New Roman" w:eastAsia="Times New Roman" w:hint="default"/>
          <w:b/>
          <w:bCs/>
        </w:rPr>
        <w:t>1</w:t>
      </w:r>
      <w:r>
        <w:rPr>
          <w:rFonts w:ascii="宋体" w:hAnsi="宋体" w:cs="宋体" w:eastAsia="宋体" w:hint="default"/>
          <w:b/>
          <w:bCs/>
        </w:rPr>
        <w:t>、会计政策变更</w:t>
      </w:r>
      <w:r>
        <w:rPr>
          <w:rFonts w:ascii="宋体" w:hAnsi="宋体" w:cs="宋体" w:eastAsia="宋体" w:hint="default"/>
          <w:b/>
          <w:bCs/>
          <w:w w:val="99"/>
        </w:rPr>
        <w:t> </w:t>
      </w:r>
      <w:r>
        <w:rPr/>
        <w:t>根据财政部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日发布的《关于修订印发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号）要求，</w:t>
      </w:r>
    </w:p>
    <w:p>
      <w:pPr>
        <w:pStyle w:val="BodyText"/>
        <w:spacing w:line="316" w:lineRule="auto" w:before="13"/>
        <w:ind w:left="576" w:right="1128" w:hanging="423"/>
        <w:jc w:val="left"/>
      </w:pPr>
      <w:r>
        <w:rPr/>
        <w:t>对尚未执行新金融准则和新收入准则的企业应按如下规定编制财务报表： </w:t>
      </w:r>
      <w:r>
        <w:rPr>
          <w:spacing w:val="-1"/>
        </w:rPr>
        <w:t>资产负债表中将</w:t>
      </w:r>
      <w:r>
        <w:rPr>
          <w:rFonts w:ascii="Times New Roman" w:hAnsi="Times New Roman" w:cs="Times New Roman" w:eastAsia="Times New Roman" w:hint="default"/>
          <w:spacing w:val="-1"/>
        </w:rPr>
        <w:t>“</w:t>
      </w:r>
      <w:r>
        <w:rPr>
          <w:spacing w:val="-1"/>
        </w:rPr>
        <w:t>应收票据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应收账款</w:t>
      </w:r>
      <w:r>
        <w:rPr>
          <w:rFonts w:ascii="Times New Roman" w:hAnsi="Times New Roman" w:cs="Times New Roman" w:eastAsia="Times New Roman" w:hint="default"/>
          <w:spacing w:val="-1"/>
        </w:rPr>
        <w:t>”</w:t>
      </w:r>
      <w:r>
        <w:rPr>
          <w:spacing w:val="-1"/>
        </w:rPr>
        <w:t>归并至新增的</w:t>
      </w:r>
      <w:r>
        <w:rPr>
          <w:rFonts w:ascii="Times New Roman" w:hAnsi="Times New Roman" w:cs="Times New Roman" w:eastAsia="Times New Roman" w:hint="default"/>
          <w:spacing w:val="-1"/>
        </w:rPr>
        <w:t>“</w:t>
      </w:r>
      <w:r>
        <w:rPr>
          <w:spacing w:val="-1"/>
        </w:rPr>
        <w:t>应收票据及应收账款</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应收股利</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应收利息</w:t>
      </w:r>
      <w:r>
        <w:rPr>
          <w:rFonts w:ascii="Times New Roman" w:hAnsi="Times New Roman" w:cs="Times New Roman" w:eastAsia="Times New Roman" w:hint="default"/>
          <w:spacing w:val="-1"/>
        </w:rPr>
        <w:t>”</w:t>
      </w:r>
      <w:r>
        <w:rPr>
          <w:spacing w:val="-1"/>
        </w:rPr>
        <w:t>归并至</w:t>
      </w:r>
    </w:p>
    <w:p>
      <w:pPr>
        <w:pStyle w:val="BodyText"/>
        <w:spacing w:line="300" w:lineRule="auto"/>
        <w:ind w:right="1129"/>
        <w:jc w:val="both"/>
      </w:pPr>
      <w:r>
        <w:rPr>
          <w:rFonts w:ascii="Times New Roman" w:hAnsi="Times New Roman" w:cs="Times New Roman" w:eastAsia="Times New Roman" w:hint="default"/>
          <w:spacing w:val="-1"/>
        </w:rPr>
        <w:t>“</w:t>
      </w:r>
      <w:r>
        <w:rPr>
          <w:spacing w:val="-1"/>
        </w:rPr>
        <w:t>其他应收款</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固定资产清理</w:t>
      </w:r>
      <w:r>
        <w:rPr>
          <w:rFonts w:ascii="Times New Roman" w:hAnsi="Times New Roman" w:cs="Times New Roman" w:eastAsia="Times New Roman" w:hint="default"/>
          <w:spacing w:val="-1"/>
        </w:rPr>
        <w:t>”</w:t>
      </w:r>
      <w:r>
        <w:rPr>
          <w:spacing w:val="-1"/>
        </w:rPr>
        <w:t>归并至</w:t>
      </w:r>
      <w:r>
        <w:rPr>
          <w:rFonts w:ascii="Times New Roman" w:hAnsi="Times New Roman" w:cs="Times New Roman" w:eastAsia="Times New Roman" w:hint="default"/>
          <w:spacing w:val="-1"/>
        </w:rPr>
        <w:t>“</w:t>
      </w:r>
      <w:r>
        <w:rPr>
          <w:spacing w:val="-1"/>
        </w:rPr>
        <w:t>固定资产</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工程物资</w:t>
      </w:r>
      <w:r>
        <w:rPr>
          <w:rFonts w:ascii="Times New Roman" w:hAnsi="Times New Roman" w:cs="Times New Roman" w:eastAsia="Times New Roman" w:hint="default"/>
          <w:spacing w:val="-1"/>
        </w:rPr>
        <w:t>”</w:t>
      </w:r>
      <w:r>
        <w:rPr>
          <w:spacing w:val="-1"/>
        </w:rPr>
        <w:t>归并至</w:t>
      </w:r>
      <w:r>
        <w:rPr>
          <w:rFonts w:ascii="Times New Roman" w:hAnsi="Times New Roman" w:cs="Times New Roman" w:eastAsia="Times New Roman" w:hint="default"/>
          <w:spacing w:val="-1"/>
        </w:rPr>
        <w:t>“</w:t>
      </w:r>
      <w:r>
        <w:rPr>
          <w:spacing w:val="-1"/>
        </w:rPr>
        <w:t>在建工程</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应付</w:t>
      </w:r>
      <w:r>
        <w:rPr>
          <w:spacing w:val="-81"/>
        </w:rPr>
        <w:t> </w:t>
      </w:r>
      <w:r>
        <w:rPr>
          <w:spacing w:val="-2"/>
        </w:rPr>
        <w:t>账款</w:t>
      </w:r>
      <w:r>
        <w:rPr>
          <w:rFonts w:ascii="Times New Roman" w:hAnsi="Times New Roman" w:cs="Times New Roman" w:eastAsia="Times New Roman" w:hint="default"/>
          <w:spacing w:val="-2"/>
        </w:rPr>
        <w:t>”</w:t>
      </w:r>
      <w:r>
        <w:rPr>
          <w:spacing w:val="-2"/>
        </w:rPr>
        <w:t>归并至新增的</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应付股利</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应付利息</w:t>
      </w:r>
      <w:r>
        <w:rPr>
          <w:rFonts w:ascii="Times New Roman" w:hAnsi="Times New Roman" w:cs="Times New Roman" w:eastAsia="Times New Roman" w:hint="default"/>
          <w:spacing w:val="-2"/>
        </w:rPr>
        <w:t>”</w:t>
      </w:r>
      <w:r>
        <w:rPr>
          <w:spacing w:val="-2"/>
        </w:rPr>
        <w:t>归并至</w:t>
      </w:r>
      <w:r>
        <w:rPr>
          <w:rFonts w:ascii="Times New Roman" w:hAnsi="Times New Roman" w:cs="Times New Roman" w:eastAsia="Times New Roman" w:hint="default"/>
          <w:spacing w:val="-2"/>
        </w:rPr>
        <w:t>“</w:t>
      </w:r>
      <w:r>
        <w:rPr>
          <w:spacing w:val="-2"/>
        </w:rPr>
        <w:t>其他应付款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专项应付款</w:t>
      </w:r>
      <w:r>
        <w:rPr>
          <w:rFonts w:ascii="Times New Roman" w:hAnsi="Times New Roman" w:cs="Times New Roman" w:eastAsia="Times New Roman" w:hint="default"/>
          <w:spacing w:val="-2"/>
        </w:rPr>
        <w:t>”</w:t>
      </w:r>
      <w:r>
        <w:rPr>
          <w:spacing w:val="-2"/>
        </w:rPr>
        <w:t>归并</w:t>
      </w:r>
      <w:r>
        <w:rPr>
          <w:spacing w:val="-36"/>
        </w:rPr>
        <w:t> </w:t>
      </w:r>
      <w:r>
        <w:rPr>
          <w:spacing w:val="-3"/>
          <w:w w:val="100"/>
        </w:rPr>
        <w:t>至</w:t>
      </w:r>
      <w:r>
        <w:rPr>
          <w:rFonts w:ascii="Times New Roman" w:hAnsi="Times New Roman" w:cs="Times New Roman" w:eastAsia="Times New Roman" w:hint="default"/>
          <w:spacing w:val="-3"/>
          <w:w w:val="100"/>
        </w:rPr>
        <w:t>“</w:t>
      </w:r>
      <w:r>
        <w:rPr>
          <w:spacing w:val="-3"/>
          <w:w w:val="100"/>
        </w:rPr>
        <w:t>长期应付款</w:t>
      </w:r>
      <w:r>
        <w:rPr>
          <w:rFonts w:ascii="Times New Roman" w:hAnsi="Times New Roman" w:cs="Times New Roman" w:eastAsia="Times New Roman" w:hint="default"/>
          <w:spacing w:val="-3"/>
          <w:w w:val="100"/>
        </w:rPr>
        <w:t>”</w:t>
      </w:r>
      <w:r>
        <w:rPr>
          <w:spacing w:val="-3"/>
          <w:w w:val="100"/>
        </w:rPr>
        <w:t>项目。利润表中从</w:t>
      </w:r>
      <w:r>
        <w:rPr>
          <w:rFonts w:ascii="Times New Roman" w:hAnsi="Times New Roman" w:cs="Times New Roman" w:eastAsia="Times New Roman" w:hint="default"/>
          <w:spacing w:val="-3"/>
          <w:w w:val="100"/>
        </w:rPr>
        <w:t>“</w:t>
      </w:r>
      <w:r>
        <w:rPr>
          <w:spacing w:val="-3"/>
          <w:w w:val="100"/>
        </w:rPr>
        <w:t>管理费用</w:t>
      </w:r>
      <w:r>
        <w:rPr>
          <w:rFonts w:ascii="Times New Roman" w:hAnsi="Times New Roman" w:cs="Times New Roman" w:eastAsia="Times New Roman" w:hint="default"/>
          <w:spacing w:val="-3"/>
          <w:w w:val="100"/>
        </w:rPr>
        <w:t>”</w:t>
      </w:r>
      <w:r>
        <w:rPr>
          <w:spacing w:val="-3"/>
          <w:w w:val="100"/>
        </w:rPr>
        <w:t>项目中分拆出</w:t>
      </w:r>
      <w:r>
        <w:rPr>
          <w:rFonts w:ascii="Times New Roman" w:hAnsi="Times New Roman" w:cs="Times New Roman" w:eastAsia="Times New Roman" w:hint="default"/>
          <w:spacing w:val="-3"/>
          <w:w w:val="100"/>
        </w:rPr>
        <w:t>“</w:t>
      </w:r>
      <w:r>
        <w:rPr>
          <w:spacing w:val="-3"/>
          <w:w w:val="100"/>
        </w:rPr>
        <w:t>研发费用</w:t>
      </w:r>
      <w:r>
        <w:rPr>
          <w:rFonts w:ascii="Times New Roman" w:hAnsi="Times New Roman" w:cs="Times New Roman" w:eastAsia="Times New Roman" w:hint="default"/>
          <w:spacing w:val="-3"/>
          <w:w w:val="100"/>
        </w:rPr>
        <w:t>”</w:t>
      </w:r>
      <w:r>
        <w:rPr>
          <w:spacing w:val="-3"/>
          <w:w w:val="100"/>
        </w:rPr>
        <w:t>项目，在财务费用项目下分拆</w:t>
      </w:r>
      <w:r>
        <w:rPr>
          <w:rFonts w:ascii="Times New Roman" w:hAnsi="Times New Roman" w:cs="Times New Roman" w:eastAsia="Times New Roman" w:hint="default"/>
          <w:spacing w:val="-3"/>
          <w:w w:val="100"/>
        </w:rPr>
        <w:t>“</w:t>
      </w:r>
      <w:r>
        <w:rPr>
          <w:spacing w:val="-3"/>
          <w:w w:val="100"/>
        </w:rPr>
        <w:t>利息费用</w:t>
      </w:r>
      <w:r>
        <w:rPr>
          <w:rFonts w:ascii="Times New Roman" w:hAnsi="Times New Roman" w:cs="Times New Roman" w:eastAsia="Times New Roman" w:hint="default"/>
          <w:spacing w:val="-3"/>
          <w:w w:val="100"/>
        </w:rPr>
        <w:t>”</w:t>
      </w:r>
      <w:r>
        <w:rPr>
          <w:spacing w:val="-3"/>
          <w:w w:val="100"/>
        </w:rPr>
        <w:t>和</w:t>
      </w:r>
      <w:r>
        <w:rPr>
          <w:rFonts w:ascii="Times New Roman" w:hAnsi="Times New Roman" w:cs="Times New Roman" w:eastAsia="Times New Roman" w:hint="default"/>
          <w:spacing w:val="-3"/>
          <w:w w:val="100"/>
        </w:rPr>
        <w:t>“</w:t>
      </w:r>
      <w:r>
        <w:rPr>
          <w:spacing w:val="-3"/>
          <w:w w:val="100"/>
        </w:rPr>
        <w:t>利息收入</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32"/>
          <w:w w:val="100"/>
        </w:rPr>
        <w:t> </w:t>
      </w:r>
      <w:r>
        <w:rPr>
          <w:spacing w:val="-2"/>
        </w:rPr>
        <w:t>明细项目。并于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日发布了《关于</w:t>
      </w:r>
      <w:r>
        <w:rPr>
          <w:rFonts w:ascii="Times New Roman" w:hAnsi="Times New Roman" w:cs="Times New Roman" w:eastAsia="Times New Roman" w:hint="default"/>
          <w:spacing w:val="-2"/>
        </w:rPr>
        <w:t>2018</w:t>
      </w:r>
      <w:r>
        <w:rPr>
          <w:spacing w:val="-2"/>
        </w:rPr>
        <w:t>年度一般企业财务报表格式有关问题的解读》，明确要求代扣个人所得税手</w:t>
      </w:r>
      <w:r>
        <w:rPr>
          <w:spacing w:val="-57"/>
        </w:rPr>
        <w:t> </w:t>
      </w:r>
      <w:r>
        <w:rPr>
          <w:spacing w:val="-57"/>
        </w:rPr>
      </w:r>
      <w:r>
        <w:rPr>
          <w:spacing w:val="-2"/>
        </w:rPr>
        <w:t>续费返还在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列报，实际收到的政府补助，无论是与资产相关还是与收益相关，在编制现金流量表时均作为经营活</w:t>
      </w:r>
      <w:r>
        <w:rPr>
          <w:spacing w:val="-44"/>
        </w:rPr>
        <w:t> </w:t>
      </w:r>
      <w:r>
        <w:rPr>
          <w:spacing w:val="-44"/>
        </w:rPr>
      </w:r>
      <w:r>
        <w:rPr/>
        <w:t>动产生的现金流量列报等。</w:t>
      </w:r>
    </w:p>
    <w:p>
      <w:pPr>
        <w:pStyle w:val="BodyText"/>
        <w:spacing w:line="316" w:lineRule="auto" w:before="31"/>
        <w:ind w:right="1150" w:firstLine="242"/>
        <w:jc w:val="left"/>
      </w:pPr>
      <w:r>
        <w:rPr/>
        <w:t>本公司已经根据新的企业财务报表格式的要求编制财务报表，财务报表的列报项目因此发生变更的，已经按照《企业会 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35" w:lineRule="exact"/>
        <w:ind w:left="396" w:right="1130"/>
        <w:jc w:val="left"/>
      </w:pPr>
      <w:r>
        <w:rPr/>
        <w:t>对可比期间的合并财务报表列报项目及金额的影响如下：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308"/>
        <w:gridCol w:w="2129"/>
        <w:gridCol w:w="2129"/>
        <w:gridCol w:w="2129"/>
      </w:tblGrid>
      <w:tr>
        <w:trPr>
          <w:trHeight w:val="66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876" w:right="66" w:hanging="81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日之前列报 金额</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5"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966" w:right="66" w:hanging="90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日经重列后金 额</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88,436,975.42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(88,436,975.42)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479,781,809.01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(479,781,809.01)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568,218,784.43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568,218,784.43</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308"/>
        <w:gridCol w:w="2129"/>
        <w:gridCol w:w="2129"/>
        <w:gridCol w:w="2129"/>
      </w:tblGrid>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33,624,662.85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33,624,662.85</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573,473,388.15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573,473,388.15</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16,877,519.80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16,877,519.80</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334,559,282.42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(334,559,282.42)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464,776,641.01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(464,776,641.01)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799,335,923.43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799,335,923.43</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1,236,933.91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(1,236,933.91)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12,392,585.65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1,236,933.91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13,629,519.56</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150,930,913.31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(62,328,089.01)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88,602,824.30</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62,328,089.01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62,328,089.01</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24,774,148.95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3,710,000.00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28,484,148.95</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6,240,000.00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(1,680,000.00)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4,560,000.00</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125,191,741.33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(2,030,000.00)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123,161,741.33</w:t>
            </w:r>
          </w:p>
        </w:tc>
      </w:tr>
    </w:tbl>
    <w:p>
      <w:pPr>
        <w:spacing w:line="240" w:lineRule="auto" w:before="8"/>
        <w:rPr>
          <w:rFonts w:ascii="宋体" w:hAnsi="宋体" w:cs="宋体" w:eastAsia="宋体" w:hint="default"/>
          <w:sz w:val="6"/>
          <w:szCs w:val="6"/>
        </w:rPr>
      </w:pPr>
    </w:p>
    <w:p>
      <w:pPr>
        <w:pStyle w:val="Heading4"/>
        <w:spacing w:line="240" w:lineRule="auto" w:before="44"/>
        <w:ind w:left="606" w:right="1130"/>
        <w:jc w:val="left"/>
        <w:rPr>
          <w:b w:val="0"/>
          <w:bCs w:val="0"/>
        </w:rPr>
      </w:pPr>
      <w:r>
        <w:rPr>
          <w:rFonts w:ascii="Times New Roman" w:hAnsi="Times New Roman" w:cs="Times New Roman" w:eastAsia="Times New Roman" w:hint="default"/>
        </w:rPr>
        <w:t>2</w:t>
      </w:r>
      <w:r>
        <w:rPr/>
        <w:t>、会计估计变更</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2978"/>
        <w:gridCol w:w="2296"/>
        <w:gridCol w:w="2297"/>
        <w:gridCol w:w="2124"/>
      </w:tblGrid>
      <w:tr>
        <w:trPr>
          <w:trHeight w:val="779"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0"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00" w:right="0"/>
              <w:jc w:val="left"/>
              <w:rPr>
                <w:rFonts w:ascii="宋体" w:hAnsi="宋体" w:cs="宋体" w:eastAsia="宋体" w:hint="default"/>
                <w:sz w:val="18"/>
                <w:szCs w:val="18"/>
              </w:rPr>
            </w:pPr>
            <w:r>
              <w:rPr>
                <w:rFonts w:ascii="宋体" w:hAnsi="宋体" w:cs="宋体" w:eastAsia="宋体" w:hint="default"/>
                <w:sz w:val="18"/>
                <w:szCs w:val="18"/>
              </w:rPr>
              <w:t>涉及会计科目</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2"/>
              <w:ind w:left="424" w:right="422" w:firstLine="90"/>
              <w:jc w:val="left"/>
              <w:rPr>
                <w:rFonts w:ascii="宋体" w:hAnsi="宋体" w:cs="宋体" w:eastAsia="宋体" w:hint="default"/>
                <w:sz w:val="18"/>
                <w:szCs w:val="18"/>
              </w:rPr>
            </w:pPr>
            <w:r>
              <w:rPr>
                <w:rFonts w:ascii="宋体" w:hAnsi="宋体" w:cs="宋体" w:eastAsia="宋体" w:hint="default"/>
                <w:sz w:val="18"/>
                <w:szCs w:val="18"/>
              </w:rPr>
              <w:t>会计估计变更 开始适用的时点</w:t>
            </w:r>
          </w:p>
        </w:tc>
      </w:tr>
      <w:tr>
        <w:trPr>
          <w:trHeight w:val="971"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19" w:right="63"/>
              <w:jc w:val="both"/>
              <w:rPr>
                <w:rFonts w:ascii="宋体" w:hAnsi="宋体" w:cs="宋体" w:eastAsia="宋体" w:hint="default"/>
                <w:sz w:val="18"/>
                <w:szCs w:val="18"/>
              </w:rPr>
            </w:pPr>
            <w:r>
              <w:rPr>
                <w:rFonts w:ascii="宋体" w:hAnsi="宋体" w:cs="宋体" w:eastAsia="宋体" w:hint="default"/>
                <w:sz w:val="18"/>
                <w:szCs w:val="18"/>
              </w:rPr>
              <w:t>将原按账龄分析法计提坏账准备的划 分到</w:t>
            </w:r>
            <w:r>
              <w:rPr>
                <w:rFonts w:ascii="Times New Roman" w:hAnsi="Times New Roman" w:cs="Times New Roman" w:eastAsia="Times New Roman" w:hint="default"/>
                <w:sz w:val="18"/>
                <w:szCs w:val="18"/>
              </w:rPr>
              <w:t>“</w:t>
            </w:r>
            <w:r>
              <w:rPr>
                <w:rFonts w:ascii="宋体" w:hAnsi="宋体" w:cs="宋体" w:eastAsia="宋体" w:hint="default"/>
                <w:sz w:val="18"/>
                <w:szCs w:val="18"/>
              </w:rPr>
              <w:t>政府机构应收款项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组合计提坏 账准备</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其他应收款、应收账款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19" w:right="101"/>
              <w:jc w:val="left"/>
              <w:rPr>
                <w:rFonts w:ascii="宋体" w:hAnsi="宋体" w:cs="宋体" w:eastAsia="宋体" w:hint="default"/>
                <w:sz w:val="18"/>
                <w:szCs w:val="18"/>
              </w:rPr>
            </w:pPr>
            <w:r>
              <w:rPr>
                <w:rFonts w:ascii="宋体" w:hAnsi="宋体" w:cs="宋体" w:eastAsia="宋体" w:hint="default"/>
                <w:sz w:val="18"/>
                <w:szCs w:val="18"/>
              </w:rPr>
              <w:t>本次变更经公司第四届董事 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次定期会议审 议通过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972"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19" w:right="61"/>
              <w:jc w:val="both"/>
              <w:rPr>
                <w:rFonts w:ascii="宋体" w:hAnsi="宋体" w:cs="宋体" w:eastAsia="宋体" w:hint="default"/>
                <w:sz w:val="18"/>
                <w:szCs w:val="18"/>
              </w:rPr>
            </w:pPr>
            <w:r>
              <w:rPr>
                <w:rFonts w:ascii="宋体" w:hAnsi="宋体" w:cs="宋体" w:eastAsia="宋体" w:hint="default"/>
                <w:sz w:val="18"/>
                <w:szCs w:val="18"/>
              </w:rPr>
              <w:t>将原按单项金额单项计提坏账准备的 划分到</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保证金、押金</w:t>
            </w:r>
            <w:r>
              <w:rPr>
                <w:rFonts w:ascii="Times New Roman" w:hAnsi="Times New Roman" w:cs="Times New Roman" w:eastAsia="Times New Roman" w:hint="default"/>
                <w:sz w:val="18"/>
                <w:szCs w:val="18"/>
              </w:rPr>
              <w:t>”</w:t>
            </w:r>
            <w:r>
              <w:rPr>
                <w:rFonts w:ascii="宋体" w:hAnsi="宋体" w:cs="宋体" w:eastAsia="宋体" w:hint="default"/>
                <w:sz w:val="18"/>
                <w:szCs w:val="18"/>
              </w:rPr>
              <w:t>组合计提坏账 准备</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19" w:right="101"/>
              <w:jc w:val="left"/>
              <w:rPr>
                <w:rFonts w:ascii="宋体" w:hAnsi="宋体" w:cs="宋体" w:eastAsia="宋体" w:hint="default"/>
                <w:sz w:val="18"/>
                <w:szCs w:val="18"/>
              </w:rPr>
            </w:pPr>
            <w:r>
              <w:rPr>
                <w:rFonts w:ascii="宋体" w:hAnsi="宋体" w:cs="宋体" w:eastAsia="宋体" w:hint="default"/>
                <w:sz w:val="18"/>
                <w:szCs w:val="18"/>
              </w:rPr>
              <w:t>本次变更经公司第四届董事 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w:t>
            </w:r>
            <w:r>
              <w:rPr>
                <w:rFonts w:ascii="Times New Roman" w:hAnsi="Times New Roman" w:cs="Times New Roman" w:eastAsia="Times New Roman" w:hint="default"/>
                <w:sz w:val="18"/>
                <w:szCs w:val="18"/>
              </w:rPr>
              <w:t>1</w:t>
            </w:r>
            <w:r>
              <w:rPr>
                <w:rFonts w:ascii="宋体" w:hAnsi="宋体" w:cs="宋体" w:eastAsia="宋体" w:hint="default"/>
                <w:sz w:val="18"/>
                <w:szCs w:val="18"/>
              </w:rPr>
              <w:t>次定期会议审 议通过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113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13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44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本期纳入合并财务报表范围的主体较上期相比，增加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3</w:t>
      </w:r>
      <w:r>
        <w:rPr/>
        <w:t>户，其中：</w:t>
      </w:r>
    </w:p>
    <w:p>
      <w:pPr>
        <w:pStyle w:val="BodyText"/>
        <w:spacing w:line="230" w:lineRule="exact"/>
        <w:ind w:left="514" w:right="1130"/>
        <w:jc w:val="left"/>
      </w:pPr>
      <w:r>
        <w:rPr/>
        <w:t>（</w:t>
      </w: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after="0" w:line="230" w:lineRule="exact"/>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河北茂硕燚晶光伏电力开发有限公司</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8"/>
        <w:rPr>
          <w:rFonts w:ascii="宋体" w:hAnsi="宋体" w:cs="宋体" w:eastAsia="宋体" w:hint="default"/>
          <w:sz w:val="6"/>
          <w:szCs w:val="6"/>
        </w:rPr>
      </w:pPr>
    </w:p>
    <w:p>
      <w:pPr>
        <w:pStyle w:val="BodyText"/>
        <w:spacing w:line="240" w:lineRule="auto" w:before="44"/>
        <w:ind w:left="514" w:right="1130"/>
        <w:jc w:val="left"/>
      </w:pPr>
      <w:r>
        <w:rPr/>
        <w:t>（</w:t>
      </w:r>
      <w:r>
        <w:rPr>
          <w:rFonts w:ascii="Times New Roman" w:hAnsi="Times New Roman" w:cs="Times New Roman" w:eastAsia="Times New Roman" w:hint="default"/>
        </w:rPr>
        <w:t>2</w:t>
      </w:r>
      <w:r>
        <w:rPr/>
        <w:t>）本期不再纳入合并范围的子公司、特殊目的主体、通过委托经营或出租等方式丧失控制权的经营实体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42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处置股权</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连云港闰洋光伏发电有限公司</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处置股权</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处置股权</w:t>
            </w:r>
          </w:p>
        </w:tc>
      </w:tr>
    </w:tbl>
    <w:p>
      <w:pPr>
        <w:spacing w:line="240" w:lineRule="auto" w:before="8"/>
        <w:rPr>
          <w:rFonts w:ascii="宋体" w:hAnsi="宋体" w:cs="宋体" w:eastAsia="宋体" w:hint="default"/>
          <w:sz w:val="6"/>
          <w:szCs w:val="6"/>
        </w:rPr>
      </w:pPr>
    </w:p>
    <w:p>
      <w:pPr>
        <w:pStyle w:val="BodyText"/>
        <w:spacing w:line="240" w:lineRule="auto" w:before="44"/>
        <w:ind w:left="514" w:right="1130"/>
        <w:jc w:val="left"/>
      </w:pPr>
      <w:r>
        <w:rPr/>
        <w:t>合并范围变更主体的具体信息详见</w:t>
      </w:r>
      <w:r>
        <w:rPr>
          <w:rFonts w:ascii="Times New Roman" w:hAnsi="Times New Roman" w:cs="Times New Roman" w:eastAsia="Times New Roman" w:hint="default"/>
        </w:rPr>
        <w:t>“</w:t>
      </w:r>
      <w:r>
        <w:rPr/>
        <w:t>本报告第十一节</w:t>
      </w:r>
      <w:r>
        <w:rPr>
          <w:spacing w:val="-19"/>
        </w:rPr>
        <w:t> </w:t>
      </w:r>
      <w:r>
        <w:rPr/>
        <w:t>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113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王建华、刘国军</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13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13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公司起诉深圳中景 科创光电科技有限</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104.9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与广东广晟光 电科技有限公</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12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both"/>
              <w:rPr>
                <w:rFonts w:ascii="宋体" w:hAnsi="宋体" w:cs="宋体" w:eastAsia="宋体" w:hint="default"/>
                <w:sz w:val="18"/>
                <w:szCs w:val="18"/>
              </w:rPr>
            </w:pPr>
            <w:r>
              <w:rPr>
                <w:rFonts w:ascii="宋体" w:hAnsi="宋体" w:cs="宋体" w:eastAsia="宋体" w:hint="default"/>
                <w:sz w:val="18"/>
                <w:szCs w:val="18"/>
              </w:rPr>
              <w:t>公司拖延付款。广 东广晟光电科技有 限公司对所欠货款 承担连带责任。</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5"/>
              <w:jc w:val="left"/>
              <w:rPr>
                <w:rFonts w:ascii="宋体" w:hAnsi="宋体" w:cs="宋体" w:eastAsia="宋体" w:hint="default"/>
                <w:sz w:val="18"/>
                <w:szCs w:val="18"/>
              </w:rPr>
            </w:pPr>
            <w:r>
              <w:rPr>
                <w:rFonts w:ascii="宋体" w:hAnsi="宋体" w:cs="宋体" w:eastAsia="宋体" w:hint="default"/>
                <w:sz w:val="18"/>
                <w:szCs w:val="18"/>
              </w:rPr>
              <w:t>司协商付款事 宜中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公司起诉福建省能 宝光电集团有限公 司拖延付款。</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189.66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与福建省能宝 光电集团有限 公司协商付款 事宜中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5"/>
              <w:jc w:val="left"/>
              <w:rPr>
                <w:rFonts w:ascii="宋体" w:hAnsi="宋体" w:cs="宋体" w:eastAsia="宋体" w:hint="default"/>
                <w:sz w:val="18"/>
                <w:szCs w:val="18"/>
              </w:rPr>
            </w:pPr>
            <w:r>
              <w:rPr>
                <w:rFonts w:ascii="宋体" w:hAnsi="宋体" w:cs="宋体" w:eastAsia="宋体" w:hint="default"/>
                <w:sz w:val="18"/>
                <w:szCs w:val="18"/>
              </w:rPr>
              <w:t>公司与美国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公司合作开发新式 整合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驱动器， 后因合作未果，根 据合同约定，公司 起诉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公司返 还预付的开发款和 年息成本。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USD100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已仲裁</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8"/>
              <w:ind w:left="22" w:right="135"/>
              <w:jc w:val="both"/>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 负责人协商付 款事宜中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登的：茂硕电</w:t>
            </w:r>
            <w:r>
              <w:rPr>
                <w:rFonts w:ascii="宋体" w:hAnsi="宋体" w:cs="宋体" w:eastAsia="宋体" w:hint="default"/>
                <w:sz w:val="18"/>
                <w:szCs w:val="18"/>
              </w:rPr>
              <w:t> 源关于诉讼 事项的进展 </w:t>
            </w:r>
            <w:r>
              <w:rPr>
                <w:rFonts w:ascii="宋体" w:hAnsi="宋体" w:cs="宋体" w:eastAsia="宋体" w:hint="default"/>
                <w:spacing w:val="-12"/>
                <w:sz w:val="18"/>
                <w:szCs w:val="18"/>
              </w:rPr>
              <w:t>公告。巨潮资</w:t>
            </w:r>
            <w:r>
              <w:rPr>
                <w:rFonts w:ascii="宋体" w:hAnsi="宋体" w:cs="宋体" w:eastAsia="宋体" w:hint="default"/>
                <w:sz w:val="18"/>
                <w:szCs w:val="18"/>
              </w:rPr>
              <w:t> 讯网</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p>
          <w:p>
            <w:pPr>
              <w:pStyle w:val="TableParagraph"/>
              <w:spacing w:line="316" w:lineRule="auto" w:before="10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公司申请仲裁 </w:t>
            </w:r>
            <w:r>
              <w:rPr>
                <w:rFonts w:ascii="Times New Roman" w:hAnsi="Times New Roman" w:cs="Times New Roman" w:eastAsia="Times New Roman" w:hint="default"/>
                <w:sz w:val="18"/>
                <w:szCs w:val="18"/>
              </w:rPr>
              <w:t>BRILLIANT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CORPORATION</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司未支付货款的行</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为</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USD86.95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9"/>
              <w:jc w:val="left"/>
              <w:rPr>
                <w:rFonts w:ascii="宋体" w:hAnsi="宋体" w:cs="宋体" w:eastAsia="宋体" w:hint="default"/>
                <w:sz w:val="18"/>
                <w:szCs w:val="18"/>
              </w:rPr>
            </w:pPr>
            <w:r>
              <w:rPr>
                <w:rFonts w:ascii="宋体" w:hAnsi="宋体" w:cs="宋体" w:eastAsia="宋体" w:hint="default"/>
                <w:sz w:val="18"/>
                <w:szCs w:val="18"/>
              </w:rPr>
              <w:t>已裁决，执行阶 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2"/>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公司协 商回款达成一 </w:t>
            </w:r>
            <w:r>
              <w:rPr>
                <w:rFonts w:ascii="宋体" w:hAnsi="宋体" w:cs="宋体" w:eastAsia="宋体" w:hint="default"/>
                <w:spacing w:val="-10"/>
                <w:sz w:val="18"/>
                <w:szCs w:val="18"/>
              </w:rPr>
              <w:t>致，分期支付货</w:t>
            </w:r>
            <w:r>
              <w:rPr>
                <w:rFonts w:ascii="宋体" w:hAnsi="宋体" w:cs="宋体" w:eastAsia="宋体" w:hint="default"/>
                <w:sz w:val="18"/>
                <w:szCs w:val="18"/>
              </w:rPr>
              <w:t> 款中。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深圳茂硕新能源科 技有限公司申请仲 裁，要求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Energy Solar Pty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支付</w:t>
            </w:r>
            <w:r>
              <w:rPr>
                <w:rFonts w:ascii="宋体" w:hAnsi="宋体" w:cs="宋体" w:eastAsia="宋体" w:hint="default"/>
                <w:spacing w:val="-2"/>
                <w:sz w:val="18"/>
                <w:szCs w:val="18"/>
              </w:rPr>
              <w:t> </w:t>
            </w:r>
            <w:r>
              <w:rPr>
                <w:rFonts w:ascii="宋体" w:hAnsi="宋体" w:cs="宋体" w:eastAsia="宋体" w:hint="default"/>
                <w:sz w:val="18"/>
                <w:szCs w:val="18"/>
              </w:rPr>
              <w:t>货款本金及相关费</w:t>
            </w:r>
            <w:r>
              <w:rPr>
                <w:rFonts w:ascii="宋体" w:hAnsi="宋体" w:cs="宋体" w:eastAsia="宋体" w:hint="default"/>
                <w:sz w:val="18"/>
                <w:szCs w:val="18"/>
              </w:rPr>
              <w:t> 用，并申请由 </w:t>
            </w:r>
            <w:r>
              <w:rPr>
                <w:rFonts w:ascii="Times New Roman" w:hAnsi="Times New Roman" w:cs="Times New Roman" w:eastAsia="Times New Roman" w:hint="default"/>
                <w:sz w:val="18"/>
                <w:szCs w:val="18"/>
              </w:rPr>
              <w:t>Conrad Stath</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承担</w:t>
            </w:r>
            <w:r>
              <w:rPr>
                <w:rFonts w:ascii="宋体" w:hAnsi="宋体" w:cs="宋体" w:eastAsia="宋体" w:hint="default"/>
                <w:spacing w:val="-2"/>
                <w:sz w:val="18"/>
                <w:szCs w:val="18"/>
              </w:rPr>
              <w:t> </w:t>
            </w:r>
            <w:r>
              <w:rPr>
                <w:rFonts w:ascii="宋体" w:hAnsi="宋体" w:cs="宋体" w:eastAsia="宋体" w:hint="default"/>
                <w:sz w:val="18"/>
                <w:szCs w:val="18"/>
              </w:rPr>
              <w:t>连带清偿责任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USD103.92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胜诉，已经裁决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深圳茂硕新能源科 技有限公司诉陕西 易兆通新能源科技 有限公司拖延付款</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3"/>
                <w:sz w:val="18"/>
              </w:rPr>
              <w:t>111.65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已调解</w:t>
            </w:r>
            <w:r>
              <w:rPr>
                <w:rFonts w:ascii="Times New Roman" w:hAnsi="Times New Roman" w:cs="Times New Roman" w:eastAsia="Times New Roman" w:hint="default"/>
                <w:sz w:val="18"/>
                <w:szCs w:val="18"/>
              </w:rPr>
              <w:t>,</w:t>
            </w:r>
            <w:r>
              <w:rPr>
                <w:rFonts w:ascii="宋体" w:hAnsi="宋体" w:cs="宋体" w:eastAsia="宋体" w:hint="default"/>
                <w:sz w:val="18"/>
                <w:szCs w:val="18"/>
              </w:rPr>
              <w:t>执行中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法院已强制执 </w:t>
            </w:r>
            <w:r>
              <w:rPr>
                <w:rFonts w:ascii="宋体" w:hAnsi="宋体" w:cs="宋体" w:eastAsia="宋体" w:hint="default"/>
                <w:spacing w:val="-10"/>
                <w:sz w:val="18"/>
                <w:szCs w:val="18"/>
              </w:rPr>
              <w:t>行，易兆通未完</w:t>
            </w:r>
            <w:r>
              <w:rPr>
                <w:rFonts w:ascii="宋体" w:hAnsi="宋体" w:cs="宋体" w:eastAsia="宋体" w:hint="default"/>
                <w:sz w:val="18"/>
                <w:szCs w:val="18"/>
              </w:rPr>
              <w:t> </w:t>
            </w:r>
            <w:r>
              <w:rPr>
                <w:rFonts w:ascii="宋体" w:hAnsi="宋体" w:cs="宋体" w:eastAsia="宋体" w:hint="default"/>
                <w:spacing w:val="-10"/>
                <w:sz w:val="18"/>
                <w:szCs w:val="18"/>
              </w:rPr>
              <w:t>全履行，仍在执</w:t>
            </w:r>
            <w:r>
              <w:rPr>
                <w:rFonts w:ascii="宋体" w:hAnsi="宋体" w:cs="宋体" w:eastAsia="宋体" w:hint="default"/>
                <w:sz w:val="18"/>
                <w:szCs w:val="18"/>
              </w:rPr>
              <w:t> 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惠州茂硕能源科技 有限公司诉海宁茂 硕诺华能源有限公 司，要求其支付委 托贷款本金及逾期 利息，并申请由海 宁市诺耶科华太阳</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6,144.38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登的：关于诉</w:t>
            </w:r>
            <w:r>
              <w:rPr>
                <w:rFonts w:ascii="宋体" w:hAnsi="宋体" w:cs="宋体" w:eastAsia="宋体" w:hint="default"/>
                <w:sz w:val="18"/>
                <w:szCs w:val="18"/>
              </w:rPr>
              <w:t> 讼事项的进 </w:t>
            </w:r>
            <w:r>
              <w:rPr>
                <w:rFonts w:ascii="宋体" w:hAnsi="宋体" w:cs="宋体" w:eastAsia="宋体" w:hint="default"/>
                <w:spacing w:val="-12"/>
                <w:sz w:val="18"/>
                <w:szCs w:val="18"/>
              </w:rPr>
              <w:t>展公告。巨潮</w:t>
            </w:r>
            <w:r>
              <w:rPr>
                <w:rFonts w:ascii="宋体" w:hAnsi="宋体" w:cs="宋体" w:eastAsia="宋体" w:hint="default"/>
                <w:sz w:val="18"/>
                <w:szCs w:val="18"/>
              </w:rPr>
              <w:t> 资讯网</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能电力工程有限公 司承担连带责任</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深圳茂硕新能源科 技有限公司诉苏州 弘鹏新能源有限公 司，要求其支付所 欠货款本金、违约 金及相关费用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未达到重大诉讼披 露标准的其他诉讼 的涉案总金额</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2,769.57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立案、审理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或执行阶 段</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部分诉讼处于立 案阶段、部分诉 讼处于审理阶 段、部分诉讼已 于报告期内作出 调解或判决。以 上诉讼对公司无 重大影响。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2" w:right="88"/>
              <w:jc w:val="both"/>
              <w:rPr>
                <w:rFonts w:ascii="宋体" w:hAnsi="宋体" w:cs="宋体" w:eastAsia="宋体" w:hint="default"/>
                <w:sz w:val="18"/>
                <w:szCs w:val="18"/>
              </w:rPr>
            </w:pPr>
            <w:r>
              <w:rPr>
                <w:rFonts w:ascii="宋体" w:hAnsi="宋体" w:cs="宋体" w:eastAsia="宋体" w:hint="default"/>
                <w:sz w:val="18"/>
                <w:szCs w:val="18"/>
              </w:rPr>
              <w:t>部分诉讼执行 中</w:t>
            </w:r>
            <w:r>
              <w:rPr>
                <w:rFonts w:ascii="Times New Roman" w:hAnsi="Times New Roman" w:cs="Times New Roman" w:eastAsia="Times New Roman" w:hint="default"/>
                <w:sz w:val="18"/>
                <w:szCs w:val="18"/>
              </w:rPr>
              <w:t>,</w:t>
            </w:r>
            <w:r>
              <w:rPr>
                <w:rFonts w:ascii="宋体" w:hAnsi="宋体" w:cs="宋体" w:eastAsia="宋体" w:hint="default"/>
                <w:sz w:val="18"/>
                <w:szCs w:val="18"/>
              </w:rPr>
              <w:t>部分诉讼于 报告期执行完 毕</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未达到重大诉讼披 露标准的其他诉讼 产生的预计负债</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3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报告期内，公司控股股东、实际控制人不存在未履行法院生效判决，不存在数额较大债务到期未清偿等不良诚信状况。</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right="113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日，公司召开了第三届董事会</w:t>
      </w:r>
      <w:r>
        <w:rPr>
          <w:rFonts w:ascii="Times New Roman" w:hAnsi="Times New Roman" w:cs="Times New Roman" w:eastAsia="Times New Roman" w:hint="default"/>
          <w:spacing w:val="-1"/>
        </w:rPr>
        <w:t>2016</w:t>
      </w:r>
      <w:r>
        <w:rPr>
          <w:spacing w:val="-1"/>
        </w:rPr>
        <w:t>年第</w:t>
      </w:r>
      <w:r>
        <w:rPr>
          <w:rFonts w:ascii="Times New Roman" w:hAnsi="Times New Roman" w:cs="Times New Roman" w:eastAsia="Times New Roman" w:hint="default"/>
          <w:spacing w:val="-1"/>
        </w:rPr>
        <w:t>5</w:t>
      </w:r>
      <w:r>
        <w:rPr>
          <w:spacing w:val="-1"/>
        </w:rPr>
        <w:t>次临时会议，审议通过了《关于</w:t>
      </w:r>
      <w:r>
        <w:rPr>
          <w:rFonts w:ascii="Times New Roman" w:hAnsi="Times New Roman" w:cs="Times New Roman" w:eastAsia="Times New Roman" w:hint="default"/>
          <w:spacing w:val="-1"/>
        </w:rPr>
        <w:t>&lt;</w:t>
      </w:r>
      <w:r>
        <w:rPr>
          <w:spacing w:val="-1"/>
        </w:rPr>
        <w:t>公司第一期员工持股计划（草案）</w:t>
      </w:r>
      <w:r>
        <w:rPr>
          <w:rFonts w:ascii="Times New Roman" w:hAnsi="Times New Roman" w:cs="Times New Roman" w:eastAsia="Times New Roman" w:hint="default"/>
          <w:spacing w:val="-1"/>
        </w:rPr>
        <w:t>&gt;</w:t>
      </w:r>
      <w:r>
        <w:rPr>
          <w:rFonts w:ascii="Times New Roman" w:hAnsi="Times New Roman" w:cs="Times New Roman" w:eastAsia="Times New Roman" w:hint="default"/>
          <w:spacing w:val="-4"/>
        </w:rPr>
        <w:t> </w:t>
      </w:r>
      <w:r>
        <w:rPr/>
        <w:t>及</w:t>
      </w:r>
      <w:r>
        <w:rPr>
          <w:spacing w:val="-56"/>
        </w:rPr>
        <w:t> </w:t>
      </w:r>
      <w:r>
        <w:rPr/>
        <w:t>摘</w:t>
      </w:r>
      <w:r>
        <w:rPr>
          <w:spacing w:val="-56"/>
        </w:rPr>
        <w:t> </w:t>
      </w:r>
      <w:r>
        <w:rPr/>
        <w:t>要</w:t>
      </w:r>
      <w:r>
        <w:rPr>
          <w:spacing w:val="-56"/>
        </w:rPr>
        <w:t> </w:t>
      </w:r>
      <w:r>
        <w:rPr/>
        <w:t>的</w:t>
      </w:r>
      <w:r>
        <w:rPr>
          <w:spacing w:val="-56"/>
        </w:rPr>
        <w:t> </w:t>
      </w:r>
      <w:r>
        <w:rPr/>
        <w:t>议</w:t>
      </w:r>
      <w:r>
        <w:rPr>
          <w:spacing w:val="-57"/>
        </w:rPr>
        <w:t> </w:t>
      </w:r>
      <w:r>
        <w:rPr/>
        <w:t>案</w:t>
      </w:r>
      <w:r>
        <w:rPr>
          <w:spacing w:val="-56"/>
        </w:rPr>
        <w:t> </w:t>
      </w:r>
      <w:r>
        <w:rPr/>
        <w:t>》</w:t>
      </w:r>
      <w:r>
        <w:rPr>
          <w:spacing w:val="-56"/>
        </w:rPr>
        <w:t> </w:t>
      </w:r>
      <w:r>
        <w:rPr/>
        <w:t>。</w:t>
      </w:r>
      <w:r>
        <w:rPr>
          <w:spacing w:val="-56"/>
        </w:rPr>
        <w:t> </w:t>
      </w:r>
      <w:r>
        <w:rPr/>
        <w:t>公</w:t>
      </w:r>
      <w:r>
        <w:rPr>
          <w:spacing w:val="-56"/>
        </w:rPr>
        <w:t> </w:t>
      </w:r>
      <w:r>
        <w:rPr/>
        <w:t>司</w:t>
      </w:r>
      <w:r>
        <w:rPr>
          <w:spacing w:val="-57"/>
        </w:rPr>
        <w:t> </w:t>
      </w:r>
      <w:r>
        <w:rPr/>
        <w:t>独</w:t>
      </w:r>
      <w:r>
        <w:rPr>
          <w:spacing w:val="-56"/>
        </w:rPr>
        <w:t> </w:t>
      </w:r>
      <w:r>
        <w:rPr/>
        <w:t>立</w:t>
      </w:r>
      <w:r>
        <w:rPr>
          <w:spacing w:val="-56"/>
        </w:rPr>
        <w:t> </w:t>
      </w:r>
      <w:r>
        <w:rPr/>
        <w:t>董</w:t>
      </w:r>
      <w:r>
        <w:rPr>
          <w:spacing w:val="-56"/>
        </w:rPr>
        <w:t> </w:t>
      </w:r>
      <w:r>
        <w:rPr/>
        <w:t>事</w:t>
      </w:r>
      <w:r>
        <w:rPr>
          <w:spacing w:val="-56"/>
        </w:rPr>
        <w:t> </w:t>
      </w:r>
      <w:r>
        <w:rPr/>
        <w:t>对</w:t>
      </w:r>
      <w:r>
        <w:rPr>
          <w:spacing w:val="-57"/>
        </w:rPr>
        <w:t> </w:t>
      </w:r>
      <w:r>
        <w:rPr/>
        <w:t>相</w:t>
      </w:r>
      <w:r>
        <w:rPr>
          <w:spacing w:val="-56"/>
        </w:rPr>
        <w:t> </w:t>
      </w:r>
      <w:r>
        <w:rPr/>
        <w:t>关</w:t>
      </w:r>
      <w:r>
        <w:rPr>
          <w:spacing w:val="-56"/>
        </w:rPr>
        <w:t> </w:t>
      </w:r>
      <w:r>
        <w:rPr/>
        <w:t>事</w:t>
      </w:r>
      <w:r>
        <w:rPr>
          <w:spacing w:val="-56"/>
        </w:rPr>
        <w:t> </w:t>
      </w:r>
      <w:r>
        <w:rPr/>
        <w:t>项</w:t>
      </w:r>
      <w:r>
        <w:rPr>
          <w:spacing w:val="-56"/>
        </w:rPr>
        <w:t> </w:t>
      </w:r>
      <w:r>
        <w:rPr/>
        <w:t>发</w:t>
      </w:r>
      <w:r>
        <w:rPr>
          <w:spacing w:val="-57"/>
        </w:rPr>
        <w:t> </w:t>
      </w:r>
      <w:r>
        <w:rPr/>
        <w:t>表</w:t>
      </w:r>
      <w:r>
        <w:rPr>
          <w:spacing w:val="-56"/>
        </w:rPr>
        <w:t> </w:t>
      </w:r>
      <w:r>
        <w:rPr/>
        <w:t>了</w:t>
      </w:r>
      <w:r>
        <w:rPr>
          <w:spacing w:val="-56"/>
        </w:rPr>
        <w:t> </w:t>
      </w:r>
      <w:r>
        <w:rPr/>
        <w:t>独</w:t>
      </w:r>
      <w:r>
        <w:rPr>
          <w:spacing w:val="-56"/>
        </w:rPr>
        <w:t> </w:t>
      </w:r>
      <w:r>
        <w:rPr/>
        <w:t>立</w:t>
      </w:r>
      <w:r>
        <w:rPr>
          <w:spacing w:val="-56"/>
        </w:rPr>
        <w:t> </w:t>
      </w:r>
      <w:r>
        <w:rPr/>
        <w:t>意</w:t>
      </w:r>
      <w:r>
        <w:rPr>
          <w:spacing w:val="-57"/>
        </w:rPr>
        <w:t> </w:t>
      </w:r>
      <w:r>
        <w:rPr/>
        <w:t>见</w:t>
      </w:r>
      <w:r>
        <w:rPr>
          <w:spacing w:val="-56"/>
        </w:rPr>
        <w:t> </w:t>
      </w:r>
      <w:r>
        <w:rPr/>
        <w:t>。</w:t>
      </w:r>
      <w:r>
        <w:rPr>
          <w:spacing w:val="-56"/>
        </w:rPr>
        <w:t> </w:t>
      </w:r>
      <w:r>
        <w:rPr/>
        <w:t>详</w:t>
      </w:r>
      <w:r>
        <w:rPr>
          <w:spacing w:val="-56"/>
        </w:rPr>
        <w:t> </w:t>
      </w:r>
      <w:r>
        <w:rPr/>
        <w:t>情</w:t>
      </w:r>
      <w:r>
        <w:rPr>
          <w:spacing w:val="-56"/>
        </w:rPr>
        <w:t> </w:t>
      </w:r>
      <w:r>
        <w:rPr/>
        <w:t>请</w:t>
      </w:r>
      <w:r>
        <w:rPr>
          <w:spacing w:val="-57"/>
        </w:rPr>
        <w:t> </w:t>
      </w:r>
      <w:r>
        <w:rPr/>
        <w:t>参</w:t>
      </w:r>
      <w:r>
        <w:rPr>
          <w:spacing w:val="-56"/>
        </w:rPr>
        <w:t> </w:t>
      </w:r>
      <w:r>
        <w:rPr/>
        <w:t>阅</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w:t>
      </w:r>
      <w:r>
        <w:rPr>
          <w:spacing w:val="-56"/>
        </w:rPr>
        <w:t> </w:t>
      </w:r>
      <w:r>
        <w:rPr/>
        <w:t>在</w:t>
      </w:r>
      <w:r>
        <w:rPr>
          <w:spacing w:val="-56"/>
        </w:rPr>
        <w:t> </w:t>
      </w:r>
      <w:r>
        <w:rPr/>
        <w:t>巨</w:t>
      </w:r>
      <w:r>
        <w:rPr>
          <w:spacing w:val="-57"/>
        </w:rPr>
        <w:t> </w:t>
      </w:r>
      <w:r>
        <w:rPr/>
        <w:t>潮</w:t>
      </w:r>
      <w:r>
        <w:rPr>
          <w:spacing w:val="-56"/>
        </w:rPr>
        <w:t> </w:t>
      </w:r>
      <w:r>
        <w:rPr/>
        <w:t>资</w:t>
      </w:r>
      <w:r>
        <w:rPr>
          <w:spacing w:val="-56"/>
        </w:rPr>
        <w:t> </w:t>
      </w:r>
      <w:r>
        <w:rPr/>
        <w:t>讯</w:t>
      </w:r>
      <w:r>
        <w:rPr>
          <w:spacing w:val="-56"/>
        </w:rPr>
        <w:t> </w:t>
      </w:r>
      <w:r>
        <w:rPr/>
        <w:t>网</w:t>
      </w:r>
    </w:p>
    <w:p>
      <w:pPr>
        <w:pStyle w:val="BodyText"/>
        <w:spacing w:line="246" w:lineRule="exact"/>
        <w:ind w:right="0"/>
        <w:jc w:val="left"/>
      </w:pPr>
      <w:r>
        <w:rPr/>
        <w:t>（</w:t>
      </w:r>
      <w:hyperlink r:id="rId11">
        <w:r>
          <w:rPr>
            <w:rFonts w:ascii="Times New Roman" w:hAnsi="Times New Roman" w:cs="Times New Roman" w:eastAsia="Times New Roman" w:hint="default"/>
          </w:rPr>
          <w:t>http://www.cninfo.com.cn</w:t>
        </w:r>
      </w:hyperlink>
      <w:r>
        <w:rPr/>
        <w:t>）刊登的：茂硕电源第三届董事会</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5</w:t>
      </w:r>
      <w:r>
        <w:rPr/>
        <w:t>次临时会议决议公告、茂硕电源第一期员工持股计划</w:t>
      </w:r>
    </w:p>
    <w:p>
      <w:pPr>
        <w:pStyle w:val="BodyText"/>
        <w:spacing w:line="240" w:lineRule="auto" w:before="63"/>
        <w:ind w:right="1130"/>
        <w:jc w:val="left"/>
      </w:pPr>
      <w:r>
        <w:rPr/>
        <w:t>（草案）及茂硕电源第一期员工持股计划（草案）摘要。</w:t>
      </w:r>
    </w:p>
    <w:p>
      <w:pPr>
        <w:pStyle w:val="BodyText"/>
        <w:spacing w:line="240" w:lineRule="auto" w:before="76"/>
        <w:ind w:left="574" w:right="1130"/>
        <w:jc w:val="left"/>
      </w:pPr>
      <w:r>
        <w:rPr>
          <w:spacing w:val="14"/>
        </w:rPr>
        <w:t>截止</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spacing w:val="26"/>
        </w:rPr>
        <w:t>日，公司员工持股计划尚未购买公司股票。详情请参阅</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6"/>
        </w:rPr>
        <w:t> </w:t>
      </w:r>
      <w:r>
        <w:rPr>
          <w:spacing w:val="24"/>
        </w:rPr>
        <w:t>日在巨潮资讯网</w:t>
      </w:r>
      <w:r>
        <w:rPr>
          <w:spacing w:val="-62"/>
        </w:rPr>
        <w:t> </w:t>
      </w:r>
      <w:r>
        <w:rPr/>
      </w:r>
    </w:p>
    <w:p>
      <w:pPr>
        <w:pStyle w:val="BodyText"/>
        <w:spacing w:line="300" w:lineRule="auto" w:before="63"/>
        <w:ind w:left="574" w:right="1130" w:hanging="420"/>
        <w:jc w:val="left"/>
      </w:pPr>
      <w:r>
        <w:rPr/>
        <w:t>（</w:t>
      </w:r>
      <w:hyperlink r:id="rId11">
        <w:r>
          <w:rPr>
            <w:rFonts w:ascii="Times New Roman" w:hAnsi="Times New Roman" w:cs="Times New Roman" w:eastAsia="Times New Roman" w:hint="default"/>
          </w:rPr>
          <w:t>http://www.cninfo.com.cn</w:t>
        </w:r>
      </w:hyperlink>
      <w:r>
        <w:rPr/>
        <w:t>）刊登的：茂硕电源关于公司第一期员工持股计划的进展公告。 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国民信托</w:t>
      </w:r>
      <w:r>
        <w:rPr>
          <w:rFonts w:ascii="Times New Roman" w:hAnsi="Times New Roman" w:cs="Times New Roman" w:eastAsia="Times New Roman" w:hint="default"/>
        </w:rPr>
        <w:t>•</w:t>
      </w:r>
      <w:r>
        <w:rPr/>
        <w:t>茂硕电源</w:t>
      </w:r>
      <w:r>
        <w:rPr>
          <w:rFonts w:ascii="Times New Roman" w:hAnsi="Times New Roman" w:cs="Times New Roman" w:eastAsia="Times New Roman" w:hint="default"/>
        </w:rPr>
        <w:t>1</w:t>
      </w:r>
      <w:r>
        <w:rPr/>
        <w:t>号集合资金信托计划</w:t>
      </w:r>
      <w:r>
        <w:rPr>
          <w:rFonts w:ascii="Times New Roman" w:hAnsi="Times New Roman" w:cs="Times New Roman" w:eastAsia="Times New Roman" w:hint="default"/>
        </w:rPr>
        <w:t>”</w:t>
      </w:r>
      <w:r>
        <w:rPr/>
        <w:t>已购买茂硕电源股票</w:t>
      </w:r>
      <w:r>
        <w:rPr>
          <w:rFonts w:ascii="Times New Roman" w:hAnsi="Times New Roman" w:cs="Times New Roman" w:eastAsia="Times New Roman" w:hint="default"/>
        </w:rPr>
        <w:t>2,430,103.00</w:t>
      </w:r>
      <w:r>
        <w:rPr/>
        <w:t>股，占公司总股本</w:t>
      </w:r>
    </w:p>
    <w:p>
      <w:pPr>
        <w:pStyle w:val="BodyText"/>
        <w:spacing w:line="300" w:lineRule="auto" w:before="13"/>
        <w:ind w:right="0"/>
        <w:jc w:val="left"/>
        <w:rPr>
          <w:rFonts w:ascii="Times New Roman" w:hAnsi="Times New Roman" w:cs="Times New Roman" w:eastAsia="Times New Roman" w:hint="default"/>
        </w:rPr>
      </w:pPr>
      <w:r>
        <w:rPr/>
        <w:t>的</w:t>
      </w:r>
      <w:r>
        <w:rPr>
          <w:spacing w:val="6"/>
        </w:rPr>
        <w:t> </w:t>
      </w:r>
      <w:r>
        <w:rPr>
          <w:rFonts w:ascii="Times New Roman" w:hAnsi="Times New Roman" w:cs="Times New Roman" w:eastAsia="Times New Roman" w:hint="default"/>
        </w:rPr>
        <w:t>0.877%</w:t>
      </w:r>
      <w:r>
        <w:rPr/>
        <w:t>，成交均价约为人民币</w:t>
      </w:r>
      <w:r>
        <w:rPr>
          <w:spacing w:val="8"/>
        </w:rPr>
        <w:t> </w:t>
      </w:r>
      <w:r>
        <w:rPr>
          <w:rFonts w:ascii="Times New Roman" w:hAnsi="Times New Roman" w:cs="Times New Roman" w:eastAsia="Times New Roman" w:hint="default"/>
        </w:rPr>
        <w:t>15.404</w:t>
      </w:r>
      <w:r>
        <w:rPr/>
        <w:t>元</w:t>
      </w:r>
      <w:r>
        <w:rPr>
          <w:rFonts w:ascii="Times New Roman" w:hAnsi="Times New Roman" w:cs="Times New Roman" w:eastAsia="Times New Roman" w:hint="default"/>
        </w:rPr>
        <w:t>/</w:t>
      </w:r>
      <w:r>
        <w:rPr/>
        <w:t>股，成交金额为人民币</w:t>
      </w:r>
      <w:r>
        <w:rPr>
          <w:rFonts w:ascii="Times New Roman" w:hAnsi="Times New Roman" w:cs="Times New Roman" w:eastAsia="Times New Roman" w:hint="default"/>
        </w:rPr>
        <w:t>37,433,306.612</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日，公司第一期员</w:t>
      </w:r>
      <w:r>
        <w:rPr>
          <w:spacing w:val="-85"/>
        </w:rPr>
        <w:t> </w:t>
      </w:r>
      <w:r>
        <w:rPr>
          <w:spacing w:val="-85"/>
        </w:rPr>
      </w:r>
      <w:r>
        <w:rPr/>
        <w:t>工持股计划已完成股票购买，购买的股票将按照规定予以锁定，该计划所购买的股票锁定期为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17"/>
        <w:jc w:val="left"/>
      </w:pPr>
      <w:r>
        <w:rPr/>
        <w:t>日。详情请参阅</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日在巨潮资讯网（</w:t>
      </w:r>
      <w:hyperlink r:id="rId11">
        <w:r>
          <w:rPr>
            <w:rFonts w:ascii="Times New Roman" w:hAnsi="Times New Roman" w:cs="Times New Roman" w:eastAsia="Times New Roman" w:hint="default"/>
          </w:rPr>
          <w:t>http://www.cninfo.com.cn</w:t>
        </w:r>
      </w:hyperlink>
      <w:r>
        <w:rPr/>
        <w:t>）刊登的：茂硕电源关于公司员工持股计划完成股</w:t>
      </w:r>
      <w:r>
        <w:rPr>
          <w:w w:val="99"/>
        </w:rPr>
        <w:t> </w:t>
      </w:r>
      <w:r>
        <w:rPr/>
        <w:t>票购买的公告。</w:t>
      </w:r>
    </w:p>
    <w:p>
      <w:pPr>
        <w:pStyle w:val="BodyText"/>
        <w:spacing w:line="300" w:lineRule="auto" w:before="31"/>
        <w:ind w:right="113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w:t>
      </w:r>
      <w:r>
        <w:rPr/>
        <w:t>公司根据相关规则公告了员工持股计划届满前</w:t>
      </w:r>
      <w:r>
        <w:rPr>
          <w:rFonts w:ascii="Times New Roman" w:hAnsi="Times New Roman" w:cs="Times New Roman" w:eastAsia="Times New Roman" w:hint="default"/>
        </w:rPr>
        <w:t>6</w:t>
      </w:r>
      <w:r>
        <w:rPr/>
        <w:t>个月的相关情况</w:t>
      </w:r>
      <w:r>
        <w:rPr>
          <w:rFonts w:ascii="Times New Roman" w:hAnsi="Times New Roman" w:cs="Times New Roman" w:eastAsia="Times New Roman" w:hint="default"/>
        </w:rPr>
        <w:t>,</w:t>
      </w:r>
      <w:r>
        <w:rPr/>
        <w:t>详情请参阅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日在巨潮资讯 网（</w:t>
      </w:r>
      <w:hyperlink r:id="rId11">
        <w:r>
          <w:rPr>
            <w:rFonts w:ascii="Times New Roman" w:hAnsi="Times New Roman" w:cs="Times New Roman" w:eastAsia="Times New Roman" w:hint="default"/>
          </w:rPr>
          <w:t>http://www.cninfo.com.cn</w:t>
        </w:r>
      </w:hyperlink>
      <w:r>
        <w:rPr/>
        <w:t>）刊登的：关于公司第一期员工持股计划届满的提示性公告。</w:t>
      </w:r>
    </w:p>
    <w:p>
      <w:pPr>
        <w:pStyle w:val="BodyText"/>
        <w:spacing w:line="240" w:lineRule="auto" w:before="13"/>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w:t>
      </w:r>
      <w:r>
        <w:rPr/>
        <w:t>公司第一期员工持股计划所持有的本公司股票</w:t>
      </w:r>
      <w:r>
        <w:rPr>
          <w:rFonts w:ascii="Times New Roman" w:hAnsi="Times New Roman" w:cs="Times New Roman" w:eastAsia="Times New Roman" w:hint="default"/>
        </w:rPr>
        <w:t>2,430,103.00</w:t>
      </w:r>
      <w:r>
        <w:rPr/>
        <w:t>股已全部出售完毕。详情请参阅</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p>
    <w:p>
      <w:pPr>
        <w:pStyle w:val="BodyText"/>
        <w:spacing w:line="240" w:lineRule="auto" w:before="63"/>
        <w:ind w:right="1130"/>
        <w:jc w:val="left"/>
      </w:pPr>
      <w:r>
        <w:rPr/>
        <w:t>日在巨潮资讯网（</w:t>
      </w:r>
      <w:hyperlink r:id="rId11">
        <w:r>
          <w:rPr>
            <w:rFonts w:ascii="Times New Roman" w:hAnsi="Times New Roman" w:cs="Times New Roman" w:eastAsia="Times New Roman" w:hint="default"/>
          </w:rPr>
          <w:t>http://www.cninfo.com.cn</w:t>
        </w:r>
      </w:hyperlink>
      <w:r>
        <w:rPr/>
        <w:t>）刊登的：关于公司第一期员工持股计划出售完毕暨终止的公告。</w:t>
      </w:r>
    </w:p>
    <w:p>
      <w:pPr>
        <w:spacing w:line="240" w:lineRule="auto" w:before="1"/>
        <w:rPr>
          <w:rFonts w:ascii="宋体" w:hAnsi="宋体" w:cs="宋体" w:eastAsia="宋体" w:hint="default"/>
          <w:sz w:val="24"/>
          <w:szCs w:val="24"/>
        </w:rPr>
      </w:pPr>
    </w:p>
    <w:p>
      <w:pPr>
        <w:pStyle w:val="Heading2"/>
        <w:spacing w:line="240" w:lineRule="auto"/>
        <w:ind w:right="113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113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113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113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113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3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113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39"/>
        <w:ind w:right="1132"/>
        <w:jc w:val="left"/>
      </w:pPr>
      <w:r>
        <w:rPr>
          <w:rFonts w:ascii="Times New Roman" w:hAnsi="Times New Roman" w:cs="Times New Roman" w:eastAsia="Times New Roman" w:hint="default"/>
          <w:spacing w:val="-1"/>
        </w:rPr>
        <w:t>1)</w:t>
      </w:r>
      <w:r>
        <w:rPr>
          <w:spacing w:val="-1"/>
        </w:rPr>
        <w:t>茂硕电源与深圳市桑泰实业发展有限公司签订房屋租赁合同，租赁房屋地址为深圳市南山区西丽桑泰工业园厂房、</w:t>
      </w:r>
      <w:r>
        <w:rPr>
          <w:rFonts w:ascii="Times New Roman" w:hAnsi="Times New Roman" w:cs="Times New Roman" w:eastAsia="Times New Roman" w:hint="default"/>
          <w:spacing w:val="-1"/>
        </w:rPr>
        <w:t>1#2#3#</w:t>
      </w:r>
      <w:r>
        <w:rPr>
          <w:rFonts w:ascii="Times New Roman" w:hAnsi="Times New Roman" w:cs="Times New Roman" w:eastAsia="Times New Roman" w:hint="default"/>
          <w:spacing w:val="-41"/>
        </w:rPr>
        <w:t> </w:t>
      </w:r>
      <w:r>
        <w:rPr/>
        <w:t>宿舍楼，租期从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日始至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w:t>
      </w:r>
      <w:r>
        <w:rPr>
          <w:w w:val="99"/>
        </w:rPr>
        <w:t> </w:t>
      </w:r>
      <w:r>
        <w:rPr>
          <w:rFonts w:ascii="Times New Roman" w:hAnsi="Times New Roman" w:cs="Times New Roman" w:eastAsia="Times New Roman" w:hint="default"/>
          <w:spacing w:val="-1"/>
        </w:rPr>
        <w:t>2)</w:t>
      </w:r>
      <w:r>
        <w:rPr>
          <w:spacing w:val="-1"/>
        </w:rPr>
        <w:t>茂硕电子与深圳市桑泰实业发展有限公司签订房屋租赁合同，租赁房屋地址为深圳市南山区西丽街道阳光社区松白路桑泰</w:t>
      </w:r>
      <w:r>
        <w:rPr>
          <w:spacing w:val="-88"/>
        </w:rPr>
        <w:t> </w:t>
      </w:r>
      <w:r>
        <w:rPr>
          <w:spacing w:val="-88"/>
        </w:rPr>
      </w:r>
      <w:r>
        <w:rPr/>
        <w:t>工业园</w:t>
      </w:r>
      <w:r>
        <w:rPr>
          <w:rFonts w:ascii="Times New Roman" w:hAnsi="Times New Roman" w:cs="Times New Roman" w:eastAsia="Times New Roman" w:hint="default"/>
        </w:rPr>
        <w:t>1</w:t>
      </w:r>
      <w:r>
        <w:rPr/>
        <w:t>栋宿舍楼一层</w:t>
      </w:r>
      <w:r>
        <w:rPr>
          <w:rFonts w:ascii="Times New Roman" w:hAnsi="Times New Roman" w:cs="Times New Roman" w:eastAsia="Times New Roman" w:hint="default"/>
        </w:rPr>
        <w:t>1-3</w:t>
      </w:r>
      <w:r>
        <w:rPr/>
        <w:t>号铺、</w:t>
      </w:r>
      <w:r>
        <w:rPr>
          <w:rFonts w:ascii="Times New Roman" w:hAnsi="Times New Roman" w:cs="Times New Roman" w:eastAsia="Times New Roman" w:hint="default"/>
        </w:rPr>
        <w:t>5-13</w:t>
      </w:r>
      <w:r>
        <w:rPr/>
        <w:t>号铺，</w:t>
      </w:r>
      <w:r>
        <w:rPr>
          <w:rFonts w:ascii="Times New Roman" w:hAnsi="Times New Roman" w:cs="Times New Roman" w:eastAsia="Times New Roman" w:hint="default"/>
        </w:rPr>
        <w:t>2</w:t>
      </w:r>
      <w:r>
        <w:rPr/>
        <w:t>栋宿舍楼一层</w:t>
      </w:r>
      <w:r>
        <w:rPr>
          <w:rFonts w:ascii="Times New Roman" w:hAnsi="Times New Roman" w:cs="Times New Roman" w:eastAsia="Times New Roman" w:hint="default"/>
        </w:rPr>
        <w:t>1</w:t>
      </w:r>
      <w:r>
        <w:rPr/>
        <w:t>号铺，租期从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日始至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w:t>
      </w:r>
    </w:p>
    <w:p>
      <w:pPr>
        <w:pStyle w:val="BodyText"/>
        <w:spacing w:line="240" w:lineRule="auto" w:before="53"/>
        <w:ind w:right="113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19"/>
        <w:gridCol w:w="926"/>
        <w:gridCol w:w="1302"/>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5,500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2018/6/1-202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r>
      <w:tr>
        <w:trPr>
          <w:trHeight w:val="719"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92" w:right="95"/>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1"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6"/>
        <w:gridCol w:w="1313"/>
        <w:gridCol w:w="1044"/>
        <w:gridCol w:w="1048"/>
        <w:gridCol w:w="1051"/>
        <w:gridCol w:w="786"/>
        <w:gridCol w:w="79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17.11%</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113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113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公司报告期不存在其他重大合同。</w:t>
      </w:r>
    </w:p>
    <w:p>
      <w:pPr>
        <w:spacing w:line="240" w:lineRule="auto" w:before="13"/>
        <w:rPr>
          <w:rFonts w:ascii="宋体" w:hAnsi="宋体" w:cs="宋体" w:eastAsia="宋体" w:hint="default"/>
          <w:sz w:val="24"/>
          <w:szCs w:val="24"/>
        </w:rPr>
      </w:pPr>
    </w:p>
    <w:p>
      <w:pPr>
        <w:pStyle w:val="Heading2"/>
        <w:spacing w:line="240" w:lineRule="auto"/>
        <w:ind w:right="113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left"/>
      </w:pPr>
      <w:r>
        <w:rPr>
          <w:spacing w:val="-2"/>
        </w:rPr>
        <w:t>茂硕电源是国家级高新技术企业，是国家鼓励发展的节能减碳新能源企业，公司注重环境保护、节能减排和可持续性发</w:t>
      </w:r>
      <w:r>
        <w:rPr/>
        <w:t> 展等问题，注重社会公共关系和社会公益事业，积极履行社会责任，实现利益相关方共赢和效益共享。</w:t>
      </w:r>
    </w:p>
    <w:p>
      <w:pPr>
        <w:pStyle w:val="BodyText"/>
        <w:spacing w:line="316" w:lineRule="auto" w:before="19"/>
        <w:ind w:right="1132" w:firstLine="360"/>
        <w:jc w:val="both"/>
      </w:pPr>
      <w:r>
        <w:rPr>
          <w:spacing w:val="-2"/>
        </w:rPr>
        <w:t>股东权益保护方面：公司严格按照《深圳证券交易所股票上市规则》、《公司章程》、《信息披露管理制度》等有关法</w:t>
      </w:r>
      <w:r>
        <w:rPr/>
        <w:t> </w:t>
      </w:r>
      <w:r>
        <w:rPr>
          <w:spacing w:val="-2"/>
        </w:rPr>
        <w:t>律法规以及公司内控制度，建立完善的治理结构，通过健全内部管理和控制制度体系，规范股东大会、董事会、监事会三会</w:t>
      </w:r>
      <w:r>
        <w:rPr>
          <w:spacing w:val="-66"/>
        </w:rPr>
        <w:t> </w:t>
      </w:r>
      <w:r>
        <w:rPr>
          <w:spacing w:val="-66"/>
        </w:rPr>
      </w:r>
      <w:r>
        <w:rPr>
          <w:spacing w:val="-2"/>
        </w:rPr>
        <w:t>运作，公司认真履行信息披露义务，保证信息披露真实、准确、及时和完整，并通过业绩说明会、投资者关系互动平台、专</w:t>
      </w:r>
      <w:r>
        <w:rPr>
          <w:spacing w:val="-71"/>
        </w:rPr>
        <w:t> </w:t>
      </w:r>
      <w:r>
        <w:rPr>
          <w:spacing w:val="-71"/>
        </w:rPr>
      </w:r>
      <w:r>
        <w:rPr/>
        <w:t>线电话等保持与股东联系，维护股东合法权益。</w:t>
      </w:r>
    </w:p>
    <w:p>
      <w:pPr>
        <w:pStyle w:val="BodyText"/>
        <w:spacing w:line="316" w:lineRule="auto" w:before="19"/>
        <w:ind w:right="0" w:firstLine="360"/>
        <w:jc w:val="left"/>
      </w:pPr>
      <w:r>
        <w:rPr>
          <w:spacing w:val="-2"/>
        </w:rPr>
        <w:t>职工权益保护方面：公司严格遵守《劳动法》、《劳动合同法》、《妇女权益保护法》等相关法律法规，尊重和维护员</w:t>
      </w:r>
      <w:r>
        <w:rPr/>
        <w:t> </w:t>
      </w:r>
      <w:r>
        <w:rPr>
          <w:spacing w:val="-2"/>
        </w:rPr>
        <w:t>工的合法权益，定期开展员工体检、组织参加工会活动、发放员工生日礼物等，关注员工身心健康；同时，公司注重员工队</w:t>
      </w:r>
      <w:r>
        <w:rPr>
          <w:spacing w:val="-68"/>
        </w:rPr>
        <w:t> </w:t>
      </w:r>
      <w:r>
        <w:rPr>
          <w:spacing w:val="-68"/>
        </w:rPr>
      </w:r>
      <w:r>
        <w:rPr>
          <w:spacing w:val="-4"/>
        </w:rPr>
        <w:t>伍建设，建立有效的人才选拔、培养和激励机制，帮助员工有更好的职业生涯发展，提升个人竞争力，让员工过上美好生活，</w:t>
      </w:r>
      <w:r>
        <w:rPr>
          <w:spacing w:val="-44"/>
        </w:rPr>
        <w:t> </w:t>
      </w:r>
      <w:r>
        <w:rPr>
          <w:spacing w:val="-44"/>
        </w:rPr>
      </w:r>
      <w:r>
        <w:rPr/>
        <w:t>营造员工与企业间和谐、共赢、长久发展的氛围。</w:t>
      </w:r>
    </w:p>
    <w:p>
      <w:pPr>
        <w:pStyle w:val="BodyText"/>
        <w:spacing w:line="307" w:lineRule="auto" w:before="19"/>
        <w:ind w:right="1129" w:firstLine="360"/>
        <w:jc w:val="both"/>
      </w:pPr>
      <w:r>
        <w:rPr>
          <w:spacing w:val="-2"/>
        </w:rPr>
        <w:t>消费者与供应商权益保护：公司秉承</w:t>
      </w:r>
      <w:r>
        <w:rPr>
          <w:rFonts w:ascii="Times New Roman" w:hAnsi="Times New Roman" w:cs="Times New Roman" w:eastAsia="Times New Roman" w:hint="default"/>
          <w:spacing w:val="-2"/>
        </w:rPr>
        <w:t>“</w:t>
      </w:r>
      <w:r>
        <w:rPr>
          <w:spacing w:val="-2"/>
        </w:rPr>
        <w:t>诚信、合作、共赢</w:t>
      </w:r>
      <w:r>
        <w:rPr>
          <w:rFonts w:ascii="Times New Roman" w:hAnsi="Times New Roman" w:cs="Times New Roman" w:eastAsia="Times New Roman" w:hint="default"/>
          <w:spacing w:val="-2"/>
        </w:rPr>
        <w:t>”</w:t>
      </w:r>
      <w:r>
        <w:rPr>
          <w:spacing w:val="-2"/>
        </w:rPr>
        <w:t>的商业理念，积极建立与供应商和客户长期、稳定的友好合作</w:t>
      </w:r>
      <w:r>
        <w:rPr/>
        <w:t> </w:t>
      </w:r>
      <w:r>
        <w:rPr>
          <w:spacing w:val="-2"/>
        </w:rPr>
        <w:t>关系，实现各方互利共赢和利益共享。同时，公司始终坚持</w:t>
      </w:r>
      <w:r>
        <w:rPr>
          <w:rFonts w:ascii="Times New Roman" w:hAnsi="Times New Roman" w:cs="Times New Roman" w:eastAsia="Times New Roman" w:hint="default"/>
          <w:spacing w:val="-2"/>
        </w:rPr>
        <w:t>“</w:t>
      </w:r>
      <w:r>
        <w:rPr>
          <w:spacing w:val="-2"/>
        </w:rPr>
        <w:t>卓越设计、稳定可靠；持续改进，客户满意</w:t>
      </w:r>
      <w:r>
        <w:rPr>
          <w:rFonts w:ascii="Times New Roman" w:hAnsi="Times New Roman" w:cs="Times New Roman" w:eastAsia="Times New Roman" w:hint="default"/>
          <w:spacing w:val="-2"/>
        </w:rPr>
        <w:t>”</w:t>
      </w:r>
      <w:r>
        <w:rPr>
          <w:spacing w:val="-2"/>
        </w:rPr>
        <w:t>的质量方针，对产</w:t>
      </w:r>
      <w:r>
        <w:rPr>
          <w:spacing w:val="-46"/>
        </w:rPr>
        <w:t> </w:t>
      </w:r>
      <w:r>
        <w:rPr>
          <w:spacing w:val="-46"/>
        </w:rPr>
      </w:r>
      <w:r>
        <w:rPr>
          <w:spacing w:val="-2"/>
        </w:rPr>
        <w:t>品的质量方面严加把关，成立了专门的品质中心负责实施质量管理体系工作，按照国际质量体系标准，实行涵盖整个公司业</w:t>
      </w:r>
      <w:r>
        <w:rPr>
          <w:spacing w:val="-66"/>
        </w:rPr>
        <w:t> </w:t>
      </w:r>
      <w:r>
        <w:rPr>
          <w:spacing w:val="-66"/>
        </w:rPr>
      </w:r>
      <w:r>
        <w:rPr/>
        <w:t>务的质量管理控制，稳定生产出高质量、可信赖的产品，保护消费者的合法权益。</w:t>
      </w:r>
    </w:p>
    <w:p>
      <w:pPr>
        <w:pStyle w:val="BodyText"/>
        <w:spacing w:line="309" w:lineRule="auto" w:before="26"/>
        <w:ind w:right="1032" w:firstLine="360"/>
        <w:jc w:val="left"/>
      </w:pPr>
      <w:r>
        <w:rPr>
          <w:spacing w:val="-2"/>
        </w:rPr>
        <w:t>公司是全球先进的电源解决方案供应商和国内电源行业的标志性企业，始终坚持</w:t>
      </w:r>
      <w:r>
        <w:rPr>
          <w:rFonts w:ascii="Times New Roman" w:hAnsi="Times New Roman" w:cs="Times New Roman" w:eastAsia="Times New Roman" w:hint="default"/>
          <w:spacing w:val="-2"/>
        </w:rPr>
        <w:t>“</w:t>
      </w:r>
      <w:r>
        <w:rPr>
          <w:spacing w:val="-2"/>
        </w:rPr>
        <w:t>绿色创新，高效节能</w:t>
      </w:r>
      <w:r>
        <w:rPr>
          <w:rFonts w:ascii="Times New Roman" w:hAnsi="Times New Roman" w:cs="Times New Roman" w:eastAsia="Times New Roman" w:hint="default"/>
          <w:spacing w:val="-2"/>
        </w:rPr>
        <w:t>”</w:t>
      </w:r>
      <w:r>
        <w:rPr>
          <w:spacing w:val="-2"/>
        </w:rPr>
        <w:t>的环保理念，自</w:t>
      </w:r>
      <w:r>
        <w:rPr/>
        <w:t> 觉积极履行社会责任，致力于为全球节能减碳贡献力量，同时，加强对环境保护的宣传工作，提高了全体员工的环保意识， 促进企业的长期可持续发展。</w:t>
      </w:r>
    </w:p>
    <w:p>
      <w:pPr>
        <w:spacing w:line="240" w:lineRule="auto" w:before="12"/>
        <w:rPr>
          <w:rFonts w:ascii="宋体" w:hAnsi="宋体" w:cs="宋体" w:eastAsia="宋体" w:hint="default"/>
          <w:sz w:val="22"/>
          <w:szCs w:val="22"/>
        </w:rPr>
      </w:pPr>
    </w:p>
    <w:p>
      <w:pPr>
        <w:pStyle w:val="Heading3"/>
        <w:spacing w:line="240" w:lineRule="auto"/>
        <w:ind w:right="113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t>公司报告年度暂未开展精准扶贫工作，也暂无后续精准扶贫计划</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300" w:lineRule="auto" w:before="25"/>
        <w:ind w:left="514" w:right="0"/>
        <w:jc w:val="left"/>
      </w:pPr>
      <w:r>
        <w:rPr/>
        <w:t>经核查</w:t>
      </w:r>
      <w:r>
        <w:rPr>
          <w:rFonts w:ascii="Times New Roman" w:hAnsi="Times New Roman" w:cs="Times New Roman" w:eastAsia="Times New Roman" w:hint="default"/>
        </w:rPr>
        <w:t>,</w:t>
      </w:r>
      <w:r>
        <w:rPr/>
        <w:t>公司及子公司不属于环境保护部门公布的重点排污单位。 </w:t>
      </w:r>
      <w:r>
        <w:rPr>
          <w:spacing w:val="-2"/>
        </w:rPr>
        <w:t>公司及子公司在日常生产经营中认真执行《中华人民共和国环境保护法》、《中华人民共和国水污染防治法》、《中华</w:t>
      </w:r>
    </w:p>
    <w:p>
      <w:pPr>
        <w:pStyle w:val="BodyText"/>
        <w:spacing w:line="316" w:lineRule="auto" w:before="31"/>
        <w:ind w:right="1130"/>
        <w:jc w:val="left"/>
      </w:pPr>
      <w:r>
        <w:rPr>
          <w:spacing w:val="-2"/>
        </w:rPr>
        <w:t>人民共和国大气污染防治法》、《中华人民共和国固体废物污染防治法》等环保方面的法律法规，报告期内未出现因违法违</w:t>
      </w:r>
      <w:r>
        <w:rPr>
          <w:spacing w:val="-66"/>
        </w:rPr>
        <w:t> </w:t>
      </w:r>
      <w:r>
        <w:rPr>
          <w:spacing w:val="-66"/>
        </w:rPr>
      </w:r>
      <w:r>
        <w:rPr/>
        <w:t>规而受到处罚的情况。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13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日，第四届董事会</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1</w:t>
      </w:r>
      <w:r>
        <w:rPr/>
        <w:t>次定期会议审议通过了《关于定向回购方笑求、蓝顺明</w:t>
      </w:r>
      <w:r>
        <w:rPr>
          <w:rFonts w:ascii="Times New Roman" w:hAnsi="Times New Roman" w:cs="Times New Roman" w:eastAsia="Times New Roman" w:hint="default"/>
        </w:rPr>
        <w:t>2017</w:t>
      </w:r>
      <w:r>
        <w:rPr/>
        <w:t>年度应补偿股 </w:t>
      </w:r>
      <w:r>
        <w:rPr>
          <w:spacing w:val="-6"/>
        </w:rPr>
        <w:t>份的议案》等回购注销相关议案，同意公司回购注销</w:t>
      </w:r>
      <w:r>
        <w:rPr>
          <w:rFonts w:ascii="Times New Roman" w:hAnsi="Times New Roman" w:cs="Times New Roman" w:eastAsia="Times New Roman" w:hint="default"/>
          <w:spacing w:val="-6"/>
        </w:rPr>
        <w:t>45.2751</w:t>
      </w:r>
      <w:r>
        <w:rPr>
          <w:spacing w:val="-6"/>
        </w:rPr>
        <w:t>万股，</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10</w:t>
      </w:r>
      <w:r>
        <w:rPr>
          <w:spacing w:val="-6"/>
        </w:rPr>
        <w:t>日，回购注销完成后，公司总股本由</w:t>
      </w:r>
      <w:r>
        <w:rPr>
          <w:rFonts w:ascii="Times New Roman" w:hAnsi="Times New Roman" w:cs="Times New Roman" w:eastAsia="Times New Roman" w:hint="default"/>
          <w:spacing w:val="-6"/>
        </w:rPr>
        <w:t>27,478.0458</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万股变更为</w:t>
      </w:r>
      <w:r>
        <w:rPr>
          <w:rFonts w:ascii="Times New Roman" w:hAnsi="Times New Roman" w:cs="Times New Roman" w:eastAsia="Times New Roman" w:hint="default"/>
          <w:spacing w:val="-2"/>
        </w:rPr>
        <w:t>27,432.7707</w:t>
      </w:r>
      <w:r>
        <w:rPr>
          <w:spacing w:val="-2"/>
        </w:rPr>
        <w:t>万股；本事项已经</w:t>
      </w:r>
      <w:r>
        <w:rPr>
          <w:rFonts w:ascii="Times New Roman" w:hAnsi="Times New Roman" w:cs="Times New Roman" w:eastAsia="Times New Roman" w:hint="default"/>
          <w:spacing w:val="-2"/>
        </w:rPr>
        <w:t>2017</w:t>
      </w:r>
      <w:r>
        <w:rPr>
          <w:spacing w:val="-2"/>
        </w:rPr>
        <w:t>年年度股东大会审议通过。公司已完成了工商变更程序，具体详情请见刊登于</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22" w:hanging="36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日巨潮资讯网（</w:t>
      </w:r>
      <w:r>
        <w:rPr>
          <w:rFonts w:ascii="Times New Roman" w:hAnsi="Times New Roman" w:cs="Times New Roman" w:eastAsia="Times New Roman" w:hint="default"/>
        </w:rPr>
        <w:t>http://www.cninfo.com.cn)</w:t>
      </w:r>
      <w:r>
        <w:rPr/>
        <w:t>《关于完成工商变更登记的公告》。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月，根据财政部颁布的最新规定及公司实际情况，公司会计政策</w:t>
      </w:r>
      <w:r>
        <w:rPr>
          <w:rFonts w:ascii="Times New Roman" w:hAnsi="Times New Roman" w:cs="Times New Roman" w:eastAsia="Times New Roman" w:hint="default"/>
        </w:rPr>
        <w:t>,</w:t>
      </w:r>
      <w:r>
        <w:rPr/>
        <w:t>应收款项坏账准备计提相关会计估计变更</w:t>
      </w:r>
      <w:r>
        <w:rPr>
          <w:rFonts w:ascii="Times New Roman" w:hAnsi="Times New Roman" w:cs="Times New Roman" w:eastAsia="Times New Roman" w:hint="default"/>
        </w:rPr>
        <w:t>,</w:t>
      </w:r>
    </w:p>
    <w:p>
      <w:pPr>
        <w:pStyle w:val="BodyText"/>
        <w:spacing w:line="300" w:lineRule="auto" w:before="13"/>
        <w:ind w:right="1130"/>
        <w:jc w:val="left"/>
      </w:pPr>
      <w:r>
        <w:rPr/>
        <w:t>具体详情请见刊登于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日巨潮资讯网（</w:t>
      </w:r>
      <w:r>
        <w:rPr>
          <w:rFonts w:ascii="Times New Roman" w:hAnsi="Times New Roman" w:cs="Times New Roman" w:eastAsia="Times New Roman" w:hint="default"/>
        </w:rPr>
        <w:t>http://www.cninfo.com.cn)</w:t>
      </w:r>
      <w:r>
        <w:rPr/>
        <w:t>《关于公司会计政策变更、应收款项坏账准备计</w:t>
      </w:r>
      <w:r>
        <w:rPr>
          <w:spacing w:val="-63"/>
        </w:rPr>
        <w:t> </w:t>
      </w:r>
      <w:r>
        <w:rPr>
          <w:spacing w:val="-63"/>
        </w:rPr>
      </w:r>
      <w:r>
        <w:rPr/>
        <w:t>提相关会计估计变更的公告》。</w:t>
      </w:r>
    </w:p>
    <w:p>
      <w:pPr>
        <w:pStyle w:val="BodyText"/>
        <w:spacing w:line="300" w:lineRule="auto" w:before="32"/>
        <w:ind w:right="1132"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月，公司与幸晓强、深圳前海新秀美电子商务有限公司（以下简称</w:t>
      </w:r>
      <w:r>
        <w:rPr>
          <w:rFonts w:ascii="Times New Roman" w:hAnsi="Times New Roman" w:cs="Times New Roman" w:eastAsia="Times New Roman" w:hint="default"/>
        </w:rPr>
        <w:t>“</w:t>
      </w:r>
      <w:r>
        <w:rPr/>
        <w:t>新秀美</w:t>
      </w:r>
      <w:r>
        <w:rPr>
          <w:rFonts w:ascii="Times New Roman" w:hAnsi="Times New Roman" w:cs="Times New Roman" w:eastAsia="Times New Roman" w:hint="default"/>
        </w:rPr>
        <w:t>”)</w:t>
      </w:r>
      <w:r>
        <w:rPr/>
        <w:t>及其股东签订了《投资协议》</w:t>
      </w:r>
      <w:r>
        <w:rPr>
          <w:rFonts w:ascii="Times New Roman" w:hAnsi="Times New Roman" w:cs="Times New Roman" w:eastAsia="Times New Roman" w:hint="default"/>
        </w:rPr>
        <w:t>, </w:t>
      </w:r>
      <w:r>
        <w:rPr/>
        <w:t>公司拟对新秀美提供总额不超过</w:t>
      </w:r>
      <w:r>
        <w:rPr>
          <w:rFonts w:ascii="Times New Roman" w:hAnsi="Times New Roman" w:cs="Times New Roman" w:eastAsia="Times New Roman" w:hint="default"/>
        </w:rPr>
        <w:t>3,000</w:t>
      </w:r>
      <w:r>
        <w:rPr/>
        <w:t>万元的借款，后续将视情况决定是否将借款形成的债权转为公司股权的方式投资于新</w:t>
      </w:r>
      <w:r>
        <w:rPr>
          <w:spacing w:val="-46"/>
        </w:rPr>
        <w:t> </w:t>
      </w:r>
      <w:r>
        <w:rPr>
          <w:spacing w:val="-46"/>
        </w:rPr>
      </w:r>
      <w:r>
        <w:rPr/>
        <w:t>秀美公司。具体详情请见刊登于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日巨潮资讯网（</w:t>
      </w:r>
      <w:hyperlink r:id="rId11">
        <w:r>
          <w:rPr>
            <w:rFonts w:ascii="Times New Roman" w:hAnsi="Times New Roman" w:cs="Times New Roman" w:eastAsia="Times New Roman" w:hint="default"/>
          </w:rPr>
          <w:t>http://www.cninfo.com.cn</w:t>
        </w:r>
      </w:hyperlink>
      <w:r>
        <w:rPr/>
        <w:t>）上的《关于对外投资的公告》。</w:t>
      </w:r>
    </w:p>
    <w:p>
      <w:pPr>
        <w:pStyle w:val="BodyText"/>
        <w:spacing w:line="300" w:lineRule="auto" w:before="1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w:t>
      </w:r>
      <w:r>
        <w:rPr>
          <w:spacing w:val="-2"/>
        </w:rPr>
        <w:t>公司与幸晓强、新秀美公司其它股东签订了《补充协议》</w:t>
      </w:r>
      <w:r>
        <w:rPr>
          <w:rFonts w:ascii="Times New Roman" w:hAnsi="Times New Roman" w:cs="Times New Roman" w:eastAsia="Times New Roman" w:hint="default"/>
          <w:spacing w:val="-2"/>
        </w:rPr>
        <w:t>,</w:t>
      </w:r>
      <w:r>
        <w:rPr>
          <w:spacing w:val="-2"/>
        </w:rPr>
        <w:t>各方均同意变更《投资协议》中约定</w:t>
      </w:r>
      <w:r>
        <w:rPr>
          <w:rFonts w:ascii="Times New Roman" w:hAnsi="Times New Roman" w:cs="Times New Roman" w:eastAsia="Times New Roman" w:hint="default"/>
          <w:spacing w:val="-2"/>
        </w:rPr>
        <w:t>“</w:t>
      </w:r>
      <w:r>
        <w:rPr>
          <w:spacing w:val="-2"/>
        </w:rPr>
        <w:t>以债权转股</w:t>
      </w:r>
      <w:r>
        <w:rPr/>
        <w:t> </w:t>
      </w:r>
      <w:r>
        <w:rPr>
          <w:spacing w:val="-1"/>
        </w:rPr>
        <w:t>权方式投资</w:t>
      </w:r>
      <w:r>
        <w:rPr>
          <w:rFonts w:ascii="Times New Roman" w:hAnsi="Times New Roman" w:cs="Times New Roman" w:eastAsia="Times New Roman" w:hint="default"/>
          <w:spacing w:val="-1"/>
        </w:rPr>
        <w:t>”</w:t>
      </w:r>
      <w:r>
        <w:rPr>
          <w:spacing w:val="-1"/>
        </w:rPr>
        <w:t>的合作方式，新秀美公司于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日前向公司偿还已借出的借款</w:t>
      </w:r>
      <w:r>
        <w:rPr>
          <w:rFonts w:ascii="Times New Roman" w:hAnsi="Times New Roman" w:cs="Times New Roman" w:eastAsia="Times New Roman" w:hint="default"/>
          <w:spacing w:val="-1"/>
        </w:rPr>
        <w:t>1,000</w:t>
      </w:r>
      <w:r>
        <w:rPr>
          <w:spacing w:val="-1"/>
        </w:rPr>
        <w:t>万元人民币及相应利息。具体详情</w:t>
      </w:r>
      <w:r>
        <w:rPr>
          <w:spacing w:val="-60"/>
        </w:rPr>
        <w:t> </w:t>
      </w:r>
      <w:r>
        <w:rPr>
          <w:spacing w:val="-60"/>
        </w:rPr>
      </w:r>
      <w:r>
        <w:rPr/>
        <w:t>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日巨潮资讯网（</w:t>
      </w:r>
      <w:hyperlink r:id="rId11">
        <w:r>
          <w:rPr>
            <w:rFonts w:ascii="Times New Roman" w:hAnsi="Times New Roman" w:cs="Times New Roman" w:eastAsia="Times New Roman" w:hint="default"/>
          </w:rPr>
          <w:t>http://www.cninfo.com.cn</w:t>
        </w:r>
      </w:hyperlink>
      <w:r>
        <w:rPr/>
        <w:t>）上的《关于对外投资的进展性公告》。</w:t>
      </w:r>
    </w:p>
    <w:p>
      <w:pPr>
        <w:pStyle w:val="BodyText"/>
        <w:spacing w:line="240" w:lineRule="auto" w:before="13"/>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w:t>
      </w:r>
      <w:r>
        <w:rPr>
          <w:spacing w:val="-54"/>
        </w:rPr>
        <w:t>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公</w:t>
      </w:r>
      <w:r>
        <w:rPr>
          <w:spacing w:val="-55"/>
        </w:rPr>
        <w:t> </w:t>
      </w:r>
      <w:r>
        <w:rPr/>
        <w:t>司</w:t>
      </w:r>
      <w:r>
        <w:rPr>
          <w:spacing w:val="-53"/>
        </w:rPr>
        <w:t> </w:t>
      </w:r>
      <w:r>
        <w:rPr/>
        <w:t>已</w:t>
      </w:r>
      <w:r>
        <w:rPr>
          <w:spacing w:val="-53"/>
        </w:rPr>
        <w:t> </w:t>
      </w:r>
      <w:r>
        <w:rPr/>
        <w:t>收</w:t>
      </w:r>
      <w:r>
        <w:rPr>
          <w:spacing w:val="-55"/>
        </w:rPr>
        <w:t> </w:t>
      </w:r>
      <w:r>
        <w:rPr/>
        <w:t>到</w:t>
      </w:r>
      <w:r>
        <w:rPr>
          <w:spacing w:val="-55"/>
        </w:rPr>
        <w:t> </w:t>
      </w:r>
      <w:r>
        <w:rPr/>
        <w:t>全</w:t>
      </w:r>
      <w:r>
        <w:rPr>
          <w:spacing w:val="-55"/>
        </w:rPr>
        <w:t> </w:t>
      </w:r>
      <w:r>
        <w:rPr/>
        <w:t>部</w:t>
      </w:r>
      <w:r>
        <w:rPr>
          <w:spacing w:val="-53"/>
        </w:rPr>
        <w:t> </w:t>
      </w:r>
      <w:r>
        <w:rPr/>
        <w:t>借</w:t>
      </w:r>
      <w:r>
        <w:rPr>
          <w:spacing w:val="-53"/>
        </w:rPr>
        <w:t> </w:t>
      </w:r>
      <w:r>
        <w:rPr/>
        <w:t>款</w:t>
      </w:r>
      <w:r>
        <w:rPr>
          <w:spacing w:val="-55"/>
        </w:rPr>
        <w:t> </w:t>
      </w:r>
      <w:r>
        <w:rPr/>
        <w:t>本</w:t>
      </w:r>
      <w:r>
        <w:rPr>
          <w:spacing w:val="-55"/>
        </w:rPr>
        <w:t> </w:t>
      </w:r>
      <w:r>
        <w:rPr/>
        <w:t>金</w:t>
      </w:r>
      <w:r>
        <w:rPr>
          <w:spacing w:val="-55"/>
        </w:rPr>
        <w:t> </w:t>
      </w:r>
      <w:r>
        <w:rPr/>
        <w:t>及</w:t>
      </w:r>
      <w:r>
        <w:rPr>
          <w:spacing w:val="-53"/>
        </w:rPr>
        <w:t> </w:t>
      </w:r>
      <w:r>
        <w:rPr/>
        <w:t>利</w:t>
      </w:r>
      <w:r>
        <w:rPr>
          <w:spacing w:val="-53"/>
        </w:rPr>
        <w:t> </w:t>
      </w:r>
      <w:r>
        <w:rPr/>
        <w:t>息</w:t>
      </w:r>
      <w:r>
        <w:rPr>
          <w:spacing w:val="-55"/>
        </w:rPr>
        <w:t> </w:t>
      </w:r>
      <w:r>
        <w:rPr/>
        <w:t>。</w:t>
      </w:r>
      <w:r>
        <w:rPr>
          <w:spacing w:val="-55"/>
        </w:rPr>
        <w:t> </w:t>
      </w:r>
      <w:r>
        <w:rPr/>
        <w:t>具</w:t>
      </w:r>
      <w:r>
        <w:rPr>
          <w:spacing w:val="-55"/>
        </w:rPr>
        <w:t> </w:t>
      </w:r>
      <w:r>
        <w:rPr/>
        <w:t>体</w:t>
      </w:r>
      <w:r>
        <w:rPr>
          <w:spacing w:val="-53"/>
        </w:rPr>
        <w:t> </w:t>
      </w:r>
      <w:r>
        <w:rPr/>
        <w:t>详</w:t>
      </w:r>
      <w:r>
        <w:rPr>
          <w:spacing w:val="-53"/>
        </w:rPr>
        <w:t> </w:t>
      </w:r>
      <w:r>
        <w:rPr/>
        <w:t>情</w:t>
      </w:r>
      <w:r>
        <w:rPr>
          <w:spacing w:val="-55"/>
        </w:rPr>
        <w:t> </w:t>
      </w:r>
      <w:r>
        <w:rPr/>
        <w:t>请</w:t>
      </w:r>
      <w:r>
        <w:rPr>
          <w:spacing w:val="-55"/>
        </w:rPr>
        <w:t> </w:t>
      </w:r>
      <w:r>
        <w:rPr/>
        <w:t>见</w:t>
      </w:r>
      <w:r>
        <w:rPr>
          <w:spacing w:val="-55"/>
        </w:rPr>
        <w:t> </w:t>
      </w:r>
      <w:r>
        <w:rPr/>
        <w:t>刊</w:t>
      </w:r>
      <w:r>
        <w:rPr>
          <w:spacing w:val="-53"/>
        </w:rPr>
        <w:t> </w:t>
      </w:r>
      <w:r>
        <w:rPr/>
        <w:t>登</w:t>
      </w:r>
      <w:r>
        <w:rPr>
          <w:spacing w:val="-53"/>
        </w:rPr>
        <w:t> </w:t>
      </w:r>
      <w:r>
        <w:rPr/>
        <w:t>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w:t>
      </w:r>
      <w:r>
        <w:rPr>
          <w:spacing w:val="-55"/>
        </w:rPr>
        <w:t> </w:t>
      </w:r>
      <w:r>
        <w:rPr/>
        <w:t>巨</w:t>
      </w:r>
      <w:r>
        <w:rPr>
          <w:spacing w:val="-53"/>
        </w:rPr>
        <w:t> </w:t>
      </w:r>
      <w:r>
        <w:rPr/>
        <w:t>潮</w:t>
      </w:r>
      <w:r>
        <w:rPr>
          <w:spacing w:val="-53"/>
        </w:rPr>
        <w:t> </w:t>
      </w:r>
      <w:r>
        <w:rPr/>
        <w:t>资</w:t>
      </w:r>
      <w:r>
        <w:rPr>
          <w:spacing w:val="-55"/>
        </w:rPr>
        <w:t> </w:t>
      </w:r>
      <w:r>
        <w:rPr/>
        <w:t>讯</w:t>
      </w:r>
      <w:r>
        <w:rPr>
          <w:spacing w:val="-55"/>
        </w:rPr>
        <w:t> </w:t>
      </w:r>
      <w:r>
        <w:rPr/>
        <w:t>网</w:t>
      </w:r>
    </w:p>
    <w:p>
      <w:pPr>
        <w:pStyle w:val="BodyText"/>
        <w:spacing w:line="240" w:lineRule="auto" w:before="63"/>
        <w:ind w:right="1130"/>
        <w:jc w:val="left"/>
      </w:pPr>
      <w:r>
        <w:rPr/>
        <w:t>（</w:t>
      </w:r>
      <w:hyperlink r:id="rId11">
        <w:r>
          <w:rPr>
            <w:rFonts w:ascii="Times New Roman" w:hAnsi="Times New Roman" w:cs="Times New Roman" w:eastAsia="Times New Roman" w:hint="default"/>
          </w:rPr>
          <w:t>http://www.cninfo.com.cn</w:t>
        </w:r>
      </w:hyperlink>
      <w:r>
        <w:rPr/>
        <w:t>）上的《关于对外投资的进展性公告》。</w:t>
      </w:r>
    </w:p>
    <w:p>
      <w:pPr>
        <w:pStyle w:val="BodyText"/>
        <w:spacing w:line="300" w:lineRule="auto" w:before="63"/>
        <w:ind w:right="1129"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月，公司部分董事、高级管理人员及核心管理团队计划自公告日起的未来</w:t>
      </w:r>
      <w:r>
        <w:rPr>
          <w:rFonts w:ascii="Times New Roman" w:hAnsi="Times New Roman" w:cs="Times New Roman" w:eastAsia="Times New Roman" w:hint="default"/>
          <w:spacing w:val="-2"/>
        </w:rPr>
        <w:t>12</w:t>
      </w:r>
      <w:r>
        <w:rPr>
          <w:spacing w:val="-2"/>
        </w:rPr>
        <w:t>个月内，合计增持公司股票不低</w:t>
      </w:r>
      <w:r>
        <w:rPr/>
        <w:t> 于</w:t>
      </w:r>
      <w:r>
        <w:rPr>
          <w:rFonts w:ascii="Times New Roman" w:hAnsi="Times New Roman" w:cs="Times New Roman" w:eastAsia="Times New Roman" w:hint="default"/>
        </w:rPr>
        <w:t>1,000</w:t>
      </w:r>
      <w:r>
        <w:rPr/>
        <w:t>万元，不超过人民币</w:t>
      </w:r>
      <w:r>
        <w:rPr>
          <w:rFonts w:ascii="Times New Roman" w:hAnsi="Times New Roman" w:cs="Times New Roman" w:eastAsia="Times New Roman" w:hint="default"/>
        </w:rPr>
        <w:t>10,000</w:t>
      </w:r>
      <w:r>
        <w:rPr>
          <w:rFonts w:ascii="Times New Roman" w:hAnsi="Times New Roman" w:cs="Times New Roman" w:eastAsia="Times New Roman" w:hint="default"/>
          <w:spacing w:val="40"/>
        </w:rPr>
        <w:t> </w:t>
      </w:r>
      <w:r>
        <w:rPr/>
        <w:t>万元。具体详情请见刊登于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日巨潮资讯网（</w:t>
      </w:r>
      <w:hyperlink r:id="rId11">
        <w:r>
          <w:rPr>
            <w:rFonts w:ascii="Times New Roman" w:hAnsi="Times New Roman" w:cs="Times New Roman" w:eastAsia="Times New Roman" w:hint="default"/>
          </w:rPr>
          <w:t>http://www.cninfo.com.cn</w:t>
        </w:r>
      </w:hyperlink>
      <w:r>
        <w:rPr/>
        <w:t>）上的</w:t>
      </w:r>
    </w:p>
    <w:p>
      <w:pPr>
        <w:pStyle w:val="BodyText"/>
        <w:spacing w:line="240" w:lineRule="auto" w:before="13"/>
        <w:ind w:right="1130"/>
        <w:jc w:val="left"/>
      </w:pPr>
      <w:r>
        <w:rPr/>
        <w:t>《关于公司部分董事、高级管理人员及核心管理人员增持计划的公告》。</w:t>
      </w:r>
    </w:p>
    <w:p>
      <w:pPr>
        <w:pStyle w:val="BodyText"/>
        <w:spacing w:line="300" w:lineRule="auto" w:before="76"/>
        <w:ind w:right="1129"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月，公司与义乌市亚杰网络科技有限公司（以下简称</w:t>
      </w:r>
      <w:r>
        <w:rPr>
          <w:spacing w:val="15"/>
        </w:rPr>
        <w:t> </w:t>
      </w:r>
      <w:r>
        <w:rPr>
          <w:rFonts w:ascii="Times New Roman" w:hAnsi="Times New Roman" w:cs="Times New Roman" w:eastAsia="Times New Roman" w:hint="default"/>
        </w:rPr>
        <w:t>“</w:t>
      </w:r>
      <w:r>
        <w:rPr/>
        <w:t>亚杰网络</w:t>
      </w:r>
      <w:r>
        <w:rPr>
          <w:rFonts w:ascii="Times New Roman" w:hAnsi="Times New Roman" w:cs="Times New Roman" w:eastAsia="Times New Roman" w:hint="default"/>
        </w:rPr>
        <w:t>”</w:t>
      </w:r>
      <w:r>
        <w:rPr/>
        <w:t>）及其股东签订了《投资协议》；公司拟 以合计</w:t>
      </w:r>
      <w:r>
        <w:rPr>
          <w:rFonts w:ascii="Times New Roman" w:hAnsi="Times New Roman" w:cs="Times New Roman" w:eastAsia="Times New Roman" w:hint="default"/>
        </w:rPr>
        <w:t>2842.1052</w:t>
      </w:r>
      <w:r>
        <w:rPr/>
        <w:t>万元用增资和受让股权的形式投资亚杰网络；增资和受让股权完成后，公司将持有亚杰网络</w:t>
      </w:r>
      <w:r>
        <w:rPr>
          <w:rFonts w:ascii="Times New Roman" w:hAnsi="Times New Roman" w:cs="Times New Roman" w:eastAsia="Times New Roman" w:hint="default"/>
        </w:rPr>
        <w:t>10%</w:t>
      </w:r>
      <w:r>
        <w:rPr/>
        <w:t>股权。具</w:t>
      </w:r>
      <w:r>
        <w:rPr>
          <w:spacing w:val="-14"/>
        </w:rPr>
        <w:t> </w:t>
      </w:r>
      <w:r>
        <w:rPr/>
        <w:t>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日巨潮资讯网（</w:t>
      </w:r>
      <w:hyperlink r:id="rId11">
        <w:r>
          <w:rPr>
            <w:rFonts w:ascii="Times New Roman" w:hAnsi="Times New Roman" w:cs="Times New Roman" w:eastAsia="Times New Roman" w:hint="default"/>
          </w:rPr>
          <w:t>http://www.cninfo.com.cn</w:t>
        </w:r>
      </w:hyperlink>
      <w:r>
        <w:rPr/>
        <w:t>）上的《关于对外投资的公告》。</w:t>
      </w:r>
    </w:p>
    <w:p>
      <w:pPr>
        <w:pStyle w:val="BodyText"/>
        <w:spacing w:line="300" w:lineRule="auto" w:before="13"/>
        <w:ind w:right="1130"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月，重大资产重组限售股解禁的总数为</w:t>
      </w:r>
      <w:r>
        <w:rPr>
          <w:rFonts w:ascii="Times New Roman" w:hAnsi="Times New Roman" w:cs="Times New Roman" w:eastAsia="Times New Roman" w:hint="default"/>
        </w:rPr>
        <w:t>20,746,122</w:t>
      </w:r>
      <w:r>
        <w:rPr/>
        <w:t>股，占回购注销完成后上市公司股份总数的</w:t>
      </w:r>
      <w:r>
        <w:rPr>
          <w:rFonts w:ascii="Times New Roman" w:hAnsi="Times New Roman" w:cs="Times New Roman" w:eastAsia="Times New Roman" w:hint="default"/>
        </w:rPr>
        <w:t>7.56%</w:t>
      </w:r>
      <w:r>
        <w:rPr/>
        <w:t>。具体</w:t>
      </w:r>
      <w:r>
        <w:rPr>
          <w:spacing w:val="1"/>
        </w:rPr>
        <w:t> </w:t>
      </w:r>
      <w:r>
        <w:rPr/>
        <w:t>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日巨潮资讯网（</w:t>
      </w:r>
      <w:r>
        <w:rPr>
          <w:rFonts w:ascii="Times New Roman" w:hAnsi="Times New Roman" w:cs="Times New Roman" w:eastAsia="Times New Roman" w:hint="default"/>
        </w:rPr>
        <w:t>http://www.cninfo.com.cn)</w:t>
      </w:r>
      <w:r>
        <w:rPr/>
        <w:t>《关于重大资产重组限售股份解禁并上市流通提示性</w:t>
      </w:r>
      <w:r>
        <w:rPr>
          <w:spacing w:val="-65"/>
        </w:rPr>
        <w:t> </w:t>
      </w:r>
      <w:r>
        <w:rPr>
          <w:spacing w:val="-65"/>
        </w:rPr>
      </w:r>
      <w:r>
        <w:rPr/>
        <w:t>公告》。</w:t>
      </w:r>
    </w:p>
    <w:p>
      <w:pPr>
        <w:pStyle w:val="BodyText"/>
        <w:spacing w:line="300" w:lineRule="auto" w:before="31"/>
        <w:ind w:right="1129" w:firstLine="360"/>
        <w:jc w:val="both"/>
      </w:pPr>
      <w:r>
        <w:rPr>
          <w:rFonts w:ascii="Times New Roman" w:hAnsi="Times New Roman" w:cs="Times New Roman" w:eastAsia="Times New Roman" w:hint="default"/>
        </w:rPr>
        <w:t>7</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日收到公司</w:t>
      </w:r>
      <w:r>
        <w:rPr>
          <w:rFonts w:ascii="Times New Roman" w:hAnsi="Times New Roman" w:cs="Times New Roman" w:eastAsia="Times New Roman" w:hint="default"/>
        </w:rPr>
        <w:t>5%</w:t>
      </w:r>
      <w:r>
        <w:rPr/>
        <w:t>以上股东方笑求先生、蓝顺明女士关于计划减持公司股份的意向函，方笑求先生 及蓝顺明女士计划在减持公告发布之日起</w:t>
      </w:r>
      <w:r>
        <w:rPr>
          <w:rFonts w:ascii="Times New Roman" w:hAnsi="Times New Roman" w:cs="Times New Roman" w:eastAsia="Times New Roman" w:hint="default"/>
        </w:rPr>
        <w:t>15</w:t>
      </w:r>
      <w:r>
        <w:rPr/>
        <w:t>个交易日后的</w:t>
      </w:r>
      <w:r>
        <w:rPr>
          <w:rFonts w:ascii="Times New Roman" w:hAnsi="Times New Roman" w:cs="Times New Roman" w:eastAsia="Times New Roman" w:hint="default"/>
        </w:rPr>
        <w:t>6</w:t>
      </w:r>
      <w:r>
        <w:rPr/>
        <w:t>个月内以集中竞价等方式合计减持本公司股份不超过</w:t>
      </w:r>
      <w:r>
        <w:rPr>
          <w:rFonts w:ascii="Times New Roman" w:hAnsi="Times New Roman" w:cs="Times New Roman" w:eastAsia="Times New Roman" w:hint="default"/>
        </w:rPr>
        <w:t>1,997,400</w:t>
      </w:r>
      <w:r>
        <w:rPr/>
        <w:t>股</w:t>
      </w:r>
    </w:p>
    <w:p>
      <w:pPr>
        <w:pStyle w:val="BodyText"/>
        <w:spacing w:line="300" w:lineRule="auto" w:before="13"/>
        <w:ind w:right="0"/>
        <w:jc w:val="left"/>
      </w:pPr>
      <w:r>
        <w:rPr>
          <w:spacing w:val="-1"/>
        </w:rPr>
        <w:t>（占本公司总股本比例</w:t>
      </w:r>
      <w:r>
        <w:rPr>
          <w:rFonts w:ascii="Times New Roman" w:hAnsi="Times New Roman" w:cs="Times New Roman" w:eastAsia="Times New Roman" w:hint="default"/>
          <w:spacing w:val="-1"/>
        </w:rPr>
        <w:t>0.73%</w:t>
      </w:r>
      <w:r>
        <w:rPr>
          <w:spacing w:val="-1"/>
        </w:rPr>
        <w:t>）。具体详情请见刊登于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日巨潮资讯网（</w:t>
      </w:r>
      <w:r>
        <w:rPr>
          <w:rFonts w:ascii="Times New Roman" w:hAnsi="Times New Roman" w:cs="Times New Roman" w:eastAsia="Times New Roman" w:hint="default"/>
          <w:spacing w:val="-1"/>
        </w:rPr>
        <w:t>http://www.cninfo.com.cn)</w:t>
      </w:r>
      <w:r>
        <w:rPr>
          <w:spacing w:val="-1"/>
        </w:rPr>
        <w:t>《关于持股</w:t>
      </w:r>
      <w:r>
        <w:rPr>
          <w:rFonts w:ascii="Times New Roman" w:hAnsi="Times New Roman" w:cs="Times New Roman" w:eastAsia="Times New Roman" w:hint="default"/>
          <w:spacing w:val="-1"/>
        </w:rPr>
        <w:t>5%</w:t>
      </w:r>
      <w:r>
        <w:rPr>
          <w:spacing w:val="-1"/>
        </w:rPr>
        <w:t>以</w:t>
      </w:r>
      <w:r>
        <w:rPr>
          <w:spacing w:val="-63"/>
        </w:rPr>
        <w:t> </w:t>
      </w:r>
      <w:r>
        <w:rPr/>
        <w:t>上股东减持股份的预披露公告》。</w:t>
      </w:r>
    </w:p>
    <w:p>
      <w:pPr>
        <w:pStyle w:val="BodyText"/>
        <w:spacing w:line="300" w:lineRule="auto" w:before="72"/>
        <w:ind w:right="112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日，方笑求及蓝顺明减持计划实施完成</w:t>
      </w:r>
      <w:r>
        <w:rPr>
          <w:rFonts w:ascii="Times New Roman" w:hAnsi="Times New Roman" w:cs="Times New Roman" w:eastAsia="Times New Roman" w:hint="default"/>
        </w:rPr>
        <w:t>,</w:t>
      </w:r>
      <w:r>
        <w:rPr/>
        <w:t>减持完成后方笑求及蓝顺明合计持有上市公司股份</w:t>
      </w:r>
      <w:r>
        <w:rPr>
          <w:rFonts w:ascii="Times New Roman" w:hAnsi="Times New Roman" w:cs="Times New Roman" w:eastAsia="Times New Roman" w:hint="default"/>
        </w:rPr>
        <w:t>13,716,307</w:t>
      </w:r>
      <w:r>
        <w:rPr/>
        <w:t>股， 占</w:t>
      </w:r>
      <w:r>
        <w:rPr>
          <w:spacing w:val="-68"/>
        </w:rPr>
        <w:t> </w:t>
      </w:r>
      <w:r>
        <w:rPr/>
        <w:t>公</w:t>
      </w:r>
      <w:r>
        <w:rPr>
          <w:spacing w:val="-68"/>
        </w:rPr>
        <w:t> </w:t>
      </w:r>
      <w:r>
        <w:rPr/>
        <w:t>司</w:t>
      </w:r>
      <w:r>
        <w:rPr>
          <w:spacing w:val="-68"/>
        </w:rPr>
        <w:t> </w:t>
      </w:r>
      <w:r>
        <w:rPr/>
        <w:t>目</w:t>
      </w:r>
      <w:r>
        <w:rPr>
          <w:spacing w:val="-69"/>
        </w:rPr>
        <w:t> </w:t>
      </w:r>
      <w:r>
        <w:rPr/>
        <w:t>前</w:t>
      </w:r>
      <w:r>
        <w:rPr>
          <w:spacing w:val="-68"/>
        </w:rPr>
        <w:t> </w:t>
      </w:r>
      <w:r>
        <w:rPr/>
        <w:t>总</w:t>
      </w:r>
      <w:r>
        <w:rPr>
          <w:spacing w:val="-69"/>
        </w:rPr>
        <w:t> </w:t>
      </w:r>
      <w:r>
        <w:rPr/>
        <w:t>股</w:t>
      </w:r>
      <w:r>
        <w:rPr>
          <w:spacing w:val="-68"/>
        </w:rPr>
        <w:t> </w:t>
      </w:r>
      <w:r>
        <w:rPr/>
        <w:t>本</w:t>
      </w:r>
      <w:r>
        <w:rPr>
          <w:spacing w:val="-66"/>
        </w:rPr>
        <w:t> </w:t>
      </w:r>
      <w:r>
        <w:rPr>
          <w:rFonts w:ascii="Times New Roman" w:hAnsi="Times New Roman" w:cs="Times New Roman" w:eastAsia="Times New Roman" w:hint="default"/>
        </w:rPr>
        <w:t>4.99997%</w:t>
      </w:r>
      <w:r>
        <w:rPr>
          <w:rFonts w:ascii="Times New Roman" w:hAnsi="Times New Roman" w:cs="Times New Roman" w:eastAsia="Times New Roman" w:hint="default"/>
          <w:spacing w:val="-23"/>
        </w:rPr>
        <w:t> </w:t>
      </w:r>
      <w:r>
        <w:rPr/>
        <w:t>，</w:t>
      </w:r>
      <w:r>
        <w:rPr>
          <w:spacing w:val="-68"/>
        </w:rPr>
        <w:t> </w:t>
      </w:r>
      <w:r>
        <w:rPr/>
        <w:t>不</w:t>
      </w:r>
      <w:r>
        <w:rPr>
          <w:spacing w:val="-68"/>
        </w:rPr>
        <w:t> </w:t>
      </w:r>
      <w:r>
        <w:rPr/>
        <w:t>再</w:t>
      </w:r>
      <w:r>
        <w:rPr>
          <w:spacing w:val="-68"/>
        </w:rPr>
        <w:t> </w:t>
      </w:r>
      <w:r>
        <w:rPr/>
        <w:t>是</w:t>
      </w:r>
      <w:r>
        <w:rPr>
          <w:spacing w:val="-69"/>
        </w:rPr>
        <w:t> </w:t>
      </w:r>
      <w:r>
        <w:rPr/>
        <w:t>公</w:t>
      </w:r>
      <w:r>
        <w:rPr>
          <w:spacing w:val="-68"/>
        </w:rPr>
        <w:t> </w:t>
      </w:r>
      <w:r>
        <w:rPr/>
        <w:t>司</w:t>
      </w:r>
      <w:r>
        <w:rPr>
          <w:spacing w:val="-69"/>
        </w:rPr>
        <w:t> </w:t>
      </w:r>
      <w:r>
        <w:rPr/>
        <w:t>持</w:t>
      </w:r>
      <w:r>
        <w:rPr>
          <w:spacing w:val="-68"/>
        </w:rPr>
        <w:t> </w:t>
      </w:r>
      <w:r>
        <w:rPr/>
        <w:t>股</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以</w:t>
      </w:r>
      <w:r>
        <w:rPr>
          <w:spacing w:val="-68"/>
        </w:rPr>
        <w:t> </w:t>
      </w:r>
      <w:r>
        <w:rPr/>
        <w:t>上</w:t>
      </w:r>
      <w:r>
        <w:rPr>
          <w:spacing w:val="-69"/>
        </w:rPr>
        <w:t> </w:t>
      </w:r>
      <w:r>
        <w:rPr/>
        <w:t>的</w:t>
      </w:r>
      <w:r>
        <w:rPr>
          <w:spacing w:val="-68"/>
        </w:rPr>
        <w:t> </w:t>
      </w:r>
      <w:r>
        <w:rPr/>
        <w:t>股</w:t>
      </w:r>
      <w:r>
        <w:rPr>
          <w:spacing w:val="-68"/>
        </w:rPr>
        <w:t> </w:t>
      </w:r>
      <w:r>
        <w:rPr/>
        <w:t>东</w:t>
      </w:r>
      <w:r>
        <w:rPr>
          <w:spacing w:val="-68"/>
        </w:rPr>
        <w:t> </w:t>
      </w:r>
      <w:r>
        <w:rPr/>
        <w:t>。</w:t>
      </w:r>
      <w:r>
        <w:rPr>
          <w:spacing w:val="-69"/>
        </w:rPr>
        <w:t> </w:t>
      </w:r>
      <w:r>
        <w:rPr/>
        <w:t>具</w:t>
      </w:r>
      <w:r>
        <w:rPr>
          <w:spacing w:val="-68"/>
        </w:rPr>
        <w:t> </w:t>
      </w:r>
      <w:r>
        <w:rPr/>
        <w:t>体</w:t>
      </w:r>
      <w:r>
        <w:rPr>
          <w:spacing w:val="-69"/>
        </w:rPr>
        <w:t> </w:t>
      </w:r>
      <w:r>
        <w:rPr/>
        <w:t>详</w:t>
      </w:r>
      <w:r>
        <w:rPr>
          <w:spacing w:val="-68"/>
        </w:rPr>
        <w:t> </w:t>
      </w:r>
      <w:r>
        <w:rPr/>
        <w:t>情</w:t>
      </w:r>
      <w:r>
        <w:rPr>
          <w:spacing w:val="-68"/>
        </w:rPr>
        <w:t> </w:t>
      </w:r>
      <w:r>
        <w:rPr/>
        <w:t>请</w:t>
      </w:r>
      <w:r>
        <w:rPr>
          <w:spacing w:val="-68"/>
        </w:rPr>
        <w:t> </w:t>
      </w:r>
      <w:r>
        <w:rPr/>
        <w:t>见</w:t>
      </w:r>
      <w:r>
        <w:rPr>
          <w:spacing w:val="-69"/>
        </w:rPr>
        <w:t> </w:t>
      </w:r>
      <w:r>
        <w:rPr/>
        <w:t>刊</w:t>
      </w:r>
      <w:r>
        <w:rPr>
          <w:spacing w:val="-68"/>
        </w:rPr>
        <w:t> </w:t>
      </w:r>
      <w:r>
        <w:rPr/>
        <w:t>登</w:t>
      </w:r>
      <w:r>
        <w:rPr>
          <w:spacing w:val="-69"/>
        </w:rPr>
        <w:t> </w:t>
      </w:r>
      <w:r>
        <w:rPr/>
        <w:t>于</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w:t>
      </w:r>
      <w:r>
        <w:rPr>
          <w:spacing w:val="-68"/>
        </w:rPr>
        <w:t> </w:t>
      </w:r>
      <w:r>
        <w:rPr/>
        <w:t>巨</w:t>
      </w:r>
      <w:r>
        <w:rPr>
          <w:spacing w:val="-68"/>
        </w:rPr>
        <w:t> </w:t>
      </w:r>
      <w:r>
        <w:rPr/>
        <w:t>潮</w:t>
      </w:r>
      <w:r>
        <w:rPr>
          <w:spacing w:val="-69"/>
        </w:rPr>
        <w:t> </w:t>
      </w:r>
      <w:r>
        <w:rPr/>
        <w:t>资</w:t>
      </w:r>
      <w:r>
        <w:rPr>
          <w:spacing w:val="-68"/>
        </w:rPr>
        <w:t> </w:t>
      </w:r>
      <w:r>
        <w:rPr/>
        <w:t>讯</w:t>
      </w:r>
      <w:r>
        <w:rPr>
          <w:spacing w:val="-69"/>
        </w:rPr>
        <w:t> </w:t>
      </w:r>
      <w:r>
        <w:rPr/>
        <w:t>网</w:t>
      </w:r>
    </w:p>
    <w:p>
      <w:pPr>
        <w:pStyle w:val="BodyText"/>
        <w:spacing w:line="240" w:lineRule="auto" w:before="14"/>
        <w:ind w:right="1130"/>
        <w:jc w:val="left"/>
      </w:pPr>
      <w:r>
        <w:rPr/>
        <w:t>（</w:t>
      </w:r>
      <w:r>
        <w:rPr>
          <w:rFonts w:ascii="Times New Roman" w:hAnsi="Times New Roman" w:cs="Times New Roman" w:eastAsia="Times New Roman" w:hint="default"/>
        </w:rPr>
        <w:t>http://www.cninfo.com.cn)</w:t>
      </w:r>
      <w:r>
        <w:rPr/>
        <w:t>《关于</w:t>
      </w:r>
      <w:r>
        <w:rPr>
          <w:rFonts w:ascii="Times New Roman" w:hAnsi="Times New Roman" w:cs="Times New Roman" w:eastAsia="Times New Roman" w:hint="default"/>
        </w:rPr>
        <w:t>5%</w:t>
      </w:r>
      <w:r>
        <w:rPr/>
        <w:t>以上股东完成减持计划的公告》。</w:t>
      </w:r>
    </w:p>
    <w:p>
      <w:pPr>
        <w:pStyle w:val="BodyText"/>
        <w:spacing w:line="240" w:lineRule="auto" w:before="102"/>
        <w:ind w:left="514"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w:t>
      </w:r>
      <w:r>
        <w:rPr>
          <w:spacing w:val="-56"/>
        </w:rPr>
        <w:t> </w:t>
      </w:r>
      <w:r>
        <w:rPr/>
        <w:t>公</w:t>
      </w:r>
      <w:r>
        <w:rPr>
          <w:spacing w:val="-56"/>
        </w:rPr>
        <w:t> </w:t>
      </w:r>
      <w:r>
        <w:rPr/>
        <w:t>司</w:t>
      </w:r>
      <w:r>
        <w:rPr>
          <w:spacing w:val="-56"/>
        </w:rPr>
        <w:t> </w:t>
      </w:r>
      <w:r>
        <w:rPr/>
        <w:t>根</w:t>
      </w:r>
      <w:r>
        <w:rPr>
          <w:spacing w:val="-57"/>
        </w:rPr>
        <w:t> </w:t>
      </w:r>
      <w:r>
        <w:rPr/>
        <w:t>据</w:t>
      </w:r>
      <w:r>
        <w:rPr>
          <w:spacing w:val="-57"/>
        </w:rPr>
        <w:t> </w:t>
      </w:r>
      <w:r>
        <w:rPr/>
        <w:t>财</w:t>
      </w:r>
      <w:r>
        <w:rPr>
          <w:spacing w:val="-56"/>
        </w:rPr>
        <w:t> </w:t>
      </w:r>
      <w:r>
        <w:rPr/>
        <w:t>政</w:t>
      </w:r>
      <w:r>
        <w:rPr>
          <w:spacing w:val="-56"/>
        </w:rPr>
        <w:t> </w:t>
      </w:r>
      <w:r>
        <w:rPr/>
        <w:t>部</w:t>
      </w:r>
      <w:r>
        <w:rPr>
          <w:spacing w:val="-56"/>
        </w:rPr>
        <w:t> </w:t>
      </w:r>
      <w:r>
        <w:rPr/>
        <w:t>颁</w:t>
      </w:r>
      <w:r>
        <w:rPr>
          <w:spacing w:val="-56"/>
        </w:rPr>
        <w:t> </w:t>
      </w:r>
      <w:r>
        <w:rPr/>
        <w:t>布</w:t>
      </w:r>
      <w:r>
        <w:rPr>
          <w:spacing w:val="-57"/>
        </w:rPr>
        <w:t> </w:t>
      </w:r>
      <w:r>
        <w:rPr/>
        <w:t>的</w:t>
      </w:r>
      <w:r>
        <w:rPr>
          <w:spacing w:val="-56"/>
        </w:rPr>
        <w:t> </w:t>
      </w:r>
      <w:r>
        <w:rPr/>
        <w:t>最</w:t>
      </w:r>
      <w:r>
        <w:rPr>
          <w:spacing w:val="-56"/>
        </w:rPr>
        <w:t> </w:t>
      </w:r>
      <w:r>
        <w:rPr/>
        <w:t>新</w:t>
      </w:r>
      <w:r>
        <w:rPr>
          <w:spacing w:val="-56"/>
        </w:rPr>
        <w:t> </w:t>
      </w:r>
      <w:r>
        <w:rPr/>
        <w:t>规</w:t>
      </w:r>
      <w:r>
        <w:rPr>
          <w:spacing w:val="-56"/>
        </w:rPr>
        <w:t> </w:t>
      </w:r>
      <w:r>
        <w:rPr/>
        <w:t>定</w:t>
      </w:r>
      <w:r>
        <w:rPr>
          <w:spacing w:val="-57"/>
        </w:rPr>
        <w:t> </w:t>
      </w:r>
      <w:r>
        <w:rPr/>
        <w:t>变</w:t>
      </w:r>
      <w:r>
        <w:rPr>
          <w:spacing w:val="-56"/>
        </w:rPr>
        <w:t> </w:t>
      </w:r>
      <w:r>
        <w:rPr/>
        <w:t>更</w:t>
      </w:r>
      <w:r>
        <w:rPr>
          <w:spacing w:val="-56"/>
        </w:rPr>
        <w:t> </w:t>
      </w:r>
      <w:r>
        <w:rPr/>
        <w:t>会</w:t>
      </w:r>
      <w:r>
        <w:rPr>
          <w:spacing w:val="-56"/>
        </w:rPr>
        <w:t> </w:t>
      </w:r>
      <w:r>
        <w:rPr/>
        <w:t>计</w:t>
      </w:r>
      <w:r>
        <w:rPr>
          <w:spacing w:val="-56"/>
        </w:rPr>
        <w:t> </w:t>
      </w:r>
      <w:r>
        <w:rPr/>
        <w:t>政</w:t>
      </w:r>
      <w:r>
        <w:rPr>
          <w:spacing w:val="-57"/>
        </w:rPr>
        <w:t> </w:t>
      </w:r>
      <w:r>
        <w:rPr/>
        <w:t>策</w:t>
      </w:r>
      <w:r>
        <w:rPr>
          <w:spacing w:val="-56"/>
        </w:rPr>
        <w:t> </w:t>
      </w:r>
      <w:r>
        <w:rPr/>
        <w:t>，</w:t>
      </w:r>
      <w:r>
        <w:rPr>
          <w:spacing w:val="-56"/>
        </w:rPr>
        <w:t> </w:t>
      </w:r>
      <w:r>
        <w:rPr/>
        <w:t>具</w:t>
      </w:r>
      <w:r>
        <w:rPr>
          <w:spacing w:val="-56"/>
        </w:rPr>
        <w:t> </w:t>
      </w:r>
      <w:r>
        <w:rPr/>
        <w:t>体</w:t>
      </w:r>
      <w:r>
        <w:rPr>
          <w:spacing w:val="-56"/>
        </w:rPr>
        <w:t> </w:t>
      </w:r>
      <w:r>
        <w:rPr/>
        <w:t>详</w:t>
      </w:r>
      <w:r>
        <w:rPr>
          <w:spacing w:val="-57"/>
        </w:rPr>
        <w:t> </w:t>
      </w:r>
      <w:r>
        <w:rPr/>
        <w:t>情</w:t>
      </w:r>
      <w:r>
        <w:rPr>
          <w:spacing w:val="-56"/>
        </w:rPr>
        <w:t> </w:t>
      </w:r>
      <w:r>
        <w:rPr/>
        <w:t>请</w:t>
      </w:r>
      <w:r>
        <w:rPr>
          <w:spacing w:val="-56"/>
        </w:rPr>
        <w:t> </w:t>
      </w:r>
      <w:r>
        <w:rPr/>
        <w:t>见</w:t>
      </w:r>
      <w:r>
        <w:rPr>
          <w:spacing w:val="-56"/>
        </w:rPr>
        <w:t> </w:t>
      </w:r>
      <w:r>
        <w:rPr/>
        <w:t>刊</w:t>
      </w:r>
      <w:r>
        <w:rPr>
          <w:spacing w:val="-56"/>
        </w:rPr>
        <w:t> </w:t>
      </w:r>
      <w:r>
        <w:rPr/>
        <w:t>登</w:t>
      </w:r>
      <w:r>
        <w:rPr>
          <w:spacing w:val="-57"/>
        </w:rPr>
        <w:t> </w:t>
      </w:r>
      <w:r>
        <w:rPr/>
        <w:t>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w:t>
      </w:r>
      <w:r>
        <w:rPr>
          <w:spacing w:val="-56"/>
        </w:rPr>
        <w:t> </w:t>
      </w:r>
      <w:r>
        <w:rPr/>
        <w:t>巨</w:t>
      </w:r>
      <w:r>
        <w:rPr>
          <w:spacing w:val="-56"/>
        </w:rPr>
        <w:t> </w:t>
      </w:r>
      <w:r>
        <w:rPr/>
        <w:t>潮</w:t>
      </w:r>
      <w:r>
        <w:rPr>
          <w:spacing w:val="-57"/>
        </w:rPr>
        <w:t> </w:t>
      </w:r>
      <w:r>
        <w:rPr/>
        <w:t>资</w:t>
      </w:r>
      <w:r>
        <w:rPr>
          <w:spacing w:val="-56"/>
        </w:rPr>
        <w:t> </w:t>
      </w:r>
      <w:r>
        <w:rPr/>
        <w:t>讯</w:t>
      </w:r>
      <w:r>
        <w:rPr>
          <w:spacing w:val="-56"/>
        </w:rPr>
        <w:t> </w:t>
      </w:r>
      <w:r>
        <w:rPr/>
        <w:t>网</w:t>
      </w:r>
    </w:p>
    <w:p>
      <w:pPr>
        <w:pStyle w:val="BodyText"/>
        <w:spacing w:line="240" w:lineRule="auto" w:before="63"/>
        <w:ind w:right="1130"/>
        <w:jc w:val="left"/>
      </w:pPr>
      <w:r>
        <w:rPr/>
        <w:t>（</w:t>
      </w:r>
      <w:r>
        <w:rPr>
          <w:rFonts w:ascii="Times New Roman" w:hAnsi="Times New Roman" w:cs="Times New Roman" w:eastAsia="Times New Roman" w:hint="default"/>
        </w:rPr>
        <w:t>http://www.cninfo.com.cn)</w:t>
      </w:r>
      <w:r>
        <w:rPr/>
        <w:t>《关于会计政策变更的公告》。</w:t>
      </w:r>
    </w:p>
    <w:p>
      <w:pPr>
        <w:pStyle w:val="BodyText"/>
        <w:spacing w:line="300" w:lineRule="auto" w:before="63"/>
        <w:ind w:right="1131" w:firstLine="360"/>
        <w:jc w:val="both"/>
      </w:pPr>
      <w:r>
        <w:rPr>
          <w:rFonts w:ascii="Times New Roman" w:hAnsi="Times New Roman" w:cs="Times New Roman" w:eastAsia="Times New Roman" w:hint="default"/>
        </w:rPr>
        <w:t>9</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日，公司第一期员工持股计划所持有的本公司股票</w:t>
      </w:r>
      <w:r>
        <w:rPr>
          <w:rFonts w:ascii="Times New Roman" w:hAnsi="Times New Roman" w:cs="Times New Roman" w:eastAsia="Times New Roman" w:hint="default"/>
        </w:rPr>
        <w:t>2,430,103.00</w:t>
      </w:r>
      <w:r>
        <w:rPr/>
        <w:t>股已全部出售完毕。具体详情请见 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日巨潮资讯网（</w:t>
      </w:r>
      <w:r>
        <w:rPr>
          <w:rFonts w:ascii="Times New Roman" w:hAnsi="Times New Roman" w:cs="Times New Roman" w:eastAsia="Times New Roman" w:hint="default"/>
        </w:rPr>
        <w:t>http://www.cninfo.com.cn)</w:t>
      </w:r>
      <w:r>
        <w:rPr/>
        <w:t>《关于公司第一期员工持股计划出售完毕暨终止的公告》。</w:t>
      </w:r>
    </w:p>
    <w:p>
      <w:pPr>
        <w:pStyle w:val="BodyText"/>
        <w:spacing w:line="300" w:lineRule="auto" w:before="13"/>
        <w:ind w:right="1022" w:firstLine="360"/>
        <w:jc w:val="left"/>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月，公司与杜欣签署了《出资转让协议》，公司拟将其持有的长兴九派兴硕股权投资基金合伙企业（有限</w:t>
      </w:r>
      <w:r>
        <w:rPr/>
        <w:t> 合伙）（以下简称</w:t>
      </w:r>
      <w:r>
        <w:rPr>
          <w:rFonts w:ascii="Times New Roman" w:hAnsi="Times New Roman" w:cs="Times New Roman" w:eastAsia="Times New Roman" w:hint="default"/>
        </w:rPr>
        <w:t>“</w:t>
      </w:r>
      <w:r>
        <w:rPr/>
        <w:t>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25%</w:t>
      </w:r>
      <w:r>
        <w:rPr/>
        <w:t>份额转让给杜欣</w:t>
      </w:r>
      <w:r>
        <w:rPr>
          <w:rFonts w:ascii="Times New Roman" w:hAnsi="Times New Roman" w:cs="Times New Roman" w:eastAsia="Times New Roman" w:hint="default"/>
        </w:rPr>
        <w:t>,</w:t>
      </w:r>
      <w:r>
        <w:rPr/>
        <w:t>交易价格为</w:t>
      </w:r>
      <w:r>
        <w:rPr>
          <w:rFonts w:ascii="Times New Roman" w:hAnsi="Times New Roman" w:cs="Times New Roman" w:eastAsia="Times New Roman" w:hint="default"/>
        </w:rPr>
        <w:t>2000</w:t>
      </w:r>
      <w:r>
        <w:rPr/>
        <w:t>万元，本次交易完成后，公司将持有目标企业</w:t>
      </w:r>
      <w:r>
        <w:rPr>
          <w:rFonts w:ascii="Times New Roman" w:hAnsi="Times New Roman" w:cs="Times New Roman" w:eastAsia="Times New Roman" w:hint="default"/>
        </w:rPr>
        <w:t>12.50%</w:t>
      </w:r>
      <w:r>
        <w:rPr/>
        <w:t>份额。 具体详情请见刊登于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日巨潮资讯网（</w:t>
      </w:r>
      <w:r>
        <w:rPr>
          <w:rFonts w:ascii="Times New Roman" w:hAnsi="Times New Roman" w:cs="Times New Roman" w:eastAsia="Times New Roman" w:hint="default"/>
        </w:rPr>
        <w:t>http://www.cninfo.com.cn)</w:t>
      </w:r>
      <w:r>
        <w:rPr/>
        <w:t>《关于转让基金份额的公告》。截至目前公司已</w:t>
      </w:r>
      <w:r>
        <w:rPr>
          <w:w w:val="99"/>
        </w:rPr>
        <w:t> </w:t>
      </w:r>
      <w:r>
        <w:rPr/>
        <w:t>经收到全部股权转让款，基金已经完成工商变更程序。</w:t>
      </w:r>
    </w:p>
    <w:p>
      <w:pPr>
        <w:pStyle w:val="BodyText"/>
        <w:spacing w:line="240" w:lineRule="auto" w:before="31"/>
        <w:ind w:left="514" w:right="1130"/>
        <w:jc w:val="left"/>
      </w:pPr>
      <w:r>
        <w:rPr>
          <w:rFonts w:ascii="Times New Roman" w:hAnsi="Times New Roman" w:cs="Times New Roman" w:eastAsia="Times New Roman" w:hint="default"/>
        </w:rPr>
        <w:t>11</w:t>
      </w:r>
      <w:r>
        <w:rPr/>
        <w:t>、并网发电的光伏电站情况：</w:t>
      </w:r>
    </w:p>
    <w:p>
      <w:pPr>
        <w:pStyle w:val="BodyText"/>
        <w:spacing w:line="240" w:lineRule="auto" w:before="63"/>
        <w:ind w:left="514" w:right="1130"/>
        <w:jc w:val="left"/>
      </w:pPr>
      <w:r>
        <w:rPr/>
        <w:t>（</w:t>
      </w:r>
      <w:r>
        <w:rPr>
          <w:rFonts w:ascii="Times New Roman" w:hAnsi="Times New Roman" w:cs="Times New Roman" w:eastAsia="Times New Roman" w:hint="default"/>
        </w:rPr>
        <w:t>1</w:t>
      </w:r>
      <w:r>
        <w:rPr/>
        <w:t>）浙江海宁茂硕诺华能源有限公司</w:t>
      </w:r>
      <w:r>
        <w:rPr>
          <w:rFonts w:ascii="Times New Roman" w:hAnsi="Times New Roman" w:cs="Times New Roman" w:eastAsia="Times New Roman" w:hint="default"/>
        </w:rPr>
        <w:t>,</w:t>
      </w:r>
      <w:r>
        <w:rPr/>
        <w:t>我司占比</w:t>
      </w:r>
      <w:r>
        <w:rPr>
          <w:rFonts w:ascii="Times New Roman" w:hAnsi="Times New Roman" w:cs="Times New Roman" w:eastAsia="Times New Roman" w:hint="default"/>
        </w:rPr>
        <w:t>70.6%,</w:t>
      </w:r>
      <w:r>
        <w:rPr/>
        <w:t>投资建设</w:t>
      </w:r>
      <w:r>
        <w:rPr>
          <w:rFonts w:ascii="Times New Roman" w:hAnsi="Times New Roman" w:cs="Times New Roman" w:eastAsia="Times New Roman" w:hint="default"/>
        </w:rPr>
        <w:t>15MW</w:t>
      </w:r>
      <w:r>
        <w:rPr/>
        <w:t>光伏项目</w:t>
      </w:r>
      <w:r>
        <w:rPr>
          <w:rFonts w:ascii="Times New Roman" w:hAnsi="Times New Roman" w:cs="Times New Roman" w:eastAsia="Times New Roman" w:hint="default"/>
        </w:rPr>
        <w:t>,2014</w:t>
      </w:r>
      <w:r>
        <w:rPr/>
        <w:t>年底已正常并网发电。</w:t>
      </w:r>
    </w:p>
    <w:p>
      <w:pPr>
        <w:pStyle w:val="BodyText"/>
        <w:spacing w:line="300" w:lineRule="auto" w:before="63"/>
        <w:ind w:right="1132" w:firstLine="360"/>
        <w:jc w:val="both"/>
      </w:pPr>
      <w:r>
        <w:rPr/>
        <w:t>（</w:t>
      </w:r>
      <w:r>
        <w:rPr>
          <w:rFonts w:ascii="Times New Roman" w:hAnsi="Times New Roman" w:cs="Times New Roman" w:eastAsia="Times New Roman" w:hint="default"/>
        </w:rPr>
        <w:t>2</w:t>
      </w:r>
      <w:r>
        <w:rPr/>
        <w:t>）萍乡安源区光伏发电项目，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月签订</w:t>
      </w:r>
      <w:r>
        <w:rPr>
          <w:rFonts w:ascii="Times New Roman" w:hAnsi="Times New Roman" w:cs="Times New Roman" w:eastAsia="Times New Roman" w:hint="default"/>
        </w:rPr>
        <w:t>,</w:t>
      </w:r>
      <w:r>
        <w:rPr/>
        <w:t>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拟投资</w:t>
      </w:r>
      <w:r>
        <w:rPr>
          <w:rFonts w:ascii="Times New Roman" w:hAnsi="Times New Roman" w:cs="Times New Roman" w:eastAsia="Times New Roman" w:hint="default"/>
        </w:rPr>
        <w:t>5</w:t>
      </w:r>
      <w:r>
        <w:rPr/>
        <w:t>亿建设</w:t>
      </w:r>
      <w:r>
        <w:rPr>
          <w:rFonts w:ascii="Times New Roman" w:hAnsi="Times New Roman" w:cs="Times New Roman" w:eastAsia="Times New Roman" w:hint="default"/>
        </w:rPr>
        <w:t>50MW</w:t>
      </w:r>
      <w:r>
        <w:rPr/>
        <w:t>光伏并网发电项目，分两期建设</w:t>
      </w:r>
      <w:r>
        <w:rPr>
          <w:rFonts w:ascii="Times New Roman" w:hAnsi="Times New Roman" w:cs="Times New Roman" w:eastAsia="Times New Roman" w:hint="default"/>
        </w:rPr>
        <w:t>,</w:t>
      </w:r>
      <w:r>
        <w:rPr/>
        <w:t>一 期中</w:t>
      </w:r>
      <w:r>
        <w:rPr>
          <w:rFonts w:ascii="Times New Roman" w:hAnsi="Times New Roman" w:cs="Times New Roman" w:eastAsia="Times New Roman" w:hint="default"/>
        </w:rPr>
        <w:t>11.5MW</w:t>
      </w:r>
      <w:r>
        <w:rPr/>
        <w:t>光伏电站项目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月底已正常并网发电。</w:t>
      </w:r>
    </w:p>
    <w:p>
      <w:pPr>
        <w:pStyle w:val="BodyText"/>
        <w:spacing w:line="300" w:lineRule="auto" w:before="13"/>
        <w:ind w:right="1124" w:firstLine="360"/>
        <w:jc w:val="both"/>
      </w:pPr>
      <w:r>
        <w:rPr/>
        <w:t>（</w:t>
      </w:r>
      <w:r>
        <w:rPr>
          <w:rFonts w:ascii="Times New Roman" w:hAnsi="Times New Roman" w:cs="Times New Roman" w:eastAsia="Times New Roman" w:hint="default"/>
        </w:rPr>
        <w:t>3</w:t>
      </w:r>
      <w:r>
        <w:rPr/>
        <w:t>）新余渝水区光伏发电项目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月签订</w:t>
      </w:r>
      <w:r>
        <w:rPr>
          <w:rFonts w:ascii="Times New Roman" w:hAnsi="Times New Roman" w:cs="Times New Roman" w:eastAsia="Times New Roman" w:hint="default"/>
        </w:rPr>
        <w:t>,</w:t>
      </w:r>
      <w:r>
        <w:rPr/>
        <w:t>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新余茂硕拟在新余市渝水区投资</w:t>
      </w:r>
      <w:r>
        <w:rPr>
          <w:rFonts w:ascii="Times New Roman" w:hAnsi="Times New Roman" w:cs="Times New Roman" w:eastAsia="Times New Roman" w:hint="default"/>
        </w:rPr>
        <w:t>100MW</w:t>
      </w:r>
      <w:r>
        <w:rPr/>
        <w:t>光伏并网发电项目， 总投资预计</w:t>
      </w:r>
      <w:r>
        <w:rPr>
          <w:rFonts w:ascii="Times New Roman" w:hAnsi="Times New Roman" w:cs="Times New Roman" w:eastAsia="Times New Roman" w:hint="default"/>
        </w:rPr>
        <w:t>8</w:t>
      </w:r>
      <w:r>
        <w:rPr/>
        <w:t>亿元人民币。截至目前</w:t>
      </w:r>
      <w:r>
        <w:rPr>
          <w:rFonts w:ascii="Times New Roman" w:hAnsi="Times New Roman" w:cs="Times New Roman" w:eastAsia="Times New Roman" w:hint="default"/>
        </w:rPr>
        <w:t>,</w:t>
      </w:r>
      <w:r>
        <w:rPr/>
        <w:t>一期何家边</w:t>
      </w:r>
      <w:r>
        <w:rPr>
          <w:rFonts w:ascii="Times New Roman" w:hAnsi="Times New Roman" w:cs="Times New Roman" w:eastAsia="Times New Roman" w:hint="default"/>
        </w:rPr>
        <w:t>20MW</w:t>
      </w:r>
      <w:r>
        <w:rPr/>
        <w:t>光伏电站项目已并网发电</w:t>
      </w:r>
      <w:r>
        <w:rPr>
          <w:rFonts w:ascii="Times New Roman" w:hAnsi="Times New Roman" w:cs="Times New Roman" w:eastAsia="Times New Roman" w:hint="default"/>
        </w:rPr>
        <w:t>16.56MW</w:t>
      </w:r>
      <w:r>
        <w:rPr/>
        <w:t>。</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444" w:right="113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月，公司二级子公司深圳茂硕新能源与天能中投（北京）新能源科技有限公司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天能中投</w:t>
      </w:r>
      <w:r>
        <w:rPr>
          <w:rFonts w:ascii="Times New Roman" w:hAnsi="Times New Roman" w:cs="Times New Roman" w:eastAsia="Times New Roman" w:hint="default"/>
        </w:rPr>
        <w:t>”)</w:t>
      </w:r>
      <w:r>
        <w:rPr/>
        <w:t>签署了</w:t>
      </w:r>
    </w:p>
    <w:p>
      <w:pPr>
        <w:pStyle w:val="BodyText"/>
        <w:spacing w:line="300" w:lineRule="auto" w:before="63"/>
        <w:ind w:right="1130"/>
        <w:jc w:val="both"/>
      </w:pPr>
      <w:r>
        <w:rPr>
          <w:spacing w:val="2"/>
        </w:rPr>
        <w:t>《关于台州南瑞新能源有限公司之股权转让协议》，茂硕新能源拟将其持有的台州南瑞新能源有限公司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台州南</w:t>
      </w:r>
      <w:r>
        <w:rPr>
          <w:spacing w:val="-72"/>
        </w:rPr>
        <w:t> </w:t>
      </w:r>
      <w:r>
        <w:rPr>
          <w:spacing w:val="-1"/>
        </w:rPr>
        <w:t>瑞</w:t>
      </w:r>
      <w:r>
        <w:rPr>
          <w:rFonts w:ascii="Times New Roman" w:hAnsi="Times New Roman" w:cs="Times New Roman" w:eastAsia="Times New Roman" w:hint="default"/>
          <w:spacing w:val="-1"/>
        </w:rPr>
        <w:t>”)100%</w:t>
      </w:r>
      <w:r>
        <w:rPr>
          <w:spacing w:val="-1"/>
        </w:rPr>
        <w:t>股权转让给天能中投</w:t>
      </w:r>
      <w:r>
        <w:rPr>
          <w:rFonts w:ascii="Times New Roman" w:hAnsi="Times New Roman" w:cs="Times New Roman" w:eastAsia="Times New Roman" w:hint="default"/>
          <w:spacing w:val="-1"/>
        </w:rPr>
        <w:t>,</w:t>
      </w:r>
      <w:r>
        <w:rPr>
          <w:spacing w:val="-1"/>
        </w:rPr>
        <w:t>本次交易采用承债方式合计交易总价为</w:t>
      </w:r>
      <w:r>
        <w:rPr>
          <w:rFonts w:ascii="Times New Roman" w:hAnsi="Times New Roman" w:cs="Times New Roman" w:eastAsia="Times New Roman" w:hint="default"/>
          <w:spacing w:val="-1"/>
        </w:rPr>
        <w:t>27,900,000</w:t>
      </w:r>
      <w:r>
        <w:rPr>
          <w:spacing w:val="-1"/>
        </w:rPr>
        <w:t>元。本次交易完成后，茂硕新能源不再持有</w:t>
      </w:r>
      <w:r>
        <w:rPr>
          <w:w w:val="99"/>
        </w:rPr>
        <w:t> </w:t>
      </w:r>
      <w:r>
        <w:rPr/>
        <w:t>台州南瑞股权。具体详情请见刊登于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日巨潮资讯网（</w:t>
      </w:r>
      <w:r>
        <w:rPr>
          <w:rFonts w:ascii="Times New Roman" w:hAnsi="Times New Roman" w:cs="Times New Roman" w:eastAsia="Times New Roman" w:hint="default"/>
        </w:rPr>
        <w:t>http://www.cninfo.com.cn)</w:t>
      </w:r>
      <w:r>
        <w:rPr/>
        <w:t>《关于转让台州南瑞新能源有限</w:t>
      </w:r>
      <w:r>
        <w:rPr>
          <w:spacing w:val="-66"/>
        </w:rPr>
        <w:t> </w:t>
      </w:r>
      <w:r>
        <w:rPr>
          <w:spacing w:val="-66"/>
        </w:rPr>
      </w:r>
      <w:r>
        <w:rPr/>
        <w:t>公司股权的公告》。</w:t>
      </w:r>
    </w:p>
    <w:p>
      <w:pPr>
        <w:pStyle w:val="BodyText"/>
        <w:spacing w:line="300" w:lineRule="auto" w:before="31"/>
        <w:ind w:right="1132" w:firstLine="290"/>
        <w:jc w:val="both"/>
      </w:pPr>
      <w:r>
        <w:rPr>
          <w:rFonts w:ascii="Times New Roman" w:hAnsi="Times New Roman" w:cs="Times New Roman" w:eastAsia="Times New Roman" w:hint="default"/>
        </w:rPr>
        <w:t>2</w:t>
      </w:r>
      <w:r>
        <w:rPr/>
        <w:t>、公司的全资子公司深圳茂硕新能源技术研究院有限公司（以下简称</w:t>
      </w:r>
      <w:r>
        <w:rPr>
          <w:rFonts w:ascii="Times New Roman" w:hAnsi="Times New Roman" w:cs="Times New Roman" w:eastAsia="Times New Roman" w:hint="default"/>
        </w:rPr>
        <w:t>“</w:t>
      </w:r>
      <w:r>
        <w:rPr/>
        <w:t>研究院</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日与深圳海量资本管理 </w:t>
      </w:r>
      <w:r>
        <w:rPr>
          <w:spacing w:val="-3"/>
        </w:rPr>
        <w:t>有限公司（以下简称</w:t>
      </w:r>
      <w:r>
        <w:rPr>
          <w:rFonts w:ascii="Times New Roman" w:hAnsi="Times New Roman" w:cs="Times New Roman" w:eastAsia="Times New Roman" w:hint="default"/>
          <w:spacing w:val="-3"/>
        </w:rPr>
        <w:t>“</w:t>
      </w:r>
      <w:r>
        <w:rPr>
          <w:spacing w:val="-3"/>
        </w:rPr>
        <w:t>海量资本</w:t>
      </w:r>
      <w:r>
        <w:rPr>
          <w:rFonts w:ascii="Times New Roman" w:hAnsi="Times New Roman" w:cs="Times New Roman" w:eastAsia="Times New Roman" w:hint="default"/>
          <w:spacing w:val="-3"/>
        </w:rPr>
        <w:t>”</w:t>
      </w:r>
      <w:r>
        <w:rPr>
          <w:spacing w:val="-3"/>
        </w:rPr>
        <w:t>）以及其他投资人共同出资设立完成了新余市茂硕海量投资企业（有限合伙）（以下简称</w:t>
      </w:r>
      <w:r>
        <w:rPr>
          <w:rFonts w:ascii="Times New Roman" w:hAnsi="Times New Roman" w:cs="Times New Roman" w:eastAsia="Times New Roman" w:hint="default"/>
          <w:spacing w:val="-3"/>
        </w:rPr>
        <w:t>“</w:t>
      </w:r>
      <w:r>
        <w:rPr>
          <w:spacing w:val="-3"/>
        </w:rPr>
        <w:t>茂</w:t>
      </w:r>
      <w:r>
        <w:rPr>
          <w:spacing w:val="-67"/>
        </w:rPr>
        <w:t> </w:t>
      </w:r>
      <w:r>
        <w:rPr/>
        <w:t>硕海量</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日茂硕海量已完成投资如下：</w:t>
      </w:r>
    </w:p>
    <w:p>
      <w:pPr>
        <w:pStyle w:val="BodyText"/>
        <w:tabs>
          <w:tab w:pos="3288" w:val="left" w:leader="none"/>
          <w:tab w:pos="3431" w:val="left" w:leader="none"/>
        </w:tabs>
        <w:spacing w:line="300" w:lineRule="auto" w:before="13"/>
        <w:ind w:left="514" w:right="6452"/>
        <w:jc w:val="left"/>
        <w:rPr>
          <w:rFonts w:ascii="Times New Roman" w:hAnsi="Times New Roman" w:cs="Times New Roman" w:eastAsia="Times New Roman" w:hint="default"/>
        </w:rPr>
      </w:pPr>
      <w:r>
        <w:rPr/>
        <w:t>深圳市神云科技有限公司</w:t>
        <w:tab/>
        <w:t>占比</w:t>
      </w:r>
      <w:r>
        <w:rPr>
          <w:spacing w:val="-20"/>
        </w:rPr>
        <w:t> </w:t>
      </w:r>
      <w:r>
        <w:rPr>
          <w:rFonts w:ascii="Times New Roman" w:hAnsi="Times New Roman" w:cs="Times New Roman" w:eastAsia="Times New Roman" w:hint="default"/>
        </w:rPr>
        <w:t>9.0000% </w:t>
      </w:r>
      <w:r>
        <w:rPr/>
        <w:t>深圳市乐途宝网络科技有限公司</w:t>
        <w:tab/>
        <w:t>占比</w:t>
      </w:r>
      <w:r>
        <w:rPr>
          <w:rFonts w:ascii="Times New Roman" w:hAnsi="Times New Roman" w:cs="Times New Roman" w:eastAsia="Times New Roman" w:hint="default"/>
        </w:rPr>
        <w:t>1.9350% </w:t>
      </w:r>
      <w:r>
        <w:rPr/>
        <w:t>深圳多有米网络技术有限公司</w:t>
        <w:tab/>
        <w:t>占比</w:t>
      </w:r>
      <w:r>
        <w:rPr>
          <w:rFonts w:ascii="Times New Roman" w:hAnsi="Times New Roman" w:cs="Times New Roman" w:eastAsia="Times New Roman" w:hint="default"/>
        </w:rPr>
        <w:t>9.4300% </w:t>
      </w:r>
      <w:r>
        <w:rPr/>
        <w:t>湖南小而美科技有限公司</w:t>
        <w:tab/>
        <w:t>占比</w:t>
      </w:r>
      <w:r>
        <w:rPr>
          <w:rFonts w:ascii="Times New Roman" w:hAnsi="Times New Roman" w:cs="Times New Roman" w:eastAsia="Times New Roman" w:hint="default"/>
        </w:rPr>
        <w:t>5.0000% </w:t>
      </w:r>
      <w:r>
        <w:rPr/>
        <w:t>深圳中科拓达农业科技有限公司</w:t>
        <w:tab/>
        <w:t>占比</w:t>
      </w:r>
      <w:r>
        <w:rPr>
          <w:rFonts w:ascii="Times New Roman" w:hAnsi="Times New Roman" w:cs="Times New Roman" w:eastAsia="Times New Roman" w:hint="default"/>
        </w:rPr>
        <w:t>7.9755% </w:t>
      </w:r>
      <w:r>
        <w:rPr/>
        <w:t>深圳市科纳能薄膜科技有限公司</w:t>
        <w:tab/>
        <w:t>占比</w:t>
      </w:r>
      <w:r>
        <w:rPr>
          <w:rFonts w:ascii="Times New Roman" w:hAnsi="Times New Roman" w:cs="Times New Roman" w:eastAsia="Times New Roman" w:hint="default"/>
        </w:rPr>
        <w:t>3.2267% </w:t>
      </w:r>
      <w:r>
        <w:rPr/>
        <w:t>深圳天鹰兄弟无人机创新有限公司</w:t>
        <w:tab/>
        <w:tab/>
        <w:t>占比</w:t>
      </w:r>
      <w:r>
        <w:rPr>
          <w:rFonts w:ascii="Times New Roman" w:hAnsi="Times New Roman" w:cs="Times New Roman" w:eastAsia="Times New Roman" w:hint="default"/>
        </w:rPr>
        <w:t>5.1300% </w:t>
      </w:r>
      <w:r>
        <w:rPr/>
        <w:t>深圳市前海七号网络科技有限公司</w:t>
        <w:tab/>
        <w:tab/>
        <w:t>占比</w:t>
      </w:r>
      <w:r>
        <w:rPr>
          <w:rFonts w:ascii="Times New Roman" w:hAnsi="Times New Roman" w:cs="Times New Roman" w:eastAsia="Times New Roman" w:hint="default"/>
        </w:rPr>
        <w:t>4.0000% </w:t>
      </w:r>
      <w:r>
        <w:rPr/>
        <w:t>中晟天美能源科技（北京）有限公司</w:t>
      </w:r>
      <w:r>
        <w:rPr>
          <w:spacing w:val="-19"/>
        </w:rPr>
        <w:t> </w:t>
      </w:r>
      <w:r>
        <w:rPr/>
        <w:t>占比</w:t>
      </w:r>
      <w:r>
        <w:rPr>
          <w:rFonts w:ascii="Times New Roman" w:hAnsi="Times New Roman" w:cs="Times New Roman" w:eastAsia="Times New Roman" w:hint="default"/>
        </w:rPr>
        <w:t>2.2059% </w:t>
      </w:r>
      <w:r>
        <w:rPr/>
        <w:t>深圳醒客行健康科技有限公司</w:t>
        <w:tab/>
        <w:t>占比</w:t>
      </w:r>
      <w:r>
        <w:rPr>
          <w:rFonts w:ascii="Times New Roman" w:hAnsi="Times New Roman" w:cs="Times New Roman" w:eastAsia="Times New Roman" w:hint="default"/>
        </w:rPr>
        <w:t>9.0900% </w:t>
      </w:r>
      <w:r>
        <w:rPr/>
        <w:t>吉晟光电（深圳）有限公司</w:t>
        <w:tab/>
        <w:t>占比</w:t>
      </w:r>
      <w:r>
        <w:rPr>
          <w:rFonts w:ascii="Times New Roman" w:hAnsi="Times New Roman" w:cs="Times New Roman" w:eastAsia="Times New Roman" w:hint="default"/>
        </w:rPr>
        <w:t>4.0000%</w:t>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6" w:right="113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004"/>
        <w:gridCol w:w="709"/>
        <w:gridCol w:w="850"/>
        <w:gridCol w:w="568"/>
        <w:gridCol w:w="708"/>
        <w:gridCol w:w="992"/>
        <w:gridCol w:w="994"/>
        <w:gridCol w:w="1074"/>
        <w:gridCol w:w="794"/>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84,247,033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-15,385,565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-15,385,565</w:t>
            </w:r>
            <w:r>
              <w:rPr>
                <w:rFonts w:ascii="Times New Roman"/>
                <w:sz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68,861,468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84,247,033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-15,385,565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-15,385,565</w:t>
            </w:r>
            <w:r>
              <w:rPr>
                <w:rFonts w:ascii="Times New Roman"/>
                <w:sz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68,861,468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84,247,033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-15,385,565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-15,385,565</w:t>
            </w:r>
            <w:r>
              <w:rPr>
                <w:rFonts w:ascii="Times New Roman"/>
                <w:sz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68,861,468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190,533,425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14,932,814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14,932,814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205,466,239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190,533,425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14,932,814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14,932,814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205,466,239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274,780,458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-452,751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-452,751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274,327,707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30"/>
        <w:jc w:val="left"/>
      </w:pPr>
      <w:r>
        <w:rPr/>
        <w:t>股份变动的原因</w:t>
      </w:r>
    </w:p>
    <w:p>
      <w:pPr>
        <w:pStyle w:val="BodyText"/>
        <w:spacing w:line="240" w:lineRule="auto" w:before="116"/>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0" w:firstLine="30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日，公司完成了方笑求、蓝顺明</w:t>
      </w:r>
      <w:r>
        <w:rPr>
          <w:rFonts w:ascii="Times New Roman" w:hAnsi="Times New Roman" w:cs="Times New Roman" w:eastAsia="Times New Roman" w:hint="default"/>
          <w:spacing w:val="-2"/>
        </w:rPr>
        <w:t>2017</w:t>
      </w:r>
      <w:r>
        <w:rPr>
          <w:spacing w:val="-2"/>
        </w:rPr>
        <w:t>年合计应补偿股份</w:t>
      </w:r>
      <w:r>
        <w:rPr>
          <w:rFonts w:ascii="Times New Roman" w:hAnsi="Times New Roman" w:cs="Times New Roman" w:eastAsia="Times New Roman" w:hint="default"/>
          <w:spacing w:val="-2"/>
        </w:rPr>
        <w:t>45.2751</w:t>
      </w:r>
      <w:r>
        <w:rPr>
          <w:spacing w:val="-2"/>
        </w:rPr>
        <w:t>万股的回购注销事项。回购注销完成后公</w:t>
      </w:r>
      <w:r>
        <w:rPr/>
        <w:t> 司股份总数由</w:t>
      </w:r>
      <w:r>
        <w:rPr>
          <w:rFonts w:ascii="Times New Roman" w:hAnsi="Times New Roman" w:cs="Times New Roman" w:eastAsia="Times New Roman" w:hint="default"/>
        </w:rPr>
        <w:t>27,478.0458</w:t>
      </w:r>
      <w:r>
        <w:rPr/>
        <w:t>万股变更为</w:t>
      </w:r>
      <w:r>
        <w:rPr>
          <w:rFonts w:ascii="Times New Roman" w:hAnsi="Times New Roman" w:cs="Times New Roman" w:eastAsia="Times New Roman" w:hint="default"/>
        </w:rPr>
        <w:t>27,432.7707</w:t>
      </w:r>
      <w:r>
        <w:rPr/>
        <w:t>万股。</w:t>
      </w:r>
    </w:p>
    <w:p>
      <w:pPr>
        <w:pStyle w:val="BodyText"/>
        <w:spacing w:line="300" w:lineRule="auto" w:before="13"/>
        <w:ind w:right="1130" w:firstLine="3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w:t>
      </w:r>
      <w:r>
        <w:rPr/>
        <w:t>重大资产重组限售股合计</w:t>
      </w:r>
      <w:r>
        <w:rPr>
          <w:rFonts w:ascii="Times New Roman" w:hAnsi="Times New Roman" w:cs="Times New Roman" w:eastAsia="Times New Roman" w:hint="default"/>
        </w:rPr>
        <w:t>2,074.6122</w:t>
      </w:r>
      <w:r>
        <w:rPr/>
        <w:t>万股进行解禁并上市流通。公司原董事方笑求先生按照相关规定 锁定</w:t>
      </w:r>
      <w:r>
        <w:rPr>
          <w:rFonts w:ascii="Times New Roman" w:hAnsi="Times New Roman" w:cs="Times New Roman" w:eastAsia="Times New Roman" w:hint="default"/>
        </w:rPr>
        <w:t>582.5808</w:t>
      </w:r>
      <w:r>
        <w:rPr/>
        <w:t>万股。</w:t>
      </w:r>
    </w:p>
    <w:p>
      <w:pPr>
        <w:pStyle w:val="BodyText"/>
        <w:spacing w:line="340" w:lineRule="auto" w:before="13"/>
        <w:ind w:right="6042" w:firstLine="300"/>
        <w:jc w:val="left"/>
      </w:pPr>
      <w:r>
        <w:rPr>
          <w:rFonts w:ascii="Times New Roman" w:hAnsi="Times New Roman" w:cs="Times New Roman" w:eastAsia="Times New Roman" w:hint="default"/>
        </w:rPr>
        <w:t>3</w:t>
      </w:r>
      <w:r>
        <w:rPr/>
        <w:t>、公司高管离职</w:t>
      </w:r>
      <w:r>
        <w:rPr>
          <w:rFonts w:ascii="Times New Roman" w:hAnsi="Times New Roman" w:cs="Times New Roman" w:eastAsia="Times New Roman" w:hint="default"/>
        </w:rPr>
        <w:t>,</w:t>
      </w:r>
      <w:r>
        <w:rPr/>
        <w:t>按照相关规定股份解锁合计</w:t>
      </w:r>
      <w:r>
        <w:rPr>
          <w:rFonts w:ascii="Times New Roman" w:hAnsi="Times New Roman" w:cs="Times New Roman" w:eastAsia="Times New Roman" w:hint="default"/>
        </w:rPr>
        <w:t>1.25</w:t>
      </w:r>
      <w:r>
        <w:rPr/>
        <w:t>万股。 股份变动的批准情况</w:t>
      </w:r>
    </w:p>
    <w:p>
      <w:pPr>
        <w:pStyle w:val="BodyText"/>
        <w:spacing w:line="319" w:lineRule="auto" w:before="40"/>
        <w:ind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日，第四届董事会</w:t>
      </w:r>
      <w:r>
        <w:rPr>
          <w:rFonts w:ascii="Times New Roman" w:hAnsi="Times New Roman" w:cs="Times New Roman" w:eastAsia="Times New Roman" w:hint="default"/>
          <w:spacing w:val="-3"/>
        </w:rPr>
        <w:t>2018</w:t>
      </w:r>
      <w:r>
        <w:rPr>
          <w:spacing w:val="-3"/>
        </w:rPr>
        <w:t>年第</w:t>
      </w:r>
      <w:r>
        <w:rPr>
          <w:rFonts w:ascii="Times New Roman" w:hAnsi="Times New Roman" w:cs="Times New Roman" w:eastAsia="Times New Roman" w:hint="default"/>
          <w:spacing w:val="-3"/>
        </w:rPr>
        <w:t>1</w:t>
      </w:r>
      <w:r>
        <w:rPr>
          <w:spacing w:val="-3"/>
        </w:rPr>
        <w:t>次定期会议审议通过了《关于定向回购方笑求、蓝顺明</w:t>
      </w:r>
      <w:r>
        <w:rPr>
          <w:rFonts w:ascii="Times New Roman" w:hAnsi="Times New Roman" w:cs="Times New Roman" w:eastAsia="Times New Roman" w:hint="default"/>
          <w:spacing w:val="-3"/>
        </w:rPr>
        <w:t>2017</w:t>
      </w:r>
      <w:r>
        <w:rPr>
          <w:spacing w:val="-3"/>
        </w:rPr>
        <w:t>年度应补偿股份的议案》</w:t>
      </w:r>
      <w:r>
        <w:rPr>
          <w:spacing w:val="-75"/>
        </w:rPr>
        <w:t> </w:t>
      </w:r>
      <w:r>
        <w:rPr/>
        <w:t>等回购注销相关议案，同意公司回购注销</w:t>
      </w:r>
      <w:r>
        <w:rPr>
          <w:rFonts w:ascii="Times New Roman" w:hAnsi="Times New Roman" w:cs="Times New Roman" w:eastAsia="Times New Roman" w:hint="default"/>
        </w:rPr>
        <w:t>45.2751</w:t>
      </w:r>
      <w:r>
        <w:rPr/>
        <w:t>万股，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日，回购注销完成后，公司总股本由</w:t>
      </w:r>
      <w:r>
        <w:rPr>
          <w:rFonts w:ascii="Times New Roman" w:hAnsi="Times New Roman" w:cs="Times New Roman" w:eastAsia="Times New Roman" w:hint="default"/>
        </w:rPr>
        <w:t>27,478.0458</w:t>
      </w:r>
      <w:r>
        <w:rPr/>
        <w:t>万股变</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left"/>
      </w:pPr>
      <w:r>
        <w:rPr/>
        <w:t>更为</w:t>
      </w:r>
      <w:r>
        <w:rPr>
          <w:rFonts w:ascii="Times New Roman" w:hAnsi="Times New Roman" w:cs="Times New Roman" w:eastAsia="Times New Roman" w:hint="default"/>
        </w:rPr>
        <w:t>27,432.7707</w:t>
      </w:r>
      <w:r>
        <w:rPr/>
        <w:t>万股；本事项已经</w:t>
      </w:r>
      <w:r>
        <w:rPr>
          <w:rFonts w:ascii="Times New Roman" w:hAnsi="Times New Roman" w:cs="Times New Roman" w:eastAsia="Times New Roman" w:hint="default"/>
        </w:rPr>
        <w:t>2017</w:t>
      </w:r>
      <w:r>
        <w:rPr/>
        <w:t>年年度股东大会审议通过。公司已完成了工商变更程序，具体详情请见刊登于</w:t>
      </w:r>
      <w:r>
        <w:rPr>
          <w:rFonts w:ascii="Times New Roman" w:hAnsi="Times New Roman" w:cs="Times New Roman" w:eastAsia="Times New Roman" w:hint="default"/>
        </w:rPr>
        <w:t>2018</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日巨潮资讯网（</w:t>
      </w:r>
      <w:hyperlink r:id="rId11">
        <w:r>
          <w:rPr>
            <w:rFonts w:ascii="Times New Roman" w:hAnsi="Times New Roman" w:cs="Times New Roman" w:eastAsia="Times New Roman" w:hint="default"/>
          </w:rPr>
          <w:t>http://www.cninfo.com.cn</w:t>
        </w:r>
      </w:hyperlink>
      <w:r>
        <w:rPr/>
        <w:t>）</w:t>
      </w:r>
      <w:r>
        <w:rPr>
          <w:rFonts w:ascii="Times New Roman" w:hAnsi="Times New Roman" w:cs="Times New Roman" w:eastAsia="Times New Roman" w:hint="default"/>
        </w:rPr>
        <w:t>:</w:t>
      </w:r>
      <w:r>
        <w:rPr/>
        <w:t>关于完成工商变更登记的公告。</w:t>
      </w:r>
    </w:p>
    <w:p>
      <w:pPr>
        <w:pStyle w:val="BodyText"/>
        <w:spacing w:line="240" w:lineRule="auto" w:before="53"/>
        <w:ind w:right="1130"/>
        <w:jc w:val="left"/>
      </w:pPr>
      <w:r>
        <w:rPr/>
        <w:t>股份变动的过户情况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8"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日，公司完成了方笑求、蓝顺明</w:t>
      </w:r>
      <w:r>
        <w:rPr>
          <w:rFonts w:ascii="Times New Roman" w:hAnsi="Times New Roman" w:cs="Times New Roman" w:eastAsia="Times New Roman" w:hint="default"/>
          <w:spacing w:val="-2"/>
        </w:rPr>
        <w:t>2017</w:t>
      </w:r>
      <w:r>
        <w:rPr>
          <w:spacing w:val="-2"/>
        </w:rPr>
        <w:t>年度合计应补偿股份</w:t>
      </w:r>
      <w:r>
        <w:rPr>
          <w:rFonts w:ascii="Times New Roman" w:hAnsi="Times New Roman" w:cs="Times New Roman" w:eastAsia="Times New Roman" w:hint="default"/>
          <w:spacing w:val="-2"/>
        </w:rPr>
        <w:t>45.2751</w:t>
      </w:r>
      <w:r>
        <w:rPr>
          <w:spacing w:val="-2"/>
        </w:rPr>
        <w:t>万股的回购注销事项</w:t>
      </w:r>
      <w:r>
        <w:rPr>
          <w:rFonts w:ascii="Times New Roman" w:hAnsi="Times New Roman" w:cs="Times New Roman" w:eastAsia="Times New Roman" w:hint="default"/>
          <w:spacing w:val="-2"/>
        </w:rPr>
        <w:t>;</w:t>
      </w:r>
      <w:r>
        <w:rPr>
          <w:spacing w:val="-2"/>
        </w:rPr>
        <w:t>回购注销完成后，公</w:t>
      </w:r>
      <w:r>
        <w:rPr/>
        <w:t> 司</w:t>
      </w:r>
      <w:r>
        <w:rPr>
          <w:spacing w:val="-44"/>
        </w:rPr>
        <w:t> </w:t>
      </w:r>
      <w:r>
        <w:rPr/>
        <w:t>总</w:t>
      </w:r>
      <w:r>
        <w:rPr>
          <w:spacing w:val="-44"/>
        </w:rPr>
        <w:t> </w:t>
      </w:r>
      <w:r>
        <w:rPr/>
        <w:t>股</w:t>
      </w:r>
      <w:r>
        <w:rPr>
          <w:spacing w:val="-44"/>
        </w:rPr>
        <w:t> </w:t>
      </w:r>
      <w:r>
        <w:rPr/>
        <w:t>本</w:t>
      </w:r>
      <w:r>
        <w:rPr>
          <w:spacing w:val="-44"/>
        </w:rPr>
        <w:t> </w:t>
      </w:r>
      <w:r>
        <w:rPr/>
        <w:t>将</w:t>
      </w:r>
      <w:r>
        <w:rPr>
          <w:spacing w:val="-45"/>
        </w:rPr>
        <w:t> </w:t>
      </w:r>
      <w:r>
        <w:rPr/>
        <w:t>由</w:t>
      </w:r>
      <w:r>
        <w:rPr>
          <w:spacing w:val="-42"/>
        </w:rPr>
        <w:t> </w:t>
      </w:r>
      <w:r>
        <w:rPr>
          <w:rFonts w:ascii="Times New Roman" w:hAnsi="Times New Roman" w:cs="Times New Roman" w:eastAsia="Times New Roman" w:hint="default"/>
        </w:rPr>
        <w:t>27,478.0458</w:t>
      </w:r>
      <w:r>
        <w:rPr>
          <w:rFonts w:ascii="Times New Roman" w:hAnsi="Times New Roman" w:cs="Times New Roman" w:eastAsia="Times New Roman" w:hint="default"/>
          <w:spacing w:val="1"/>
        </w:rPr>
        <w:t> </w:t>
      </w:r>
      <w:r>
        <w:rPr>
          <w:spacing w:val="36"/>
        </w:rPr>
        <w:t>万元减少至</w:t>
      </w:r>
      <w:r>
        <w:rPr>
          <w:spacing w:val="-44"/>
        </w:rPr>
        <w:t> </w:t>
      </w:r>
      <w:r>
        <w:rPr>
          <w:rFonts w:ascii="Times New Roman" w:hAnsi="Times New Roman" w:cs="Times New Roman" w:eastAsia="Times New Roman" w:hint="default"/>
        </w:rPr>
        <w:t>27,432.7707</w:t>
      </w:r>
      <w:r>
        <w:rPr>
          <w:rFonts w:ascii="Times New Roman" w:hAnsi="Times New Roman" w:cs="Times New Roman" w:eastAsia="Times New Roman" w:hint="default"/>
          <w:spacing w:val="1"/>
        </w:rPr>
        <w:t> </w:t>
      </w:r>
      <w:r>
        <w:rPr/>
        <w:t>万</w:t>
      </w:r>
      <w:r>
        <w:rPr>
          <w:spacing w:val="-45"/>
        </w:rPr>
        <w:t> </w:t>
      </w:r>
      <w:r>
        <w:rPr/>
        <w:t>元</w:t>
      </w:r>
      <w:r>
        <w:rPr>
          <w:spacing w:val="-44"/>
        </w:rPr>
        <w:t> </w:t>
      </w:r>
      <w:r>
        <w:rPr/>
        <w:t>。</w:t>
      </w:r>
      <w:r>
        <w:rPr>
          <w:spacing w:val="-44"/>
        </w:rPr>
        <w:t> </w:t>
      </w:r>
      <w:r>
        <w:rPr/>
        <w:t>具</w:t>
      </w:r>
      <w:r>
        <w:rPr>
          <w:spacing w:val="-44"/>
        </w:rPr>
        <w:t> </w:t>
      </w:r>
      <w:r>
        <w:rPr/>
        <w:t>体</w:t>
      </w:r>
      <w:r>
        <w:rPr>
          <w:spacing w:val="-44"/>
        </w:rPr>
        <w:t> </w:t>
      </w:r>
      <w:r>
        <w:rPr/>
        <w:t>详</w:t>
      </w:r>
      <w:r>
        <w:rPr>
          <w:spacing w:val="-45"/>
        </w:rPr>
        <w:t> </w:t>
      </w:r>
      <w:r>
        <w:rPr/>
        <w:t>情</w:t>
      </w:r>
      <w:r>
        <w:rPr>
          <w:spacing w:val="-44"/>
        </w:rPr>
        <w:t> </w:t>
      </w:r>
      <w:r>
        <w:rPr/>
        <w:t>请</w:t>
      </w:r>
      <w:r>
        <w:rPr>
          <w:spacing w:val="-44"/>
        </w:rPr>
        <w:t> </w:t>
      </w:r>
      <w:r>
        <w:rPr/>
        <w:t>见</w:t>
      </w:r>
      <w:r>
        <w:rPr>
          <w:spacing w:val="-44"/>
        </w:rPr>
        <w:t> </w:t>
      </w:r>
      <w:r>
        <w:rPr/>
        <w:t>刊</w:t>
      </w:r>
      <w:r>
        <w:rPr>
          <w:spacing w:val="-44"/>
        </w:rPr>
        <w:t> </w:t>
      </w:r>
      <w:r>
        <w:rPr/>
        <w:t>登</w:t>
      </w:r>
      <w:r>
        <w:rPr>
          <w:spacing w:val="-45"/>
        </w:rPr>
        <w:t> </w:t>
      </w:r>
      <w:r>
        <w:rPr/>
        <w:t>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spacing w:val="-44"/>
        </w:rPr>
        <w:t> </w:t>
      </w:r>
      <w:r>
        <w:rPr/>
        <w:t>巨</w:t>
      </w:r>
      <w:r>
        <w:rPr>
          <w:spacing w:val="-44"/>
        </w:rPr>
        <w:t> </w:t>
      </w:r>
      <w:r>
        <w:rPr/>
        <w:t>潮</w:t>
      </w:r>
      <w:r>
        <w:rPr>
          <w:spacing w:val="-44"/>
        </w:rPr>
        <w:t> </w:t>
      </w:r>
      <w:r>
        <w:rPr/>
        <w:t>资</w:t>
      </w:r>
      <w:r>
        <w:rPr>
          <w:spacing w:val="-45"/>
        </w:rPr>
        <w:t> </w:t>
      </w:r>
      <w:r>
        <w:rPr/>
        <w:t>讯</w:t>
      </w:r>
      <w:r>
        <w:rPr>
          <w:spacing w:val="-44"/>
        </w:rPr>
        <w:t> </w:t>
      </w:r>
      <w:r>
        <w:rPr/>
        <w:t>网</w:t>
      </w:r>
    </w:p>
    <w:p>
      <w:pPr>
        <w:pStyle w:val="BodyText"/>
        <w:spacing w:line="340" w:lineRule="auto" w:before="13"/>
        <w:ind w:right="5927"/>
        <w:jc w:val="left"/>
      </w:pPr>
      <w:r>
        <w:rPr/>
        <w:t>（</w:t>
      </w:r>
      <w:hyperlink r:id="rId11">
        <w:r>
          <w:rPr>
            <w:rFonts w:ascii="Times New Roman" w:hAnsi="Times New Roman" w:cs="Times New Roman" w:eastAsia="Times New Roman" w:hint="default"/>
          </w:rPr>
          <w:t>http://www.cninfo.com.cn</w:t>
        </w:r>
      </w:hyperlink>
      <w:r>
        <w:rPr/>
        <w:t>）</w:t>
      </w:r>
      <w:r>
        <w:rPr>
          <w:rFonts w:ascii="Times New Roman" w:hAnsi="Times New Roman" w:cs="Times New Roman" w:eastAsia="Times New Roman" w:hint="default"/>
        </w:rPr>
        <w:t>:</w:t>
      </w:r>
      <w:r>
        <w:rPr/>
        <w:t>关于完成工商变更登记的公告。 股份回购的实施进展情况</w:t>
      </w:r>
    </w:p>
    <w:p>
      <w:pPr>
        <w:pStyle w:val="BodyText"/>
        <w:spacing w:line="338" w:lineRule="auto" w:before="41"/>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6,895,994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6,895,994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02" w:lineRule="auto" w:before="61"/>
              <w:ind w:left="22" w:right="2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限售股解禁上 市流通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8,069,579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2,243,771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5,825,808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首发后个人类限 售股</w:t>
            </w:r>
            <w:r>
              <w:rPr>
                <w:rFonts w:ascii="Times New Roman" w:hAnsi="Times New Roman" w:cs="Times New Roman" w:eastAsia="Times New Roman" w:hint="default"/>
                <w:sz w:val="18"/>
                <w:szCs w:val="18"/>
              </w:rPr>
              <w:t>/</w:t>
            </w: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02" w:lineRule="auto" w:before="61"/>
              <w:ind w:left="22" w:right="2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限售股解禁上 市流通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02" w:lineRule="auto" w:before="61"/>
              <w:ind w:left="22" w:right="2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限售股解禁上 市流通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302" w:lineRule="auto" w:before="61"/>
              <w:ind w:left="22" w:right="2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限售股解禁上 市流通</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罗宏健先生因个 人原因离职</w:t>
            </w:r>
            <w:r>
              <w:rPr>
                <w:rFonts w:ascii="Times New Roman" w:hAnsi="Times New Roman" w:cs="Times New Roman" w:eastAsia="Times New Roman" w:hint="default"/>
                <w:sz w:val="18"/>
                <w:szCs w:val="18"/>
              </w:rPr>
              <w:t>,</w:t>
            </w:r>
            <w:r>
              <w:rPr>
                <w:rFonts w:ascii="宋体" w:hAnsi="宋体" w:cs="宋体" w:eastAsia="宋体" w:hint="default"/>
                <w:sz w:val="18"/>
                <w:szCs w:val="18"/>
              </w:rPr>
              <w:t>按相</w:t>
            </w:r>
            <w:r>
              <w:rPr>
                <w:rFonts w:ascii="宋体" w:hAnsi="宋体" w:cs="宋体" w:eastAsia="宋体" w:hint="default"/>
                <w:spacing w:val="-2"/>
                <w:sz w:val="18"/>
                <w:szCs w:val="18"/>
              </w:rPr>
              <w:t> </w:t>
            </w:r>
            <w:r>
              <w:rPr>
                <w:rFonts w:ascii="宋体" w:hAnsi="宋体" w:cs="宋体" w:eastAsia="宋体" w:hint="default"/>
                <w:sz w:val="18"/>
                <w:szCs w:val="18"/>
              </w:rPr>
              <w:t>关规定解除限</w:t>
            </w:r>
            <w:r>
              <w:rPr>
                <w:rFonts w:ascii="宋体" w:hAnsi="宋体" w:cs="宋体" w:eastAsia="宋体" w:hint="default"/>
                <w:sz w:val="18"/>
                <w:szCs w:val="18"/>
              </w:rPr>
              <w:t> 售。</w:t>
            </w:r>
          </w:p>
        </w:tc>
      </w:tr>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方吉槟先生因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任期满离任</w:t>
            </w:r>
            <w:r>
              <w:rPr>
                <w:rFonts w:ascii="Times New Roman" w:hAnsi="Times New Roman" w:cs="Times New Roman" w:eastAsia="Times New Roman" w:hint="default"/>
                <w:sz w:val="18"/>
                <w:szCs w:val="18"/>
              </w:rPr>
              <w:t>,</w:t>
            </w:r>
            <w:r>
              <w:rPr>
                <w:rFonts w:ascii="宋体" w:hAnsi="宋体" w:cs="宋体" w:eastAsia="宋体" w:hint="default"/>
                <w:sz w:val="18"/>
                <w:szCs w:val="18"/>
              </w:rPr>
              <w:t>按相</w:t>
            </w:r>
            <w:r>
              <w:rPr>
                <w:rFonts w:ascii="宋体" w:hAnsi="宋体" w:cs="宋体" w:eastAsia="宋体" w:hint="default"/>
                <w:spacing w:val="-2"/>
                <w:sz w:val="18"/>
                <w:szCs w:val="18"/>
              </w:rPr>
              <w:t> </w:t>
            </w:r>
            <w:r>
              <w:rPr>
                <w:rFonts w:ascii="宋体" w:hAnsi="宋体" w:cs="宋体" w:eastAsia="宋体" w:hint="default"/>
                <w:sz w:val="18"/>
                <w:szCs w:val="18"/>
              </w:rPr>
              <w:t>关规定解除限</w:t>
            </w:r>
            <w:r>
              <w:rPr>
                <w:rFonts w:ascii="宋体" w:hAnsi="宋体" w:cs="宋体" w:eastAsia="宋体" w:hint="default"/>
                <w:sz w:val="18"/>
                <w:szCs w:val="18"/>
              </w:rPr>
              <w:t> 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63,035,660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63,035,660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84,247,033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15,385,565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68,861,468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13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日，第四届董事会</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1</w:t>
      </w:r>
      <w:r>
        <w:rPr>
          <w:spacing w:val="-2"/>
        </w:rPr>
        <w:t>次定期会议审议通过了《关于定向回购方笑求、蓝顺明</w:t>
      </w:r>
      <w:r>
        <w:rPr>
          <w:rFonts w:ascii="Times New Roman" w:hAnsi="Times New Roman" w:cs="Times New Roman" w:eastAsia="Times New Roman" w:hint="default"/>
          <w:spacing w:val="-2"/>
        </w:rPr>
        <w:t>2017</w:t>
      </w:r>
      <w:r>
        <w:rPr>
          <w:spacing w:val="-2"/>
        </w:rPr>
        <w:t>年度应补偿股份的</w:t>
      </w:r>
      <w:r>
        <w:rPr/>
        <w:t> </w:t>
      </w:r>
      <w:r>
        <w:rPr>
          <w:spacing w:val="-1"/>
        </w:rPr>
        <w:t>议案》等回购注销相关议案，同意公司回购注销</w:t>
      </w:r>
      <w:r>
        <w:rPr>
          <w:rFonts w:ascii="Times New Roman" w:hAnsi="Times New Roman" w:cs="Times New Roman" w:eastAsia="Times New Roman" w:hint="default"/>
          <w:spacing w:val="-1"/>
        </w:rPr>
        <w:t>45.2751</w:t>
      </w:r>
      <w:r>
        <w:rPr>
          <w:spacing w:val="-1"/>
        </w:rPr>
        <w:t>万股，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日，回购注销完成后，公司总股本由</w:t>
      </w:r>
      <w:r>
        <w:rPr>
          <w:rFonts w:ascii="Times New Roman" w:hAnsi="Times New Roman" w:cs="Times New Roman" w:eastAsia="Times New Roman" w:hint="default"/>
          <w:spacing w:val="-1"/>
        </w:rPr>
        <w:t>27,478.0458</w:t>
      </w:r>
      <w:r>
        <w:rPr>
          <w:rFonts w:ascii="Times New Roman" w:hAnsi="Times New Roman" w:cs="Times New Roman" w:eastAsia="Times New Roman" w:hint="default"/>
          <w:spacing w:val="-19"/>
        </w:rPr>
        <w:t> </w:t>
      </w:r>
      <w:r>
        <w:rPr>
          <w:spacing w:val="-2"/>
        </w:rPr>
        <w:t>万股变更为</w:t>
      </w:r>
      <w:r>
        <w:rPr>
          <w:rFonts w:ascii="Times New Roman" w:hAnsi="Times New Roman" w:cs="Times New Roman" w:eastAsia="Times New Roman" w:hint="default"/>
          <w:spacing w:val="-2"/>
        </w:rPr>
        <w:t>27,432.7707</w:t>
      </w:r>
      <w:r>
        <w:rPr>
          <w:spacing w:val="-2"/>
        </w:rPr>
        <w:t>万股；本事项已经</w:t>
      </w:r>
      <w:r>
        <w:rPr>
          <w:rFonts w:ascii="Times New Roman" w:hAnsi="Times New Roman" w:cs="Times New Roman" w:eastAsia="Times New Roman" w:hint="default"/>
          <w:spacing w:val="-2"/>
        </w:rPr>
        <w:t>2017</w:t>
      </w:r>
      <w:r>
        <w:rPr>
          <w:spacing w:val="-2"/>
        </w:rPr>
        <w:t>年年度股东大会审议通过。公司已完成了工商变更程序，具体详情请见刊登于</w:t>
      </w:r>
      <w:r>
        <w:rPr>
          <w:spacing w:val="-53"/>
        </w:rPr>
        <w:t> </w:t>
      </w:r>
      <w:r>
        <w:rPr>
          <w:spacing w:val="-53"/>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日巨潮资讯网（</w:t>
      </w:r>
      <w:hyperlink r:id="rId11">
        <w:r>
          <w:rPr>
            <w:rFonts w:ascii="Times New Roman" w:hAnsi="Times New Roman" w:cs="Times New Roman" w:eastAsia="Times New Roman" w:hint="default"/>
          </w:rPr>
          <w:t>http://www.cninfo.com.cn</w:t>
        </w:r>
      </w:hyperlink>
      <w:r>
        <w:rPr/>
        <w:t>）</w:t>
      </w:r>
      <w:r>
        <w:rPr>
          <w:rFonts w:ascii="Times New Roman" w:hAnsi="Times New Roman" w:cs="Times New Roman" w:eastAsia="Times New Roman" w:hint="default"/>
        </w:rPr>
        <w:t>:</w:t>
      </w:r>
      <w:r>
        <w:rPr/>
        <w:t>关于完成工商变更登记的公告。</w:t>
      </w:r>
    </w:p>
    <w:p>
      <w:pPr>
        <w:spacing w:line="240" w:lineRule="auto" w:before="1"/>
        <w:rPr>
          <w:rFonts w:ascii="宋体" w:hAnsi="宋体" w:cs="宋体" w:eastAsia="宋体" w:hint="default"/>
          <w:sz w:val="22"/>
          <w:szCs w:val="22"/>
        </w:rPr>
      </w:pPr>
    </w:p>
    <w:p>
      <w:pPr>
        <w:pStyle w:val="Heading3"/>
        <w:spacing w:line="240" w:lineRule="auto"/>
        <w:ind w:right="113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291"/>
        <w:gridCol w:w="866"/>
        <w:gridCol w:w="896"/>
        <w:gridCol w:w="339"/>
        <w:gridCol w:w="449"/>
        <w:gridCol w:w="755"/>
        <w:gridCol w:w="946"/>
        <w:gridCol w:w="242"/>
        <w:gridCol w:w="1033"/>
        <w:gridCol w:w="140"/>
        <w:gridCol w:w="1207"/>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28,518</w:t>
            </w:r>
          </w:p>
        </w:tc>
        <w:tc>
          <w:tcPr>
            <w:tcW w:w="1157" w:type="dxa"/>
            <w:gridSpan w:val="2"/>
            <w:vMerge w:val="restart"/>
            <w:tcBorders>
              <w:top w:val="single" w:sz="4" w:space="0" w:color="000000"/>
              <w:left w:val="single" w:sz="4" w:space="0" w:color="000000"/>
              <w:right w:val="single" w:sz="4" w:space="0" w:color="000000"/>
            </w:tcBorders>
            <w:shd w:val="clear" w:color="auto" w:fill="D2D2D2"/>
          </w:tcPr>
          <w:p>
            <w:pPr/>
          </w:p>
        </w:tc>
        <w:tc>
          <w:tcPr>
            <w:tcW w:w="123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27,044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54"/>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5"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57" w:type="dxa"/>
            <w:gridSpan w:val="2"/>
            <w:vMerge/>
            <w:tcBorders>
              <w:left w:val="single" w:sz="4" w:space="0" w:color="000000"/>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tcBorders>
              <w:left w:val="single" w:sz="4" w:space="0" w:color="000000"/>
              <w:bottom w:val="nil" w:sz="6" w:space="0" w:color="auto"/>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57" w:type="dxa"/>
            <w:gridSpan w:val="2"/>
            <w:vMerge w:val="restart"/>
            <w:tcBorders>
              <w:top w:val="nil" w:sz="6" w:space="0" w:color="auto"/>
              <w:left w:val="single" w:sz="4" w:space="0" w:color="000000"/>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57" w:type="dxa"/>
            <w:gridSpan w:val="2"/>
            <w:vMerge/>
            <w:tcBorders>
              <w:left w:val="single" w:sz="4" w:space="0" w:color="000000"/>
              <w:bottom w:val="single" w:sz="4" w:space="0" w:color="000000"/>
              <w:right w:val="single" w:sz="4" w:space="0" w:color="000000"/>
            </w:tcBorders>
            <w:shd w:val="clear" w:color="auto" w:fill="D2D2D2"/>
          </w:tcPr>
          <w:p>
            <w:pPr/>
          </w:p>
        </w:tc>
        <w:tc>
          <w:tcPr>
            <w:tcW w:w="1235" w:type="dxa"/>
            <w:gridSpan w:val="2"/>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5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225" w:type="dxa"/>
            <w:gridSpan w:val="2"/>
            <w:vMerge w:val="restart"/>
            <w:tcBorders>
              <w:top w:val="single" w:sz="4" w:space="0" w:color="000000"/>
              <w:left w:val="single" w:sz="4" w:space="0" w:color="000000"/>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24" w:right="9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2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7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225" w:type="dxa"/>
            <w:gridSpan w:val="2"/>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8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4" w:right="8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2622" w:type="dxa"/>
            <w:gridSpan w:val="4"/>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2622"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225" w:type="dxa"/>
            <w:gridSpan w:val="2"/>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12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225" w:type="dxa"/>
            <w:gridSpan w:val="2"/>
            <w:vMerge w:val="restart"/>
            <w:tcBorders>
              <w:top w:val="nil" w:sz="6" w:space="0" w:color="auto"/>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1275"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225" w:type="dxa"/>
            <w:gridSpan w:val="2"/>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1275"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30.64%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84,047,547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63,035,66</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21,011,887</w:t>
            </w:r>
          </w:p>
        </w:tc>
        <w:tc>
          <w:tcPr>
            <w:tcW w:w="1275"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84,000,000</w:t>
            </w:r>
          </w:p>
        </w:tc>
      </w:tr>
      <w:tr>
        <w:trPr>
          <w:trHeight w:val="402"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深圳德旺投资发</w:t>
            </w:r>
          </w:p>
        </w:tc>
        <w:tc>
          <w:tcPr>
            <w:tcW w:w="1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4.24%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11,639,653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11,639,653</w:t>
            </w: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225"/>
        <w:gridCol w:w="187"/>
        <w:gridCol w:w="662"/>
        <w:gridCol w:w="912"/>
        <w:gridCol w:w="788"/>
        <w:gridCol w:w="787"/>
        <w:gridCol w:w="877"/>
        <w:gridCol w:w="1312"/>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2.86%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7,843,204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-226,375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7,843,204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2.86%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7,843,203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-226,376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5,825,808</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2,017,395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谭荣生</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1.73%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4,742,100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4,742,100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4,742,100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1.14%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3,116,650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1.14%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3,116,650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顾伟</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2,800,096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1,068,796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2,800,096</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黄德刚</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0.70%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1,918,452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1,918,452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1,918,452</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杨武成</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0.68%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1,862,800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1,862,800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1,862,800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300"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，为茂硕电源科 技股份有限公司的控股股东和实际控制人。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、方笑求先生与蓝顺明女士为配偶关系。</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02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6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4028" w:type="dxa"/>
            <w:gridSpan w:val="5"/>
            <w:vMerge/>
            <w:tcBorders>
              <w:left w:val="single" w:sz="4" w:space="0" w:color="000000"/>
              <w:bottom w:val="nil" w:sz="6" w:space="0" w:color="auto"/>
              <w:right w:val="single" w:sz="4" w:space="0" w:color="000000"/>
            </w:tcBorders>
            <w:shd w:val="clear" w:color="auto" w:fill="D2D2D2"/>
          </w:tcPr>
          <w:p>
            <w:pPr/>
          </w:p>
        </w:tc>
        <w:tc>
          <w:tcPr>
            <w:tcW w:w="1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02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pacing w:val="-1"/>
                <w:sz w:val="18"/>
              </w:rPr>
              <w:t>21,011,887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21,011,887</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pacing w:val="-1"/>
                <w:sz w:val="18"/>
              </w:rPr>
              <w:t>11,639,653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11,639,653</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7,843,204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7,843,204</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谭荣生</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4,742,100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4,742,100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pacing w:val="-1"/>
                <w:sz w:val="18"/>
              </w:rPr>
              <w:t>3,116,650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3,116,650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pacing w:val="-1"/>
                <w:sz w:val="18"/>
              </w:rPr>
              <w:t>3,116,650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3,116,650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顾伟</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2,800,096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2,800,096</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2,017,395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2,017,395</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黄德刚</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1,918,452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1,918,452</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杨武成</w:t>
            </w:r>
          </w:p>
        </w:tc>
        <w:tc>
          <w:tcPr>
            <w:tcW w:w="40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1,862,800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1,862,800</w:t>
            </w:r>
          </w:p>
        </w:tc>
      </w:tr>
      <w:tr>
        <w:trPr>
          <w:trHeight w:val="1338" w:hRule="exact"/>
        </w:trPr>
        <w:tc>
          <w:tcPr>
            <w:tcW w:w="28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，为茂硕电源</w:t>
            </w:r>
            <w:r>
              <w:rPr>
                <w:rFonts w:ascii="宋体" w:hAnsi="宋体" w:cs="宋体" w:eastAsia="宋体" w:hint="default"/>
                <w:sz w:val="18"/>
                <w:szCs w:val="18"/>
              </w:rPr>
              <w:t> 科技股份有限公司的控股股东和实际控制人。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、方笑求先生与蓝顺明女士为配偶关 系。</w:t>
            </w:r>
          </w:p>
        </w:tc>
      </w:tr>
      <w:tr>
        <w:trPr>
          <w:trHeight w:val="1338" w:hRule="exact"/>
        </w:trPr>
        <w:tc>
          <w:tcPr>
            <w:tcW w:w="28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顾伟通过普通证券账户持有本公司股份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股，通过信用证券账户持有本公司股份</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2,800,096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2,800,096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股；杨武成通过普通证券账户持有本公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股，通过信用证券账户持有本公司股份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股，合计持有本公司股份</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1,862,800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113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3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顾永德</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茂硕电源董事长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0"/>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3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顾永德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茂硕电源董事长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22"/>
          <w:szCs w:val="22"/>
        </w:rPr>
      </w:pPr>
    </w:p>
    <w:p>
      <w:pPr>
        <w:spacing w:line="3840" w:lineRule="exact"/>
        <w:ind w:left="1356"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590004" cy="243840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4" cstate="print"/>
                    <a:stretch>
                      <a:fillRect/>
                    </a:stretch>
                  </pic:blipFill>
                  <pic:spPr>
                    <a:xfrm>
                      <a:off x="0" y="0"/>
                      <a:ext cx="4590004" cy="2438400"/>
                    </a:xfrm>
                    <a:prstGeom prst="rect">
                      <a:avLst/>
                    </a:prstGeom>
                  </pic:spPr>
                </pic:pic>
              </a:graphicData>
            </a:graphic>
          </wp:inline>
        </w:drawing>
      </w:r>
      <w:r>
        <w:rPr>
          <w:rFonts w:ascii="宋体" w:hAnsi="宋体" w:cs="宋体" w:eastAsia="宋体" w:hint="default"/>
          <w:position w:val="-76"/>
          <w:sz w:val="20"/>
          <w:szCs w:val="20"/>
        </w:rPr>
      </w:r>
    </w:p>
    <w:p>
      <w:pPr>
        <w:spacing w:after="0" w:line="384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30"/>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3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497"/>
        <w:gridCol w:w="850"/>
        <w:gridCol w:w="851"/>
        <w:gridCol w:w="994"/>
        <w:gridCol w:w="798"/>
        <w:gridCol w:w="798"/>
        <w:gridCol w:w="798"/>
        <w:gridCol w:w="100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61"/>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84,047,547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84,047,547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康甜桂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84,047,547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84,047,547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3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经第四届董事会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次临时 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聘任为公司总经理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现任公司董事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经公司第四届董事会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次临时股东大会审议通过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聘任为公司独立董事。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康甜桂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经职工代表大会</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次定期会议审议通过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聘任为公司职工代表监事。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顾永德先生申请辞去总经理职务，仍继续担任公司董 事长及董事会相关专门委员会职务。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原独立董事施伟力先生因在公司连续任职独立董事已 满六年，根据相关规定申请辞去公司独立董事职务。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因个人原因申请离职。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19" w:lineRule="auto" w:before="116"/>
        <w:ind w:right="1072"/>
        <w:jc w:val="left"/>
      </w:pPr>
      <w:r>
        <w:rPr>
          <w:rFonts w:ascii="Times New Roman" w:hAnsi="Times New Roman" w:cs="Times New Roman" w:eastAsia="Times New Roman" w:hint="default"/>
        </w:rPr>
        <w:t>1</w:t>
      </w:r>
      <w:r>
        <w:rPr/>
        <w:t>、董事： 顾永德，男，汉族，</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月出生，江苏省无锡人。清华大学深圳研究院</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月参加工作，</w:t>
      </w:r>
      <w:r>
        <w:rPr>
          <w:rFonts w:ascii="Times New Roman" w:hAnsi="Times New Roman" w:cs="Times New Roman" w:eastAsia="Times New Roman" w:hint="default"/>
        </w:rPr>
        <w:t>2001</w:t>
      </w:r>
      <w:r>
        <w:rPr/>
        <w:t>年被深圳市政 府评为</w:t>
      </w:r>
      <w:r>
        <w:rPr>
          <w:rFonts w:ascii="Times New Roman" w:hAnsi="Times New Roman" w:cs="Times New Roman" w:eastAsia="Times New Roman" w:hint="default"/>
        </w:rPr>
        <w:t>“</w:t>
      </w:r>
      <w:r>
        <w:rPr/>
        <w:t>优秀外来深建设者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年被评为</w:t>
      </w:r>
      <w:r>
        <w:rPr>
          <w:rFonts w:ascii="Times New Roman" w:hAnsi="Times New Roman" w:cs="Times New Roman" w:eastAsia="Times New Roman" w:hint="default"/>
        </w:rPr>
        <w:t>“</w:t>
      </w:r>
      <w:r>
        <w:rPr/>
        <w:t>优秀民营企业家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月担任深圳锡星电子有限公司总经理；</w:t>
      </w:r>
    </w:p>
    <w:p>
      <w:pPr>
        <w:pStyle w:val="BodyText"/>
        <w:spacing w:line="302" w:lineRule="auto"/>
        <w:ind w:right="1129"/>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月至今，担任茂硕电源科技股份有限公司董事长。深圳市第七届工商联（总商会）副会长；深圳市第三届南山区工 商联（总商会）副会长；深圳市江苏商会副会长；深圳市无锡商会常务副会长；深圳市第五届、第六届人大代表。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2" w:lineRule="auto"/>
        <w:ind w:right="1129"/>
        <w:jc w:val="both"/>
      </w:pPr>
      <w:r>
        <w:rPr>
          <w:spacing w:val="-2"/>
        </w:rPr>
        <w:t>刘爱民，男，</w:t>
      </w:r>
      <w:r>
        <w:rPr>
          <w:rFonts w:ascii="Times New Roman" w:hAnsi="Times New Roman" w:cs="Times New Roman" w:eastAsia="Times New Roman" w:hint="default"/>
          <w:spacing w:val="-2"/>
        </w:rPr>
        <w:t>1976</w:t>
      </w:r>
      <w:r>
        <w:rPr>
          <w:spacing w:val="-2"/>
        </w:rPr>
        <w:t>年出生，中国国籍，无境外永久居留权，本科学历，会计师。曾任职</w:t>
      </w:r>
      <w:r>
        <w:rPr>
          <w:rFonts w:ascii="Times New Roman" w:hAnsi="Times New Roman" w:cs="Times New Roman" w:eastAsia="Times New Roman" w:hint="default"/>
          <w:spacing w:val="-2"/>
        </w:rPr>
        <w:t>TCL</w:t>
      </w:r>
      <w:r>
        <w:rPr>
          <w:spacing w:val="-2"/>
        </w:rPr>
        <w:t>集团子公司财务总监，三九集团</w:t>
      </w:r>
      <w:r>
        <w:rPr>
          <w:spacing w:val="-43"/>
        </w:rPr>
        <w:t> </w:t>
      </w:r>
      <w:r>
        <w:rPr>
          <w:spacing w:val="-43"/>
        </w:rPr>
      </w:r>
      <w:r>
        <w:rPr>
          <w:spacing w:val="-2"/>
        </w:rPr>
        <w:t>子公司财务经理，深圳市实益达科技股份有限公司（现更名为深圳市麦达数字股份有限公司）董事、副总裁、财务总监，前</w:t>
      </w:r>
      <w:r>
        <w:rPr>
          <w:spacing w:val="-67"/>
        </w:rPr>
        <w:t> </w:t>
      </w:r>
      <w:r>
        <w:rPr>
          <w:spacing w:val="-67"/>
        </w:rPr>
      </w:r>
      <w:r>
        <w:rPr>
          <w:spacing w:val="-2"/>
        </w:rPr>
        <w:t>海实益达董事、总经理，新余久益投资管理合伙企业（有限合伙）总裁，九派凯阳有限合伙人，深圳市宇顺电子股份有限公</w:t>
      </w:r>
      <w:r>
        <w:rPr>
          <w:spacing w:val="-68"/>
        </w:rPr>
        <w:t> </w:t>
      </w:r>
      <w:r>
        <w:rPr>
          <w:spacing w:val="-68"/>
        </w:rPr>
      </w:r>
      <w:r>
        <w:rPr/>
        <w:t>司副总经理、财务总监，现任茂硕电源总经理、董事。</w:t>
      </w:r>
    </w:p>
    <w:p>
      <w:pPr>
        <w:spacing w:line="240" w:lineRule="auto" w:before="7"/>
        <w:rPr>
          <w:rFonts w:ascii="宋体" w:hAnsi="宋体" w:cs="宋体" w:eastAsia="宋体" w:hint="default"/>
          <w:sz w:val="25"/>
          <w:szCs w:val="25"/>
        </w:rPr>
      </w:pPr>
    </w:p>
    <w:p>
      <w:pPr>
        <w:pStyle w:val="BodyText"/>
        <w:spacing w:line="297" w:lineRule="auto"/>
        <w:ind w:right="1042"/>
        <w:jc w:val="both"/>
      </w:pPr>
      <w:r>
        <w:rPr/>
        <w:t>肖明，女，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月出生，毕业于天津科技大学，本科学历；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月，供职于深圳金士吉床上用品有限公</w:t>
      </w:r>
      <w:r>
        <w:rPr>
          <w:spacing w:val="-83"/>
        </w:rPr>
        <w:t> </w:t>
      </w:r>
      <w:r>
        <w:rPr>
          <w:spacing w:val="-83"/>
        </w:rPr>
      </w:r>
      <w:r>
        <w:rPr/>
        <w:t>司任人事行政经理和总助；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月，供职于深圳立升净水科技有限公司任总助；</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spacing w:val="-83"/>
        </w:rPr>
        <w:t> </w:t>
      </w:r>
      <w:r>
        <w:rPr>
          <w:spacing w:val="-2"/>
        </w:rPr>
        <w:t>供职于彼德</w:t>
      </w:r>
      <w:r>
        <w:rPr>
          <w:rFonts w:ascii="Calibri" w:hAnsi="Calibri" w:cs="Calibri" w:eastAsia="Calibri" w:hint="default"/>
          <w:spacing w:val="-2"/>
        </w:rPr>
        <w:t>•</w:t>
      </w:r>
      <w:r>
        <w:rPr>
          <w:spacing w:val="-2"/>
        </w:rPr>
        <w:t>德鲁克学院深圳教学中心任顾问；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月，供职于茂硕电源先后任总经理助理、监事会主席等</w:t>
      </w:r>
      <w:r>
        <w:rPr>
          <w:spacing w:val="-54"/>
        </w:rPr>
        <w:t> </w:t>
      </w:r>
      <w:r>
        <w:rPr>
          <w:spacing w:val="-54"/>
        </w:rPr>
      </w:r>
      <w:r>
        <w:rPr>
          <w:spacing w:val="-2"/>
        </w:rPr>
        <w:t>职务；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月，当选为深圳市南山区第七届人大代表；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月起至今，担任茂硕电源副总经理、董事兼子公司董事。</w:t>
      </w:r>
    </w:p>
    <w:p>
      <w:pPr>
        <w:spacing w:line="240" w:lineRule="auto" w:before="0"/>
        <w:rPr>
          <w:rFonts w:ascii="宋体" w:hAnsi="宋体" w:cs="宋体" w:eastAsia="宋体" w:hint="default"/>
          <w:sz w:val="18"/>
          <w:szCs w:val="18"/>
        </w:rPr>
      </w:pPr>
    </w:p>
    <w:p>
      <w:pPr>
        <w:pStyle w:val="BodyText"/>
        <w:spacing w:line="300" w:lineRule="auto" w:before="132"/>
        <w:ind w:right="1133"/>
        <w:jc w:val="both"/>
      </w:pPr>
      <w:r>
        <w:rPr/>
        <w:t>陈海权，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2</w:t>
      </w:r>
      <w:r>
        <w:rPr/>
        <w:t>月出生，中国国籍，无永久境外居留权，博士研究生学历。曾任暨南大学管理学院商学系副教授、日本兵 </w:t>
      </w:r>
      <w:r>
        <w:rPr>
          <w:spacing w:val="-2"/>
        </w:rPr>
        <w:t>库县立大学经营学部交换教授、广东商业经济学会副秘书长、监事。现任暨南大学管理学院市场学系教授、博士生导师、广</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东亚太电子商务研究院院长、广东省现代物流研究院学术院长、中国市场学会副秘书长、广东省物流与供应链学会副会长兼</w:t>
      </w:r>
      <w:r>
        <w:rPr>
          <w:spacing w:val="-66"/>
        </w:rPr>
        <w:t> </w:t>
      </w:r>
      <w:r>
        <w:rPr>
          <w:spacing w:val="-66"/>
        </w:rPr>
      </w:r>
      <w:r>
        <w:rPr>
          <w:spacing w:val="-2"/>
        </w:rPr>
        <w:t>秘书长、广东商业经济学会副会长、广州友谊集团有限公司外部董事、广州百货企业集团有限公司外部董事、广东安捷供应</w:t>
      </w:r>
      <w:r>
        <w:rPr>
          <w:spacing w:val="-65"/>
        </w:rPr>
        <w:t> </w:t>
      </w:r>
      <w:r>
        <w:rPr>
          <w:spacing w:val="-65"/>
        </w:rPr>
      </w:r>
      <w:r>
        <w:rPr>
          <w:spacing w:val="-2"/>
        </w:rPr>
        <w:t>链管理股份有限公司董事、恒腾网络集团有限公司独立非执行董事、广州市嘉诚国际物流股份有限公司独立董事、茂硕电源</w:t>
      </w:r>
      <w:r>
        <w:rPr>
          <w:spacing w:val="-66"/>
        </w:rPr>
        <w:t> </w:t>
      </w:r>
      <w:r>
        <w:rPr>
          <w:spacing w:val="-66"/>
        </w:rPr>
      </w:r>
      <w:r>
        <w:rPr/>
        <w:t>科技股份有限公司独立董事。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07" w:lineRule="auto"/>
        <w:ind w:right="1130"/>
        <w:jc w:val="both"/>
        <w:rPr>
          <w:rFonts w:ascii="Times New Roman" w:hAnsi="Times New Roman" w:cs="Times New Roman" w:eastAsia="Times New Roman" w:hint="default"/>
        </w:rPr>
      </w:pPr>
      <w:r>
        <w:rPr/>
        <w:t>郭新梅，女，</w:t>
      </w:r>
      <w:r>
        <w:rPr>
          <w:rFonts w:ascii="Times New Roman" w:hAnsi="Times New Roman" w:cs="Times New Roman" w:eastAsia="Times New Roman" w:hint="default"/>
        </w:rPr>
        <w:t>1972</w:t>
      </w:r>
      <w:r>
        <w:rPr/>
        <w:t>年生，硕士研究生，高级会计师</w:t>
      </w:r>
      <w:r>
        <w:rPr>
          <w:rFonts w:ascii="Times New Roman" w:hAnsi="Times New Roman" w:cs="Times New Roman" w:eastAsia="Times New Roman" w:hint="default"/>
        </w:rPr>
        <w:t>,</w:t>
      </w:r>
      <w:r>
        <w:rPr/>
        <w:t>中国国籍，无境外居留权。曾任深圳新合程国际物流股份有限公司会计 </w:t>
      </w:r>
      <w:r>
        <w:rPr>
          <w:spacing w:val="-2"/>
        </w:rPr>
        <w:t>经理、悦丰集团有限公司财务总监、深圳丹邦科技股份有限公司财务总监，现任深圳市锦瑞生物科技有限公司财务总监、董</w:t>
      </w:r>
      <w:r>
        <w:rPr>
          <w:spacing w:val="-66"/>
        </w:rPr>
        <w:t> </w:t>
      </w:r>
      <w:r>
        <w:rPr>
          <w:spacing w:val="-66"/>
        </w:rPr>
      </w:r>
      <w:r>
        <w:rPr>
          <w:spacing w:val="-3"/>
        </w:rPr>
        <w:t>事，茂硕电源科技股份有限公司独立董事，惠州市惠德瑞锂电科技股份有限公司独立董事，诺德投资股份有限公司独立董事</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
        </w:rPr>
        <w:t> </w:t>
      </w:r>
      <w:r>
        <w:rPr/>
        <w:t>深圳市智动力精密技术股份有限公司独立董事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319" w:lineRule="auto"/>
        <w:ind w:right="1122"/>
        <w:jc w:val="left"/>
      </w:pPr>
      <w:r>
        <w:rPr>
          <w:rFonts w:ascii="Times New Roman" w:hAnsi="Times New Roman" w:cs="Times New Roman" w:eastAsia="Times New Roman" w:hint="default"/>
        </w:rPr>
        <w:t>2</w:t>
      </w:r>
      <w:r>
        <w:rPr/>
        <w:t>、监事： 廖青莲，女，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11</w:t>
      </w:r>
      <w:r>
        <w:rPr/>
        <w:t>月出生，中国国籍，无境外永久居留权，毕业于西南政法大学经济法专业，法学学士。</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月取 得律师资格证书，</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月取得律师执业证。先后在深圳市有荣配销有限公司、深圳金广弘数码电子有限公司等公司担任</w:t>
      </w:r>
    </w:p>
    <w:p>
      <w:pPr>
        <w:pStyle w:val="BodyText"/>
        <w:spacing w:line="300" w:lineRule="auto"/>
        <w:ind w:right="1129"/>
        <w:jc w:val="both"/>
      </w:pPr>
      <w:r>
        <w:rPr/>
        <w:t>法律顾问，长期从事法务工作。</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月入职茂硕电源，现任茂硕电源监事会主席、法务主任、董事长助理。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 取得</w:t>
      </w:r>
      <w:r>
        <w:rPr>
          <w:rFonts w:ascii="Times New Roman" w:hAnsi="Times New Roman" w:cs="Times New Roman" w:eastAsia="Times New Roman" w:hint="default"/>
        </w:rPr>
        <w:t>“</w:t>
      </w:r>
      <w:r>
        <w:rPr/>
        <w:t>上市公司高级管理人员培训证书</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300" w:lineRule="auto"/>
        <w:ind w:right="1129"/>
        <w:jc w:val="both"/>
      </w:pPr>
      <w:r>
        <w:rPr/>
        <w:t>成水英，女，中国国籍，</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月出生，毕业于湖南农业大学，本科学历。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月于深圳市荣丰包装制品</w:t>
      </w:r>
      <w:r>
        <w:rPr>
          <w:spacing w:val="-83"/>
        </w:rPr>
        <w:t> </w:t>
      </w:r>
      <w:r>
        <w:rPr>
          <w:spacing w:val="-83"/>
        </w:rPr>
      </w:r>
      <w:r>
        <w:rPr>
          <w:spacing w:val="-2"/>
        </w:rPr>
        <w:t>有限公任物控专员，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月于深圳市众成纸品有限公司任总经理助理，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月于深圳市富雅</w:t>
      </w:r>
      <w:r>
        <w:rPr>
          <w:spacing w:val="-44"/>
        </w:rPr>
        <w:t> </w:t>
      </w:r>
      <w:r>
        <w:rPr/>
        <w:t>分色印刷有限公司任高级客户代表，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月至今先后任茂硕电源董事长秘书、总裁助理、人力资源总监、监事。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2" w:lineRule="auto"/>
        <w:ind w:right="1130"/>
        <w:jc w:val="both"/>
      </w:pPr>
      <w:r>
        <w:rPr/>
        <w:t>康甜桂，男，出生于</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4</w:t>
      </w:r>
      <w:r>
        <w:rPr/>
        <w:t>月，中国国籍。</w:t>
      </w:r>
      <w:r>
        <w:rPr>
          <w:spacing w:val="-19"/>
        </w:rPr>
        <w:t> </w:t>
      </w:r>
      <w:r>
        <w:rPr>
          <w:rFonts w:ascii="Times New Roman" w:hAnsi="Times New Roman" w:cs="Times New Roman" w:eastAsia="Times New Roman" w:hint="default"/>
        </w:rPr>
        <w:t>2002</w:t>
      </w:r>
      <w:r>
        <w:rPr/>
        <w:t>年毕业于武汉理工大学，大专学历，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-2016</w:t>
      </w:r>
      <w:r>
        <w:rPr/>
        <w:t>年进修华中科技大学， </w:t>
      </w:r>
      <w:r>
        <w:rPr>
          <w:spacing w:val="-1"/>
        </w:rPr>
        <w:t>取得本科学历。</w:t>
      </w:r>
      <w:r>
        <w:rPr>
          <w:rFonts w:ascii="Times New Roman" w:hAnsi="Times New Roman" w:cs="Times New Roman" w:eastAsia="Times New Roman" w:hint="default"/>
          <w:spacing w:val="-1"/>
        </w:rPr>
        <w:t>2002-2006</w:t>
      </w:r>
      <w:r>
        <w:rPr>
          <w:spacing w:val="-1"/>
        </w:rPr>
        <w:t>年在深圳市人人乐商业集团担任企划主管、经理；</w:t>
      </w:r>
      <w:r>
        <w:rPr>
          <w:rFonts w:ascii="Times New Roman" w:hAnsi="Times New Roman" w:cs="Times New Roman" w:eastAsia="Times New Roman" w:hint="default"/>
          <w:spacing w:val="-1"/>
        </w:rPr>
        <w:t>2007-2009</w:t>
      </w:r>
      <w:r>
        <w:rPr>
          <w:spacing w:val="-1"/>
        </w:rPr>
        <w:t>年在北京锡恩企业管理顾问有限公司</w:t>
      </w:r>
      <w:r>
        <w:rPr>
          <w:spacing w:val="-49"/>
        </w:rPr>
        <w:t> </w:t>
      </w:r>
      <w:r>
        <w:rPr/>
        <w:t>担任策划经理；</w:t>
      </w:r>
      <w:r>
        <w:rPr>
          <w:rFonts w:ascii="Times New Roman" w:hAnsi="Times New Roman" w:cs="Times New Roman" w:eastAsia="Times New Roman" w:hint="default"/>
        </w:rPr>
        <w:t>2010</w:t>
      </w:r>
      <w:r>
        <w:rPr/>
        <w:t>加入茂硕电源科技股份有限公司，目前在公司担任品牌管理中心品牌经理</w:t>
      </w:r>
      <w:r>
        <w:rPr>
          <w:rFonts w:ascii="Times New Roman" w:hAnsi="Times New Roman" w:cs="Times New Roman" w:eastAsia="Times New Roman" w:hint="default"/>
        </w:rPr>
        <w:t>,</w:t>
      </w:r>
      <w:r>
        <w:rPr/>
        <w:t>监事。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319" w:lineRule="auto"/>
        <w:ind w:right="0"/>
        <w:jc w:val="left"/>
      </w:pPr>
      <w:r>
        <w:rPr>
          <w:rFonts w:ascii="Times New Roman" w:hAnsi="Times New Roman" w:cs="Times New Roman" w:eastAsia="Times New Roman" w:hint="default"/>
        </w:rPr>
        <w:t>3</w:t>
      </w:r>
      <w:r>
        <w:rPr/>
        <w:t>、高级管理人员： </w:t>
      </w:r>
      <w:r>
        <w:rPr>
          <w:spacing w:val="-2"/>
        </w:rPr>
        <w:t>刘爱民，男，</w:t>
      </w:r>
      <w:r>
        <w:rPr>
          <w:rFonts w:ascii="Times New Roman" w:hAnsi="Times New Roman" w:cs="Times New Roman" w:eastAsia="Times New Roman" w:hint="default"/>
          <w:spacing w:val="-2"/>
        </w:rPr>
        <w:t>1976</w:t>
      </w:r>
      <w:r>
        <w:rPr>
          <w:spacing w:val="-2"/>
        </w:rPr>
        <w:t>年出生，中国国籍，无境外永久居留权，本科学历，会计师。曾任职</w:t>
      </w:r>
      <w:r>
        <w:rPr>
          <w:rFonts w:ascii="Times New Roman" w:hAnsi="Times New Roman" w:cs="Times New Roman" w:eastAsia="Times New Roman" w:hint="default"/>
          <w:spacing w:val="-2"/>
        </w:rPr>
        <w:t>TCL</w:t>
      </w:r>
      <w:r>
        <w:rPr>
          <w:spacing w:val="-2"/>
        </w:rPr>
        <w:t>集团子公司财务总监，三九集团</w:t>
      </w:r>
      <w:r>
        <w:rPr>
          <w:spacing w:val="-43"/>
        </w:rPr>
        <w:t> </w:t>
      </w:r>
      <w:r>
        <w:rPr>
          <w:spacing w:val="-43"/>
        </w:rPr>
      </w:r>
      <w:r>
        <w:rPr>
          <w:spacing w:val="-2"/>
        </w:rPr>
        <w:t>子公司财务经理，深圳市实益达科技股份有限公司（现更名为深圳市麦达数字股份有限公司）董事、副总裁、财务总监，前</w:t>
      </w:r>
      <w:r>
        <w:rPr>
          <w:spacing w:val="-67"/>
        </w:rPr>
        <w:t> </w:t>
      </w:r>
      <w:r>
        <w:rPr>
          <w:spacing w:val="-67"/>
        </w:rPr>
      </w:r>
      <w:r>
        <w:rPr>
          <w:spacing w:val="-2"/>
        </w:rPr>
        <w:t>海实益达董事、总经理，新余久益投资管理合伙企业（有限合伙）总裁，九派凯阳有限合伙人，深圳市宇顺电子股份有限公</w:t>
      </w:r>
      <w:r>
        <w:rPr>
          <w:spacing w:val="-68"/>
        </w:rPr>
        <w:t> </w:t>
      </w:r>
      <w:r>
        <w:rPr>
          <w:spacing w:val="-68"/>
        </w:rPr>
      </w:r>
      <w:r>
        <w:rPr/>
        <w:t>司副总经理、财务总监，现任茂硕电源总经理、董事。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00" w:lineRule="auto"/>
        <w:ind w:right="0"/>
        <w:jc w:val="left"/>
      </w:pPr>
      <w:r>
        <w:rPr>
          <w:spacing w:val="-5"/>
        </w:rPr>
        <w:t>潘晓平，男，</w:t>
      </w:r>
      <w:r>
        <w:rPr>
          <w:rFonts w:ascii="Times New Roman" w:hAnsi="Times New Roman" w:cs="Times New Roman" w:eastAsia="Times New Roman" w:hint="default"/>
          <w:spacing w:val="-5"/>
        </w:rPr>
        <w:t>1966</w:t>
      </w:r>
      <w:r>
        <w:rPr>
          <w:spacing w:val="-5"/>
        </w:rPr>
        <w:t>年</w:t>
      </w:r>
      <w:r>
        <w:rPr>
          <w:rFonts w:ascii="Times New Roman" w:hAnsi="Times New Roman" w:cs="Times New Roman" w:eastAsia="Times New Roman" w:hint="default"/>
          <w:spacing w:val="-5"/>
        </w:rPr>
        <w:t>3</w:t>
      </w:r>
      <w:r>
        <w:rPr>
          <w:spacing w:val="-5"/>
        </w:rPr>
        <w:t>月出生，中国国籍，毕业于中国纺织大学机械工程系供热与通风专业，工学学士学位。</w:t>
      </w:r>
      <w:r>
        <w:rPr>
          <w:rFonts w:ascii="Times New Roman" w:hAnsi="Times New Roman" w:cs="Times New Roman" w:eastAsia="Times New Roman" w:hint="default"/>
          <w:spacing w:val="-5"/>
        </w:rPr>
        <w:t>1988</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1992</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3</w:t>
      </w:r>
      <w:r>
        <w:rPr>
          <w:spacing w:val="-2"/>
        </w:rPr>
        <w:t>月担任苏州太仓针织总厂动力分厂技术员、副厂长；</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月担任安莉芳集团有限公司经理；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月至</w:t>
      </w:r>
      <w:r>
        <w:rPr>
          <w:spacing w:val="-49"/>
        </w:rPr>
        <w:t> </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3</w:t>
      </w:r>
      <w:r>
        <w:rPr>
          <w:spacing w:val="-3"/>
        </w:rPr>
        <w:t>月担任深圳经济特区免税商品企业公司经理；</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8</w:t>
      </w:r>
      <w:r>
        <w:rPr>
          <w:spacing w:val="-3"/>
        </w:rPr>
        <w:t>月担任安兴纸业（深圳）有限公司副总经理；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月担任三和国际有限公司副总经理；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月担任崧顺电子（深圳）有限公司总经理；</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月担任豪鹏国际股份有限公司副总经理；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月至今担任茂硕电源科技股份有限公司副总经理。</w:t>
      </w:r>
    </w:p>
    <w:p>
      <w:pPr>
        <w:spacing w:line="240" w:lineRule="auto" w:before="0"/>
        <w:rPr>
          <w:rFonts w:ascii="宋体" w:hAnsi="宋体" w:cs="宋体" w:eastAsia="宋体" w:hint="default"/>
          <w:sz w:val="18"/>
          <w:szCs w:val="18"/>
        </w:rPr>
      </w:pPr>
    </w:p>
    <w:p>
      <w:pPr>
        <w:pStyle w:val="BodyText"/>
        <w:spacing w:line="300" w:lineRule="auto" w:before="128"/>
        <w:ind w:right="1042"/>
        <w:jc w:val="both"/>
      </w:pPr>
      <w:r>
        <w:rPr/>
        <w:t>肖明，女，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月出生，毕业于天津科技大学，本科学历；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月，供职于深圳金士吉床上用品有限公</w:t>
      </w:r>
      <w:r>
        <w:rPr>
          <w:spacing w:val="-83"/>
        </w:rPr>
        <w:t> </w:t>
      </w:r>
      <w:r>
        <w:rPr>
          <w:spacing w:val="-83"/>
        </w:rPr>
      </w:r>
      <w:r>
        <w:rPr/>
        <w:t>司任人事行政经理和总助；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月，供职于深圳立升净水科技有限公司任总助；</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spacing w:val="-83"/>
        </w:rPr>
        <w:t> </w:t>
      </w:r>
      <w:r>
        <w:rPr/>
        <w:t>供职于彼德</w:t>
      </w:r>
      <w:r>
        <w:rPr>
          <w:rFonts w:ascii="Times New Roman" w:hAnsi="Times New Roman" w:cs="Times New Roman" w:eastAsia="Times New Roman" w:hint="default"/>
        </w:rPr>
        <w:t>•</w:t>
      </w:r>
      <w:r>
        <w:rPr/>
        <w:t>德鲁克学院深圳教学中心任顾问；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月，供职于茂硕电源先后任总经理助理、监事会主席等 </w:t>
      </w:r>
      <w:r>
        <w:rPr>
          <w:spacing w:val="-2"/>
        </w:rPr>
        <w:t>职务，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月，当选为深圳市南山区第七届人大代表，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月起至今，担任茂硕电源副总经理、董事兼子公司董事。</w:t>
      </w:r>
    </w:p>
    <w:p>
      <w:pPr>
        <w:spacing w:line="240" w:lineRule="auto" w:before="11"/>
        <w:rPr>
          <w:rFonts w:ascii="宋体" w:hAnsi="宋体" w:cs="宋体" w:eastAsia="宋体" w:hint="default"/>
          <w:sz w:val="24"/>
          <w:szCs w:val="24"/>
        </w:rPr>
      </w:pPr>
    </w:p>
    <w:p>
      <w:pPr>
        <w:pStyle w:val="BodyText"/>
        <w:spacing w:line="300" w:lineRule="auto"/>
        <w:ind w:right="1184"/>
        <w:jc w:val="both"/>
      </w:pPr>
      <w:r>
        <w:rPr/>
        <w:t>秦利红，女，</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12</w:t>
      </w:r>
      <w:r>
        <w:rPr/>
        <w:t>月出生，中国国籍，毕业于湖南大学会计专业，会计专业中级职称，注册会计师</w:t>
      </w:r>
      <w:r>
        <w:rPr>
          <w:rFonts w:ascii="Times New Roman" w:hAnsi="Times New Roman" w:cs="Times New Roman" w:eastAsia="Times New Roman" w:hint="default"/>
        </w:rPr>
        <w:t>,</w:t>
      </w:r>
      <w:r>
        <w:rPr/>
        <w:t>税务师。</w:t>
      </w:r>
      <w:r>
        <w:rPr>
          <w:rFonts w:ascii="Times New Roman" w:hAnsi="Times New Roman" w:cs="Times New Roman" w:eastAsia="Times New Roman" w:hint="default"/>
        </w:rPr>
        <w:t>2010</w:t>
      </w:r>
      <w:r>
        <w:rPr/>
        <w:t>年加 入茂硕电源科技股份有限公司，自</w:t>
      </w:r>
      <w:r>
        <w:rPr>
          <w:rFonts w:ascii="Times New Roman" w:hAnsi="Times New Roman" w:cs="Times New Roman" w:eastAsia="Times New Roman" w:hint="default"/>
        </w:rPr>
        <w:t>2012</w:t>
      </w:r>
      <w:r>
        <w:rPr/>
        <w:t>年起至今先后担任茂硕电源科技股份有限公司财务经理、财务总监。</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1130"/>
        <w:jc w:val="left"/>
      </w:pPr>
      <w:r>
        <w:rPr/>
        <w:t>在股东单位任职情况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6"/>
              <w:jc w:val="righ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7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0"/>
                <w:sz w:val="18"/>
                <w:szCs w:val="18"/>
              </w:rPr>
              <w:t>总经理、执行</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0"/>
                <w:sz w:val="18"/>
                <w:szCs w:val="18"/>
              </w:rPr>
              <w:t>（常务）董事</w:t>
            </w:r>
          </w:p>
        </w:tc>
        <w:tc>
          <w:tcPr>
            <w:tcW w:w="1212" w:type="dxa"/>
            <w:tcBorders>
              <w:top w:val="single" w:sz="4" w:space="0" w:color="000000"/>
              <w:left w:val="single" w:sz="10" w:space="0" w:color="FFFFFF"/>
              <w:bottom w:val="single" w:sz="4" w:space="0" w:color="000000"/>
              <w:right w:val="single" w:sz="4" w:space="0" w:color="000000"/>
            </w:tcBorders>
          </w:tcPr>
          <w:p>
            <w:pPr>
              <w:pStyle w:val="TableParagraph"/>
              <w:spacing w:line="156"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60.15pt;height:7.8pt;mso-position-horizontal-relative:char;mso-position-vertical-relative:line" coordorigin="0,0" coordsize="1203,156">
                  <v:group style="position:absolute;left:0;top:0;width:1203;height:156" coordorigin="0,0" coordsize="1203,156">
                    <v:shape style="position:absolute;left:0;top:0;width:1203;height:156" coordorigin="0,0" coordsize="1203,156" path="m0,156l1202,156,1202,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顾永德先生为茂硕电源科技股份有限公司董事长、实际控制人</w:t>
            </w:r>
          </w:p>
        </w:tc>
      </w:tr>
    </w:tbl>
    <w:p>
      <w:pPr>
        <w:pStyle w:val="BodyText"/>
        <w:spacing w:line="240" w:lineRule="auto" w:before="51"/>
        <w:ind w:right="1130"/>
        <w:jc w:val="left"/>
      </w:pPr>
      <w:r>
        <w:rPr/>
        <w:t>在其他单位任职情况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3" w:right="-34"/>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GLAMORSKY</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3" w:right="-34"/>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义乌市亚杰网络科技有限公司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广州市嘉诚国际物流股份有限公司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恒腾网络集团有限公司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广东安捷供应链管理股份有限公司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广州友谊集团有限公司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广州百货企业集团有限公司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深圳市锦瑞生物科技有限公司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 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惠州市惠德瑞锂电科技股份有限公司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诺德投资股份有限公司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深圳市智动力精密技术股份有限公司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30"/>
        <w:jc w:val="left"/>
      </w:pPr>
      <w:r>
        <w:rPr/>
        <w:t>公司现任及报告期内离任董事、监事和高级管理人员近三年证券监管机构处罚的情况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董事、监事、高级管理人员报酬的决策程序、确定依据、实际支付情况</w:t>
      </w:r>
    </w:p>
    <w:p>
      <w:pPr>
        <w:pStyle w:val="BodyText"/>
        <w:spacing w:line="240" w:lineRule="auto" w:before="116"/>
        <w:ind w:right="1130"/>
        <w:jc w:val="left"/>
      </w:pPr>
      <w:r>
        <w:rPr>
          <w:rFonts w:ascii="Times New Roman" w:hAnsi="Times New Roman" w:cs="Times New Roman" w:eastAsia="Times New Roman" w:hint="default"/>
        </w:rPr>
        <w:t>1</w:t>
      </w:r>
      <w:r>
        <w:rPr/>
        <w:t>、董事、监事、高级管理人员报酬的决策程序</w:t>
      </w:r>
    </w:p>
    <w:p>
      <w:pPr>
        <w:pStyle w:val="BodyText"/>
        <w:spacing w:line="302" w:lineRule="auto" w:before="101"/>
        <w:ind w:right="113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日，公司第四届董事会</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1</w:t>
      </w:r>
      <w:r>
        <w:rPr>
          <w:spacing w:val="-2"/>
        </w:rPr>
        <w:t>次定期会议审议通过关于公司</w:t>
      </w:r>
      <w:r>
        <w:rPr>
          <w:rFonts w:ascii="Times New Roman" w:hAnsi="Times New Roman" w:cs="Times New Roman" w:eastAsia="Times New Roman" w:hint="default"/>
          <w:spacing w:val="-2"/>
        </w:rPr>
        <w:t>&lt;2019</w:t>
      </w:r>
      <w:r>
        <w:rPr>
          <w:spacing w:val="-2"/>
        </w:rPr>
        <w:t>年度董事、监事、高级管理人员薪酬方案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25"/>
        </w:rPr>
        <w:t> </w:t>
      </w:r>
      <w:r>
        <w:rPr/>
        <w:t>的议案》，经</w:t>
      </w:r>
      <w:r>
        <w:rPr>
          <w:rFonts w:ascii="Times New Roman" w:hAnsi="Times New Roman" w:cs="Times New Roman" w:eastAsia="Times New Roman" w:hint="default"/>
        </w:rPr>
        <w:t>2018</w:t>
      </w:r>
      <w:r>
        <w:rPr/>
        <w:t>年度股东大会审议通过后生效；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月，公司董事会薪酬与考核委员会审核确定</w:t>
      </w:r>
      <w:r>
        <w:rPr>
          <w:rFonts w:ascii="Times New Roman" w:hAnsi="Times New Roman" w:cs="Times New Roman" w:eastAsia="Times New Roman" w:hint="default"/>
        </w:rPr>
        <w:t>2019</w:t>
      </w:r>
      <w:r>
        <w:rPr/>
        <w:t>年度公司董事、 监事、高级管理人员薪酬。</w:t>
      </w:r>
    </w:p>
    <w:p>
      <w:pPr>
        <w:pStyle w:val="BodyText"/>
        <w:spacing w:line="328" w:lineRule="auto" w:before="70"/>
        <w:ind w:right="1130"/>
        <w:jc w:val="left"/>
      </w:pPr>
      <w:r>
        <w:rPr>
          <w:rFonts w:ascii="Times New Roman" w:hAnsi="Times New Roman" w:cs="Times New Roman" w:eastAsia="Times New Roman" w:hint="default"/>
        </w:rPr>
        <w:t>2</w:t>
      </w:r>
      <w:r>
        <w:rPr/>
        <w:t>、董事、监事、高级管理人员报酬确定依据 </w:t>
      </w:r>
      <w:r>
        <w:rPr>
          <w:spacing w:val="-2"/>
        </w:rPr>
        <w:t>根据《公司章程》、《董事、监事、高级管理人员薪酬制度》等公司相关制度，结合公司经营规模等实际情况并参照行业薪</w:t>
      </w:r>
      <w:r>
        <w:rPr>
          <w:spacing w:val="-67"/>
        </w:rPr>
        <w:t> </w:t>
      </w:r>
      <w:r>
        <w:rPr>
          <w:spacing w:val="-67"/>
        </w:rPr>
      </w:r>
      <w:r>
        <w:rPr/>
        <w:t>酬水平确定。</w:t>
      </w:r>
    </w:p>
    <w:p>
      <w:pPr>
        <w:pStyle w:val="BodyText"/>
        <w:spacing w:line="240" w:lineRule="auto" w:before="49"/>
        <w:ind w:right="113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康甜桂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387.61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公司董事、高级管理人员报告期内被授予的股权激励情况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70"/>
        <w:gridCol w:w="4788"/>
      </w:tblGrid>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r>
      <w:tr>
        <w:trPr>
          <w:trHeight w:val="407"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6"/>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119</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r>
      <w:tr>
        <w:trPr>
          <w:trHeight w:val="407"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r>
    </w:tbl>
    <w:p>
      <w:pPr>
        <w:spacing w:line="240" w:lineRule="auto" w:before="2"/>
        <w:rPr>
          <w:rFonts w:ascii="宋体" w:hAnsi="宋体" w:cs="宋体" w:eastAsia="宋体" w:hint="default"/>
          <w:b/>
          <w:bCs/>
          <w:sz w:val="19"/>
          <w:szCs w:val="19"/>
        </w:rPr>
      </w:pPr>
    </w:p>
    <w:p>
      <w:pPr>
        <w:pStyle w:val="Heading3"/>
        <w:spacing w:line="240" w:lineRule="auto" w:before="35"/>
        <w:ind w:right="113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4"/>
        </w:rPr>
        <w:t>公司在严格遵守《劳动法》、《劳动合同法》等有关法律法规、部门规章和规范性文件的基础上，结合行业及公司经营特点，</w:t>
      </w:r>
      <w:r>
        <w:rPr>
          <w:spacing w:val="-46"/>
        </w:rPr>
        <w:t> </w:t>
      </w:r>
      <w:r>
        <w:rPr>
          <w:spacing w:val="-46"/>
        </w:rPr>
      </w:r>
      <w:r>
        <w:rPr>
          <w:spacing w:val="-2"/>
        </w:rPr>
        <w:t>充分考虑公平性和竞争力，制定了较为完善的薪酬管理制度及激励机制。报告期内，公司深入推进绩效考核工作，充分评价</w:t>
      </w:r>
      <w:r>
        <w:rPr>
          <w:spacing w:val="-66"/>
        </w:rPr>
        <w:t> </w:t>
      </w:r>
      <w:r>
        <w:rPr>
          <w:spacing w:val="-66"/>
        </w:rPr>
      </w:r>
      <w:r>
        <w:rPr/>
        <w:t>团队和个人的工作业绩，向员工提供富有竞争力的薪酬，有效提升了员工执行力和责任意识，有利于留住和吸引优秀人才， 为公司发展提供人力资源保障。</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公司注重员工培养和人才储备，积极寻求各种培训资源和渠道，建立了较为完善的培训体系，以内部培训、外部培训、员工</w:t>
      </w:r>
      <w:r>
        <w:rPr>
          <w:spacing w:val="-66"/>
        </w:rPr>
        <w:t> </w:t>
      </w:r>
      <w:r>
        <w:rPr>
          <w:spacing w:val="-66"/>
        </w:rPr>
      </w:r>
      <w:r>
        <w:rPr>
          <w:spacing w:val="-2"/>
        </w:rPr>
        <w:t>自我学习培训等多种形式，提升全体员工岗位技能和专业知识。公司每年根据发展需求制定具体的培训计划，进行定期或不</w:t>
      </w:r>
      <w:r>
        <w:rPr>
          <w:spacing w:val="-66"/>
        </w:rPr>
        <w:t> </w:t>
      </w:r>
      <w:r>
        <w:rPr>
          <w:spacing w:val="-66"/>
        </w:rPr>
      </w:r>
      <w:r>
        <w:rPr>
          <w:spacing w:val="-2"/>
        </w:rPr>
        <w:t>定期的培训，有针对性地开展如新员工入职培训、在职人员业务培训、管理者提升培训、安全培训等，将公司的高层管理团</w:t>
      </w:r>
      <w:r>
        <w:rPr>
          <w:spacing w:val="-66"/>
        </w:rPr>
        <w:t> </w:t>
      </w:r>
      <w:r>
        <w:rPr>
          <w:spacing w:val="-66"/>
        </w:rPr>
      </w:r>
      <w:r>
        <w:rPr>
          <w:spacing w:val="-2"/>
        </w:rPr>
        <w:t>队、中层管理者、骨干员工及后备人才培养统一纳入到体系化的人才成长快车道，有效地提高了员工的整体素质和企业的经</w:t>
      </w:r>
      <w:r>
        <w:rPr>
          <w:spacing w:val="-65"/>
        </w:rPr>
        <w:t> </w:t>
      </w:r>
      <w:r>
        <w:rPr>
          <w:spacing w:val="-65"/>
        </w:rPr>
      </w:r>
      <w:r>
        <w:rPr/>
        <w:t>营管理水平。</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5,480,793.3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88,648,702.80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30"/>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73"/>
        <w:jc w:val="both"/>
      </w:pPr>
      <w:r>
        <w:rPr/>
        <w:t>报告期内，公司严格按照《公司法》《证券法》《上市公司治理准则》和中国证监会、深圳证券交易所有关要求，加强信 </w:t>
      </w:r>
      <w:r>
        <w:rPr>
          <w:spacing w:val="-2"/>
        </w:rPr>
        <w:t>息披露工作，不断完善公司法人治理结构，建立健全内部控制制度，规范公司运作，切实维护公司及全体股东利益。公司股</w:t>
      </w:r>
      <w:r>
        <w:rPr>
          <w:spacing w:val="-66"/>
        </w:rPr>
        <w:t> </w:t>
      </w:r>
      <w:r>
        <w:rPr>
          <w:spacing w:val="-66"/>
        </w:rPr>
      </w:r>
      <w:r>
        <w:rPr>
          <w:spacing w:val="-2"/>
        </w:rPr>
        <w:t>东大会、董事会、监事会、各经营层职责明确，各董事、监事和高级管理人员勤勉尽责，确保了公司安全、稳定、健康、持</w:t>
      </w:r>
      <w:r>
        <w:rPr>
          <w:spacing w:val="-70"/>
        </w:rPr>
        <w:t> </w:t>
      </w:r>
      <w:r>
        <w:rPr>
          <w:spacing w:val="-70"/>
        </w:rPr>
      </w:r>
      <w:r>
        <w:rPr/>
        <w:t>续的发展。截至报告期末，公司治理情况符合中国证监会、深圳证券交易所上市公司治理规范性文件规定。</w:t>
      </w:r>
    </w:p>
    <w:p>
      <w:pPr>
        <w:pStyle w:val="BodyText"/>
        <w:spacing w:line="240" w:lineRule="auto" w:before="59"/>
        <w:ind w:left="354" w:right="1130"/>
        <w:jc w:val="left"/>
      </w:pPr>
      <w:r>
        <w:rPr/>
        <w:t>（一）关于股东和股东大会</w:t>
      </w:r>
    </w:p>
    <w:p>
      <w:pPr>
        <w:pStyle w:val="BodyText"/>
        <w:spacing w:line="309" w:lineRule="auto" w:before="116"/>
        <w:ind w:right="1132" w:firstLine="200"/>
        <w:jc w:val="both"/>
      </w:pPr>
      <w:r>
        <w:rPr>
          <w:rFonts w:ascii="Times New Roman" w:hAnsi="Times New Roman" w:cs="Times New Roman" w:eastAsia="Times New Roman" w:hint="default"/>
        </w:rPr>
        <w:t>2018</w:t>
      </w:r>
      <w:r>
        <w:rPr/>
        <w:t>年，公司严格按照《公司法》、《公司章程》、《股东大会议事规则》等规定和要求召集、召开股东大会，并在股 </w:t>
      </w:r>
      <w:r>
        <w:rPr>
          <w:spacing w:val="-2"/>
        </w:rPr>
        <w:t>东大会审议影响中小投资者利益的重大事项时，对中小投资者的表决进行单独计票。报告期内召开的股东大会均由董事会召</w:t>
      </w:r>
      <w:r>
        <w:rPr>
          <w:spacing w:val="-64"/>
        </w:rPr>
        <w:t> </w:t>
      </w:r>
      <w:r>
        <w:rPr>
          <w:spacing w:val="-64"/>
        </w:rPr>
      </w:r>
      <w:r>
        <w:rPr/>
        <w:t>集召开，并聘请律师进行现场见证。</w:t>
      </w:r>
    </w:p>
    <w:p>
      <w:pPr>
        <w:pStyle w:val="BodyText"/>
        <w:spacing w:line="357" w:lineRule="auto" w:before="64"/>
        <w:ind w:left="354" w:right="1130"/>
        <w:jc w:val="left"/>
      </w:pPr>
      <w:r>
        <w:rPr/>
        <w:t>（二）关于董事和董事会 公司按照《公司法》、《公司章程》等规定选举董事，董事会的人数和人员构成符合法律法规的要求；公司董事会职责</w:t>
      </w:r>
    </w:p>
    <w:p>
      <w:pPr>
        <w:pStyle w:val="BodyText"/>
        <w:spacing w:line="224" w:lineRule="exact"/>
        <w:ind w:right="0"/>
        <w:jc w:val="both"/>
      </w:pPr>
      <w:r>
        <w:rPr/>
        <w:t>清晰，公司各位董事能够依据《董事会议事规则》等制度，认真出席董事会会议。每位独立董事均严格遵守《独立董事工作</w:t>
      </w:r>
    </w:p>
    <w:p>
      <w:pPr>
        <w:pStyle w:val="BodyText"/>
        <w:spacing w:line="319" w:lineRule="auto" w:before="76"/>
        <w:ind w:right="1131"/>
        <w:jc w:val="both"/>
      </w:pPr>
      <w:r>
        <w:rPr>
          <w:spacing w:val="-2"/>
        </w:rPr>
        <w:t>制度》，认真负责、勤勉诚信地履行各自的职责。公司董事会下设审计委员会、战略委员会、提名委员会、薪酬与考核委员</w:t>
      </w:r>
      <w:r>
        <w:rPr>
          <w:spacing w:val="-72"/>
        </w:rPr>
        <w:t> </w:t>
      </w:r>
      <w:r>
        <w:rPr>
          <w:spacing w:val="-72"/>
        </w:rPr>
      </w:r>
      <w:r>
        <w:rPr>
          <w:spacing w:val="-2"/>
        </w:rPr>
        <w:t>会等四个专业委员会，其成员组成合理。专业委员会设立以来，均严格按照相应工作条例开展工作，已在公司的经营管理中</w:t>
      </w:r>
      <w:r>
        <w:rPr>
          <w:spacing w:val="-66"/>
        </w:rPr>
        <w:t> </w:t>
      </w:r>
      <w:r>
        <w:rPr>
          <w:spacing w:val="-66"/>
        </w:rPr>
      </w:r>
      <w:r>
        <w:rPr/>
        <w:t>充分发挥了其专业性作用。</w:t>
      </w:r>
    </w:p>
    <w:p>
      <w:pPr>
        <w:pStyle w:val="BodyText"/>
        <w:spacing w:line="357" w:lineRule="auto" w:before="56"/>
        <w:ind w:left="354" w:right="0"/>
        <w:jc w:val="left"/>
      </w:pPr>
      <w:r>
        <w:rPr/>
        <w:t>（三）关于监事和监事会 </w:t>
      </w:r>
      <w:r>
        <w:rPr>
          <w:spacing w:val="-4"/>
        </w:rPr>
        <w:t>公司监事会人数和人员构成符合法律、法规的要求，能够依据《监事会议事规则》等制度，各监事严格按照《公司章程》、</w:t>
      </w:r>
    </w:p>
    <w:p>
      <w:pPr>
        <w:pStyle w:val="BodyText"/>
        <w:spacing w:line="224" w:lineRule="exact"/>
        <w:ind w:right="0"/>
        <w:jc w:val="both"/>
      </w:pPr>
      <w:r>
        <w:rPr/>
        <w:t>《公司监事会议事规则》等相关内部制度行使职权，认真履行自己的职责，出席股东大会、列席董事会会议，对董事会决策</w:t>
      </w:r>
    </w:p>
    <w:p>
      <w:pPr>
        <w:pStyle w:val="BodyText"/>
        <w:spacing w:line="319" w:lineRule="auto" w:before="76"/>
        <w:ind w:right="1134"/>
        <w:jc w:val="both"/>
      </w:pPr>
      <w:r>
        <w:rPr>
          <w:spacing w:val="-2"/>
        </w:rPr>
        <w:t>程序、决议事项及公司依法运作情况实施监督，全体监事能够切实履行职责，诚信、勤勉、尽责，监事会的召集、召开、表</w:t>
      </w:r>
      <w:r>
        <w:rPr>
          <w:spacing w:val="-68"/>
        </w:rPr>
        <w:t> </w:t>
      </w:r>
      <w:r>
        <w:rPr>
          <w:spacing w:val="-68"/>
        </w:rPr>
      </w:r>
      <w:r>
        <w:rPr/>
        <w:t>决及信息披露程序符合相关规定。</w:t>
      </w:r>
    </w:p>
    <w:p>
      <w:pPr>
        <w:pStyle w:val="BodyText"/>
        <w:spacing w:line="357" w:lineRule="auto" w:before="58"/>
        <w:ind w:left="354" w:right="1130"/>
        <w:jc w:val="left"/>
      </w:pPr>
      <w:r>
        <w:rPr/>
        <w:t>（四）关于信息披露和透明度 公司严格按照有关法律法规及公司制定的《公司信息披露管理制度》的要求，真实、准确、完整、及时地通过《证券时</w:t>
      </w:r>
    </w:p>
    <w:p>
      <w:pPr>
        <w:pStyle w:val="BodyText"/>
        <w:spacing w:line="224" w:lineRule="exact"/>
        <w:ind w:right="0"/>
        <w:jc w:val="both"/>
      </w:pPr>
      <w:r>
        <w:rPr/>
        <w:t>报》、《上海证券报》、《中国证券报》、《证券日报》和巨潮资讯网为公司信息披露的报纸、网站切实履行上市公司信息</w:t>
      </w:r>
    </w:p>
    <w:p>
      <w:pPr>
        <w:pStyle w:val="BodyText"/>
        <w:spacing w:line="319" w:lineRule="auto" w:before="76"/>
        <w:ind w:right="1130"/>
        <w:jc w:val="both"/>
      </w:pPr>
      <w:r>
        <w:rPr>
          <w:spacing w:val="-2"/>
        </w:rPr>
        <w:t>披露的义务，并做好信息披露前的保密工作，保证公司信息披露的公开、公平、公正，积极维护公司和投资者，尤其是中小</w:t>
      </w:r>
      <w:r>
        <w:rPr>
          <w:spacing w:val="-68"/>
        </w:rPr>
        <w:t> </w:t>
      </w:r>
      <w:r>
        <w:rPr>
          <w:spacing w:val="-68"/>
        </w:rPr>
      </w:r>
      <w:r>
        <w:rPr/>
        <w:t>股东的合法权益。</w:t>
      </w:r>
    </w:p>
    <w:p>
      <w:pPr>
        <w:pStyle w:val="BodyText"/>
        <w:spacing w:line="240" w:lineRule="auto" w:before="56"/>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4" w:firstLine="73"/>
        <w:jc w:val="both"/>
      </w:pPr>
      <w:r>
        <w:rPr/>
        <w:t>公司自成立以来严格按照《公司法》、</w:t>
      </w:r>
      <w:r>
        <w:rPr>
          <w:spacing w:val="-65"/>
        </w:rPr>
        <w:t> </w:t>
      </w:r>
      <w:r>
        <w:rPr/>
        <w:t>《证券法》等有关法律、法规和《公司章程》的要求规范运作，在业务、资产、人</w:t>
      </w:r>
      <w:r>
        <w:rPr/>
        <w:t> 员、机构和财务等方面相互独立，拥有独立完整的生产、销售、研发系统，具备面向市场自主经营的能力。</w:t>
      </w:r>
    </w:p>
    <w:p>
      <w:pPr>
        <w:pStyle w:val="BodyText"/>
        <w:spacing w:line="300" w:lineRule="auto" w:before="19"/>
        <w:ind w:left="511" w:right="1130" w:firstLine="2"/>
        <w:jc w:val="left"/>
      </w:pPr>
      <w:r>
        <w:rPr>
          <w:rFonts w:ascii="Times New Roman" w:hAnsi="Times New Roman" w:cs="Times New Roman" w:eastAsia="Times New Roman" w:hint="default"/>
        </w:rPr>
        <w:t>1</w:t>
      </w:r>
      <w:r>
        <w:rPr/>
        <w:t>、业务独立 </w:t>
      </w:r>
      <w:r>
        <w:rPr>
          <w:spacing w:val="-2"/>
        </w:rPr>
        <w:t>公司业务独立于控股股东及其下属企业，拥有独立的研发、生产、销售业务体系，拥有完整的法人财产权，能够独立支</w:t>
      </w:r>
    </w:p>
    <w:p>
      <w:pPr>
        <w:pStyle w:val="BodyText"/>
        <w:spacing w:line="316" w:lineRule="auto" w:before="31"/>
        <w:ind w:right="1133"/>
        <w:jc w:val="both"/>
      </w:pPr>
      <w:r>
        <w:rPr>
          <w:spacing w:val="-2"/>
        </w:rPr>
        <w:t>配和使用人、财、物等生产要素，顺利组织和实施生产经营活动，能完全独立有序地开展所有业务。公司的业务完全独立于</w:t>
      </w:r>
      <w:r>
        <w:rPr>
          <w:spacing w:val="-66"/>
        </w:rPr>
        <w:t> </w:t>
      </w:r>
      <w:r>
        <w:rPr>
          <w:spacing w:val="-66"/>
        </w:rPr>
      </w:r>
      <w:r>
        <w:rPr>
          <w:spacing w:val="-2"/>
        </w:rPr>
        <w:t>控股股东、实际控制人及其控制的其他企业，与控股股东、实际控制人及其控制的其他企业不存在同业竞争或显失公平的关</w:t>
      </w:r>
      <w:r>
        <w:rPr>
          <w:spacing w:val="-66"/>
        </w:rPr>
        <w:t> </w:t>
      </w:r>
      <w:r>
        <w:rPr>
          <w:spacing w:val="-66"/>
        </w:rPr>
      </w:r>
      <w:r>
        <w:rPr/>
        <w:t>联交易。</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1" w:right="1118"/>
        <w:jc w:val="left"/>
      </w:pPr>
      <w:r>
        <w:rPr>
          <w:rFonts w:ascii="Times New Roman" w:hAnsi="Times New Roman" w:cs="Times New Roman" w:eastAsia="Times New Roman" w:hint="default"/>
        </w:rPr>
        <w:t>2</w:t>
      </w:r>
      <w:r>
        <w:rPr/>
        <w:t>、资产完整 </w:t>
      </w:r>
      <w:r>
        <w:rPr>
          <w:spacing w:val="-2"/>
        </w:rPr>
        <w:t>公司为依法整体变更设立的股份有限公司，拥有独立、完整的资产，具有与生产经营有关的生产系统、辅助生产系统和</w:t>
      </w:r>
    </w:p>
    <w:p>
      <w:pPr>
        <w:pStyle w:val="BodyText"/>
        <w:spacing w:line="319" w:lineRule="auto" w:before="31"/>
        <w:ind w:right="0"/>
        <w:jc w:val="left"/>
      </w:pPr>
      <w:r>
        <w:rPr>
          <w:spacing w:val="-4"/>
        </w:rPr>
        <w:t>配套设施，合法拥有与生产经营有关的土地、厂房、机器设备以及商标、专利、非专利技术的所有权和使用权，且产权清晰；</w:t>
      </w:r>
      <w:r>
        <w:rPr>
          <w:spacing w:val="-44"/>
        </w:rPr>
        <w:t> </w:t>
      </w:r>
      <w:r>
        <w:rPr>
          <w:spacing w:val="-44"/>
        </w:rPr>
      </w:r>
      <w:r>
        <w:rPr>
          <w:spacing w:val="-2"/>
        </w:rPr>
        <w:t>公司对所有资产有完全的控制支配权，不存在与股东共同使用财产或相互提供服务等情形，不存在资产、资金被控股股东占</w:t>
      </w:r>
      <w:r>
        <w:rPr>
          <w:spacing w:val="-66"/>
        </w:rPr>
        <w:t> </w:t>
      </w:r>
      <w:r>
        <w:rPr>
          <w:spacing w:val="-66"/>
        </w:rPr>
      </w:r>
      <w:r>
        <w:rPr/>
        <w:t>用而损害公司利益的情况。</w:t>
      </w:r>
    </w:p>
    <w:p>
      <w:pPr>
        <w:pStyle w:val="BodyText"/>
        <w:spacing w:line="300" w:lineRule="auto" w:before="17"/>
        <w:ind w:left="511" w:right="1032"/>
        <w:jc w:val="left"/>
      </w:pPr>
      <w:r>
        <w:rPr>
          <w:rFonts w:ascii="Times New Roman" w:hAnsi="Times New Roman" w:cs="Times New Roman" w:eastAsia="Times New Roman" w:hint="default"/>
        </w:rPr>
        <w:t>3</w:t>
      </w:r>
      <w:r>
        <w:rPr/>
        <w:t>、人员独立 </w:t>
      </w:r>
      <w:r>
        <w:rPr>
          <w:spacing w:val="-4"/>
        </w:rPr>
        <w:t>公司独立招聘员工，设有独立的劳动、人事、工资管理体系。本公司董事、监事、高级管理人员均严格按照《公司法》、</w:t>
      </w:r>
    </w:p>
    <w:p>
      <w:pPr>
        <w:pStyle w:val="BodyText"/>
        <w:spacing w:line="316" w:lineRule="auto" w:before="31"/>
        <w:ind w:right="1131"/>
        <w:jc w:val="both"/>
      </w:pPr>
      <w:r>
        <w:rPr>
          <w:spacing w:val="-2"/>
        </w:rPr>
        <w:t>《公司章程》的有关规定经选举产生和聘任。公司总经理、副总经理、财务负责人、董事会秘书均在公司专职工作并领取薪</w:t>
      </w:r>
      <w:r>
        <w:rPr>
          <w:spacing w:val="-66"/>
        </w:rPr>
        <w:t> </w:t>
      </w:r>
      <w:r>
        <w:rPr>
          <w:spacing w:val="-66"/>
        </w:rPr>
      </w:r>
      <w:r>
        <w:rPr>
          <w:spacing w:val="-2"/>
        </w:rPr>
        <w:t>酬，未在控股股东及其它下属企业担任除董事、监事之外的任何职务；本公司的财务人员没有在控股股东、实际控制人及其</w:t>
      </w:r>
      <w:r>
        <w:rPr>
          <w:spacing w:val="-66"/>
        </w:rPr>
        <w:t> </w:t>
      </w:r>
      <w:r>
        <w:rPr>
          <w:spacing w:val="-66"/>
        </w:rPr>
      </w:r>
      <w:r>
        <w:rPr>
          <w:spacing w:val="-2"/>
        </w:rPr>
        <w:t>控制的其他企业中兼职。公司的董事、监事、高级管理人员及其近亲属所从事的工作均不存在与公司利益相冲突的情形，也</w:t>
      </w:r>
      <w:r>
        <w:rPr>
          <w:spacing w:val="-66"/>
        </w:rPr>
        <w:t> </w:t>
      </w:r>
      <w:r>
        <w:rPr>
          <w:spacing w:val="-66"/>
        </w:rPr>
      </w:r>
      <w:r>
        <w:rPr/>
        <w:t>未在与公司业务相同或相似的企业任职。</w:t>
      </w:r>
    </w:p>
    <w:p>
      <w:pPr>
        <w:pStyle w:val="BodyText"/>
        <w:spacing w:line="300" w:lineRule="auto" w:before="19"/>
        <w:ind w:left="511" w:right="1130"/>
        <w:jc w:val="left"/>
      </w:pPr>
      <w:r>
        <w:rPr>
          <w:rFonts w:ascii="Times New Roman" w:hAnsi="Times New Roman" w:cs="Times New Roman" w:eastAsia="Times New Roman" w:hint="default"/>
        </w:rPr>
        <w:t>4</w:t>
      </w:r>
      <w:r>
        <w:rPr/>
        <w:t>、机构独立 </w:t>
      </w:r>
      <w:r>
        <w:rPr>
          <w:spacing w:val="-2"/>
        </w:rPr>
        <w:t>公司设立了健全的组织机构体系，独立运作，不存在与控股股东或其职能部门之间的从属关系。公司建立了适应自身经</w:t>
      </w:r>
    </w:p>
    <w:p>
      <w:pPr>
        <w:pStyle w:val="BodyText"/>
        <w:spacing w:line="316" w:lineRule="auto" w:before="31"/>
        <w:ind w:right="1130"/>
        <w:jc w:val="left"/>
      </w:pPr>
      <w:r>
        <w:rPr>
          <w:spacing w:val="-2"/>
        </w:rPr>
        <w:t>营发展需要的组织结构，按照《公司法》的要求，建立健全了股东大会、董事会、监事会和经营管理层的组织结构体系，各</w:t>
      </w:r>
      <w:r>
        <w:rPr>
          <w:spacing w:val="-70"/>
        </w:rPr>
        <w:t> </w:t>
      </w:r>
      <w:r>
        <w:rPr>
          <w:spacing w:val="-70"/>
        </w:rPr>
      </w:r>
      <w:r>
        <w:rPr/>
        <w:t>机构均独立运作。公司的生产经营和办公机构与控股股东完全独立，不存在混合经营、合署办公的情形。</w:t>
      </w:r>
    </w:p>
    <w:p>
      <w:pPr>
        <w:pStyle w:val="BodyText"/>
        <w:spacing w:line="340" w:lineRule="auto" w:before="19"/>
        <w:ind w:left="444" w:right="1130" w:firstLine="67"/>
        <w:jc w:val="left"/>
      </w:pPr>
      <w:r>
        <w:rPr>
          <w:rFonts w:ascii="Times New Roman" w:hAnsi="Times New Roman" w:cs="Times New Roman" w:eastAsia="Times New Roman" w:hint="default"/>
        </w:rPr>
        <w:t>5</w:t>
      </w:r>
      <w:r>
        <w:rPr/>
        <w:t>、财务独立 </w:t>
      </w:r>
      <w:r>
        <w:rPr>
          <w:spacing w:val="-1"/>
        </w:rPr>
        <w:t>本公司作为独立纳税人，依法独立纳税。公司建立了独立的财务核算体系，具有规范的、符合上市公司要求的财务会计</w:t>
      </w:r>
    </w:p>
    <w:p>
      <w:pPr>
        <w:pStyle w:val="BodyText"/>
        <w:spacing w:line="319" w:lineRule="auto"/>
        <w:ind w:right="1032"/>
        <w:jc w:val="left"/>
      </w:pPr>
      <w:r>
        <w:rPr>
          <w:spacing w:val="-2"/>
        </w:rPr>
        <w:t>制度和对分公司、子公司的财务管理制度；公司能独立作出财务决策，不存在控制人干预公司资金使用的情况，不存在以资</w:t>
      </w:r>
      <w:r>
        <w:rPr>
          <w:spacing w:val="-66"/>
        </w:rPr>
        <w:t> </w:t>
      </w:r>
      <w:r>
        <w:rPr>
          <w:spacing w:val="-66"/>
        </w:rPr>
      </w:r>
      <w:r>
        <w:rPr>
          <w:spacing w:val="-2"/>
        </w:rPr>
        <w:t>产、权益或信誉为股东提供债务担保的情况，也不存在资产被股东占用而损害公司利益的情况。本公司财务负责人、财务会</w:t>
      </w:r>
      <w:r>
        <w:rPr>
          <w:spacing w:val="-66"/>
        </w:rPr>
        <w:t> </w:t>
      </w:r>
      <w:r>
        <w:rPr>
          <w:spacing w:val="-66"/>
        </w:rPr>
      </w:r>
      <w:r>
        <w:rPr/>
        <w:t>计人员均系专职工作人员，不存在在控股股东及其控制的其他企业兼职的情况。本公司独立开立基本存款账户，独立纳税， 不存在与控股股东、实际控制人及其控制的其他企业共用银行账户的情形。</w:t>
      </w:r>
    </w:p>
    <w:p>
      <w:pPr>
        <w:spacing w:line="240" w:lineRule="auto" w:before="7"/>
        <w:rPr>
          <w:rFonts w:ascii="宋体" w:hAnsi="宋体" w:cs="宋体" w:eastAsia="宋体" w:hint="default"/>
          <w:sz w:val="20"/>
          <w:szCs w:val="20"/>
        </w:rPr>
      </w:pPr>
    </w:p>
    <w:p>
      <w:pPr>
        <w:pStyle w:val="Heading2"/>
        <w:spacing w:line="240" w:lineRule="auto"/>
        <w:ind w:right="113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346"/>
        <w:gridCol w:w="1595"/>
        <w:gridCol w:w="1594"/>
        <w:gridCol w:w="1594"/>
        <w:gridCol w:w="159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会决议的公告。巨潮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24"/>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次临时股东 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346"/>
        <w:gridCol w:w="1595"/>
        <w:gridCol w:w="1594"/>
        <w:gridCol w:w="1594"/>
        <w:gridCol w:w="159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次临时股东 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次临时股东 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54"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次临时股 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54"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次临时股 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13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both"/>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032" w:firstLine="360"/>
        <w:jc w:val="left"/>
      </w:pPr>
      <w:r>
        <w:rPr/>
        <w:t>报告期内，公司独立董事严格按照《公司章程》、《独立董事工作制度》等的相关规定勤勉履行职责，忠实履行职务， </w:t>
      </w:r>
      <w:r>
        <w:rPr>
          <w:spacing w:val="-2"/>
        </w:rPr>
        <w:t>积极参加历次董事会，审议各项议案，对公司相关事项发表独立意见对公司的制度完善和经营发展决策等方面提出了许多宝</w:t>
      </w:r>
      <w:r>
        <w:rPr>
          <w:spacing w:val="-64"/>
        </w:rPr>
        <w:t> </w:t>
      </w:r>
      <w:r>
        <w:rPr>
          <w:spacing w:val="-64"/>
        </w:rPr>
      </w:r>
      <w:r>
        <w:rPr>
          <w:spacing w:val="-2"/>
        </w:rPr>
        <w:t>贵的专业性意见。通过出席董事会、股东大会、现场办公等方式，深入了解公司生产经营状况和内部控制的建设及董事会各</w:t>
      </w:r>
      <w:r>
        <w:rPr>
          <w:spacing w:val="-66"/>
        </w:rPr>
        <w:t> </w:t>
      </w:r>
      <w:r>
        <w:rPr>
          <w:spacing w:val="-66"/>
        </w:rPr>
      </w:r>
      <w:r>
        <w:rPr>
          <w:spacing w:val="-2"/>
        </w:rPr>
        <w:t>项决议执行情况，并利用自已的专业优势为公司经营和发展提出了合理化的意见和建议，对公司经营决策及保护中小投资者</w:t>
      </w:r>
      <w:r>
        <w:rPr>
          <w:spacing w:val="-64"/>
        </w:rPr>
        <w:t> </w:t>
      </w:r>
      <w:r>
        <w:rPr>
          <w:spacing w:val="-64"/>
        </w:rPr>
      </w:r>
      <w:r>
        <w:rPr/>
        <w:t>利益起到了发挥了积极作用。</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公司董事会下设四个专门委员会，分别为审计委员会、提名委员会、薪酬与考核委员会、战略委员会。各专门委员会职</w:t>
      </w:r>
      <w:r>
        <w:rPr/>
        <w:t> </w:t>
      </w:r>
      <w:r>
        <w:rPr>
          <w:spacing w:val="-2"/>
        </w:rPr>
        <w:t>责明确，依据公司董事会制定的各专门委员会工作制度履行职责，就专业性事项进行研究，提出意见及建议，为董事会决策</w:t>
      </w:r>
      <w:r>
        <w:rPr>
          <w:spacing w:val="-66"/>
        </w:rPr>
        <w:t> </w:t>
      </w:r>
      <w:r>
        <w:rPr>
          <w:spacing w:val="-66"/>
        </w:rPr>
      </w:r>
      <w:r>
        <w:rPr/>
        <w:t>提供参考，</w:t>
      </w:r>
      <w:r>
        <w:rPr>
          <w:rFonts w:ascii="Times New Roman" w:hAnsi="Times New Roman" w:cs="Times New Roman" w:eastAsia="Times New Roman" w:hint="default"/>
        </w:rPr>
        <w:t>2018</w:t>
      </w:r>
      <w:r>
        <w:rPr/>
        <w:t>年度各专门委员会履职情况如下：</w:t>
      </w:r>
    </w:p>
    <w:p>
      <w:pPr>
        <w:pStyle w:val="BodyText"/>
        <w:spacing w:line="316" w:lineRule="auto"/>
        <w:ind w:left="514" w:right="1130"/>
        <w:jc w:val="left"/>
      </w:pPr>
      <w:r>
        <w:rPr/>
        <w:t>（一）审计委员会 </w:t>
      </w:r>
      <w:r>
        <w:rPr>
          <w:spacing w:val="-2"/>
        </w:rPr>
        <w:t>公司审计委员会由三名董事组成，其中独立董事两名，并由会计专业的独立董事担任召集人。报告期内，公司董事会审</w:t>
      </w:r>
    </w:p>
    <w:p>
      <w:pPr>
        <w:pStyle w:val="BodyText"/>
        <w:spacing w:line="316" w:lineRule="auto" w:before="19"/>
        <w:ind w:right="1132"/>
        <w:jc w:val="both"/>
      </w:pPr>
      <w:r>
        <w:rPr>
          <w:spacing w:val="-2"/>
        </w:rPr>
        <w:t>计委员会根据《公司法》、《证券法》、《上市公司治理准则》、公司《董事会审计委员会工作制度》等有关规定，认真履</w:t>
      </w:r>
      <w:r>
        <w:rPr>
          <w:spacing w:val="-73"/>
        </w:rPr>
        <w:t> </w:t>
      </w:r>
      <w:r>
        <w:rPr>
          <w:spacing w:val="-73"/>
        </w:rPr>
      </w:r>
      <w:r>
        <w:rPr>
          <w:spacing w:val="-2"/>
        </w:rPr>
        <w:t>行职责，持续关注公司情况和重大事项进展，指导公司审计部在内部审计过程中应重点关注和检查的事项，督促公司内部控</w:t>
      </w:r>
      <w:r>
        <w:rPr>
          <w:spacing w:val="-66"/>
        </w:rPr>
        <w:t> </w:t>
      </w:r>
      <w:r>
        <w:rPr>
          <w:spacing w:val="-66"/>
        </w:rPr>
      </w:r>
      <w:r>
        <w:rPr>
          <w:spacing w:val="-2"/>
        </w:rPr>
        <w:t>制的有效执行。与公司聘任的审计机构积极沟通、加强联系，督促其提高审计效率，按计划进行审计工作，切实履行了审计</w:t>
      </w:r>
      <w:r>
        <w:rPr>
          <w:spacing w:val="-66"/>
        </w:rPr>
        <w:t> </w:t>
      </w:r>
      <w:r>
        <w:rPr>
          <w:spacing w:val="-66"/>
        </w:rPr>
      </w:r>
      <w:r>
        <w:rPr/>
        <w:t>委员会的职责。</w:t>
      </w:r>
    </w:p>
    <w:p>
      <w:pPr>
        <w:pStyle w:val="BodyText"/>
        <w:spacing w:line="319" w:lineRule="auto" w:before="19"/>
        <w:ind w:left="514" w:right="1130"/>
        <w:jc w:val="left"/>
      </w:pPr>
      <w:r>
        <w:rPr/>
        <w:t>（二）提名委员会 </w:t>
      </w:r>
      <w:r>
        <w:rPr>
          <w:spacing w:val="-2"/>
        </w:rPr>
        <w:t>提名委员会成员由三名董事组成，其中独立董事两名，</w:t>
      </w:r>
      <w:r>
        <w:rPr>
          <w:rFonts w:ascii="Times New Roman" w:hAnsi="Times New Roman" w:cs="Times New Roman" w:eastAsia="Times New Roman" w:hint="default"/>
          <w:spacing w:val="-2"/>
        </w:rPr>
        <w:t>2018</w:t>
      </w:r>
      <w:r>
        <w:rPr>
          <w:spacing w:val="-2"/>
        </w:rPr>
        <w:t>年度，公司提名委员会各委员积极履行职责，为公司第四届</w:t>
      </w:r>
    </w:p>
    <w:p>
      <w:pPr>
        <w:pStyle w:val="BodyText"/>
        <w:spacing w:line="231" w:lineRule="exact"/>
        <w:ind w:right="0"/>
        <w:jc w:val="both"/>
      </w:pPr>
      <w:r>
        <w:rPr/>
        <w:t>董事会的董事的聘任，提供了专业的建议和意见，协助公司顺利完成董事的任免工作。</w:t>
      </w:r>
    </w:p>
    <w:p>
      <w:pPr>
        <w:pStyle w:val="BodyText"/>
        <w:spacing w:line="316" w:lineRule="auto" w:before="76"/>
        <w:ind w:left="514" w:right="1130"/>
        <w:jc w:val="left"/>
      </w:pPr>
      <w:r>
        <w:rPr/>
        <w:t>（三）薪酬与考核委员会 </w:t>
      </w:r>
      <w:r>
        <w:rPr>
          <w:spacing w:val="-2"/>
        </w:rPr>
        <w:t>薪酬与考核委员会成员由三名董事组成，其中独立董事两名，</w:t>
      </w:r>
      <w:r>
        <w:rPr>
          <w:rFonts w:ascii="Times New Roman" w:hAnsi="Times New Roman" w:cs="Times New Roman" w:eastAsia="Times New Roman" w:hint="default"/>
          <w:spacing w:val="-2"/>
        </w:rPr>
        <w:t>2018</w:t>
      </w:r>
      <w:r>
        <w:rPr>
          <w:spacing w:val="-2"/>
        </w:rPr>
        <w:t>年度，各位委员认真履行其职责，对公司董事、监事</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383.980011pt;margin-top:706.799988pt;width:149.8pt;height:15.6pt;mso-position-horizontal-relative:page;mso-position-vertical-relative:page;z-index:-1301536" coordorigin="7680,14136" coordsize="2996,312">
            <v:shape style="position:absolute;left:7680;top:14136;width:2996;height:312" coordorigin="7680,14136" coordsize="2996,312" path="m7680,14448l10675,14448,10675,14136,7680,14136,7680,14448xe" filled="true" fillcolor="#ffffff" stroked="false">
              <v:path arrowok="t"/>
              <v:fill type="solid"/>
            </v:shape>
            <w10:wrap type="none"/>
          </v:group>
        </w:pict>
      </w:r>
    </w:p>
    <w:p>
      <w:pPr>
        <w:pStyle w:val="BodyText"/>
        <w:spacing w:line="240" w:lineRule="auto" w:before="44"/>
        <w:ind w:right="1130"/>
        <w:jc w:val="left"/>
      </w:pPr>
      <w:r>
        <w:rPr/>
        <w:t>和高级管理人员薪酬情况等事项进行了审议。</w:t>
      </w:r>
    </w:p>
    <w:p>
      <w:pPr>
        <w:pStyle w:val="BodyText"/>
        <w:spacing w:line="360" w:lineRule="auto" w:before="76"/>
        <w:ind w:left="444" w:right="1130" w:firstLine="69"/>
        <w:jc w:val="left"/>
      </w:pPr>
      <w:r>
        <w:rPr/>
        <w:t>（四）战略委员会 </w:t>
      </w:r>
      <w:r>
        <w:rPr>
          <w:spacing w:val="-1"/>
        </w:rPr>
        <w:t>战略委员会成员由三名董事组成，其中独立董事两名，公司董事会战略委员会按照相关法律法规及《公司章程》、公司</w:t>
      </w:r>
    </w:p>
    <w:p>
      <w:pPr>
        <w:pStyle w:val="BodyText"/>
        <w:spacing w:line="221" w:lineRule="exact"/>
        <w:ind w:right="0"/>
        <w:jc w:val="left"/>
      </w:pPr>
      <w:r>
        <w:rPr/>
        <w:t>《董事会战略委员会工作制度》等相关制度的规定，战略委员会各委员认真履行职责，利用自身的专业知识，积极探讨符合</w:t>
      </w:r>
    </w:p>
    <w:p>
      <w:pPr>
        <w:pStyle w:val="BodyText"/>
        <w:spacing w:line="319" w:lineRule="auto" w:before="77"/>
        <w:ind w:right="1130"/>
        <w:jc w:val="left"/>
      </w:pPr>
      <w:r>
        <w:rPr>
          <w:spacing w:val="-2"/>
        </w:rPr>
        <w:t>公司发展方向的战略布局，对公司的战略发展及业务扩展等方面提出宝贵建议，为公司实现快速、持续、健康的发展积极出</w:t>
      </w:r>
      <w:r>
        <w:rPr>
          <w:spacing w:val="-66"/>
        </w:rPr>
        <w:t> </w:t>
      </w:r>
      <w:r>
        <w:rPr>
          <w:spacing w:val="-66"/>
        </w:rPr>
      </w:r>
      <w:r>
        <w:rPr/>
        <w:t>谋划策。</w:t>
      </w:r>
    </w:p>
    <w:p>
      <w:pPr>
        <w:spacing w:line="240" w:lineRule="auto" w:before="7"/>
        <w:rPr>
          <w:rFonts w:ascii="宋体" w:hAnsi="宋体" w:cs="宋体" w:eastAsia="宋体" w:hint="default"/>
          <w:sz w:val="20"/>
          <w:szCs w:val="20"/>
        </w:rPr>
      </w:pPr>
    </w:p>
    <w:p>
      <w:pPr>
        <w:pStyle w:val="Heading2"/>
        <w:spacing w:line="240" w:lineRule="auto"/>
        <w:ind w:right="113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监事会在报告期内的监督活动中发现公司是否存在风险</w:t>
      </w:r>
    </w:p>
    <w:p>
      <w:pPr>
        <w:pStyle w:val="BodyText"/>
        <w:spacing w:line="338" w:lineRule="auto" w:before="117"/>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3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left"/>
      </w:pPr>
      <w:r>
        <w:rPr>
          <w:spacing w:val="-2"/>
        </w:rPr>
        <w:t>根据《公司章程》、《董事、监事、高级管理人员薪酬制度》对董事、监事、高级管理人员进行考核，以上人员薪酬包括基</w:t>
      </w:r>
      <w:r>
        <w:rPr>
          <w:spacing w:val="-70"/>
        </w:rPr>
        <w:t> </w:t>
      </w:r>
      <w:r>
        <w:rPr>
          <w:spacing w:val="-70"/>
        </w:rPr>
      </w:r>
      <w:r>
        <w:rPr/>
        <w:t>本工资和年度绩效奖金两部分，年度绩效奖金与公司年度经营指标完成情况以及个人绩效评价相挂钩。</w:t>
      </w:r>
    </w:p>
    <w:p>
      <w:pPr>
        <w:spacing w:line="240" w:lineRule="auto" w:before="6"/>
        <w:rPr>
          <w:rFonts w:ascii="宋体" w:hAnsi="宋体" w:cs="宋体" w:eastAsia="宋体" w:hint="default"/>
          <w:sz w:val="20"/>
          <w:szCs w:val="20"/>
        </w:rPr>
      </w:pPr>
    </w:p>
    <w:p>
      <w:pPr>
        <w:pStyle w:val="Heading2"/>
        <w:spacing w:line="240" w:lineRule="auto"/>
        <w:ind w:right="113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报告期内发现的内部控制重大缺陷的具体情况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报告期内未发现内部控制重大缺陷</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41"/>
        <w:gridCol w:w="3039"/>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日刊登的：茂硕电源内部控制评价报告。巨潮资讯网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1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0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财务报告重大缺陷的迹象包括：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）公 </w:t>
            </w:r>
            <w:r>
              <w:rPr>
                <w:rFonts w:ascii="宋体" w:hAnsi="宋体" w:cs="宋体" w:eastAsia="宋体" w:hint="default"/>
                <w:spacing w:val="-6"/>
                <w:sz w:val="18"/>
                <w:szCs w:val="18"/>
              </w:rPr>
              <w:t>司董事、监事和高级管理人员的舞弊行为；</w:t>
            </w:r>
            <w:r>
              <w:rPr>
                <w:rFonts w:ascii="宋体" w:hAnsi="宋体" w:cs="宋体" w:eastAsia="宋体" w:hint="default"/>
                <w:sz w:val="18"/>
                <w:szCs w:val="18"/>
              </w:rPr>
            </w:r>
          </w:p>
          <w:p>
            <w:pPr>
              <w:pStyle w:val="TableParagraph"/>
              <w:spacing w:line="309" w:lineRule="auto" w:before="31"/>
              <w:ind w:left="22" w:right="-3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 （</w:t>
            </w:r>
            <w:r>
              <w:rPr>
                <w:rFonts w:ascii="Times New Roman" w:hAnsi="Times New Roman" w:cs="Times New Roman" w:eastAsia="Times New Roman" w:hint="default"/>
                <w:sz w:val="18"/>
                <w:szCs w:val="18"/>
              </w:rPr>
              <w:t>3</w:t>
            </w:r>
            <w:r>
              <w:rPr>
                <w:rFonts w:ascii="宋体" w:hAnsi="宋体" w:cs="宋体" w:eastAsia="宋体" w:hint="default"/>
                <w:sz w:val="18"/>
                <w:szCs w:val="18"/>
              </w:rPr>
              <w:t>） 注册会计师发现的却未被公司内部控制识 别的当期财务报告中的重大错报；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610"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10"/>
              <w:ind w:left="23" w:right="-39"/>
              <w:jc w:val="left"/>
              <w:rPr>
                <w:rFonts w:ascii="宋体" w:hAnsi="宋体" w:cs="宋体" w:eastAsia="宋体" w:hint="default"/>
                <w:sz w:val="18"/>
                <w:szCs w:val="18"/>
              </w:rPr>
            </w:pPr>
            <w:r>
              <w:rPr>
                <w:rFonts w:ascii="宋体" w:hAnsi="宋体" w:cs="宋体" w:eastAsia="宋体" w:hint="default"/>
                <w:sz w:val="18"/>
                <w:szCs w:val="18"/>
              </w:rPr>
              <w:t>审计委员会和审计部门对公司的对外财务 报告和财务报告内部控制监督无效。</w:t>
            </w:r>
            <w:r>
              <w:rPr>
                <w:rFonts w:ascii="宋体" w:hAnsi="宋体" w:cs="宋体" w:eastAsia="宋体" w:hint="default"/>
                <w:spacing w:val="-62"/>
                <w:sz w:val="18"/>
                <w:szCs w:val="18"/>
              </w:rPr>
              <w:t> </w:t>
            </w:r>
            <w:r>
              <w:rPr>
                <w:rFonts w:ascii="宋体" w:hAnsi="宋体" w:cs="宋体" w:eastAsia="宋体" w:hint="default"/>
                <w:sz w:val="18"/>
                <w:szCs w:val="18"/>
              </w:rPr>
              <w:t>财务</w:t>
            </w:r>
            <w:r>
              <w:rPr>
                <w:rFonts w:ascii="宋体" w:hAnsi="宋体" w:cs="宋体" w:eastAsia="宋体" w:hint="default"/>
                <w:sz w:val="18"/>
                <w:szCs w:val="18"/>
              </w:rPr>
              <w:t> 报告重要缺陷的迹象包括：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 公认会计准则选择和应用会计政策；</w:t>
            </w:r>
            <w:r>
              <w:rPr>
                <w:rFonts w:ascii="宋体" w:hAnsi="宋体" w:cs="宋体" w:eastAsia="宋体" w:hint="default"/>
                <w:spacing w:val="-62"/>
                <w:sz w:val="18"/>
                <w:szCs w:val="18"/>
              </w:rPr>
              <w:t> </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未建立反舞弊程序和控制措施；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）对 于非常规或特殊交易的账务处理没有建立 相应的控制机制或没有实施且没有相应的 补偿性控制； （</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 程的控制存在一项或多项缺陷且不能合理 保证编制的财务报表达到真实、完整的目 标。</w:t>
            </w:r>
            <w:r>
              <w:rPr>
                <w:rFonts w:ascii="宋体" w:hAnsi="宋体" w:cs="宋体" w:eastAsia="宋体" w:hint="default"/>
                <w:spacing w:val="-47"/>
                <w:sz w:val="18"/>
                <w:szCs w:val="18"/>
              </w:rPr>
              <w:t> </w:t>
            </w:r>
            <w:r>
              <w:rPr>
                <w:rFonts w:ascii="宋体" w:hAnsi="宋体" w:cs="宋体" w:eastAsia="宋体" w:hint="default"/>
                <w:sz w:val="18"/>
                <w:szCs w:val="18"/>
              </w:rPr>
              <w:t>一般缺陷是指除上述重大缺陷、重要</w:t>
            </w:r>
            <w:r>
              <w:rPr>
                <w:rFonts w:ascii="宋体" w:hAnsi="宋体" w:cs="宋体" w:eastAsia="宋体" w:hint="default"/>
                <w:sz w:val="18"/>
                <w:szCs w:val="18"/>
              </w:rPr>
              <w:t> 缺陷之外的其他控制缺陷。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10"/>
              <w:ind w:left="16"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离预期目标为重要缺陷； 如果缺陷发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r>
              <w:rPr>
                <w:rFonts w:ascii="Times New Roman" w:hAnsi="Times New Roman" w:cs="Times New Roman" w:eastAsia="Times New Roman" w:hint="default"/>
                <w:sz w:val="18"/>
                <w:szCs w:val="18"/>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1"/>
                <w:szCs w:val="11"/>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，则认定为一般缺陷；如果超过营业 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，则认定为重大缺</w:t>
            </w:r>
            <w:r>
              <w:rPr>
                <w:rFonts w:ascii="宋体" w:hAnsi="宋体" w:cs="宋体" w:eastAsia="宋体" w:hint="default"/>
                <w:sz w:val="18"/>
                <w:szCs w:val="18"/>
              </w:rPr>
              <w:t> 陷。</w:t>
            </w:r>
            <w:r>
              <w:rPr>
                <w:rFonts w:ascii="宋体" w:hAnsi="宋体" w:cs="宋体" w:eastAsia="宋体" w:hint="default"/>
                <w:spacing w:val="-64"/>
                <w:sz w:val="18"/>
                <w:szCs w:val="18"/>
              </w:rPr>
              <w:t> </w:t>
            </w:r>
            <w:r>
              <w:rPr>
                <w:rFonts w:ascii="宋体" w:hAnsi="宋体" w:cs="宋体" w:eastAsia="宋体" w:hint="default"/>
                <w:sz w:val="18"/>
                <w:szCs w:val="18"/>
              </w:rPr>
              <w:t>内部控制缺陷可能导致或导致的损失</w:t>
            </w:r>
            <w:r>
              <w:rPr>
                <w:rFonts w:ascii="宋体" w:hAnsi="宋体" w:cs="宋体" w:eastAsia="宋体" w:hint="default"/>
                <w:sz w:val="18"/>
                <w:szCs w:val="18"/>
              </w:rPr>
              <w:t> </w:t>
            </w:r>
            <w:r>
              <w:rPr>
                <w:rFonts w:ascii="宋体" w:hAnsi="宋体" w:cs="宋体" w:eastAsia="宋体" w:hint="default"/>
                <w:spacing w:val="-4"/>
                <w:sz w:val="18"/>
                <w:szCs w:val="18"/>
              </w:rPr>
              <w:t>与资产管理相关的，以资产总额指标衡量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的财务报告错报金额小于资产总额的 </w:t>
            </w:r>
            <w:r>
              <w:rPr>
                <w:rFonts w:ascii="Times New Roman" w:hAnsi="Times New Roman" w:cs="Times New Roman" w:eastAsia="Times New Roman" w:hint="default"/>
                <w:spacing w:val="-4"/>
                <w:sz w:val="18"/>
                <w:szCs w:val="18"/>
              </w:rPr>
              <w:t>0.25%</w:t>
            </w:r>
            <w:r>
              <w:rPr>
                <w:rFonts w:ascii="宋体" w:hAnsi="宋体" w:cs="宋体" w:eastAsia="宋体" w:hint="default"/>
                <w:spacing w:val="-4"/>
                <w:sz w:val="18"/>
                <w:szCs w:val="18"/>
              </w:rPr>
              <w:t>，则认定为一般缺陷；如果超过资产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认定为重要缺 </w:t>
            </w:r>
            <w:r>
              <w:rPr>
                <w:rFonts w:ascii="宋体" w:hAnsi="宋体" w:cs="宋体" w:eastAsia="宋体" w:hint="default"/>
                <w:spacing w:val="-5"/>
                <w:sz w:val="18"/>
                <w:szCs w:val="18"/>
              </w:rPr>
              <w:t>陷；如果超过资产总额</w:t>
            </w:r>
            <w:r>
              <w:rPr>
                <w:rFonts w:ascii="宋体" w:hAnsi="宋体" w:cs="宋体" w:eastAsia="宋体" w:hint="default"/>
                <w:spacing w:val="5"/>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p>
          <w:p>
            <w:pPr>
              <w:pStyle w:val="TableParagraph"/>
              <w:spacing w:line="196" w:lineRule="exact" w:before="19"/>
              <w:ind w:left="16" w:right="0"/>
              <w:jc w:val="left"/>
              <w:rPr>
                <w:rFonts w:ascii="宋体" w:hAnsi="宋体" w:cs="宋体" w:eastAsia="宋体" w:hint="default"/>
                <w:sz w:val="18"/>
                <w:szCs w:val="18"/>
              </w:rPr>
            </w:pPr>
            <w:r>
              <w:rPr>
                <w:rFonts w:ascii="宋体" w:hAnsi="宋体" w:cs="宋体" w:eastAsia="宋体" w:hint="default"/>
                <w:spacing w:val="-4"/>
                <w:sz w:val="18"/>
                <w:szCs w:val="18"/>
              </w:rPr>
              <w:t>的损失与利润报表相关的，以营业收入</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p>
          <w:p>
            <w:pPr>
              <w:pStyle w:val="TableParagraph"/>
              <w:spacing w:line="312" w:lineRule="exact" w:before="37"/>
              <w:ind w:left="16" w:right="23"/>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 陷；如果超过营业收入的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认定为重要缺陷；如果超过营业收 入的</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，则认定为重大缺陷。内部控</w:t>
            </w:r>
            <w:r>
              <w:rPr>
                <w:rFonts w:ascii="宋体" w:hAnsi="宋体" w:cs="宋体" w:eastAsia="宋体" w:hint="default"/>
                <w:sz w:val="18"/>
                <w:szCs w:val="18"/>
              </w:rPr>
              <w:t> 制缺陷可能导致或导致的损失与资产</w:t>
            </w:r>
          </w:p>
          <w:p>
            <w:pPr>
              <w:pStyle w:val="TableParagraph"/>
              <w:spacing w:line="8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管理相关的，以资产总额指标衡量。如</w:t>
            </w:r>
          </w:p>
          <w:p>
            <w:pPr>
              <w:pStyle w:val="TableParagraph"/>
              <w:spacing w:line="312" w:lineRule="auto" w:before="76"/>
              <w:ind w:left="16" w:right="20"/>
              <w:jc w:val="left"/>
              <w:rPr>
                <w:rFonts w:ascii="宋体" w:hAnsi="宋体" w:cs="宋体" w:eastAsia="宋体" w:hint="default"/>
                <w:sz w:val="18"/>
                <w:szCs w:val="18"/>
              </w:rPr>
            </w:pPr>
            <w:r>
              <w:rPr>
                <w:rFonts w:ascii="宋体" w:hAnsi="宋体" w:cs="宋体" w:eastAsia="宋体" w:hint="default"/>
                <w:sz w:val="18"/>
                <w:szCs w:val="18"/>
              </w:rPr>
              <w:t>果该缺陷单独或连同其他缺陷可能导 致的财务报告错报金额小于资产总额 的</w:t>
            </w:r>
            <w:r>
              <w:rPr>
                <w:rFonts w:ascii="宋体" w:hAnsi="宋体" w:cs="宋体" w:eastAsia="宋体" w:hint="default"/>
                <w:spacing w:val="6"/>
                <w:sz w:val="18"/>
                <w:szCs w:val="18"/>
              </w:rPr>
              <w:t> </w:t>
            </w:r>
            <w:r>
              <w:rPr>
                <w:rFonts w:ascii="Times New Roman" w:hAnsi="Times New Roman" w:cs="Times New Roman" w:eastAsia="Times New Roman" w:hint="default"/>
                <w:spacing w:val="-5"/>
                <w:sz w:val="18"/>
                <w:szCs w:val="18"/>
              </w:rPr>
              <w:t>0.25%</w:t>
            </w:r>
            <w:r>
              <w:rPr>
                <w:rFonts w:ascii="宋体" w:hAnsi="宋体" w:cs="宋体" w:eastAsia="宋体" w:hint="default"/>
                <w:spacing w:val="-5"/>
                <w:sz w:val="18"/>
                <w:szCs w:val="18"/>
              </w:rPr>
              <w:t>，则认定为一般缺陷；如果超</w:t>
            </w:r>
            <w:r>
              <w:rPr>
                <w:rFonts w:ascii="宋体" w:hAnsi="宋体" w:cs="宋体" w:eastAsia="宋体" w:hint="default"/>
                <w:sz w:val="18"/>
                <w:szCs w:val="18"/>
              </w:rPr>
              <w:t> 过资产总额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 定为重要缺陷；如果超过资产总额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，则认定为重大缺陷。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624" w:lineRule="exact"/>
              <w:ind w:left="16" w:right="-28"/>
              <w:jc w:val="left"/>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624" w:lineRule="exact"/>
              <w:ind w:left="16" w:right="-28"/>
              <w:jc w:val="left"/>
              <w:rPr>
                <w:rFonts w:ascii="宋体" w:hAnsi="宋体" w:cs="宋体" w:eastAsia="宋体" w:hint="default"/>
                <w:sz w:val="20"/>
                <w:szCs w:val="20"/>
              </w:rPr>
            </w:pPr>
            <w:r>
              <w:rPr>
                <w:rFonts w:ascii="宋体" w:hAnsi="宋体" w:cs="宋体" w:eastAsia="宋体" w:hint="default"/>
                <w:position w:val="-11"/>
                <w:sz w:val="20"/>
                <w:szCs w:val="20"/>
              </w:rPr>
              <w:pict>
                <v:group style="width:149.8pt;height:31.25pt;mso-position-horizontal-relative:char;mso-position-vertical-relative:line" coordorigin="0,0" coordsize="2996,625">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3" coordorigin="0,312" coordsize="2996,313">
                    <v:shape style="position:absolute;left:0;top:312;width:2996;height:313" coordorigin="0,312" coordsize="2996,313" path="m0,624l2996,624,2996,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6"/>
                <w:szCs w:val="26"/>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13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30"/>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30"/>
        <w:jc w:val="left"/>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 006797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王建华 刘国军</w:t>
            </w:r>
          </w:p>
        </w:tc>
      </w:tr>
    </w:tbl>
    <w:p>
      <w:pPr>
        <w:spacing w:line="357" w:lineRule="auto" w:before="51"/>
        <w:ind w:left="4434" w:right="5410"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Heading4"/>
        <w:spacing w:line="240" w:lineRule="auto" w:before="44"/>
        <w:ind w:left="0" w:right="1132"/>
        <w:jc w:val="right"/>
        <w:rPr>
          <w:b w:val="0"/>
          <w:bCs w:val="0"/>
        </w:rPr>
      </w:pPr>
      <w:r>
        <w:rPr>
          <w:w w:val="95"/>
        </w:rPr>
        <w:t>大华审字</w:t>
      </w:r>
      <w:r>
        <w:rPr>
          <w:rFonts w:ascii="Times New Roman" w:hAnsi="Times New Roman" w:cs="Times New Roman" w:eastAsia="Times New Roman" w:hint="default"/>
          <w:w w:val="95"/>
        </w:rPr>
        <w:t>[2019]006797</w:t>
      </w:r>
      <w:r>
        <w:rPr>
          <w:w w:val="95"/>
        </w:rPr>
        <w:t>号</w:t>
      </w:r>
      <w:r>
        <w:rPr>
          <w:b w:val="0"/>
          <w:bCs w:val="0"/>
        </w:rPr>
      </w:r>
    </w:p>
    <w:p>
      <w:pPr>
        <w:spacing w:line="240" w:lineRule="auto" w:before="0"/>
        <w:rPr>
          <w:rFonts w:ascii="宋体" w:hAnsi="宋体" w:cs="宋体" w:eastAsia="宋体" w:hint="default"/>
          <w:b/>
          <w:bCs/>
          <w:sz w:val="18"/>
          <w:szCs w:val="18"/>
        </w:rPr>
      </w:pPr>
    </w:p>
    <w:p>
      <w:pPr>
        <w:pStyle w:val="Heading4"/>
        <w:spacing w:line="316" w:lineRule="auto" w:before="139"/>
        <w:ind w:right="7319"/>
        <w:jc w:val="left"/>
        <w:rPr>
          <w:b w:val="0"/>
          <w:bCs w:val="0"/>
        </w:rPr>
      </w:pPr>
      <w:r>
        <w:rPr/>
        <w:t>茂硕电源科技股份有限公司全体股东：</w:t>
      </w:r>
      <w:r>
        <w:rPr>
          <w:w w:val="99"/>
        </w:rPr>
        <w:t> </w:t>
      </w:r>
      <w:r>
        <w:rPr/>
        <w:t>一、审计意见</w:t>
      </w:r>
      <w:r>
        <w:rPr>
          <w:b w:val="0"/>
          <w:bCs w:val="0"/>
        </w:rPr>
      </w:r>
    </w:p>
    <w:p>
      <w:pPr>
        <w:pStyle w:val="BodyText"/>
        <w:spacing w:line="300" w:lineRule="auto" w:before="19"/>
        <w:ind w:right="1133" w:firstLine="360"/>
        <w:jc w:val="both"/>
      </w:pPr>
      <w:r>
        <w:rPr>
          <w:spacing w:val="2"/>
        </w:rPr>
        <w:t>我们审计了茂硕电源科技股份有限公司</w:t>
      </w:r>
      <w:r>
        <w:rPr>
          <w:rFonts w:ascii="Times New Roman" w:hAnsi="Times New Roman" w:cs="Times New Roman" w:eastAsia="Times New Roman" w:hint="default"/>
          <w:spacing w:val="2"/>
        </w:rPr>
        <w:t>(</w:t>
      </w:r>
      <w:r>
        <w:rPr>
          <w:spacing w:val="2"/>
        </w:rPr>
        <w:t>以下简称茂硕电源</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2018</w:t>
      </w:r>
      <w:r>
        <w:rPr/>
        <w:t>年度的合并及母公司利润表、合并及母公司现金流量表、合并及母公司股东权益变动表以及相关财务报表附注。</w:t>
      </w:r>
    </w:p>
    <w:p>
      <w:pPr>
        <w:pStyle w:val="BodyText"/>
        <w:spacing w:line="300" w:lineRule="auto" w:before="13"/>
        <w:ind w:right="1130" w:firstLine="360"/>
        <w:jc w:val="both"/>
      </w:pPr>
      <w:r>
        <w:rPr>
          <w:spacing w:val="-2"/>
        </w:rPr>
        <w:t>我们认为，后附的财务报表在所有重大方面按照企业会计准则的规定编制，公允反映了茂硕电源</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6" w:lineRule="auto" w:before="13"/>
        <w:ind w:left="514" w:right="113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30"/>
        <w:jc w:val="left"/>
      </w:pPr>
      <w:r>
        <w:rPr>
          <w:spacing w:val="-2"/>
        </w:rPr>
        <w:t>阐述了我们在这些准则下的责任。按照中国注册会计师职业道德守则，我们独立于茂硕电源，并履行了职业道德方面的其他</w:t>
      </w:r>
      <w:r>
        <w:rPr>
          <w:spacing w:val="-66"/>
        </w:rPr>
        <w:t> </w:t>
      </w:r>
      <w:r>
        <w:rPr>
          <w:spacing w:val="-66"/>
        </w:rPr>
      </w:r>
      <w:r>
        <w:rPr/>
        <w:t>责任。我们相信，我们获取的审计证据是充分、适当的，为发表审计意见提供了基础。</w:t>
      </w:r>
    </w:p>
    <w:p>
      <w:pPr>
        <w:pStyle w:val="BodyText"/>
        <w:spacing w:line="316" w:lineRule="auto" w:before="19"/>
        <w:ind w:left="514" w:right="1130"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19"/>
        <w:ind w:left="514" w:right="5532" w:hanging="360"/>
        <w:jc w:val="left"/>
      </w:pPr>
      <w:r>
        <w:rPr/>
        <w:t>审计并形成审计意见为背景，我们不对这些事项单独发表意见。 我们确定下列事项是需要在审计报告中沟通的关键审计事项： </w:t>
      </w:r>
      <w:r>
        <w:rPr>
          <w:rFonts w:ascii="宋体" w:hAnsi="宋体" w:cs="宋体" w:eastAsia="宋体" w:hint="default"/>
        </w:rPr>
        <w:t>1.</w:t>
      </w:r>
      <w:r>
        <w:rPr/>
        <w:t>应收账款的可回收性</w:t>
      </w:r>
    </w:p>
    <w:p>
      <w:pPr>
        <w:pStyle w:val="BodyText"/>
        <w:spacing w:line="240" w:lineRule="auto" w:before="19"/>
        <w:ind w:left="514" w:right="1130"/>
        <w:jc w:val="left"/>
      </w:pPr>
      <w:r>
        <w:rPr>
          <w:rFonts w:ascii="宋体" w:hAnsi="宋体" w:cs="宋体" w:eastAsia="宋体" w:hint="default"/>
        </w:rPr>
        <w:t>2.</w:t>
      </w:r>
      <w:r>
        <w:rPr/>
        <w:t>存货跌价准备</w:t>
      </w:r>
    </w:p>
    <w:p>
      <w:pPr>
        <w:pStyle w:val="BodyText"/>
        <w:spacing w:line="240" w:lineRule="auto" w:before="76"/>
        <w:ind w:left="514" w:right="1130"/>
        <w:jc w:val="left"/>
      </w:pPr>
      <w:r>
        <w:rPr>
          <w:rFonts w:ascii="宋体" w:hAnsi="宋体" w:cs="宋体" w:eastAsia="宋体" w:hint="default"/>
        </w:rPr>
        <w:t>3.</w:t>
      </w:r>
      <w:r>
        <w:rPr/>
        <w:t>非流动资产减值</w:t>
      </w:r>
    </w:p>
    <w:p>
      <w:pPr>
        <w:pStyle w:val="BodyText"/>
        <w:spacing w:line="300" w:lineRule="auto" w:before="76"/>
        <w:ind w:left="534" w:right="7692" w:hanging="2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应收账款的可回收性</w:t>
      </w:r>
      <w:r>
        <w:rPr>
          <w:w w:val="99"/>
        </w:rPr>
        <w:t> </w:t>
      </w:r>
      <w:r>
        <w:rPr>
          <w:rFonts w:ascii="宋体" w:hAnsi="宋体" w:cs="宋体" w:eastAsia="宋体" w:hint="default"/>
        </w:rPr>
        <w:t>1.</w:t>
      </w:r>
      <w:r>
        <w:rPr/>
        <w:t>事项描述</w:t>
      </w:r>
    </w:p>
    <w:p>
      <w:pPr>
        <w:pStyle w:val="BodyText"/>
        <w:spacing w:line="300" w:lineRule="auto" w:before="31"/>
        <w:ind w:right="1129" w:firstLine="360"/>
        <w:jc w:val="both"/>
      </w:pPr>
      <w:r>
        <w:rPr/>
        <w:t>如茂硕电源合并财务报表附注六、注释</w:t>
      </w:r>
      <w:r>
        <w:rPr>
          <w:rFonts w:ascii="Times New Roman" w:hAnsi="Times New Roman" w:cs="Times New Roman" w:eastAsia="Times New Roman" w:hint="default"/>
        </w:rPr>
        <w:t>2</w:t>
      </w:r>
      <w:r>
        <w:rPr/>
        <w:t>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日，茂硕电源应收账款账面余额</w:t>
      </w:r>
      <w:r>
        <w:rPr>
          <w:rFonts w:ascii="Times New Roman" w:hAnsi="Times New Roman" w:cs="Times New Roman" w:eastAsia="Times New Roman" w:hint="default"/>
        </w:rPr>
        <w:t>58,003.58</w:t>
      </w:r>
      <w:r>
        <w:rPr/>
        <w:t>万元，应收 账款坏账准备</w:t>
      </w:r>
      <w:r>
        <w:rPr>
          <w:rFonts w:ascii="Times New Roman" w:hAnsi="Times New Roman" w:cs="Times New Roman" w:eastAsia="Times New Roman" w:hint="default"/>
        </w:rPr>
        <w:t>11,725.61</w:t>
      </w:r>
      <w:r>
        <w:rPr/>
        <w:t>万元万元，账面价值</w:t>
      </w:r>
      <w:r>
        <w:rPr>
          <w:rFonts w:ascii="Times New Roman" w:hAnsi="Times New Roman" w:cs="Times New Roman" w:eastAsia="Times New Roman" w:hint="default"/>
        </w:rPr>
        <w:t>46,277.97</w:t>
      </w:r>
      <w:r>
        <w:rPr/>
        <w:t>万元，占资产总额的</w:t>
      </w:r>
      <w:r>
        <w:rPr>
          <w:rFonts w:ascii="Times New Roman" w:hAnsi="Times New Roman" w:cs="Times New Roman" w:eastAsia="Times New Roman" w:hint="default"/>
        </w:rPr>
        <w:t>32.35%</w:t>
      </w:r>
      <w:r>
        <w:rPr/>
        <w:t>。</w:t>
      </w:r>
    </w:p>
    <w:p>
      <w:pPr>
        <w:pStyle w:val="BodyText"/>
        <w:spacing w:line="319" w:lineRule="auto" w:before="13"/>
        <w:ind w:right="1132" w:firstLine="360"/>
        <w:jc w:val="both"/>
      </w:pPr>
      <w:r>
        <w:rPr>
          <w:spacing w:val="-2"/>
        </w:rPr>
        <w:t>管理层定期对重大客户进行单独的信用风险评估，该等评估重点关注客户的历史结算记录及当前支付能力，并考虑客户</w:t>
      </w:r>
      <w:r>
        <w:rPr/>
        <w:t> </w:t>
      </w:r>
      <w:r>
        <w:rPr>
          <w:spacing w:val="-2"/>
        </w:rPr>
        <w:t>自身及其所处行业的经济环境的特定信息。对于无须进行单独评估或单独评估未发生减值的应收账款，管理层在考虑该等客</w:t>
      </w:r>
      <w:r>
        <w:rPr>
          <w:spacing w:val="-64"/>
        </w:rPr>
        <w:t> </w:t>
      </w:r>
      <w:r>
        <w:rPr>
          <w:spacing w:val="-64"/>
        </w:rPr>
      </w:r>
      <w:r>
        <w:rPr/>
        <w:t>户组账龄分析及发生减值损失的历史记录基础上按风险组合进行价值评估。</w:t>
      </w:r>
    </w:p>
    <w:p>
      <w:pPr>
        <w:pStyle w:val="BodyText"/>
        <w:spacing w:line="316" w:lineRule="auto" w:before="17"/>
        <w:ind w:right="1131" w:firstLine="360"/>
        <w:jc w:val="both"/>
      </w:pPr>
      <w:r>
        <w:rPr>
          <w:spacing w:val="-2"/>
        </w:rPr>
        <w:t>由于应收账款可回收性的确定需要管理层识别已发生减值的项目和客观证据、评估预期未来可获取的现金流量并确定其</w:t>
      </w:r>
      <w:r>
        <w:rPr/>
        <w:t> </w:t>
      </w:r>
      <w:r>
        <w:rPr>
          <w:spacing w:val="-2"/>
        </w:rPr>
        <w:t>现值，涉及管理层运用重大会计估计和判断，且应收账款的可回收性对于财务报表具有重要影响，因此，我们将应收账款的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8232" w:hanging="360"/>
        <w:jc w:val="left"/>
      </w:pPr>
      <w:r>
        <w:rPr/>
        <w:t>可回收性认定为关键审计事项。 </w:t>
      </w:r>
      <w:r>
        <w:rPr>
          <w:rFonts w:ascii="宋体" w:hAnsi="宋体" w:cs="宋体" w:eastAsia="宋体" w:hint="default"/>
        </w:rPr>
        <w:t>1.</w:t>
      </w:r>
      <w:r>
        <w:rPr/>
        <w:t>审计应对</w:t>
      </w:r>
    </w:p>
    <w:p>
      <w:pPr>
        <w:pStyle w:val="BodyText"/>
        <w:spacing w:line="240" w:lineRule="auto" w:before="19"/>
        <w:ind w:left="514" w:right="1130"/>
        <w:jc w:val="left"/>
      </w:pPr>
      <w:r>
        <w:rPr/>
        <w:t>我们针对应收账款的可收回性认定执行的重要审计程序包括：</w:t>
      </w:r>
    </w:p>
    <w:p>
      <w:pPr>
        <w:pStyle w:val="BodyText"/>
        <w:spacing w:line="240" w:lineRule="auto" w:before="76"/>
        <w:ind w:left="514" w:right="1130"/>
        <w:jc w:val="left"/>
      </w:pPr>
      <w:r>
        <w:rPr/>
        <w:t>（</w:t>
      </w:r>
      <w:r>
        <w:rPr>
          <w:rFonts w:ascii="Times New Roman" w:hAnsi="Times New Roman" w:cs="Times New Roman" w:eastAsia="Times New Roman" w:hint="default"/>
        </w:rPr>
        <w:t>1</w:t>
      </w:r>
      <w:r>
        <w:rPr/>
        <w:t>）对与应收账款日常管理及可回收性评估相关的内部控制的设计及运行有效性进行了解、评估及测试；</w:t>
      </w:r>
    </w:p>
    <w:p>
      <w:pPr>
        <w:pStyle w:val="BodyText"/>
        <w:spacing w:line="309" w:lineRule="auto" w:before="63"/>
        <w:ind w:right="1131" w:firstLine="360"/>
        <w:jc w:val="both"/>
      </w:pPr>
      <w:r>
        <w:rPr/>
        <w:t>（</w:t>
      </w:r>
      <w:r>
        <w:rPr>
          <w:rFonts w:ascii="Times New Roman" w:hAnsi="Times New Roman" w:cs="Times New Roman" w:eastAsia="Times New Roman" w:hint="default"/>
        </w:rPr>
        <w:t>2</w:t>
      </w:r>
      <w:r>
        <w:rPr/>
        <w:t>）分析应收账款坏账准备会计估计的合理性，包括确定应收账款组合的依据、金额重大的判断、单独计提坏账准备 </w:t>
      </w:r>
      <w:r>
        <w:rPr>
          <w:spacing w:val="-2"/>
        </w:rPr>
        <w:t>的判断等；并对单项金额重大并单独计提坏账准备的应收账款，获取资料并复核管理层对预计未来可获得的现金流量做出评</w:t>
      </w:r>
      <w:r>
        <w:rPr>
          <w:spacing w:val="-64"/>
        </w:rPr>
        <w:t> </w:t>
      </w:r>
      <w:r>
        <w:rPr>
          <w:spacing w:val="-64"/>
        </w:rPr>
      </w:r>
      <w:r>
        <w:rPr/>
        <w:t>估的依据；</w:t>
      </w:r>
    </w:p>
    <w:p>
      <w:pPr>
        <w:pStyle w:val="BodyText"/>
        <w:spacing w:line="309" w:lineRule="auto" w:before="24"/>
        <w:ind w:right="1131" w:firstLine="360"/>
        <w:jc w:val="both"/>
      </w:pPr>
      <w:r>
        <w:rPr/>
        <w:t>（</w:t>
      </w:r>
      <w:r>
        <w:rPr>
          <w:rFonts w:ascii="Times New Roman" w:hAnsi="Times New Roman" w:cs="Times New Roman" w:eastAsia="Times New Roman" w:hint="default"/>
        </w:rPr>
        <w:t>3</w:t>
      </w:r>
      <w:r>
        <w:rPr/>
        <w:t>）分析应收账款的账龄及对应客户信誉情况，并执行应收账款函证程序及检查期后回款情况，特别关注账龄在一年 </w:t>
      </w:r>
      <w:r>
        <w:rPr>
          <w:spacing w:val="-2"/>
        </w:rPr>
        <w:t>以上且金额重大的应收账款和已发起诉讼的应收账款，对客户背景、经营状况、诉讼情况等进行调查，实施函证及期后回款</w:t>
      </w:r>
      <w:r>
        <w:rPr>
          <w:spacing w:val="-66"/>
        </w:rPr>
        <w:t> </w:t>
      </w:r>
      <w:r>
        <w:rPr>
          <w:spacing w:val="-66"/>
        </w:rPr>
      </w:r>
      <w:r>
        <w:rPr/>
        <w:t>检查程序，评价应收账款坏账准备计提的合理性和充分性；</w:t>
      </w:r>
    </w:p>
    <w:p>
      <w:pPr>
        <w:pStyle w:val="BodyText"/>
        <w:spacing w:line="240" w:lineRule="auto" w:before="24"/>
        <w:ind w:left="514" w:right="1130"/>
        <w:jc w:val="left"/>
      </w:pPr>
      <w:r>
        <w:rPr/>
        <w:t>（</w:t>
      </w:r>
      <w:r>
        <w:rPr>
          <w:rFonts w:ascii="Times New Roman" w:hAnsi="Times New Roman" w:cs="Times New Roman" w:eastAsia="Times New Roman" w:hint="default"/>
        </w:rPr>
        <w:t>4</w:t>
      </w:r>
      <w:r>
        <w:rPr/>
        <w:t>）获取坏账准备计提表，检查计提方法是否按照会计政策执行；重新计算坏账准备计提金额是否准确；</w:t>
      </w:r>
    </w:p>
    <w:p>
      <w:pPr>
        <w:pStyle w:val="BodyText"/>
        <w:spacing w:line="309" w:lineRule="auto" w:before="63"/>
        <w:ind w:left="514" w:right="2472"/>
        <w:jc w:val="left"/>
      </w:pPr>
      <w:r>
        <w:rPr/>
        <w:t>（</w:t>
      </w:r>
      <w:r>
        <w:rPr>
          <w:rFonts w:ascii="Times New Roman" w:hAnsi="Times New Roman" w:cs="Times New Roman" w:eastAsia="Times New Roman" w:hint="default"/>
        </w:rPr>
        <w:t>5</w:t>
      </w:r>
      <w:r>
        <w:rPr/>
        <w:t>）评估管理层于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日对应收账款坏账准备的会计处理及披露。 基于上述所实施的审计程序，我们认为，管理层对应收账款的可回收性的相关判断及估计是合理的。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t>存货跌价准备</w:t>
      </w:r>
    </w:p>
    <w:p>
      <w:pPr>
        <w:pStyle w:val="BodyText"/>
        <w:spacing w:line="316" w:lineRule="auto" w:before="5"/>
        <w:ind w:left="514" w:right="1122"/>
        <w:jc w:val="left"/>
      </w:pPr>
      <w:r>
        <w:rPr>
          <w:rFonts w:ascii="宋体" w:hAnsi="宋体" w:cs="宋体" w:eastAsia="宋体" w:hint="default"/>
        </w:rPr>
        <w:t>1.</w:t>
      </w:r>
      <w:r>
        <w:rPr/>
        <w:t>事项描述 如茂硕电源合并财务报表附注六、注释</w:t>
      </w:r>
      <w:r>
        <w:rPr>
          <w:rFonts w:ascii="Times New Roman" w:hAnsi="Times New Roman" w:cs="Times New Roman" w:eastAsia="Times New Roman" w:hint="default"/>
        </w:rPr>
        <w:t>5</w:t>
      </w:r>
      <w:r>
        <w:rPr/>
        <w:t>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日，茂硕电源存货账面余额</w:t>
      </w:r>
      <w:r>
        <w:rPr>
          <w:rFonts w:ascii="Times New Roman" w:hAnsi="Times New Roman" w:cs="Times New Roman" w:eastAsia="Times New Roman" w:hint="default"/>
        </w:rPr>
        <w:t>19,892.34</w:t>
      </w:r>
      <w:r>
        <w:rPr/>
        <w:t>万元，存货跌价</w:t>
      </w:r>
    </w:p>
    <w:p>
      <w:pPr>
        <w:pStyle w:val="BodyText"/>
        <w:spacing w:line="300" w:lineRule="auto"/>
        <w:ind w:left="514" w:right="1130" w:hanging="360"/>
        <w:jc w:val="left"/>
      </w:pPr>
      <w:r>
        <w:rPr/>
        <w:t>准备</w:t>
      </w:r>
      <w:r>
        <w:rPr>
          <w:rFonts w:ascii="Times New Roman" w:hAnsi="Times New Roman" w:cs="Times New Roman" w:eastAsia="Times New Roman" w:hint="default"/>
        </w:rPr>
        <w:t>5,965.26</w:t>
      </w:r>
      <w:r>
        <w:rPr/>
        <w:t>万元，账面价值</w:t>
      </w:r>
      <w:r>
        <w:rPr>
          <w:rFonts w:ascii="Times New Roman" w:hAnsi="Times New Roman" w:cs="Times New Roman" w:eastAsia="Times New Roman" w:hint="default"/>
        </w:rPr>
        <w:t>13,927.08</w:t>
      </w:r>
      <w:r>
        <w:rPr/>
        <w:t>万元，占资产总额的</w:t>
      </w:r>
      <w:r>
        <w:rPr>
          <w:rFonts w:ascii="Times New Roman" w:hAnsi="Times New Roman" w:cs="Times New Roman" w:eastAsia="Times New Roman" w:hint="default"/>
        </w:rPr>
        <w:t>8.17%</w:t>
      </w:r>
      <w:r>
        <w:rPr/>
        <w:t>。 </w:t>
      </w:r>
      <w:r>
        <w:rPr>
          <w:spacing w:val="-2"/>
        </w:rPr>
        <w:t>存货的可变现净值的确定要求管理层对存货的售价、至完工时将要发生的成本、销售费用以及相关税费进行估计。这些</w:t>
      </w:r>
    </w:p>
    <w:p>
      <w:pPr>
        <w:pStyle w:val="BodyText"/>
        <w:spacing w:line="316" w:lineRule="auto" w:before="31"/>
        <w:ind w:left="514" w:right="1212" w:hanging="360"/>
        <w:jc w:val="left"/>
      </w:pPr>
      <w:r>
        <w:rPr/>
        <w:t>内容涉及管理层运用重大会计估计和判断，有可能受到管理层偏向的影响，因此我们将存货跌价准备作为关键审计事项。 </w:t>
      </w:r>
      <w:r>
        <w:rPr>
          <w:rFonts w:ascii="宋体" w:hAnsi="宋体" w:cs="宋体" w:eastAsia="宋体" w:hint="default"/>
        </w:rPr>
        <w:t>1.</w:t>
      </w:r>
      <w:r>
        <w:rPr/>
        <w:t>审计应对</w:t>
      </w:r>
    </w:p>
    <w:p>
      <w:pPr>
        <w:pStyle w:val="BodyText"/>
        <w:spacing w:line="240" w:lineRule="auto" w:before="19"/>
        <w:ind w:left="514" w:right="1130"/>
        <w:jc w:val="left"/>
      </w:pPr>
      <w:r>
        <w:rPr/>
        <w:t>我们针对存货跌价准备所实施的重要审计程序包括：</w:t>
      </w:r>
    </w:p>
    <w:p>
      <w:pPr>
        <w:pStyle w:val="BodyText"/>
        <w:spacing w:line="240" w:lineRule="auto" w:before="76"/>
        <w:ind w:left="514" w:right="1130"/>
        <w:jc w:val="left"/>
      </w:pPr>
      <w:r>
        <w:rPr/>
        <w:t>（</w:t>
      </w:r>
      <w:r>
        <w:rPr>
          <w:rFonts w:ascii="Times New Roman" w:hAnsi="Times New Roman" w:cs="Times New Roman" w:eastAsia="Times New Roman" w:hint="default"/>
        </w:rPr>
        <w:t>1</w:t>
      </w:r>
      <w:r>
        <w:rPr/>
        <w:t>）对存货减值测试相关的内部控制的设计及运行有效性进行了解、评估和测试；</w:t>
      </w:r>
    </w:p>
    <w:p>
      <w:pPr>
        <w:pStyle w:val="BodyText"/>
        <w:spacing w:line="240" w:lineRule="auto" w:before="63"/>
        <w:ind w:left="514" w:right="1130"/>
        <w:jc w:val="left"/>
      </w:pPr>
      <w:r>
        <w:rPr/>
        <w:t>（</w:t>
      </w:r>
      <w:r>
        <w:rPr>
          <w:rFonts w:ascii="Times New Roman" w:hAnsi="Times New Roman" w:cs="Times New Roman" w:eastAsia="Times New Roman" w:hint="default"/>
        </w:rPr>
        <w:t>2</w:t>
      </w:r>
      <w:r>
        <w:rPr/>
        <w:t>）实施存货监盘程序，盘点存货的数量及检查存货状况，关注残次冷背的存货是否被识别；</w:t>
      </w:r>
    </w:p>
    <w:p>
      <w:pPr>
        <w:pStyle w:val="BodyText"/>
        <w:spacing w:line="240" w:lineRule="auto" w:before="63"/>
        <w:ind w:left="514" w:right="1130"/>
        <w:jc w:val="left"/>
      </w:pPr>
      <w:r>
        <w:rPr/>
        <w:t>（</w:t>
      </w:r>
      <w:r>
        <w:rPr>
          <w:rFonts w:ascii="Times New Roman" w:hAnsi="Times New Roman" w:cs="Times New Roman" w:eastAsia="Times New Roman" w:hint="default"/>
        </w:rPr>
        <w:t>3</w:t>
      </w:r>
      <w:r>
        <w:rPr/>
        <w:t>）对存货周转天数以及存货库龄执行分析性程序，判断是否存在因较长库龄的存货导致存货减值的风险；</w:t>
      </w:r>
    </w:p>
    <w:p>
      <w:pPr>
        <w:pStyle w:val="BodyText"/>
        <w:spacing w:line="300" w:lineRule="auto" w:before="63"/>
        <w:ind w:right="1122" w:firstLine="360"/>
        <w:jc w:val="left"/>
      </w:pPr>
      <w:r>
        <w:rPr/>
        <w:t>（</w:t>
      </w:r>
      <w:r>
        <w:rPr>
          <w:rFonts w:ascii="Times New Roman" w:hAnsi="Times New Roman" w:cs="Times New Roman" w:eastAsia="Times New Roman" w:hint="default"/>
        </w:rPr>
        <w:t>4</w:t>
      </w:r>
      <w:r>
        <w:rPr/>
        <w:t>）获取存货跌价准备计算表，检查计提方法是否按照会计政策执行；重新计算存货跌价准备计提金额是否准确，并 检查以前年度计提的存货跌价本期的变化情况等，分析存货跌价准备计提是否充分。</w:t>
      </w:r>
    </w:p>
    <w:p>
      <w:pPr>
        <w:pStyle w:val="BodyText"/>
        <w:spacing w:line="309" w:lineRule="auto" w:before="31"/>
        <w:ind w:left="514" w:right="3912"/>
        <w:jc w:val="left"/>
      </w:pPr>
      <w:r>
        <w:rPr/>
        <w:t>（</w:t>
      </w:r>
      <w:r>
        <w:rPr>
          <w:rFonts w:ascii="Times New Roman" w:hAnsi="Times New Roman" w:cs="Times New Roman" w:eastAsia="Times New Roman" w:hint="default"/>
        </w:rPr>
        <w:t>5</w:t>
      </w:r>
      <w:r>
        <w:rPr/>
        <w:t>）评估管理层于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日对存货跌价准备的会计处理及披露。 基于上述所实施的审计程序，我们认为，管理层对存货跌价准备的计提是合理的。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非流动资产减值</w:t>
      </w:r>
    </w:p>
    <w:p>
      <w:pPr>
        <w:pStyle w:val="BodyText"/>
        <w:spacing w:line="316" w:lineRule="auto" w:before="5"/>
        <w:ind w:left="514" w:right="1122"/>
        <w:jc w:val="left"/>
      </w:pPr>
      <w:r>
        <w:rPr>
          <w:rFonts w:ascii="宋体" w:hAnsi="宋体" w:cs="宋体" w:eastAsia="宋体" w:hint="default"/>
        </w:rPr>
        <w:t>1.</w:t>
      </w:r>
      <w:r>
        <w:rPr/>
        <w:t>事项描述 如茂硕电源合并财务报表附注六、注释</w:t>
      </w:r>
      <w:r>
        <w:rPr>
          <w:rFonts w:ascii="Times New Roman" w:hAnsi="Times New Roman" w:cs="Times New Roman" w:eastAsia="Times New Roman" w:hint="default"/>
        </w:rPr>
        <w:t>7</w:t>
      </w:r>
      <w:r>
        <w:rPr/>
        <w:t>至</w:t>
      </w:r>
      <w:r>
        <w:rPr>
          <w:rFonts w:ascii="Times New Roman" w:hAnsi="Times New Roman" w:cs="Times New Roman" w:eastAsia="Times New Roman" w:hint="default"/>
        </w:rPr>
        <w:t>11</w:t>
      </w:r>
      <w:r>
        <w:rPr/>
        <w:t>、</w:t>
      </w:r>
      <w:r>
        <w:rPr>
          <w:rFonts w:ascii="Times New Roman" w:hAnsi="Times New Roman" w:cs="Times New Roman" w:eastAsia="Times New Roman" w:hint="default"/>
        </w:rPr>
        <w:t>13</w:t>
      </w:r>
      <w:r>
        <w:rPr/>
        <w:t>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日，茂硕电源非流动资产主要包括可供出售</w:t>
      </w:r>
    </w:p>
    <w:p>
      <w:pPr>
        <w:pStyle w:val="BodyText"/>
        <w:spacing w:line="300" w:lineRule="auto"/>
        <w:ind w:right="1130"/>
        <w:jc w:val="left"/>
      </w:pPr>
      <w:r>
        <w:rPr>
          <w:spacing w:val="-7"/>
        </w:rPr>
        <w:t>金融资产、长期股权投资、固定资产、在建工程及商誉，前述非流动资产账面余额</w:t>
      </w:r>
      <w:r>
        <w:rPr>
          <w:rFonts w:ascii="Times New Roman" w:hAnsi="Times New Roman" w:cs="Times New Roman" w:eastAsia="Times New Roman" w:hint="default"/>
          <w:spacing w:val="-7"/>
        </w:rPr>
        <w:t>88,057.17</w:t>
      </w:r>
      <w:r>
        <w:rPr>
          <w:spacing w:val="-7"/>
        </w:rPr>
        <w:t>万元，非流动资产减值准备</w:t>
      </w:r>
      <w:r>
        <w:rPr>
          <w:rFonts w:ascii="Times New Roman" w:hAnsi="Times New Roman" w:cs="Times New Roman" w:eastAsia="Times New Roman" w:hint="default"/>
          <w:spacing w:val="-7"/>
        </w:rPr>
        <w:t>19,350.01</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万元，账面价值</w:t>
      </w:r>
      <w:r>
        <w:rPr>
          <w:rFonts w:ascii="Times New Roman" w:hAnsi="Times New Roman" w:cs="Times New Roman" w:eastAsia="Times New Roman" w:hint="default"/>
        </w:rPr>
        <w:t>68,707.17</w:t>
      </w:r>
      <w:r>
        <w:rPr/>
        <w:t>万元，占资产总额的</w:t>
      </w:r>
      <w:r>
        <w:rPr>
          <w:rFonts w:ascii="Times New Roman" w:hAnsi="Times New Roman" w:cs="Times New Roman" w:eastAsia="Times New Roman" w:hint="default"/>
        </w:rPr>
        <w:t>40.28%</w:t>
      </w:r>
      <w:r>
        <w:rPr/>
        <w:t>。</w:t>
      </w:r>
    </w:p>
    <w:p>
      <w:pPr>
        <w:pStyle w:val="BodyText"/>
        <w:spacing w:line="316" w:lineRule="auto" w:before="13"/>
        <w:ind w:right="1130" w:firstLine="360"/>
        <w:jc w:val="left"/>
      </w:pPr>
      <w:r>
        <w:rPr>
          <w:spacing w:val="-2"/>
        </w:rPr>
        <w:t>由于非流动资产金额重大，其减值评估时涉及管理层运用重大估计和判断，可能存在管理层偏向的，因此我们将非流动</w:t>
      </w:r>
      <w:r>
        <w:rPr/>
        <w:t> 资产减值作为关键审计事项。</w:t>
      </w:r>
    </w:p>
    <w:p>
      <w:pPr>
        <w:pStyle w:val="BodyText"/>
        <w:spacing w:line="316" w:lineRule="auto" w:before="19"/>
        <w:ind w:left="514" w:right="6252"/>
        <w:jc w:val="left"/>
      </w:pPr>
      <w:r>
        <w:rPr>
          <w:rFonts w:ascii="宋体" w:hAnsi="宋体" w:cs="宋体" w:eastAsia="宋体" w:hint="default"/>
        </w:rPr>
        <w:t>1.</w:t>
      </w:r>
      <w:r>
        <w:rPr/>
        <w:t>审计应对 我们针对非流动资产减值执行的重要审计程序包括：</w:t>
      </w:r>
    </w:p>
    <w:p>
      <w:pPr>
        <w:pStyle w:val="BodyText"/>
        <w:spacing w:line="240" w:lineRule="auto" w:before="19"/>
        <w:ind w:left="514" w:right="1130"/>
        <w:jc w:val="left"/>
      </w:pPr>
      <w:r>
        <w:rPr/>
        <w:t>（</w:t>
      </w:r>
      <w:r>
        <w:rPr>
          <w:rFonts w:ascii="Times New Roman" w:hAnsi="Times New Roman" w:cs="Times New Roman" w:eastAsia="Times New Roman" w:hint="default"/>
        </w:rPr>
        <w:t>1</w:t>
      </w:r>
      <w:r>
        <w:rPr/>
        <w:t>）对非流动资产减值测试相关的内部控制的设计及运行有效性进行了解、评估和测试；</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）取得与可供出售金融资产、长期股权投资所涉及的被投资单位取得</w:t>
      </w:r>
      <w:r>
        <w:rPr>
          <w:rFonts w:ascii="Times New Roman" w:hAnsi="Times New Roman" w:cs="Times New Roman" w:eastAsia="Times New Roman" w:hint="default"/>
        </w:rPr>
        <w:t>2018</w:t>
      </w:r>
      <w:r>
        <w:rPr/>
        <w:t>年度财务报表及工商资料，复核其财务状 况，以评估是否存在减值迹象；</w:t>
      </w:r>
    </w:p>
    <w:p>
      <w:pPr>
        <w:pStyle w:val="BodyText"/>
        <w:spacing w:line="300" w:lineRule="auto" w:before="32"/>
        <w:ind w:right="1122" w:firstLine="360"/>
        <w:jc w:val="left"/>
      </w:pPr>
      <w:r>
        <w:rPr/>
        <w:t>（</w:t>
      </w:r>
      <w:r>
        <w:rPr>
          <w:rFonts w:ascii="Times New Roman" w:hAnsi="Times New Roman" w:cs="Times New Roman" w:eastAsia="Times New Roman" w:hint="default"/>
        </w:rPr>
        <w:t>3</w:t>
      </w:r>
      <w:r>
        <w:rPr/>
        <w:t>）获取有关非流动资产减值准备计算表，评估管理层对非流动资产减值准备的计提依据，分析其采用方法的恰当性 及复核减值准备计算的准确性；</w:t>
      </w:r>
    </w:p>
    <w:p>
      <w:pPr>
        <w:pStyle w:val="BodyText"/>
        <w:spacing w:line="240" w:lineRule="auto" w:before="31"/>
        <w:ind w:left="514" w:right="1130"/>
        <w:jc w:val="left"/>
      </w:pPr>
      <w:r>
        <w:rPr/>
        <w:t>（</w:t>
      </w:r>
      <w:r>
        <w:rPr>
          <w:rFonts w:ascii="Times New Roman" w:hAnsi="Times New Roman" w:cs="Times New Roman" w:eastAsia="Times New Roman" w:hint="default"/>
        </w:rPr>
        <w:t>4</w:t>
      </w:r>
      <w:r>
        <w:rPr/>
        <w:t>）对重要固定资产实施抽盘程序，检查固定资产的状况及本年度使用情況；</w:t>
      </w:r>
    </w:p>
    <w:p>
      <w:pPr>
        <w:pStyle w:val="BodyText"/>
        <w:spacing w:line="240" w:lineRule="auto" w:before="63"/>
        <w:ind w:left="514" w:right="1130"/>
        <w:jc w:val="left"/>
      </w:pPr>
      <w:r>
        <w:rPr/>
        <w:t>（</w:t>
      </w:r>
      <w:r>
        <w:rPr>
          <w:rFonts w:ascii="Times New Roman" w:hAnsi="Times New Roman" w:cs="Times New Roman" w:eastAsia="Times New Roman" w:hint="default"/>
        </w:rPr>
        <w:t>5</w:t>
      </w:r>
      <w:r>
        <w:rPr/>
        <w:t>）评价由管理层聘请的外部评估专家的专业能力和客观性；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60"/>
        <w:jc w:val="both"/>
      </w:pPr>
      <w:r>
        <w:rPr/>
        <w:t>（</w:t>
      </w:r>
      <w:r>
        <w:rPr>
          <w:rFonts w:ascii="Times New Roman" w:hAnsi="Times New Roman" w:cs="Times New Roman" w:eastAsia="Times New Roman" w:hint="default"/>
        </w:rPr>
        <w:t>6</w:t>
      </w:r>
      <w:r>
        <w:rPr/>
        <w:t>）利用外部评估专家的工作，复核其所采取的估值方法及选用的重要参数（如折现率、市场价值、被投资单位的财 务信息、收入增长率、可比市场参数等）的合理性。</w:t>
      </w:r>
    </w:p>
    <w:p>
      <w:pPr>
        <w:pStyle w:val="BodyText"/>
        <w:spacing w:line="309" w:lineRule="auto" w:before="31"/>
        <w:ind w:left="514" w:right="3372"/>
        <w:jc w:val="left"/>
        <w:rPr>
          <w:rFonts w:ascii="宋体" w:hAnsi="宋体" w:cs="宋体" w:eastAsia="宋体" w:hint="default"/>
        </w:rPr>
      </w:pPr>
      <w:r>
        <w:rPr/>
        <w:t>（</w:t>
      </w:r>
      <w:r>
        <w:rPr>
          <w:rFonts w:ascii="Times New Roman" w:hAnsi="Times New Roman" w:cs="Times New Roman" w:eastAsia="Times New Roman" w:hint="default"/>
        </w:rPr>
        <w:t>7</w:t>
      </w:r>
      <w:r>
        <w:rPr/>
        <w:t>）评估管理层于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日对非流动资产减值准备计提的会计处理及披露。 基于上述所实施的审计程序，我们认为，管理层对非流动资产减值准备的计提是合理的。 </w:t>
      </w:r>
      <w:r>
        <w:rPr>
          <w:rFonts w:ascii="宋体" w:hAnsi="宋体" w:cs="宋体" w:eastAsia="宋体" w:hint="default"/>
          <w:b/>
          <w:bCs/>
        </w:rPr>
        <w:t>四、</w:t>
      </w:r>
      <w:r>
        <w:rPr>
          <w:rFonts w:ascii="宋体" w:hAnsi="宋体" w:cs="宋体" w:eastAsia="宋体" w:hint="default"/>
          <w:b/>
          <w:bCs/>
          <w:spacing w:val="-64"/>
        </w:rPr>
        <w:t> </w:t>
      </w:r>
      <w:r>
        <w:rPr>
          <w:rFonts w:ascii="宋体" w:hAnsi="宋体" w:cs="宋体" w:eastAsia="宋体" w:hint="default"/>
          <w:b/>
          <w:bCs/>
        </w:rPr>
        <w:t>其他信息</w:t>
      </w:r>
      <w:r>
        <w:rPr>
          <w:rFonts w:ascii="宋体" w:hAnsi="宋体" w:cs="宋体" w:eastAsia="宋体" w:hint="default"/>
        </w:rPr>
      </w:r>
    </w:p>
    <w:p>
      <w:pPr>
        <w:pStyle w:val="BodyText"/>
        <w:spacing w:line="309" w:lineRule="auto" w:before="24"/>
        <w:ind w:left="514" w:right="1130"/>
        <w:jc w:val="left"/>
      </w:pPr>
      <w:r>
        <w:rPr/>
        <w:t>茂硕电源管理层对其他信息负责。其他信息包括</w:t>
      </w:r>
      <w:r>
        <w:rPr>
          <w:rFonts w:ascii="Times New Roman" w:hAnsi="Times New Roman" w:cs="Times New Roman" w:eastAsia="Times New Roman" w:hint="default"/>
        </w:rPr>
        <w:t>2018</w:t>
      </w:r>
      <w:r>
        <w:rPr/>
        <w:t>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4"/>
        <w:ind w:left="514" w:right="0" w:hanging="360"/>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0"/>
        <w:jc w:val="left"/>
      </w:pPr>
      <w:r>
        <w:rPr/>
        <w:t>报告。</w:t>
      </w:r>
    </w:p>
    <w:p>
      <w:pPr>
        <w:spacing w:line="316" w:lineRule="auto" w:before="76"/>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茂硕电源管理层负责按照企业会计准则的规定编制财务报表，使其实现公允反映，并设计、执行和维护必要的内部控制，</w:t>
      </w:r>
    </w:p>
    <w:p>
      <w:pPr>
        <w:pStyle w:val="BodyText"/>
        <w:spacing w:line="316" w:lineRule="auto" w:before="19"/>
        <w:ind w:left="514" w:right="1130" w:hanging="360"/>
        <w:jc w:val="left"/>
      </w:pPr>
      <w:r>
        <w:rPr/>
        <w:t>以使财务报表不存在由于舞弊或错误导致的重大错报。 </w:t>
      </w:r>
      <w:r>
        <w:rPr>
          <w:spacing w:val="-2"/>
        </w:rPr>
        <w:t>在编制财务报表时，茂硕电源管理层负责评估茂硕电源的持续经营能力，披露与持续经营相关的事项（如适用），并运</w:t>
      </w:r>
    </w:p>
    <w:p>
      <w:pPr>
        <w:pStyle w:val="BodyText"/>
        <w:spacing w:line="316" w:lineRule="auto" w:before="19"/>
        <w:ind w:left="514" w:right="4092" w:hanging="360"/>
        <w:jc w:val="left"/>
      </w:pPr>
      <w:r>
        <w:rPr/>
        <w:t>用持续经营假设，除非管理层计划清算茂硕电源、终止运营或别无其他现实的选择。 治理层负责监督茂硕电源的财务报告过程。</w:t>
      </w:r>
    </w:p>
    <w:p>
      <w:pPr>
        <w:spacing w:line="316" w:lineRule="auto" w:before="19"/>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五、</w:t>
      </w:r>
      <w:r>
        <w:rPr>
          <w:rFonts w:ascii="宋体" w:hAnsi="宋体" w:cs="宋体" w:eastAsia="宋体" w:hint="default"/>
          <w:b/>
          <w:bCs/>
          <w:spacing w:val="-62"/>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right="113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316" w:lineRule="auto" w:before="19"/>
        <w:ind w:left="514" w:right="1130"/>
        <w:jc w:val="left"/>
      </w:pPr>
      <w:r>
        <w:rPr/>
        <w:t>在按照审计准则执行审计工作的过程中，我们运用职业判断，并保持职业怀疑。同时，我们也执行以下工作： </w:t>
      </w:r>
      <w:r>
        <w:rPr>
          <w:rFonts w:ascii="宋体" w:hAnsi="宋体" w:cs="宋体" w:eastAsia="宋体" w:hint="default"/>
          <w:spacing w:val="-2"/>
        </w:rPr>
        <w:t>1.</w:t>
      </w:r>
      <w:r>
        <w:rPr>
          <w:spacing w:val="-2"/>
        </w:rPr>
        <w:t>识别和评估由于舞弊或错误导致的财务报表重大错报风险，设计和实施审计程序以应对这些风险，并获取充分、适当</w:t>
      </w:r>
    </w:p>
    <w:p>
      <w:pPr>
        <w:pStyle w:val="BodyText"/>
        <w:spacing w:line="316" w:lineRule="auto" w:before="19"/>
        <w:ind w:right="1130"/>
        <w:jc w:val="both"/>
      </w:pP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19"/>
        <w:ind w:left="514" w:right="1130"/>
        <w:jc w:val="left"/>
      </w:pP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514" w:right="1130"/>
        <w:jc w:val="left"/>
      </w:pP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right="1131" w:firstLine="360"/>
        <w:jc w:val="both"/>
      </w:pPr>
      <w:r>
        <w:rPr>
          <w:rFonts w:ascii="宋体" w:hAnsi="宋体" w:cs="宋体" w:eastAsia="宋体" w:hint="default"/>
          <w:spacing w:val="-2"/>
        </w:rPr>
        <w:t>4.</w:t>
      </w:r>
      <w:r>
        <w:rPr>
          <w:spacing w:val="-2"/>
        </w:rPr>
        <w:t>对管理层使用持续经营假设的恰当性得出结论。同时，根据获取的审计证据，就可能导致对茂硕电源持续经营能力产</w:t>
      </w:r>
      <w:r>
        <w:rPr/>
        <w:t>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审计报告中提请报告使用者注意财务报表中的相关披露；如果披露不充分，我们应当发表非无保留意见。我们的结论基于截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至审计报告日可获得的信息。然而，未来的事项或情况可能导致茂硕电源不能持续经营。</w:t>
      </w:r>
    </w:p>
    <w:p>
      <w:pPr>
        <w:pStyle w:val="BodyText"/>
        <w:spacing w:line="240" w:lineRule="auto" w:before="19"/>
        <w:ind w:left="514" w:right="1130"/>
        <w:jc w:val="left"/>
      </w:pP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6" w:lineRule="auto" w:before="76"/>
        <w:ind w:right="1131" w:firstLine="360"/>
        <w:jc w:val="both"/>
      </w:pPr>
      <w:r>
        <w:rPr>
          <w:rFonts w:ascii="宋体" w:hAnsi="宋体" w:cs="宋体" w:eastAsia="宋体" w:hint="default"/>
          <w:spacing w:val="-2"/>
        </w:rPr>
        <w:t>6.</w:t>
      </w:r>
      <w:r>
        <w:rPr>
          <w:spacing w:val="-2"/>
        </w:rPr>
        <w:t>就茂硕电源中实体或业务活动的财务信息获取充分、适当的审计证据，以对财务报表发表意见。我们负责指导、监督</w:t>
      </w:r>
      <w:r>
        <w:rPr/>
        <w:t> 和执行集团审计。我们对审计意见承担全部责任。</w:t>
      </w:r>
    </w:p>
    <w:p>
      <w:pPr>
        <w:pStyle w:val="BodyText"/>
        <w:spacing w:line="316" w:lineRule="auto" w:before="19"/>
        <w:ind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19"/>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after="0" w:line="319" w:lineRule="auto"/>
        <w:jc w:val="both"/>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997" w:type="dxa"/>
        <w:tblLayout w:type="fixed"/>
        <w:tblCellMar>
          <w:top w:w="0" w:type="dxa"/>
          <w:left w:w="0" w:type="dxa"/>
          <w:bottom w:w="0" w:type="dxa"/>
          <w:right w:w="0" w:type="dxa"/>
        </w:tblCellMar>
        <w:tblLook w:val="01E0"/>
      </w:tblPr>
      <w:tblGrid>
        <w:gridCol w:w="3502"/>
        <w:gridCol w:w="2837"/>
      </w:tblGrid>
      <w:tr>
        <w:trPr>
          <w:trHeight w:val="664"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60"/>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98"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9"/>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北京</w:t>
            </w: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52" w:right="0"/>
              <w:jc w:val="left"/>
              <w:rPr>
                <w:rFonts w:ascii="宋体" w:hAnsi="宋体" w:cs="宋体" w:eastAsia="宋体" w:hint="default"/>
                <w:sz w:val="18"/>
                <w:szCs w:val="18"/>
              </w:rPr>
            </w:pPr>
            <w:r>
              <w:rPr>
                <w:rFonts w:ascii="宋体" w:hAnsi="宋体" w:cs="宋体" w:eastAsia="宋体" w:hint="default"/>
                <w:sz w:val="18"/>
                <w:szCs w:val="18"/>
              </w:rPr>
              <w:t>（项目合伙人）</w:t>
            </w:r>
          </w:p>
        </w:tc>
      </w:tr>
      <w:tr>
        <w:trPr>
          <w:trHeight w:val="659" w:hRule="exact"/>
        </w:trPr>
        <w:tc>
          <w:tcPr>
            <w:tcW w:w="3502"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23" w:hRule="exact"/>
        </w:trPr>
        <w:tc>
          <w:tcPr>
            <w:tcW w:w="3502"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二〇一九年四月二十二日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before="26"/>
        <w:ind w:right="113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编制单位：茂硕电源科技股份有限公司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r>
        <w:rPr/>
        <w:pict>
          <v:group style="position:absolute;margin-left:55.200001pt;margin-top:55.619984pt;width:485pt;height:.1pt;mso-position-horizontal-relative:page;mso-position-vertical-relative:page;z-index:-130144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282,352,971.21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318,161,764.45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3,911,787.40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551,619,478.07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568,218,784.43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88,839,760.38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88,436,975.42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462,779,717.69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479,781,809.01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1,863,239.79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2,633,463.17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24,750,182.74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33,624,662.85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139,270,809.32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203,103,287.66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35,576,510.04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26,487,999.79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1,035,433,191.17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1,156,141,749.75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27,265,120.84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38,647,283.21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4,827,808.65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122,956,056.21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145,805,355.11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409,077,159.89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573,473,388.15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16,877,519.80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26,980,625.91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33,142,295.75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8,826,475.75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21,313,149.24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20,726,604.86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31,680,898.42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28,912,771.39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17,824,932.91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24,361,252.18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669,515,752.07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891,772,946.20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1,704,948,943.24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2,047,914,695.95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222,101,360.00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244,551,780.00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2,060,800.00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769,308,540.97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799,335,923.43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12,492,155.17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11,654,673.31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28,568,758.59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28,693,855.43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15,754,401.81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12,146,890.35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24,615,263.21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13,629,519.56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1,292,994.13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1,236,933.91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23,062,107.60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11,584,294.83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1,097,963,387.35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1,121,596,936.91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33,290,129.52</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4,255,160.04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4,352,106.55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12,744,948.31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16,454,883.76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50,290,237.87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23,806,990.31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1,148,253,625.22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1,145,403,927.22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274,327,707.00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274,780,458.00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411,478,059.38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450,500,875.29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25,571,701.00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-156,055,794.34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99,705,204.83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555,321,673.04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850,558,239.12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1,373,644.98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51,952,529.61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556,695,318.02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902,510,768.73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1,704,948,943.24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2,047,914,695.95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法定代表人：顾永德</w:t>
        <w:tab/>
        <w:t>主管会计工作负责人：刘爱民</w:t>
        <w:tab/>
        <w:t>会计机构负责人：秦利红</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126,934,307.29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186,467,788.12</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3,911,787.40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196,412,677.30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320,944,954.09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25,705,658.60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39,240,613.48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170,707,018.70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281,704,340.61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354,862.17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873,987.01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345,929,254.91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380,311,669.50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2,963,047.42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21,178,706.24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3,325,015.09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2,682,849.34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675,919,164.18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916,371,741.70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27,184,007.00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37,460,966.00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854,470.48</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622,363,804.12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633,575,892.66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26,773,273.26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27,067,656.99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39,199.02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61,495.74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1,642,813.44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3,602,173.35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23,485,138.07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8,971,052.70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15,647,289.15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16,935,786.75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717,989,994.54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727,675,024.19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1,393,909,158.72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1,644,046,765.89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222,101,360.00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235,551,780.00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139,220,795.44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342,384,987.45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3,917,363.79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2,389,383.38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4,082,999.53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5,643,825.16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288,960.85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476,028.74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200,178,214.46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128,314,330.10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1,292,994.13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564,036.44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6,175,105.99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578,025,600.06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714,760,334.83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4,623,157.92</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4,388,410.93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6,588,958.87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10,161,568.85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10,738,958.87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588,187,168.91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725,499,293.70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274,327,707.00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274,780,458.00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438,644,178.21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439,103,195.85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25,571,701.00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67,178,403.60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179,092,117.34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805,721,989.81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918,547,472.19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1,393,909,158.72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1,644,046,765.89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1,337,775,109.10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1,652,076,282.01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1,337,775,109.10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1,652,076,282.01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1,607,561,140.12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1,655,613,822.22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1,084,096,168.59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1,327,621,489.68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8,515,850.17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11,726,706.91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87,731,963.56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87,378,862.28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70,912,140.81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88,602,824.30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58,476,084.06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62,328,089.01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12,535,750.03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33,052,398.23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20,895,082.78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20,081,107.78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2,017,970.74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1,931,696.57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285,293,182.90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44,903,451.81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12,050,005.68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9,424,289.54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-1,689,749.42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16,069,288.91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1,231,972.47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-405,145.25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-3,827,841.31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348,719.77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-265,314,416.07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22,304,758.01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2,909,400.21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7,029,325.28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9,507,909.93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1,926,199.77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-271,912,925.79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27,407,883.52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1,223,814.58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2,434,665.44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-273,136,740.37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24,973,218.08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-273,136,740.37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24,973,218.08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-255,760,999.17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13,065,004.57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-17,375,741.20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11,908,213.51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-273,136,740.37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24,973,218.08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-255,760,999.17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13,065,004.57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-17,375,741.20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11,908,213.51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0.050</w:t>
            </w:r>
          </w:p>
        </w:tc>
      </w:tr>
    </w:tbl>
    <w:p>
      <w:pPr>
        <w:pStyle w:val="BodyText"/>
        <w:tabs>
          <w:tab w:pos="3574" w:val="left" w:leader="none"/>
          <w:tab w:pos="7715" w:val="left" w:leader="none"/>
        </w:tabs>
        <w:spacing w:line="590" w:lineRule="auto" w:before="51"/>
        <w:ind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法定代表人：顾永德</w:t>
        <w:tab/>
        <w:t>主管会计工作负责人：刘爱民</w:t>
        <w:tab/>
        <w:t>会计机构负责人：秦利红</w:t>
      </w:r>
    </w:p>
    <w:p>
      <w:pPr>
        <w:spacing w:after="0" w:line="59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625,353,698.37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779,597,397.89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543,741,787.84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678,021,339.46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2,282,422.91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1,454,998.48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23,949,017.66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31,153,132.13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28,793,976.89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30,513,481.79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19,472,339.85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24,568,852.24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5,520,561.77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16,099,992.92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12,789,668.97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14,813,071.46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2,157,870.85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11,432,328.32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126,953,265.69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12,406,948.60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7,611,154.64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2,835,069.62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1,517,777.51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40,483,087.18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1,587,977.51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167,967.42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-118,291,542.09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28,864,776.49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53,258.01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5,811,460.91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8,115,123.14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1,176,946.44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-126,353,407.22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33,499,290.96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-14,439,693.48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2,009,948.96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-111,913,713.74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31,489,342.00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-111,913,713.74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31,489,342.00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96" w:right="0"/>
              <w:jc w:val="left"/>
              <w:rPr>
                <w:rFonts w:ascii="Times New Roman" w:hAnsi="Times New Roman" w:cs="Times New Roman" w:eastAsia="Times New Roman" w:hint="default"/>
                <w:sz w:val="18"/>
                <w:szCs w:val="18"/>
              </w:rPr>
            </w:pPr>
            <w:r>
              <w:rPr>
                <w:rFonts w:ascii="Times New Roman"/>
                <w:sz w:val="18"/>
              </w:rPr>
              <w:t>-111,913,713.74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31,489,342.00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1,268,183,087.62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1,455,259,998.77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85,370,735.05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73,218,621.76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20,219,504.52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28,484,148.95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1,373,773,327.19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1,556,962,769.48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959,144,452.63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907,070,237.50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206,920,079.75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263,993,661.42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47,280,388.80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88,641,217.92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82,584,612.04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97,308,479.01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1,295,929,533.22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1,357,013,595.85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77,843,793.97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199,949,173.63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144,089.22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220,938.22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34,017.82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1,171,669.19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4,650,071.51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147,783,906.14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20,092,894.69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70,021,073.24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176,986,513.55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19,987,295.69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57,011,437.50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23,565,099.25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5,068,470.67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96,752,394.94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129,318,908.17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-26,731,321.70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47,667,605.38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269,137,640.00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275,858,427.87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322,942,400.90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123,161,741.33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594,080,040.90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400,490,169.20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295,616,360.00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415,079,615.90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14,896,181.25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17,854,406.39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410,519,383.41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202,806,881.61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721,031,924.66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635,740,903.90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-126,951,883.76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-235,250,734.70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758,975.43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-3,998,570.15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-75,080,436.06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8,367,474.16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194,924,014.68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119,843,578.62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194,924,014.68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698,639,762.53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743,064,111.49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80,014,533.40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69,416,628.05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319,514,500.38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258,335,136.37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1,098,168,796.31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1,070,815,875.91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741,764,640.63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661,153,569.41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25,302,582.41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29,543,048.05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4,148,342.37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8,730,057.96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278,360,213.44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202,033,584.03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1,049,575,778.85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901,460,259.45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48,593,017.46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169,355,616.46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1,028,149.19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12,651,174.91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8,000,380.00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168,329,324.10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3,966,882.20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7,681,944.91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81,766,700.00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67,840,568.87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11,397,807.51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63,331,054.00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97,131,389.71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138,853,567.78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-89,131,009.71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29,475,756.32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269,137,640.00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246,858,427.87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188,069,592.16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77,939,260.93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457,207,232.16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324,797,688.80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286,616,360.00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382,079,615.90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14,336,516.97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15,716,884.02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179,010,281.30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83,475,986.71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479,963,158.27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481,272,486.63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-22,755,926.11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-156,474,797.83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582,795.85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-3,380,025.83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-62,711,122.51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38,976,549.12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126,759,655.75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87,783,106.63</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64,048,533.24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126,759,655.75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274,78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450,500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,875.29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701.00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99,705,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204.83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51,952,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529.61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902,510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,768.73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274,78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450,500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,875.29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701.00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99,705,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204.83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51,952,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529.61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902,510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,768.73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-39,022,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-50,578,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884.63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5,450.7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-17,375,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741.20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6,740.3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-42,022,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-33,203,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143.43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-75,678,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710.34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-42,022,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-33,203,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143.43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-75,678,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710.34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274,32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7,707.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411,478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,059.38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701.00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1,373,6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556,695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,318.02</w:t>
            </w:r>
          </w:p>
        </w:tc>
      </w:tr>
    </w:tbl>
    <w:p>
      <w:pPr>
        <w:pStyle w:val="BodyText"/>
        <w:spacing w:line="240" w:lineRule="auto" w:before="51"/>
        <w:ind w:right="113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7"/>
        <w:gridCol w:w="562"/>
        <w:gridCol w:w="519"/>
        <w:gridCol w:w="532"/>
        <w:gridCol w:w="530"/>
        <w:gridCol w:w="665"/>
        <w:gridCol w:w="665"/>
        <w:gridCol w:w="665"/>
        <w:gridCol w:w="665"/>
        <w:gridCol w:w="665"/>
        <w:gridCol w:w="665"/>
        <w:gridCol w:w="678"/>
        <w:gridCol w:w="652"/>
        <w:gridCol w:w="647"/>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7" w:type="dxa"/>
            <w:vMerge/>
            <w:tcBorders>
              <w:left w:val="single" w:sz="4" w:space="0" w:color="000000"/>
              <w:right w:val="single" w:sz="4" w:space="0" w:color="000000"/>
            </w:tcBorders>
            <w:shd w:val="clear" w:color="auto" w:fill="D2D2D2"/>
          </w:tcPr>
          <w:p>
            <w:pPr/>
          </w:p>
        </w:tc>
        <w:tc>
          <w:tcPr>
            <w:tcW w:w="681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11"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4"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58"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8" w:hRule="exact"/>
        </w:trPr>
        <w:tc>
          <w:tcPr>
            <w:tcW w:w="143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11"/>
              <w:ind w:left="17"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0,616.</w:t>
            </w:r>
          </w:p>
        </w:tc>
        <w:tc>
          <w:tcPr>
            <w:tcW w:w="51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467,473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,269.73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22,422,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766.80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94,811,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104.24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175,009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,334.23</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1,036,7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47,091.</w:t>
            </w:r>
          </w:p>
        </w:tc>
      </w:tr>
      <w:tr>
        <w:trPr>
          <w:trHeight w:val="391" w:hRule="exact"/>
        </w:trPr>
        <w:tc>
          <w:tcPr>
            <w:tcW w:w="14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1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62"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1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0,616.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467,473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,269.73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94,811,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104.24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175,009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,334.23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47,091.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-16,972,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394.44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4,894,1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6,804.6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13,065,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004.57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11,908,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213.51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24,973,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218.08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-17,010,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102.57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5,018.1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5,278.7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-17,010,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102.57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5,018.1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5,278.7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-5,021,9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69.78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-4,984,2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61.65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274,78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450,500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,875.29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99,705,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204.83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51,952,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529.61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902,510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,768.73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274,780,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458.00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439,103,1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95.85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25,571,70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179,092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,117.34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918,547,4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274,780,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458.00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439,103,1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95.85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25,571,70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179,092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,117.34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918,547,4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-452,75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-459,017.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-112,825,</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482.38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-111,913,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713.74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-452,75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-3,459,01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-3,911,76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8.64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-452,75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-3,459,01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-3,911,76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8.64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274,327,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438,644,1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78.21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25,571,70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67,178,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403.60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805,721,9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89.81</w:t>
            </w:r>
          </w:p>
        </w:tc>
      </w:tr>
    </w:tbl>
    <w:p>
      <w:pPr>
        <w:pStyle w:val="BodyText"/>
        <w:spacing w:line="240" w:lineRule="auto" w:before="51"/>
        <w:ind w:right="1130"/>
        <w:jc w:val="left"/>
      </w:pPr>
      <w:r>
        <w:rPr/>
        <w:t>上期金额</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277,030,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456,256,6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94.84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22,422,76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6.80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133,006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,123.47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888,716,2</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01.11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277,030,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456,256,6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94.84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22,422,76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6.80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133,006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,123.47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888,716,2</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01.11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-17,153,4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46,085,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993.87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29,831,27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1.08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-17,191,2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-19,441,3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-17,191,2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-19,441,3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14,596,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651.87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17,745,58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6.07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34.20</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17,745,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586.07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17,745,58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6.07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37,708.13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37,708.13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274,780,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439,103,1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25,571,70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179,092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918,547,4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72.19</w:t>
            </w:r>
          </w:p>
        </w:tc>
      </w:tr>
    </w:tbl>
    <w:p>
      <w:pPr>
        <w:spacing w:line="240" w:lineRule="auto" w:before="2"/>
        <w:rPr>
          <w:rFonts w:ascii="宋体" w:hAnsi="宋体" w:cs="宋体" w:eastAsia="宋体" w:hint="default"/>
          <w:sz w:val="18"/>
          <w:szCs w:val="18"/>
        </w:rPr>
      </w:pPr>
    </w:p>
    <w:p>
      <w:pPr>
        <w:pStyle w:val="Heading2"/>
        <w:spacing w:line="240" w:lineRule="auto" w:before="26"/>
        <w:ind w:right="1130"/>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113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pacing w:val="-2"/>
          <w:sz w:val="18"/>
          <w:szCs w:val="18"/>
        </w:rPr>
        <w:t>茂硕电源科技股份有限公司（以下简称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）前身为深圳茂硕电源科技有限公司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月经深圳市工</w:t>
      </w:r>
    </w:p>
    <w:p>
      <w:pPr>
        <w:pStyle w:val="BodyText"/>
        <w:spacing w:line="300" w:lineRule="auto" w:before="13"/>
        <w:ind w:right="0"/>
        <w:jc w:val="left"/>
      </w:pPr>
      <w:r>
        <w:rPr>
          <w:spacing w:val="-2"/>
        </w:rPr>
        <w:t>商行政管理局核准，由深圳德旺投资发展有限公司一名法人和周莉等</w:t>
      </w:r>
      <w:r>
        <w:rPr>
          <w:rFonts w:ascii="Times New Roman" w:hAnsi="Times New Roman" w:cs="Times New Roman" w:eastAsia="Times New Roman" w:hint="default"/>
          <w:spacing w:val="-2"/>
        </w:rPr>
        <w:t>49</w:t>
      </w:r>
      <w:r>
        <w:rPr>
          <w:spacing w:val="-2"/>
        </w:rPr>
        <w:t>名自然人共同发起设立的股份有限公司。公司于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日在深圳证券交易所上市，现持有统一社会信用代码为</w:t>
      </w:r>
      <w:r>
        <w:rPr>
          <w:rFonts w:ascii="Times New Roman" w:hAnsi="Times New Roman" w:cs="Times New Roman" w:eastAsia="Times New Roman" w:hint="default"/>
        </w:rPr>
        <w:t>91440300786559921G</w:t>
      </w:r>
      <w:r>
        <w:rPr/>
        <w:t>的营业执照。</w:t>
      </w:r>
    </w:p>
    <w:p>
      <w:pPr>
        <w:pStyle w:val="BodyText"/>
        <w:spacing w:line="300" w:lineRule="auto" w:before="13"/>
        <w:ind w:right="1183" w:firstLine="362"/>
        <w:jc w:val="both"/>
      </w:pPr>
      <w:r>
        <w:rPr/>
        <w:t>经过历年的派送红股、转增股本及增发新股，截止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274,327,707.00</w:t>
      </w:r>
      <w:r>
        <w:rPr/>
        <w:t>股，注册 资本为</w:t>
      </w:r>
      <w:r>
        <w:rPr>
          <w:rFonts w:ascii="Times New Roman" w:hAnsi="Times New Roman" w:cs="Times New Roman" w:eastAsia="Times New Roman" w:hint="default"/>
        </w:rPr>
        <w:t>274,327,707.00</w:t>
      </w:r>
      <w:r>
        <w:rPr/>
        <w:t>元，注册地址：深圳市南山区松白路关外小白芒桑泰工业园，总部地址：深圳市南山区松白路关外小 白芒桑泰工业园，实际控制人为顾永德。</w:t>
      </w:r>
    </w:p>
    <w:p>
      <w:pPr>
        <w:pStyle w:val="BodyText"/>
        <w:spacing w:line="338" w:lineRule="auto" w:before="31"/>
        <w:ind w:left="444" w:right="0" w:firstLine="69"/>
        <w:jc w:val="left"/>
      </w:pPr>
      <w:r>
        <w:rPr>
          <w:rFonts w:ascii="Times New Roman" w:hAnsi="Times New Roman" w:cs="Times New Roman" w:eastAsia="Times New Roman" w:hint="default"/>
          <w:b/>
          <w:bCs/>
        </w:rPr>
        <w:t>2</w:t>
      </w:r>
      <w:r>
        <w:rPr>
          <w:rFonts w:ascii="宋体" w:hAnsi="宋体" w:cs="宋体" w:eastAsia="宋体" w:hint="default"/>
          <w:b/>
          <w:bCs/>
        </w:rPr>
        <w:t>、公司业务性质和主要经营活动</w:t>
      </w:r>
      <w:r>
        <w:rPr>
          <w:rFonts w:ascii="宋体" w:hAnsi="宋体" w:cs="宋体" w:eastAsia="宋体" w:hint="default"/>
          <w:b/>
          <w:bCs/>
          <w:w w:val="99"/>
        </w:rPr>
        <w:t> </w:t>
      </w:r>
      <w:r>
        <w:rPr>
          <w:spacing w:val="-2"/>
        </w:rPr>
        <w:t>根据中国证监会发布的《上市公司行业分类指引》，本公司所从事的行业归属于</w:t>
      </w:r>
      <w:r>
        <w:rPr>
          <w:rFonts w:ascii="Times New Roman" w:hAnsi="Times New Roman" w:cs="Times New Roman" w:eastAsia="Times New Roman" w:hint="default"/>
          <w:spacing w:val="-2"/>
        </w:rPr>
        <w:t>“</w:t>
      </w:r>
      <w:r>
        <w:rPr>
          <w:spacing w:val="-2"/>
        </w:rPr>
        <w:t>计算机、通信及其他电子设备制造业</w:t>
      </w:r>
      <w:r>
        <w:rPr>
          <w:rFonts w:ascii="Times New Roman" w:hAnsi="Times New Roman" w:cs="Times New Roman" w:eastAsia="Times New Roman" w:hint="default"/>
          <w:spacing w:val="-2"/>
        </w:rPr>
        <w:t>”</w:t>
      </w:r>
      <w:r>
        <w:rPr>
          <w:spacing w:val="-2"/>
        </w:rPr>
        <w:t>。</w:t>
      </w:r>
      <w:r>
        <w:rPr>
          <w:spacing w:val="-70"/>
        </w:rPr>
        <w:t> </w:t>
      </w:r>
      <w:r>
        <w:rPr/>
        <w:t>本公司经营范围：</w:t>
      </w:r>
      <w:r>
        <w:rPr>
          <w:rFonts w:ascii="Times New Roman" w:hAnsi="Times New Roman" w:cs="Times New Roman" w:eastAsia="Times New Roman" w:hint="default"/>
        </w:rPr>
        <w:t>LED</w:t>
      </w:r>
      <w:r>
        <w:rPr/>
        <w:t>智能驱动电源，太阳能光伏逆变器，</w:t>
      </w:r>
      <w:r>
        <w:rPr>
          <w:rFonts w:ascii="Times New Roman" w:hAnsi="Times New Roman" w:cs="Times New Roman" w:eastAsia="Times New Roman" w:hint="default"/>
        </w:rPr>
        <w:t>DC/DC</w:t>
      </w:r>
      <w:r>
        <w:rPr/>
        <w:t>高效、高密度模块电源，医疗电源，通信电源，开关</w:t>
      </w:r>
    </w:p>
    <w:p>
      <w:pPr>
        <w:pStyle w:val="BodyText"/>
        <w:spacing w:line="217" w:lineRule="exact"/>
        <w:ind w:right="0"/>
        <w:jc w:val="left"/>
      </w:pPr>
      <w:r>
        <w:rPr/>
        <w:t>电源，高频变压器的研发和销售；电子元器件，五金塑胶配件的销售以及提供新能源和再生能源的储能系统解决方案（以上</w:t>
      </w:r>
    </w:p>
    <w:p>
      <w:pPr>
        <w:pStyle w:val="BodyText"/>
        <w:spacing w:line="312" w:lineRule="auto" w:before="76"/>
        <w:ind w:right="1032"/>
        <w:jc w:val="left"/>
      </w:pPr>
      <w:r>
        <w:rPr/>
        <w:t>不含限制项目）；经营进出口业务（法律、行政法规、国务院决定禁止的项目除外，限制的项目须取得许可后方可经营）； </w:t>
      </w:r>
      <w:r>
        <w:rPr>
          <w:spacing w:val="-2"/>
        </w:rPr>
        <w:t>房屋租赁；信息技术服务（不含限制项目）；企业管理咨询（不含限制项目）。（以上项目法律、行政法规、国务院决定禁</w:t>
      </w:r>
      <w:r>
        <w:rPr>
          <w:spacing w:val="-70"/>
        </w:rPr>
        <w:t> </w:t>
      </w:r>
      <w:r>
        <w:rPr>
          <w:spacing w:val="-70"/>
        </w:rPr>
      </w:r>
      <w:r>
        <w:rPr>
          <w:spacing w:val="-4"/>
        </w:rPr>
        <w:t>止的项目除外，限制的项目须取得许可后方可经营）</w:t>
      </w:r>
      <w:r>
        <w:rPr>
          <w:rFonts w:ascii="Times New Roman" w:hAnsi="Times New Roman" w:cs="Times New Roman" w:eastAsia="Times New Roman" w:hint="default"/>
          <w:spacing w:val="-4"/>
        </w:rPr>
        <w:t>LED</w:t>
      </w:r>
      <w:r>
        <w:rPr>
          <w:spacing w:val="-4"/>
        </w:rPr>
        <w:t>智能驱动电源，太阳能光伏逆变器，</w:t>
      </w:r>
      <w:r>
        <w:rPr>
          <w:rFonts w:ascii="Times New Roman" w:hAnsi="Times New Roman" w:cs="Times New Roman" w:eastAsia="Times New Roman" w:hint="default"/>
          <w:spacing w:val="-4"/>
        </w:rPr>
        <w:t>DC/DC</w:t>
      </w:r>
      <w:r>
        <w:rPr>
          <w:spacing w:val="-4"/>
        </w:rPr>
        <w:t>高效、高密度模块电源，</w:t>
      </w:r>
      <w:r>
        <w:rPr>
          <w:spacing w:val="-35"/>
        </w:rPr>
        <w:t> </w:t>
      </w:r>
      <w:r>
        <w:rPr>
          <w:spacing w:val="-35"/>
        </w:rPr>
      </w:r>
      <w:r>
        <w:rPr/>
        <w:t>医疗电源，通信电源，开关电源，高频变压器的生产；普通货运。</w:t>
      </w:r>
    </w:p>
    <w:p>
      <w:pPr>
        <w:spacing w:line="300" w:lineRule="auto" w:before="61"/>
        <w:ind w:left="514" w:right="5802" w:hanging="5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本财务报表业经公司全体董事于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日批准报出。</w:t>
      </w:r>
    </w:p>
    <w:p>
      <w:pPr>
        <w:pStyle w:val="BodyText"/>
        <w:spacing w:line="300" w:lineRule="auto" w:before="13"/>
        <w:ind w:left="511" w:right="1135"/>
        <w:jc w:val="left"/>
      </w:pPr>
      <w:r>
        <w:rPr/>
        <w:t>本公司本年度纳入合并财务报表范围的主体共</w:t>
      </w:r>
      <w:r>
        <w:rPr>
          <w:rFonts w:ascii="Times New Roman" w:hAnsi="Times New Roman" w:cs="Times New Roman" w:eastAsia="Times New Roman" w:hint="default"/>
        </w:rPr>
        <w:t>17</w:t>
      </w:r>
      <w:r>
        <w:rPr/>
        <w:t>户，详见本报告第十一节、九、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 本公司本年度纳入合并财务报表范围的主体较上年度相比增加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3</w:t>
      </w:r>
      <w:r>
        <w:rPr/>
        <w:t>户，详见本报告第十一节、八</w:t>
      </w:r>
      <w:r>
        <w:rPr>
          <w:rFonts w:ascii="Times New Roman" w:hAnsi="Times New Roman" w:cs="Times New Roman" w:eastAsia="Times New Roman" w:hint="default"/>
        </w:rPr>
        <w:t>“</w:t>
      </w:r>
      <w:r>
        <w:rPr/>
        <w:t>合并范围的变</w:t>
      </w:r>
    </w:p>
    <w:p>
      <w:pPr>
        <w:pStyle w:val="BodyText"/>
        <w:spacing w:line="240" w:lineRule="auto" w:before="13"/>
        <w:ind w:right="1130"/>
        <w:jc w:val="left"/>
      </w:pPr>
      <w:r>
        <w:rPr/>
        <w:t>更</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7"/>
        </w:rPr>
        <w:t> </w:t>
      </w:r>
      <w:r>
        <w:rPr>
          <w:spacing w:val="-47"/>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line="240" w:lineRule="auto" w:before="6"/>
        <w:rPr>
          <w:rFonts w:ascii="宋体" w:hAnsi="宋体" w:cs="宋体" w:eastAsia="宋体" w:hint="default"/>
          <w:sz w:val="23"/>
          <w:szCs w:val="23"/>
        </w:rPr>
      </w:pPr>
    </w:p>
    <w:p>
      <w:pPr>
        <w:pStyle w:val="Heading3"/>
        <w:spacing w:line="240" w:lineRule="auto"/>
        <w:ind w:right="113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3"/>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9"/>
        <w:rPr>
          <w:rFonts w:ascii="宋体" w:hAnsi="宋体" w:cs="宋体" w:eastAsia="宋体" w:hint="default"/>
          <w:sz w:val="21"/>
          <w:szCs w:val="21"/>
        </w:rPr>
      </w:pPr>
    </w:p>
    <w:p>
      <w:pPr>
        <w:pStyle w:val="Heading2"/>
        <w:spacing w:line="240" w:lineRule="auto"/>
        <w:ind w:right="113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444" w:right="1130" w:hanging="291"/>
        <w:jc w:val="left"/>
      </w:pPr>
      <w:r>
        <w:rPr/>
        <w:t>具体会计政策和会计估计提示： </w:t>
      </w:r>
      <w:r>
        <w:rPr>
          <w:spacing w:val="-1"/>
        </w:rPr>
        <w:t>本公司及各子公司从事计算机、通信及其他电子设备制造业经营，太阳能光伏发电系统的设计、开发、投资、建设和经</w:t>
      </w:r>
    </w:p>
    <w:p>
      <w:pPr>
        <w:pStyle w:val="BodyText"/>
        <w:spacing w:line="224" w:lineRule="exact"/>
        <w:ind w:right="0"/>
        <w:jc w:val="left"/>
      </w:pPr>
      <w:r>
        <w:rPr/>
        <w:t>营。本公司及各子公司根据实际生产经营特点，依据相关企业会计准则的规定，对收入确认、建造合同完工百分比确定、研</w:t>
      </w:r>
    </w:p>
    <w:p>
      <w:pPr>
        <w:pStyle w:val="BodyText"/>
        <w:spacing w:line="300" w:lineRule="auto" w:before="76"/>
        <w:ind w:right="1130"/>
        <w:jc w:val="left"/>
      </w:pPr>
      <w:r>
        <w:rPr>
          <w:spacing w:val="-2"/>
        </w:rPr>
        <w:t>究开发支出等交易和事项制定了若干项具体会计政策和会计估计，详见本报告第十一节、五、</w:t>
      </w:r>
      <w:r>
        <w:rPr>
          <w:rFonts w:ascii="Times New Roman" w:hAnsi="Times New Roman" w:cs="Times New Roman" w:eastAsia="Times New Roman" w:hint="default"/>
          <w:spacing w:val="-2"/>
        </w:rPr>
        <w:t>28“</w:t>
      </w:r>
      <w:r>
        <w:rPr>
          <w:spacing w:val="-2"/>
        </w:rPr>
        <w:t>收入</w:t>
      </w:r>
      <w:r>
        <w:rPr>
          <w:rFonts w:ascii="Times New Roman" w:hAnsi="Times New Roman" w:cs="Times New Roman" w:eastAsia="Times New Roman" w:hint="default"/>
          <w:spacing w:val="-2"/>
        </w:rPr>
        <w:t>”</w:t>
      </w:r>
      <w:r>
        <w:rPr>
          <w:spacing w:val="-2"/>
        </w:rPr>
        <w:t>各项描述。关于管理</w:t>
      </w:r>
      <w:r>
        <w:rPr>
          <w:spacing w:val="-41"/>
        </w:rPr>
        <w:t> </w:t>
      </w:r>
      <w:r>
        <w:rPr>
          <w:spacing w:val="-41"/>
        </w:rPr>
      </w:r>
      <w:r>
        <w:rPr/>
        <w:t>层所作出的重大会计判断和估计的说明，请参阅第十一节、五、</w:t>
      </w:r>
      <w:r>
        <w:rPr>
          <w:rFonts w:ascii="Times New Roman" w:hAnsi="Times New Roman" w:cs="Times New Roman" w:eastAsia="Times New Roman" w:hint="default"/>
        </w:rPr>
        <w:t>34“</w:t>
      </w:r>
      <w:r>
        <w:rPr/>
        <w:t>其他</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113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本公司所编制的财务报表符合企业会计准则的要求，真实、完整地反映了报告期公司的财务状况、经营成果、现金流量</w:t>
      </w:r>
      <w:r>
        <w:rPr/>
        <w:t> 等有关信息。</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3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113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229"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113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30"/>
        <w:jc w:val="left"/>
      </w:pPr>
      <w:r>
        <w:rPr/>
        <w:t>采用人民币为记账本位币。 </w:t>
      </w:r>
      <w:r>
        <w:rPr>
          <w:spacing w:val="-2"/>
        </w:rPr>
        <w:t>人民币为本公司及境内子公司经营所处的主要经济环境中的货币，本公司及境内子公司以人民币为记账本位币。本公司</w:t>
      </w:r>
    </w:p>
    <w:p>
      <w:pPr>
        <w:pStyle w:val="BodyText"/>
        <w:spacing w:line="316" w:lineRule="auto" w:before="19"/>
        <w:ind w:right="1130"/>
        <w:jc w:val="left"/>
      </w:pPr>
      <w:r>
        <w:rPr>
          <w:spacing w:val="-2"/>
        </w:rPr>
        <w:t>之境外子公司根据其经营所处的主要经济环境中的货币确定人民币为其记账本位币。本公司编制本财务报表时所采用的货币</w:t>
      </w:r>
      <w:r>
        <w:rPr>
          <w:spacing w:val="-64"/>
        </w:rPr>
        <w:t> </w:t>
      </w:r>
      <w:r>
        <w:rPr>
          <w:spacing w:val="-64"/>
        </w:rPr>
      </w:r>
      <w:r>
        <w:rPr/>
        <w:t>为人民币。</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Heading4"/>
        <w:spacing w:line="300" w:lineRule="auto"/>
        <w:ind w:left="154" w:right="1131" w:firstLine="361"/>
        <w:jc w:val="left"/>
        <w:rPr>
          <w:b w:val="0"/>
          <w:bCs w:val="0"/>
        </w:rPr>
      </w:pPr>
      <w:r>
        <w:rPr>
          <w:rFonts w:ascii="Times New Roman" w:hAnsi="Times New Roman" w:cs="Times New Roman" w:eastAsia="Times New Roman" w:hint="default"/>
          <w:spacing w:val="-2"/>
        </w:rPr>
        <w:t>(1</w:t>
      </w:r>
      <w:r>
        <w:rPr>
          <w:spacing w:val="-2"/>
        </w:rPr>
        <w:t>）分步实现企业合并过程中的各项交易的条款、条件以及经济影响符合以下一种或多种情况，将多次交易事项作为一</w:t>
      </w:r>
      <w:r>
        <w:rPr>
          <w:w w:val="99"/>
        </w:rPr>
        <w:t> </w:t>
      </w:r>
      <w:r>
        <w:rPr/>
        <w:t>揽子交易进行会计处理</w:t>
      </w:r>
      <w:r>
        <w:rPr>
          <w:b w:val="0"/>
          <w:bCs w:val="0"/>
        </w:rPr>
      </w:r>
    </w:p>
    <w:p>
      <w:pPr>
        <w:pStyle w:val="BodyText"/>
        <w:spacing w:line="240" w:lineRule="auto" w:before="32"/>
        <w:ind w:left="514" w:right="1130"/>
        <w:jc w:val="left"/>
      </w:pPr>
      <w:r>
        <w:rPr/>
        <w:t>①这些交易是同时或者在考虑了彼此影响的情况下订立的；</w:t>
      </w:r>
    </w:p>
    <w:p>
      <w:pPr>
        <w:pStyle w:val="BodyText"/>
        <w:spacing w:line="240" w:lineRule="auto" w:before="76"/>
        <w:ind w:left="514" w:right="1130"/>
        <w:jc w:val="left"/>
      </w:pPr>
      <w:r>
        <w:rPr/>
        <w:t>②这些交易整体才能达成一项完整的商业结果；</w:t>
      </w:r>
    </w:p>
    <w:p>
      <w:pPr>
        <w:pStyle w:val="BodyText"/>
        <w:spacing w:line="240" w:lineRule="auto" w:before="76"/>
        <w:ind w:left="514" w:right="1130"/>
        <w:jc w:val="left"/>
      </w:pPr>
      <w:r>
        <w:rPr/>
        <w:t>③一项交易的发生取决于其他至少一项交易的发生；</w:t>
      </w:r>
    </w:p>
    <w:p>
      <w:pPr>
        <w:pStyle w:val="BodyText"/>
        <w:spacing w:line="240" w:lineRule="auto" w:before="76"/>
        <w:ind w:left="514" w:right="1130"/>
        <w:jc w:val="left"/>
      </w:pPr>
      <w:r>
        <w:rPr/>
        <w:t>④一项交易单独看是不经济的，但是和其他交易一并考虑时是经济的。</w:t>
      </w:r>
    </w:p>
    <w:p>
      <w:pPr>
        <w:spacing w:line="300" w:lineRule="auto" w:before="76"/>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本公司在企业合并中取得的资产和负债，按照合并日在被合并方资产、负债（包括最终控制方收购被合并方而形成的商</w:t>
      </w:r>
    </w:p>
    <w:p>
      <w:pPr>
        <w:pStyle w:val="BodyText"/>
        <w:spacing w:line="316" w:lineRule="auto" w:before="31"/>
        <w:ind w:right="1133"/>
        <w:jc w:val="both"/>
      </w:pPr>
      <w:r>
        <w:rPr>
          <w:spacing w:val="-2"/>
        </w:rPr>
        <w:t>誉）在最终控制方合并财务报表中的账面价值计量。在合并中取得的净资产账面价值与支付的合并对价账面价值（或发行股</w:t>
      </w:r>
      <w:r>
        <w:rPr>
          <w:spacing w:val="-66"/>
        </w:rPr>
        <w:t> </w:t>
      </w:r>
      <w:r>
        <w:rPr>
          <w:spacing w:val="-66"/>
        </w:rPr>
      </w:r>
      <w:r>
        <w:rPr/>
        <w:t>份面值总额）的差额，调整资本公积中的股本溢价，资本公积中的股本溢价不足冲减的，调整留存收益。</w:t>
      </w:r>
    </w:p>
    <w:p>
      <w:pPr>
        <w:pStyle w:val="BodyText"/>
        <w:spacing w:line="240" w:lineRule="auto" w:before="19"/>
        <w:ind w:left="514" w:right="0"/>
        <w:jc w:val="left"/>
      </w:pPr>
      <w:r>
        <w:rPr/>
        <w:t>如果存在或有对价并需要确认预计负债或资产，该预计负债或资产金额与后续或有对价结算金额的差额，调整资本公积</w:t>
      </w:r>
    </w:p>
    <w:p>
      <w:pPr>
        <w:pStyle w:val="BodyText"/>
        <w:spacing w:line="316" w:lineRule="auto" w:before="76"/>
        <w:ind w:left="514" w:right="1130"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right="1043"/>
        <w:jc w:val="both"/>
      </w:pPr>
      <w:r>
        <w:rPr>
          <w:spacing w:val="-2"/>
        </w:rPr>
        <w:t>属于一揽子交易的，在取得控制权日，长期股权投资初始投资成本，与达到合并前的长期股权投资账面价值加上合并日进一</w:t>
      </w:r>
      <w:r>
        <w:rPr>
          <w:spacing w:val="-66"/>
        </w:rPr>
        <w:t> </w:t>
      </w:r>
      <w:r>
        <w:rPr>
          <w:spacing w:val="-66"/>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spacing w:line="300" w:lineRule="auto" w:before="19"/>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本公司在购买日对作为企业合并对价付出的资产、发生或承担的负债按照公允价值计量，公允价值与其账面价值的差额，</w:t>
      </w:r>
    </w:p>
    <w:p>
      <w:pPr>
        <w:pStyle w:val="BodyText"/>
        <w:spacing w:line="316" w:lineRule="auto" w:before="32"/>
        <w:ind w:left="514" w:right="1130" w:hanging="360"/>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16" w:lineRule="auto" w:before="19"/>
        <w:ind w:left="514" w:right="1130" w:hanging="360"/>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6" w:lineRule="auto" w:before="19"/>
        <w:ind w:right="1131"/>
        <w:jc w:val="both"/>
      </w:pPr>
      <w:r>
        <w:rPr>
          <w:spacing w:val="-2"/>
        </w:rPr>
        <w:t>会计处理；不属于一揽子交易的，合并日之前持有的股权投资采用权益法核算的，以购买日之前所持被购买方的股权投资的</w:t>
      </w:r>
      <w:r>
        <w:rPr>
          <w:spacing w:val="-66"/>
        </w:rPr>
        <w:t> </w:t>
      </w:r>
      <w:r>
        <w:rPr>
          <w:spacing w:val="-66"/>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spacing w:line="300" w:lineRule="auto" w:before="19"/>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pacing w:val="-2"/>
          <w:sz w:val="18"/>
          <w:szCs w:val="18"/>
        </w:rPr>
        <w:t>为企业合并发生的审计、法律服务、评估咨询等中介费用以及其他直接相关费用，于发生时计入当期损益；为企业合并</w:t>
      </w:r>
    </w:p>
    <w:p>
      <w:pPr>
        <w:pStyle w:val="BodyText"/>
        <w:spacing w:line="240" w:lineRule="auto" w:before="31"/>
        <w:ind w:right="0"/>
        <w:jc w:val="both"/>
      </w:pPr>
      <w:r>
        <w:rPr/>
        <w:t>而发行权益性证券的交易费用，可直接归属于权益性交易的从权益中扣减。</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514" w:right="1032" w:firstLine="1"/>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4"/>
        </w:rPr>
        <w:t>本公司合并财务报表的合并范围以控制为基础确定，所有子公司（包括本公司所控制的单独主体）均纳入合并财务报表。</w:t>
      </w:r>
      <w:r>
        <w:rPr>
          <w:spacing w:val="-51"/>
        </w:rPr>
        <w:t> </w:t>
      </w:r>
      <w:r>
        <w:rPr>
          <w:spacing w:val="-51"/>
        </w:rPr>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before="26"/>
        <w:ind w:right="1131"/>
        <w:jc w:val="both"/>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9" w:lineRule="auto" w:before="19"/>
        <w:ind w:right="113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7"/>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131"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9"/>
        <w:ind w:left="514" w:right="1130"/>
        <w:jc w:val="left"/>
      </w:pPr>
      <w:r>
        <w:rPr/>
        <w:t>对于非同一控制下企业合并取得的子公司，以购买日可辨认净资产公允价值为基础对其财务报表进行调整</w:t>
      </w:r>
    </w:p>
    <w:p>
      <w:pPr>
        <w:pStyle w:val="BodyText"/>
        <w:spacing w:line="316" w:lineRule="auto" w:before="76"/>
        <w:ind w:left="514" w:right="1130"/>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113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2"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4" w:right="1130"/>
        <w:jc w:val="left"/>
      </w:pPr>
      <w:r>
        <w:rPr/>
        <w:t>②处置子公司或业务</w:t>
      </w:r>
    </w:p>
    <w:p>
      <w:pPr>
        <w:pStyle w:val="BodyText"/>
        <w:spacing w:line="300" w:lineRule="auto" w:before="76"/>
        <w:ind w:left="514" w:right="113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514" w:right="113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3"/>
        </w:rPr>
        <w:t> </w:t>
      </w:r>
      <w:r>
        <w:rPr>
          <w:spacing w:val="-63"/>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514" w:right="113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514" w:right="3552"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240" w:lineRule="auto" w:before="9"/>
        <w:ind w:left="514" w:right="0"/>
        <w:jc w:val="left"/>
      </w:pPr>
      <w:r>
        <w:rPr/>
        <w:t>处置对子公司股权投资直至丧失控制权的各项交易属于一揽子交易的</w:t>
      </w:r>
      <w:r>
        <w:rPr>
          <w:spacing w:val="-82"/>
        </w:rPr>
        <w:t>，</w:t>
      </w:r>
      <w:r>
        <w:rPr/>
        <w:t>本公司将各项交易作为一项处置子公司并丧失控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13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4" w:right="1130"/>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1130"/>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6" w:lineRule="auto" w:before="19"/>
        <w:ind w:left="514" w:right="1130" w:firstLine="73"/>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113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02" w:firstLine="29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 本公司对合营企业的投资采用权益法核算，按照本报告第十一节、五、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55"/>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 计政策处理。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 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3"/>
        <w:spacing w:line="240" w:lineRule="auto"/>
        <w:ind w:right="113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left"/>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30"/>
        <w:jc w:val="left"/>
      </w:pPr>
      <w:r>
        <w:rPr/>
        <w:t>外币业务交易在初始确认时，采用交易发生日的即期汇率的近似汇率作为折算汇率折合成人民币记账。 </w:t>
      </w:r>
      <w:r>
        <w:rPr>
          <w:spacing w:val="-2"/>
        </w:rPr>
        <w:t>资产负债表日，外币货币性项目按资产负债表日即期汇率折算，由此产生的汇兑差额，除属于与购建符合资本化条件的</w:t>
      </w:r>
    </w:p>
    <w:p>
      <w:pPr>
        <w:pStyle w:val="BodyText"/>
        <w:spacing w:line="316" w:lineRule="auto" w:before="19"/>
        <w:ind w:right="1130"/>
        <w:jc w:val="left"/>
      </w:pP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9" w:lineRule="auto" w:before="19"/>
        <w:ind w:right="1130" w:firstLine="360"/>
        <w:jc w:val="left"/>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30"/>
        <w:jc w:val="left"/>
      </w:pPr>
      <w:r>
        <w:rPr/>
        <w:t>金融工具包括金融资产、金融负债和权益工具。</w:t>
      </w:r>
    </w:p>
    <w:p>
      <w:pPr>
        <w:pStyle w:val="BodyText"/>
        <w:spacing w:line="300" w:lineRule="auto" w:before="76"/>
        <w:ind w:left="514" w:right="1130" w:firstLine="1"/>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本公司根据所发行金融工具的合同条款及其所反映的经济实质而非仅以法律形式，结合取得持有金融资产和承担金融负</w:t>
      </w:r>
    </w:p>
    <w:p>
      <w:pPr>
        <w:pStyle w:val="BodyText"/>
        <w:spacing w:line="316" w:lineRule="auto" w:before="31"/>
        <w:ind w:right="1133"/>
        <w:jc w:val="both"/>
      </w:pPr>
      <w:r>
        <w:rPr>
          <w:spacing w:val="-2"/>
        </w:rPr>
        <w:t>债的目的，在初始确认时将金融资产和金融负债分为不同类别：以公允价值计量且其变动计入当期损益的金融资产（或金融</w:t>
      </w:r>
      <w:r>
        <w:rPr>
          <w:spacing w:val="-66"/>
        </w:rPr>
        <w:t> </w:t>
      </w:r>
      <w:r>
        <w:rPr>
          <w:spacing w:val="-66"/>
        </w:rPr>
      </w:r>
      <w:r>
        <w:rPr/>
        <w:t>负债）；持有至到期投资；应收款项；可供出售金融资产；其他金融负债等。</w:t>
      </w:r>
    </w:p>
    <w:p>
      <w:pPr>
        <w:pStyle w:val="Heading4"/>
        <w:spacing w:line="240" w:lineRule="auto" w:before="19"/>
        <w:ind w:right="113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16" w:lineRule="auto" w:before="63"/>
        <w:ind w:left="514" w:right="1130"/>
        <w:jc w:val="left"/>
      </w:pPr>
      <w:r>
        <w:rPr/>
        <w:t>①以公允价值计量且其变动计入当期损益的金融资产（金融负债）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before="19"/>
        <w:ind w:left="514" w:right="4452" w:hanging="360"/>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ind w:right="1131" w:firstLine="36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0" w:lineRule="auto" w:before="31"/>
        <w:ind w:right="1131" w:firstLine="360"/>
        <w:jc w:val="both"/>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31"/>
        <w:ind w:right="1131" w:firstLine="360"/>
        <w:jc w:val="both"/>
      </w:pPr>
      <w:r>
        <w:rPr>
          <w:spacing w:val="-2"/>
        </w:rPr>
        <w:t>只有符合以下条件之一，金融资产或金融负债才可在初始计量时指定为以公允价值计量且其变动计入损益的金融资产或</w:t>
      </w:r>
      <w:r>
        <w:rPr/>
        <w:t> 金融负债：</w:t>
      </w:r>
    </w:p>
    <w:p>
      <w:pPr>
        <w:pStyle w:val="BodyText"/>
        <w:spacing w:line="300" w:lineRule="auto" w:before="19"/>
        <w:ind w:right="1131" w:firstLine="36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0" w:lineRule="auto" w:before="31"/>
        <w:ind w:right="1131" w:firstLine="360"/>
        <w:jc w:val="both"/>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1"/>
        <w:ind w:right="1131" w:firstLine="36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00" w:lineRule="auto" w:before="31"/>
        <w:ind w:left="514" w:right="113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6" w:lineRule="auto" w:before="31"/>
        <w:ind w:right="1132"/>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5"/>
        </w:rPr>
        <w:t> </w:t>
      </w:r>
      <w:r>
        <w:rPr>
          <w:spacing w:val="-65"/>
        </w:rPr>
      </w:r>
      <w:r>
        <w:rPr/>
        <w:t>投资收益，同时调整公允价值变动损益。</w:t>
      </w:r>
    </w:p>
    <w:p>
      <w:pPr>
        <w:pStyle w:val="BodyText"/>
        <w:spacing w:line="316" w:lineRule="auto" w:before="19"/>
        <w:ind w:left="514" w:right="3912"/>
        <w:jc w:val="left"/>
      </w:pPr>
      <w:r>
        <w:rPr/>
        <w:t>②应收款项 应收款项是指在活跃市场中没有报价、回收金额固定或可确定的非衍生金融资产。</w:t>
      </w:r>
    </w:p>
    <w:p>
      <w:pPr>
        <w:pStyle w:val="BodyText"/>
        <w:spacing w:line="316" w:lineRule="auto" w:before="19"/>
        <w:ind w:right="1131" w:firstLine="360"/>
        <w:jc w:val="both"/>
      </w:pPr>
      <w:r>
        <w:rPr>
          <w:spacing w:val="-2"/>
        </w:rPr>
        <w:t>本公司对外销售商品或提供劳务形成的应收债权，以及公司持有的其他企业的债权，包括应收账款、其他应收款、应收</w:t>
      </w:r>
      <w:r>
        <w:rPr/>
        <w:t> 票据、长期应收款等，以向购货方应收的合同或协议价款作为初始确认金额；具有融资性质的，按其现值进行初始确认。</w:t>
      </w:r>
    </w:p>
    <w:p>
      <w:pPr>
        <w:pStyle w:val="BodyText"/>
        <w:spacing w:line="240" w:lineRule="auto" w:before="19"/>
        <w:ind w:left="514" w:right="1130"/>
        <w:jc w:val="left"/>
      </w:pPr>
      <w:r>
        <w:rPr/>
        <w:t>收回或处置时，将取得的价款与该应收款项账面价值之间的差额计入当期损益。</w:t>
      </w:r>
    </w:p>
    <w:p>
      <w:pPr>
        <w:pStyle w:val="BodyText"/>
        <w:spacing w:line="316" w:lineRule="auto" w:before="76"/>
        <w:ind w:left="514" w:right="0"/>
        <w:jc w:val="left"/>
      </w:pPr>
      <w:r>
        <w:rPr/>
        <w:t>③持有至到期投资 </w:t>
      </w:r>
      <w:r>
        <w:rPr>
          <w:spacing w:val="-4"/>
        </w:rPr>
        <w:t>持有至到期投资是指到期日固定、回收金额固定或可确定，且本公司有明确意图和能力持有至到期的非衍生性金融资产。</w:t>
      </w:r>
      <w:r>
        <w:rPr>
          <w:spacing w:val="-52"/>
        </w:rPr>
        <w:t> </w:t>
      </w:r>
      <w:r>
        <w:rPr>
          <w:spacing w:val="-52"/>
        </w:rPr>
      </w:r>
      <w:r>
        <w:rPr>
          <w:spacing w:val="-2"/>
        </w:rPr>
        <w:t>本公司对持有至到期投资，在取得时按公允价值（扣除已到付息期但尚未领取的债券利息）和相关交易费用之和作为初</w:t>
      </w:r>
    </w:p>
    <w:p>
      <w:pPr>
        <w:pStyle w:val="BodyText"/>
        <w:spacing w:line="316" w:lineRule="auto" w:before="19"/>
        <w:ind w:right="1131"/>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6" w:lineRule="auto" w:before="19"/>
        <w:ind w:right="113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514" w:right="113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514" w:right="113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16" w:lineRule="auto" w:before="63"/>
        <w:ind w:left="514" w:right="1032"/>
        <w:jc w:val="left"/>
      </w:pPr>
      <w:r>
        <w:rPr/>
        <w:t>④可供出售金融资产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before="19"/>
        <w:ind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1130"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spacing w:line="316" w:lineRule="auto" w:before="19"/>
        <w:ind w:left="514" w:right="3732" w:firstLine="0"/>
        <w:jc w:val="left"/>
        <w:rPr>
          <w:rFonts w:ascii="宋体" w:hAnsi="宋体" w:cs="宋体" w:eastAsia="宋体" w:hint="default"/>
          <w:sz w:val="18"/>
          <w:szCs w:val="18"/>
        </w:rPr>
      </w:pPr>
      <w:r>
        <w:rPr>
          <w:rFonts w:ascii="宋体" w:hAnsi="宋体" w:cs="宋体" w:eastAsia="宋体" w:hint="default"/>
          <w:sz w:val="18"/>
          <w:szCs w:val="18"/>
        </w:rPr>
        <w:t>⑤其他金融负债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ind w:right="1130"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1130"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4" w:right="1130"/>
        <w:jc w:val="left"/>
      </w:pPr>
      <w:r>
        <w:rPr/>
        <w:t>①所转移金融资产的账面价值；</w:t>
      </w:r>
    </w:p>
    <w:p>
      <w:pPr>
        <w:pStyle w:val="BodyText"/>
        <w:spacing w:line="319" w:lineRule="auto" w:before="76"/>
        <w:ind w:right="1130" w:firstLine="360"/>
        <w:jc w:val="left"/>
      </w:pPr>
      <w:r>
        <w:rPr>
          <w:spacing w:val="-2"/>
        </w:rPr>
        <w:t>②转移而收到的对价，与原直接计入所有者权益的公允价值变动累计额（涉及转移的金融资产为可供出售金融资产的情</w:t>
      </w:r>
      <w:r>
        <w:rPr/>
        <w:t> 形）之和。</w:t>
      </w:r>
    </w:p>
    <w:p>
      <w:pPr>
        <w:pStyle w:val="BodyText"/>
        <w:spacing w:line="316" w:lineRule="auto" w:before="17"/>
        <w:ind w:right="103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4" w:right="1130"/>
        <w:jc w:val="left"/>
      </w:pPr>
      <w:r>
        <w:rPr/>
        <w:t>①终止确认部分的账面价值；</w:t>
      </w:r>
    </w:p>
    <w:p>
      <w:pPr>
        <w:pStyle w:val="BodyText"/>
        <w:spacing w:line="316" w:lineRule="auto" w:before="76"/>
        <w:ind w:right="1130" w:firstLine="360"/>
        <w:jc w:val="left"/>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309" w:lineRule="auto" w:before="19"/>
        <w:ind w:left="514" w:right="1130"/>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24"/>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right="113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13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4"/>
          <w:sz w:val="18"/>
          <w:szCs w:val="18"/>
        </w:rPr>
        <w:t>存在活跃市场的金融资产或金融负债，以活跃市场的报价确定其公允价值；活跃市场的报价包括易于且可定期从交易所、</w:t>
      </w:r>
    </w:p>
    <w:p>
      <w:pPr>
        <w:pStyle w:val="BodyText"/>
        <w:spacing w:line="316" w:lineRule="auto" w:before="31"/>
        <w:ind w:right="1131"/>
        <w:jc w:val="both"/>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30"/>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9" w:lineRule="auto" w:before="19"/>
        <w:ind w:right="1130"/>
        <w:jc w:val="both"/>
      </w:pPr>
      <w:r>
        <w:rPr>
          <w:spacing w:val="-2"/>
        </w:rPr>
        <w:t>有足够可利用数据和其他信息支持的估值技术，选择与市场参与者在相关资产或负债的交易中所考虑的资产或负债特征相一</w:t>
      </w:r>
      <w:r>
        <w:rPr>
          <w:spacing w:val="-63"/>
        </w:rPr>
        <w:t> </w:t>
      </w:r>
      <w:r>
        <w:rPr>
          <w:spacing w:val="-63"/>
        </w:rPr>
      </w:r>
      <w:r>
        <w:rPr>
          <w:spacing w:val="-2"/>
        </w:rPr>
        <w:t>致的输入值，并尽可能优先使用相关可观察输入值。在相关可观察输入值无法取得或取得不切实可行的情况下，使用不可观</w:t>
      </w:r>
      <w:r>
        <w:rPr>
          <w:spacing w:val="-66"/>
        </w:rPr>
        <w:t> </w:t>
      </w:r>
      <w:r>
        <w:rPr>
          <w:spacing w:val="-66"/>
        </w:rPr>
      </w:r>
      <w:r>
        <w:rPr/>
        <w:t>察输入值。</w:t>
      </w:r>
    </w:p>
    <w:p>
      <w:pPr>
        <w:spacing w:line="300" w:lineRule="auto" w:before="17"/>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资产负债表日对以公允价值计量且其变动计入当期损益的金融资产以外的金融资产的账面价值进行检查，如有客观证据</w:t>
      </w:r>
    </w:p>
    <w:p>
      <w:pPr>
        <w:pStyle w:val="BodyText"/>
        <w:spacing w:line="316" w:lineRule="auto" w:before="31"/>
        <w:ind w:left="514" w:right="6612" w:hanging="360"/>
        <w:jc w:val="left"/>
      </w:pPr>
      <w:r>
        <w:rPr/>
        <w:t>表明该金融资产发生减值的，计提减值准备。 金融资产发生减值的客观证据，包括但不限于：</w:t>
      </w:r>
    </w:p>
    <w:p>
      <w:pPr>
        <w:pStyle w:val="BodyText"/>
        <w:spacing w:line="240" w:lineRule="auto" w:before="19"/>
        <w:ind w:left="659" w:right="1130"/>
        <w:jc w:val="left"/>
      </w:pPr>
      <w:r>
        <w:rPr/>
        <w:t>①发行方或债务人发生严重财务困难；</w:t>
      </w:r>
    </w:p>
    <w:p>
      <w:pPr>
        <w:pStyle w:val="BodyText"/>
        <w:spacing w:line="240" w:lineRule="auto" w:before="76"/>
        <w:ind w:left="659" w:right="1130"/>
        <w:jc w:val="left"/>
      </w:pPr>
      <w:r>
        <w:rPr/>
        <w:t>②债务人违反了合同条款，如偿付利息或本金发生违约或逾期等；</w:t>
      </w:r>
    </w:p>
    <w:p>
      <w:pPr>
        <w:pStyle w:val="BodyText"/>
        <w:spacing w:line="240" w:lineRule="auto" w:before="76"/>
        <w:ind w:left="659" w:right="1130"/>
        <w:jc w:val="left"/>
      </w:pPr>
      <w:r>
        <w:rPr/>
        <w:t>③债权人出于经济或法律等方面因素的考虑，对发生财务困难的债务人作出让步；</w:t>
      </w:r>
    </w:p>
    <w:p>
      <w:pPr>
        <w:pStyle w:val="BodyText"/>
        <w:spacing w:line="240" w:lineRule="auto" w:before="76"/>
        <w:ind w:left="659" w:right="1130"/>
        <w:jc w:val="left"/>
      </w:pPr>
      <w:r>
        <w:rPr/>
        <w:t>④债务人很可能倒闭或进行其他财务重组；</w:t>
      </w:r>
    </w:p>
    <w:p>
      <w:pPr>
        <w:pStyle w:val="BodyText"/>
        <w:spacing w:line="240" w:lineRule="auto" w:before="76"/>
        <w:ind w:left="659" w:right="1130"/>
        <w:jc w:val="left"/>
      </w:pPr>
      <w:r>
        <w:rPr/>
        <w:t>⑤因发行方发生重大财务困难，该金融资产无法在活跃市场继续交易；</w:t>
      </w:r>
    </w:p>
    <w:p>
      <w:pPr>
        <w:pStyle w:val="BodyText"/>
        <w:spacing w:line="316" w:lineRule="auto" w:before="76"/>
        <w:ind w:right="1131" w:firstLine="505"/>
        <w:jc w:val="both"/>
      </w:pPr>
      <w:r>
        <w:rPr>
          <w:spacing w:val="-1"/>
        </w:rPr>
        <w:t>⑥无法辨认一组金融资产中的某项资产的现金流量是否已经减少，但根据公开的数据对其进行总体评价后发现，该组</w:t>
      </w:r>
      <w:r>
        <w:rPr/>
        <w:t>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16" w:lineRule="auto" w:before="19"/>
        <w:ind w:right="1118" w:firstLine="505"/>
        <w:jc w:val="left"/>
      </w:pPr>
      <w:r>
        <w:rPr>
          <w:spacing w:val="-1"/>
        </w:rPr>
        <w:t>⑦权益工具发行方经营所处的技术、市场、经济或法律环境等发生重大不利变化，使权益工具投资人可能无法收回投</w:t>
      </w:r>
      <w:r>
        <w:rPr/>
        <w:t> 资成本；</w:t>
      </w:r>
    </w:p>
    <w:p>
      <w:pPr>
        <w:pStyle w:val="BodyText"/>
        <w:spacing w:line="316" w:lineRule="auto" w:before="19"/>
        <w:ind w:left="514" w:right="5927" w:firstLine="145"/>
        <w:jc w:val="left"/>
      </w:pPr>
      <w:r>
        <w:rPr/>
        <w:t>⑧权益工具投资的公允价值发生严重或非暂时性下跌； 金融资产的具体减值方法如下：</w:t>
      </w:r>
    </w:p>
    <w:p>
      <w:pPr>
        <w:pStyle w:val="BodyText"/>
        <w:spacing w:line="319" w:lineRule="auto" w:before="19"/>
        <w:ind w:left="514" w:right="1130" w:firstLine="145"/>
        <w:jc w:val="left"/>
      </w:pPr>
      <w:r>
        <w:rPr/>
        <w:t>①可供出售金融资产减值准备 </w:t>
      </w:r>
      <w:r>
        <w:rPr>
          <w:spacing w:val="-2"/>
        </w:rPr>
        <w:t>本公司于资产负债表日对各项可供出售权益工具投资单独进行检查，若该权益工具投资于资产负债表日的公允价值低于</w:t>
      </w:r>
    </w:p>
    <w:p>
      <w:pPr>
        <w:pStyle w:val="BodyText"/>
        <w:spacing w:line="300" w:lineRule="auto" w:before="17"/>
        <w:ind w:right="1131"/>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58"/>
        </w:rPr>
        <w:t> </w:t>
      </w:r>
      <w:r>
        <w:rPr>
          <w:spacing w:val="-58"/>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w:t>
      </w:r>
      <w:r>
        <w:rPr>
          <w:spacing w:val="-85"/>
        </w:rPr>
        <w:t> </w:t>
      </w:r>
      <w:r>
        <w:rPr>
          <w:spacing w:val="-85"/>
        </w:rPr>
      </w:r>
      <w:r>
        <w:rPr/>
        <w:t>判断该权益工具投资是否发生减值。</w:t>
      </w:r>
    </w:p>
    <w:p>
      <w:pPr>
        <w:pStyle w:val="BodyText"/>
        <w:spacing w:line="316" w:lineRule="auto" w:before="31"/>
        <w:ind w:right="1132" w:firstLine="360"/>
        <w:jc w:val="both"/>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6" w:lineRule="auto" w:before="19"/>
        <w:ind w:right="113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9"/>
        <w:ind w:right="1131"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16" w:lineRule="auto" w:before="19"/>
        <w:ind w:left="514" w:right="1130" w:firstLine="145"/>
        <w:jc w:val="left"/>
      </w:pPr>
      <w:r>
        <w:rPr/>
        <w:t>②持有至到期投资减值准备 </w:t>
      </w:r>
      <w:r>
        <w:rPr>
          <w:spacing w:val="-2"/>
        </w:rPr>
        <w:t>对于持有至到期投资，有客观证据表明其发生了减值的，根据其账面价值与预计未来现金流量现值之间差额计算确认减</w:t>
      </w:r>
    </w:p>
    <w:p>
      <w:pPr>
        <w:pStyle w:val="BodyText"/>
        <w:spacing w:line="316" w:lineRule="auto" w:before="19"/>
        <w:ind w:right="1131"/>
        <w:jc w:val="both"/>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spacing w:line="300" w:lineRule="auto" w:before="19"/>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产负债表内列示：</w:t>
      </w:r>
    </w:p>
    <w:p>
      <w:pPr>
        <w:pStyle w:val="BodyText"/>
        <w:spacing w:line="240" w:lineRule="auto" w:before="76"/>
        <w:ind w:left="659" w:right="1130"/>
        <w:jc w:val="left"/>
      </w:pPr>
      <w:r>
        <w:rPr/>
        <w:t>①本公司具有抵销已确认金额的法定权利，且该种法定权利是当前可执行的；</w:t>
      </w:r>
    </w:p>
    <w:p>
      <w:pPr>
        <w:pStyle w:val="BodyText"/>
        <w:spacing w:line="240" w:lineRule="auto" w:before="76"/>
        <w:ind w:left="659" w:right="1130"/>
        <w:jc w:val="left"/>
      </w:pPr>
      <w:r>
        <w:rPr/>
        <w:t>②本公司计划以净额结算，或同时变现该金融资产和清偿该金融负债。</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本公司将期末余额为人民币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 项金额重大的应收款项。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13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政府机构应收款项组合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130"/>
        <w:jc w:val="left"/>
      </w:pPr>
      <w:r>
        <w:rPr/>
        <w:t>组合中，采用账龄分析法计提坏账准备的：</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3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政府机构应收款项组合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113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6"/>
        <w:ind w:left="514" w:right="1130" w:firstLine="1"/>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316" w:lineRule="auto" w:before="31"/>
        <w:ind w:right="1130"/>
        <w:jc w:val="left"/>
      </w:pPr>
      <w:r>
        <w:rPr>
          <w:spacing w:val="-2"/>
        </w:rPr>
        <w:t>耗用的材料和物料等。主要包括原材料、周转材料、委托加工材料、在产品、自制半成品、产成品（库存商品）、发出商品</w:t>
      </w:r>
      <w:r>
        <w:rPr>
          <w:spacing w:val="-70"/>
        </w:rPr>
        <w:t> </w:t>
      </w:r>
      <w:r>
        <w:rPr>
          <w:spacing w:val="-70"/>
        </w:rPr>
      </w:r>
      <w:r>
        <w:rPr/>
        <w:t>等。</w:t>
      </w:r>
    </w:p>
    <w:p>
      <w:pPr>
        <w:spacing w:line="307" w:lineRule="auto" w:before="19"/>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存货在取得时，按成本进行初始计量，包括采购成本、加工成本和其他成本。存货发出时按加权平均法计价。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6" w:lineRule="auto" w:before="26"/>
        <w:ind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6"/>
        </w:rPr>
        <w:t> </w:t>
      </w:r>
      <w:r>
        <w:rPr>
          <w:spacing w:val="-66"/>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right="1133"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09" w:lineRule="auto" w:before="19"/>
        <w:ind w:left="514" w:right="765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5"/>
        <w:ind w:left="659" w:right="1130"/>
        <w:jc w:val="left"/>
      </w:pPr>
      <w:r>
        <w:rPr/>
        <w:t>①低值易耗品采用一次转销法；</w:t>
      </w:r>
    </w:p>
    <w:p>
      <w:pPr>
        <w:pStyle w:val="BodyText"/>
        <w:spacing w:line="240" w:lineRule="auto" w:before="76"/>
        <w:ind w:left="659" w:right="1130"/>
        <w:jc w:val="left"/>
      </w:pPr>
      <w:r>
        <w:rPr/>
        <w:t>②包装物采用一次转销法。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13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4" w:right="4002" w:firstLine="1"/>
        <w:jc w:val="left"/>
      </w:pPr>
      <w:r>
        <w:rPr>
          <w:rFonts w:ascii="Times New Roman" w:hAnsi="Times New Roman" w:cs="Times New Roman" w:eastAsia="Times New Roman" w:hint="default"/>
          <w:b/>
          <w:bCs/>
        </w:rPr>
        <w:t>(1)</w:t>
      </w:r>
      <w:r>
        <w:rPr>
          <w:rFonts w:ascii="宋体" w:hAnsi="宋体" w:cs="宋体" w:eastAsia="宋体" w:hint="default"/>
          <w:b/>
          <w:bCs/>
        </w:rPr>
        <w:t>划分为持有待售确认标准</w:t>
      </w:r>
      <w:r>
        <w:rPr>
          <w:rFonts w:ascii="宋体" w:hAnsi="宋体" w:cs="宋体" w:eastAsia="宋体" w:hint="default"/>
          <w:b/>
          <w:bCs/>
          <w:w w:val="99"/>
        </w:rPr>
        <w:t> </w:t>
      </w:r>
      <w:r>
        <w:rPr/>
        <w:t>本公司将同时满足下列条件的非流动资产或处置组确认为持有待售组成部分： </w:t>
      </w:r>
      <w:r>
        <w:rPr>
          <w:rFonts w:ascii="Times New Roman" w:hAnsi="Times New Roman" w:cs="Times New Roman" w:eastAsia="Times New Roman" w:hint="default"/>
        </w:rPr>
        <w:t>1</w:t>
      </w:r>
      <w:r>
        <w:rPr/>
        <w:t>）根据类似交易中出售此类资产或处置组的惯例，在当前状况下即可立即出售；</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2" w:firstLine="360"/>
        <w:jc w:val="left"/>
      </w:pPr>
      <w:r>
        <w:rPr>
          <w:rFonts w:ascii="Times New Roman" w:hAnsi="Times New Roman" w:cs="Times New Roman" w:eastAsia="Times New Roman" w:hint="default"/>
        </w:rPr>
        <w:t>2</w:t>
      </w:r>
      <w:r>
        <w:rPr/>
        <w:t>）出售极可能发生，即本公司已经就一项出售计划作出决议，并已获得监管部门批准，且获得确定的购买承诺，预计 出售将在一年内完成。</w:t>
      </w:r>
    </w:p>
    <w:p>
      <w:pPr>
        <w:pStyle w:val="BodyText"/>
        <w:spacing w:line="316" w:lineRule="auto" w:before="31"/>
        <w:ind w:right="1130" w:firstLine="360"/>
        <w:jc w:val="left"/>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pStyle w:val="BodyText"/>
        <w:spacing w:line="300" w:lineRule="auto" w:before="19"/>
        <w:ind w:left="514" w:right="1130" w:firstLine="1"/>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本公司对于持有待售的非流动资产或处置组不计提折旧或摊销，其账面价值高于公允价值减去出售费用后的净额的，应</w:t>
      </w:r>
    </w:p>
    <w:p>
      <w:pPr>
        <w:pStyle w:val="BodyText"/>
        <w:spacing w:line="316" w:lineRule="auto" w:before="31"/>
        <w:ind w:right="1130"/>
        <w:jc w:val="left"/>
      </w:pPr>
      <w:r>
        <w:rPr>
          <w:spacing w:val="-2"/>
        </w:rPr>
        <w:t>当将账面价值减记至公允价值减去出售费用后的净额，减记的金额确认为资产减值损失，计入当期损益，同时计提持有待售</w:t>
      </w:r>
      <w:r>
        <w:rPr>
          <w:spacing w:val="-66"/>
        </w:rPr>
        <w:t> </w:t>
      </w:r>
      <w:r>
        <w:rPr>
          <w:spacing w:val="-66"/>
        </w:rPr>
      </w:r>
      <w:r>
        <w:rPr/>
        <w:t>资产减值准备。</w:t>
      </w:r>
    </w:p>
    <w:p>
      <w:pPr>
        <w:pStyle w:val="BodyText"/>
        <w:spacing w:line="316" w:lineRule="auto" w:before="19"/>
        <w:ind w:right="1130" w:firstLine="360"/>
        <w:jc w:val="left"/>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right="113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6"/>
        </w:rPr>
        <w:t> </w:t>
      </w:r>
      <w:r>
        <w:rPr>
          <w:spacing w:val="-66"/>
        </w:rPr>
      </w:r>
      <w:r>
        <w:rPr/>
        <w:t>同相关会计准则规范的保险合同所产生的权利。</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113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00" w:lineRule="auto" w:before="63"/>
        <w:ind w:right="1130" w:firstLine="360"/>
        <w:jc w:val="left"/>
      </w:pPr>
      <w:r>
        <w:rPr>
          <w:spacing w:val="-2"/>
        </w:rPr>
        <w:t>①企业合并形成的长期股权投资，具体会计政策详见本报告第十一节、五、</w:t>
      </w:r>
      <w:r>
        <w:rPr>
          <w:rFonts w:ascii="Times New Roman" w:hAnsi="Times New Roman" w:cs="Times New Roman" w:eastAsia="Times New Roman" w:hint="default"/>
          <w:spacing w:val="-2"/>
        </w:rPr>
        <w:t>5“</w:t>
      </w:r>
      <w:r>
        <w:rPr>
          <w:spacing w:val="-2"/>
        </w:rPr>
        <w:t>同一控制下和非同一控制下企业合并的会</w:t>
      </w:r>
      <w:r>
        <w:rPr/>
        <w:t> 计处理方法</w:t>
      </w:r>
      <w:r>
        <w:rPr>
          <w:rFonts w:ascii="Times New Roman" w:hAnsi="Times New Roman" w:cs="Times New Roman" w:eastAsia="Times New Roman" w:hint="default"/>
        </w:rPr>
        <w:t>”</w:t>
      </w:r>
      <w:r>
        <w:rPr/>
        <w:t>。</w:t>
      </w:r>
    </w:p>
    <w:p>
      <w:pPr>
        <w:pStyle w:val="BodyText"/>
        <w:spacing w:line="316" w:lineRule="auto" w:before="13"/>
        <w:ind w:left="514" w:right="1130"/>
        <w:jc w:val="left"/>
      </w:pPr>
      <w:r>
        <w:rPr/>
        <w:t>②其他方式取得的长期股权投资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9" w:lineRule="auto" w:before="19"/>
        <w:ind w:left="514" w:right="113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7"/>
        <w:ind w:left="514" w:right="113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13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4" w:right="1130"/>
        <w:jc w:val="left"/>
      </w:pPr>
      <w:r>
        <w:rPr/>
        <w:t>通过债务重组取得的长期股权投资，其初始投资成本按照公允价值为基础确定。</w:t>
      </w:r>
    </w:p>
    <w:p>
      <w:pPr>
        <w:pStyle w:val="Heading4"/>
        <w:spacing w:line="240" w:lineRule="auto" w:before="76"/>
        <w:ind w:right="113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16" w:lineRule="auto" w:before="63"/>
        <w:ind w:left="514" w:right="1130"/>
        <w:jc w:val="left"/>
      </w:pPr>
      <w:r>
        <w:rPr/>
        <w:t>①本法 </w:t>
      </w:r>
      <w:r>
        <w:rPr>
          <w:spacing w:val="-2"/>
        </w:rPr>
        <w:t>本公司能够对被投资单位实施控制的长期股权投资采用成本法核算，并按照初始投资成本计价，追加或收回投资调整长</w:t>
      </w:r>
    </w:p>
    <w:p>
      <w:pPr>
        <w:pStyle w:val="BodyText"/>
        <w:spacing w:line="316" w:lineRule="auto" w:before="19"/>
        <w:ind w:left="514" w:right="113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1130"/>
        <w:jc w:val="left"/>
      </w:pPr>
      <w:r>
        <w:rPr/>
        <w:t>分派的现金股利或利润确认为当期投资收益。</w:t>
      </w:r>
    </w:p>
    <w:p>
      <w:pPr>
        <w:pStyle w:val="BodyText"/>
        <w:spacing w:line="316" w:lineRule="auto" w:before="76"/>
        <w:ind w:left="514" w:right="1130"/>
        <w:jc w:val="left"/>
      </w:pPr>
      <w:r>
        <w:rPr/>
        <w:t>②权益法 </w:t>
      </w:r>
      <w:r>
        <w:rPr>
          <w:spacing w:val="-2"/>
        </w:rPr>
        <w:t>本公司对联营企业和合营企业的长期股权投资采用权益法核算；对于其中一部分通过风险投资机构、共同基金、信托公</w:t>
      </w:r>
    </w:p>
    <w:p>
      <w:pPr>
        <w:pStyle w:val="BodyText"/>
        <w:spacing w:line="316" w:lineRule="auto" w:before="19"/>
        <w:ind w:left="514" w:right="1130"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4" w:right="1130"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1032"/>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240" w:lineRule="auto" w:before="19"/>
        <w:ind w:left="514" w:right="0"/>
        <w:jc w:val="left"/>
      </w:pPr>
      <w:r>
        <w:rPr/>
        <w:t>本公司在确认应享有被投资单位净损益的份额时，以取得投资时被投资单位各项可辨认资产等的公允价值为基础，对被</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9" w:lineRule="auto" w:before="19"/>
        <w:ind w:right="1032"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7"/>
        <w:ind w:right="113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Heading4"/>
        <w:spacing w:line="240" w:lineRule="auto" w:before="19"/>
        <w:ind w:right="113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6" w:lineRule="auto" w:before="63"/>
        <w:ind w:left="514" w:right="1130"/>
        <w:jc w:val="left"/>
      </w:pPr>
      <w:r>
        <w:rPr/>
        <w:t>①公允价值计量转权益法核算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19"/>
        <w:ind w:right="113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16" w:lineRule="auto" w:before="31"/>
        <w:ind w:right="113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1130"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16" w:lineRule="auto" w:before="19"/>
        <w:ind w:left="514" w:right="1130"/>
        <w:jc w:val="left"/>
      </w:pPr>
      <w:r>
        <w:rPr/>
        <w:t>②公允价值计量或权益法核算转成本法核算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19"/>
        <w:ind w:right="113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9" w:lineRule="auto" w:before="19"/>
        <w:ind w:right="113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7"/>
        <w:ind w:right="113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16" w:lineRule="auto" w:before="31"/>
        <w:ind w:left="514" w:right="1130" w:firstLine="73"/>
        <w:jc w:val="left"/>
      </w:pPr>
      <w:r>
        <w:rPr/>
        <w:t>③权益法核算转公允价值计量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19"/>
        <w:ind w:right="1130"/>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16" w:lineRule="auto" w:before="31"/>
        <w:ind w:right="1130"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16" w:lineRule="auto" w:before="19"/>
        <w:ind w:left="514" w:right="1130" w:hanging="17"/>
        <w:jc w:val="left"/>
      </w:pPr>
      <w:r>
        <w:rPr/>
        <w:t>④成本法转权益法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19"/>
        <w:ind w:right="0"/>
        <w:jc w:val="left"/>
      </w:pPr>
      <w:r>
        <w:rPr/>
        <w:t>被投资单位实施共同控制或施加重大影响的，改按权益法核算，并对该剩余股权视同自取得时即采用权益法核算进行调整。</w:t>
      </w:r>
    </w:p>
    <w:p>
      <w:pPr>
        <w:pStyle w:val="BodyText"/>
        <w:spacing w:line="316" w:lineRule="auto" w:before="76"/>
        <w:ind w:left="514" w:right="1130"/>
        <w:jc w:val="left"/>
      </w:pPr>
      <w:r>
        <w:rPr/>
        <w:t>⑤成本法转公允价值计量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19"/>
        <w:ind w:right="1130"/>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4" w:right="1130" w:firstLine="1"/>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32"/>
        <w:ind w:right="1118"/>
        <w:jc w:val="left"/>
      </w:pPr>
      <w:r>
        <w:rPr>
          <w:spacing w:val="-2"/>
        </w:rPr>
        <w:t>处置该项投资时，采用与被投资单位直接处置相关资产或负债相同的基础，按相应比例对原计入其他综合收益的部分进行会</w:t>
      </w:r>
      <w:r>
        <w:rPr>
          <w:spacing w:val="-63"/>
        </w:rPr>
        <w:t> </w:t>
      </w:r>
      <w:r>
        <w:rPr>
          <w:spacing w:val="-63"/>
        </w:rPr>
      </w:r>
      <w:r>
        <w:rPr/>
        <w:t>计处理。</w:t>
      </w:r>
    </w:p>
    <w:p>
      <w:pPr>
        <w:pStyle w:val="BodyText"/>
        <w:spacing w:line="316" w:lineRule="auto" w:before="19"/>
        <w:ind w:right="1130" w:firstLine="360"/>
        <w:jc w:val="left"/>
      </w:pPr>
      <w:r>
        <w:rPr>
          <w:spacing w:val="-2"/>
        </w:rPr>
        <w:t>处置对子公司股权投资的各项交易的条款、条件以及经济影响符合以下一种或多种情况，将多次交易事项作为一揽子交</w:t>
      </w:r>
      <w:r>
        <w:rPr/>
        <w:t> 易进行会计处理：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1130"/>
        <w:jc w:val="left"/>
      </w:pPr>
      <w:r>
        <w:rPr/>
        <w:t>①这些交易是同时或者在考虑了彼此影响的情况下订立的；</w:t>
      </w:r>
    </w:p>
    <w:p>
      <w:pPr>
        <w:pStyle w:val="BodyText"/>
        <w:spacing w:line="240" w:lineRule="auto" w:before="76"/>
        <w:ind w:left="514" w:right="1130"/>
        <w:jc w:val="left"/>
      </w:pPr>
      <w:r>
        <w:rPr/>
        <w:t>②这些交易整体才能达成一项完整的商业结果；</w:t>
      </w:r>
    </w:p>
    <w:p>
      <w:pPr>
        <w:pStyle w:val="BodyText"/>
        <w:spacing w:line="240" w:lineRule="auto" w:before="76"/>
        <w:ind w:left="514" w:right="1130"/>
        <w:jc w:val="left"/>
      </w:pPr>
      <w:r>
        <w:rPr/>
        <w:t>③一项交易的发生取决于其他至少一项交易的发生；</w:t>
      </w:r>
    </w:p>
    <w:p>
      <w:pPr>
        <w:pStyle w:val="BodyText"/>
        <w:spacing w:line="319" w:lineRule="auto" w:before="76"/>
        <w:ind w:left="514" w:right="1130"/>
        <w:jc w:val="left"/>
      </w:pPr>
      <w:r>
        <w:rPr/>
        <w:t>④一项交易单独看是不经济的，但是和其他交易一并考虑时是经济的。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17"/>
        <w:ind w:right="1130"/>
        <w:jc w:val="left"/>
      </w:pPr>
      <w:r>
        <w:rPr/>
        <w:t>表进行相关会计处理：</w:t>
      </w:r>
    </w:p>
    <w:p>
      <w:pPr>
        <w:pStyle w:val="BodyText"/>
        <w:spacing w:line="312" w:lineRule="auto" w:before="76"/>
        <w:ind w:right="0" w:firstLine="360"/>
        <w:jc w:val="left"/>
      </w:pPr>
      <w:r>
        <w:rPr>
          <w:spacing w:val="-2"/>
        </w:rPr>
        <w:t>①在个别财务报表中，对于处置的股权，其账面价值与实际取得价款之间的差额计入当期损益。处置后的剩余股权能够</w:t>
      </w:r>
      <w:r>
        <w:rPr/>
        <w:t> </w:t>
      </w:r>
      <w:r>
        <w:rPr>
          <w:spacing w:val="-4"/>
        </w:rPr>
        <w:t>对被投资单位实施共同控制或施加重大影响的，改按权益法核算，并对该剩余股权视同自取得时即采用权益法核算进行调整；</w:t>
      </w:r>
      <w:r>
        <w:rPr>
          <w:spacing w:val="-44"/>
        </w:rPr>
        <w:t> </w:t>
      </w:r>
      <w:r>
        <w:rPr>
          <w:spacing w:val="-44"/>
        </w:rPr>
      </w: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39"/>
        </w:rPr>
        <w:t> </w:t>
      </w:r>
      <w:r>
        <w:rPr/>
        <w:t>的有关规定进行会计处理，其在丧失控制之日的公允价值与账面价值间的差额计入当期损益。</w:t>
      </w:r>
    </w:p>
    <w:p>
      <w:pPr>
        <w:pStyle w:val="BodyText"/>
        <w:spacing w:line="316" w:lineRule="auto" w:before="22"/>
        <w:ind w:right="1032" w:firstLine="360"/>
        <w:jc w:val="left"/>
      </w:pPr>
      <w:r>
        <w:rPr>
          <w:spacing w:val="-2"/>
        </w:rPr>
        <w:t>②在合并财务报表中，对于在丧失对子公司控制权以前的各项交易，处置价款与处置长期股权投资相应对享有子公司自</w:t>
      </w:r>
      <w:r>
        <w:rPr/>
        <w:t> </w:t>
      </w:r>
      <w:r>
        <w:rPr>
          <w:spacing w:val="-4"/>
        </w:rPr>
        <w:t>购买日或合并日开始持续计算的净资产份额之间的差额，调整资本公积（股本溢价），资本公积不足冲减的，调整留存收益；</w:t>
      </w:r>
      <w:r>
        <w:rPr>
          <w:spacing w:val="-44"/>
        </w:rPr>
        <w:t> </w:t>
      </w:r>
      <w:r>
        <w:rPr>
          <w:spacing w:val="-44"/>
        </w:rPr>
      </w:r>
      <w:r>
        <w:rPr>
          <w:spacing w:val="-2"/>
        </w:rPr>
        <w:t>在丧失对子公司控制权时，对于剩余股权，按照其在丧失控制权日的公允价值进行重新计量。处置股权取得的对价与剩余股</w:t>
      </w:r>
      <w:r>
        <w:rPr>
          <w:spacing w:val="-66"/>
        </w:rPr>
        <w:t> </w:t>
      </w:r>
      <w:r>
        <w:rPr>
          <w:spacing w:val="-66"/>
        </w:rPr>
      </w:r>
      <w:r>
        <w:rPr>
          <w:spacing w:val="-2"/>
        </w:rPr>
        <w:t>权公允价值之和，减去按原持股比例计算应享有原有子公司自购买日开始持续计算的净资产的份额之间的差额，计入丧失控</w:t>
      </w:r>
      <w:r>
        <w:rPr>
          <w:spacing w:val="-64"/>
        </w:rPr>
        <w:t> </w:t>
      </w:r>
      <w:r>
        <w:rPr>
          <w:spacing w:val="-64"/>
        </w:rPr>
      </w:r>
      <w:r>
        <w:rPr/>
        <w:t>制权当期的投资收益，同时冲减商誉。与原有子公司股权投资相关的其他综合收益等，在丧失控制权时转为当期投资收益。</w:t>
      </w:r>
    </w:p>
    <w:p>
      <w:pPr>
        <w:pStyle w:val="BodyText"/>
        <w:spacing w:line="316" w:lineRule="auto" w:before="19"/>
        <w:ind w:right="1130" w:firstLine="360"/>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16" w:lineRule="auto" w:before="19"/>
        <w:ind w:right="1130" w:firstLine="360"/>
        <w:jc w:val="left"/>
      </w:pPr>
      <w:r>
        <w:rPr>
          <w:spacing w:val="-2"/>
        </w:rPr>
        <w:t>①在个别财务报表中，在丧失控制权之前每一次处置价款与处置的股权对应的长期股权投资账面价值之间的差额，确认</w:t>
      </w:r>
      <w:r>
        <w:rPr/>
        <w:t> 为其他综合收益，在丧失控制权时一并转入丧失控制权当期的损益。</w:t>
      </w:r>
    </w:p>
    <w:p>
      <w:pPr>
        <w:pStyle w:val="BodyText"/>
        <w:spacing w:line="316" w:lineRule="auto" w:before="19"/>
        <w:ind w:right="1130" w:firstLine="360"/>
        <w:jc w:val="left"/>
      </w:pPr>
      <w:r>
        <w:rPr>
          <w:spacing w:val="-2"/>
        </w:rPr>
        <w:t>②在合并财务报表中，在丧失控制权之前每一次处置价款与处置投资对应的享有该子公司净资产份额的差额，确认为其</w:t>
      </w:r>
      <w:r>
        <w:rPr/>
        <w:t> 他综合收益，在丧失控制权时一并转入丧失控制权当期的损益。</w:t>
      </w:r>
    </w:p>
    <w:p>
      <w:pPr>
        <w:spacing w:line="300" w:lineRule="auto" w:before="19"/>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16" w:lineRule="auto" w:before="31"/>
        <w:ind w:left="514" w:right="113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9"/>
        <w:ind w:right="1130"/>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7" w:lineRule="auto" w:before="59"/>
        <w:ind w:right="0"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4"/>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7"/>
        <w:rPr>
          <w:rFonts w:ascii="宋体" w:hAnsi="宋体" w:cs="宋体" w:eastAsia="宋体" w:hint="default"/>
          <w:sz w:val="21"/>
          <w:szCs w:val="21"/>
        </w:rPr>
      </w:pPr>
    </w:p>
    <w:p>
      <w:pPr>
        <w:pStyle w:val="Heading3"/>
        <w:spacing w:line="240" w:lineRule="auto"/>
        <w:ind w:right="113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不适用</w:t>
      </w:r>
    </w:p>
    <w:p>
      <w:pPr>
        <w:spacing w:line="240" w:lineRule="auto" w:before="11"/>
        <w:rPr>
          <w:rFonts w:ascii="宋体" w:hAnsi="宋体" w:cs="宋体" w:eastAsia="宋体" w:hint="default"/>
          <w:sz w:val="19"/>
          <w:szCs w:val="19"/>
        </w:rPr>
      </w:pPr>
    </w:p>
    <w:p>
      <w:pPr>
        <w:pStyle w:val="Heading3"/>
        <w:spacing w:line="240" w:lineRule="auto"/>
        <w:ind w:right="113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满足下列条件时予以确认：①与该固定资产有关的经济利益很可能流入企业；②该固定资产的成本能够可靠地计量。</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4.75-3.80%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30"/>
        <w:jc w:val="left"/>
      </w:pPr>
      <w:r>
        <w:rPr/>
        <w:t>当本公司租入的固定资产符合下列一项或数项标准时，确认为融资租入固定资产：</w:t>
      </w:r>
    </w:p>
    <w:p>
      <w:pPr>
        <w:pStyle w:val="BodyText"/>
        <w:spacing w:line="240" w:lineRule="auto" w:before="76"/>
        <w:ind w:left="499" w:right="1130"/>
        <w:jc w:val="left"/>
      </w:pPr>
      <w:r>
        <w:rPr/>
        <w:t>①在租赁期届满时，租赁资产的所有权转移给本公司。</w:t>
      </w:r>
    </w:p>
    <w:p>
      <w:pPr>
        <w:pStyle w:val="BodyText"/>
        <w:spacing w:line="316" w:lineRule="auto" w:before="76"/>
        <w:ind w:right="1130" w:firstLine="360"/>
        <w:jc w:val="left"/>
      </w:pPr>
      <w:r>
        <w:rPr>
          <w:spacing w:val="-2"/>
        </w:rPr>
        <w:t>②本公司有购买租赁资产的选择权，所订立的购买价款预计将远低于行使选择权时租赁资产的公允价值，因而在租赁开</w:t>
      </w:r>
      <w:r>
        <w:rPr/>
        <w:t> 始日就可以合理确定本公司将会行使这种选择权。</w:t>
      </w:r>
    </w:p>
    <w:p>
      <w:pPr>
        <w:pStyle w:val="BodyText"/>
        <w:spacing w:line="240" w:lineRule="auto" w:before="19"/>
        <w:ind w:left="514" w:right="1130"/>
        <w:jc w:val="left"/>
      </w:pPr>
      <w:r>
        <w:rPr/>
        <w:t>③即使资产的所有权不转移，但租赁期占租赁资产使用寿命的大部分。</w:t>
      </w:r>
    </w:p>
    <w:p>
      <w:pPr>
        <w:pStyle w:val="BodyText"/>
        <w:spacing w:line="240" w:lineRule="auto" w:before="76"/>
        <w:ind w:left="514" w:right="1130"/>
        <w:jc w:val="left"/>
      </w:pPr>
      <w:r>
        <w:rPr/>
        <w:t>④本公司在租赁开始日的最低租赁付款额现值，几乎相当于租赁开始日租赁资产公允价值。</w:t>
      </w:r>
    </w:p>
    <w:p>
      <w:pPr>
        <w:pStyle w:val="BodyText"/>
        <w:spacing w:line="316" w:lineRule="auto" w:before="76"/>
        <w:ind w:left="514" w:right="1130"/>
        <w:jc w:val="left"/>
      </w:pPr>
      <w:r>
        <w:rPr/>
        <w:t>⑤租赁资产性质特殊，如果不作较大改造，只有本公司才能使用。 </w:t>
      </w:r>
      <w:r>
        <w:rPr>
          <w:spacing w:val="-2"/>
        </w:rPr>
        <w:t>融资租赁租入的固定资产，按租赁开始日租赁资产公允价值与最低租赁付款额的现值两者中较低者，作为入账价值。最</w:t>
      </w:r>
    </w:p>
    <w:p>
      <w:pPr>
        <w:pStyle w:val="BodyText"/>
        <w:spacing w:line="319" w:lineRule="auto" w:before="19"/>
        <w:ind w:right="1133"/>
        <w:jc w:val="both"/>
      </w:pPr>
      <w:r>
        <w:rPr>
          <w:spacing w:val="-2"/>
        </w:rPr>
        <w:t>低租赁付款额作为长期应付款的入账价值，其差额作为未确认融资费用。在租赁谈判和签订租赁合同过程中发生的，可归属</w:t>
      </w:r>
      <w:r>
        <w:rPr>
          <w:spacing w:val="-66"/>
        </w:rPr>
        <w:t> </w:t>
      </w:r>
      <w:r>
        <w:rPr>
          <w:spacing w:val="-66"/>
        </w:rPr>
      </w:r>
      <w:r>
        <w:rPr>
          <w:spacing w:val="-2"/>
        </w:rPr>
        <w:t>于租赁项目的手续费、律师费、差旅费、印花税等初始直接费用，计入租入资产价值。未确认融资费用在租赁期内各个期间</w:t>
      </w:r>
      <w:r>
        <w:rPr>
          <w:spacing w:val="-66"/>
        </w:rPr>
        <w:t> </w:t>
      </w:r>
      <w:r>
        <w:rPr>
          <w:spacing w:val="-66"/>
        </w:rPr>
      </w:r>
      <w:r>
        <w:rPr/>
        <w:t>采用实际利率法进行分摊。</w:t>
      </w:r>
    </w:p>
    <w:p>
      <w:pPr>
        <w:pStyle w:val="BodyText"/>
        <w:spacing w:line="316" w:lineRule="auto" w:before="17"/>
        <w:ind w:right="1131"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6"/>
        </w:rPr>
        <w:t> </w:t>
      </w:r>
      <w:r>
        <w:rPr>
          <w:spacing w:val="-66"/>
        </w:rPr>
      </w:r>
      <w:r>
        <w:rPr/>
        <w:t>用寿命两者中较短的期间内计提折旧。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6"/>
        <w:ind w:left="514" w:right="1032" w:firstLine="1"/>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309" w:lineRule="auto" w:before="31"/>
        <w:ind w:left="514" w:right="0" w:hanging="360"/>
        <w:jc w:val="left"/>
      </w:pPr>
      <w:r>
        <w:rPr/>
        <w:t>包括工程用物资成本、人工成本、交纳的相关税费、应予资本化的借款费用以及应分摊的间接费用等。 </w:t>
      </w:r>
      <w:r>
        <w:rPr>
          <w:rFonts w:ascii="Times New Roman" w:hAnsi="Times New Roman" w:cs="Times New Roman" w:eastAsia="Times New Roman" w:hint="default"/>
          <w:b/>
          <w:bCs/>
        </w:rPr>
        <w:t>(2)</w:t>
      </w:r>
      <w:r>
        <w:rPr>
          <w:rFonts w:ascii="宋体" w:hAnsi="宋体" w:cs="宋体" w:eastAsia="宋体" w:hint="default"/>
          <w:b/>
          <w:bCs/>
        </w:rPr>
        <w:t>在建工程结转为固定资产的标准和时点</w:t>
      </w:r>
      <w:r>
        <w:rPr>
          <w:rFonts w:ascii="宋体" w:hAnsi="宋体" w:cs="宋体" w:eastAsia="宋体" w:hint="default"/>
          <w:b/>
          <w:bCs/>
          <w:w w:val="99"/>
        </w:rPr>
        <w:t> </w:t>
      </w:r>
      <w:r>
        <w:rPr>
          <w:spacing w:val="-2"/>
        </w:rPr>
        <w:t>在建工程项目按建造该项资产达到预定可使用状态前所发生的全部支出，作为固定资产的入账价值。所建造的在建工程</w:t>
      </w:r>
    </w:p>
    <w:p>
      <w:pPr>
        <w:pStyle w:val="BodyText"/>
        <w:spacing w:line="316" w:lineRule="auto" w:before="24"/>
        <w:ind w:right="0"/>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6"/>
        </w:rPr>
        <w:t> </w:t>
      </w:r>
      <w:r>
        <w:rPr>
          <w:spacing w:val="-66"/>
        </w:rPr>
      </w:r>
      <w:r>
        <w:rPr/>
        <w:t>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30"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4" w:right="6972" w:hanging="360"/>
        <w:jc w:val="left"/>
      </w:pPr>
      <w:r>
        <w:rPr/>
        <w:t>产、投资性房地产和存货等资产。 借款费用同时满足下列条件时开始资本化：</w:t>
      </w:r>
    </w:p>
    <w:p>
      <w:pPr>
        <w:pStyle w:val="BodyText"/>
        <w:spacing w:line="316" w:lineRule="auto" w:before="19"/>
        <w:ind w:right="113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4" w:right="1130"/>
        <w:jc w:val="left"/>
      </w:pPr>
      <w:r>
        <w:rPr/>
        <w:t>②借款费用已经发生；</w:t>
      </w:r>
    </w:p>
    <w:p>
      <w:pPr>
        <w:pStyle w:val="BodyText"/>
        <w:spacing w:line="240" w:lineRule="auto" w:before="76"/>
        <w:ind w:left="514" w:right="1130"/>
        <w:jc w:val="left"/>
      </w:pPr>
      <w:r>
        <w:rPr/>
        <w:t>③为使资产达到预定可使用或者可销售状态所必要的购建或者生产活动已经开始。</w:t>
      </w:r>
    </w:p>
    <w:p>
      <w:pPr>
        <w:pStyle w:val="BodyText"/>
        <w:spacing w:line="314" w:lineRule="auto" w:before="76"/>
        <w:ind w:left="514" w:right="1130" w:firstLine="1"/>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30"/>
        <w:jc w:val="left"/>
      </w:pPr>
      <w:r>
        <w:rPr/>
        <w:t>款费用资本化。</w:t>
      </w:r>
    </w:p>
    <w:p>
      <w:pPr>
        <w:pStyle w:val="BodyText"/>
        <w:spacing w:line="300" w:lineRule="auto" w:before="76"/>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0"/>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p>
    <w:p>
      <w:pPr>
        <w:spacing w:line="300" w:lineRule="auto" w:before="19"/>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31"/>
        <w:ind w:left="514" w:right="1130"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514" w:right="1572" w:hanging="360"/>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6"/>
          <w:szCs w:val="26"/>
        </w:rPr>
      </w:pPr>
    </w:p>
    <w:p>
      <w:pPr>
        <w:spacing w:line="316" w:lineRule="auto" w:before="0"/>
        <w:ind w:left="514" w:right="0" w:firstLine="1"/>
        <w:jc w:val="left"/>
        <w:rPr>
          <w:rFonts w:ascii="宋体" w:hAnsi="宋体" w:cs="宋体" w:eastAsia="宋体" w:hint="default"/>
          <w:sz w:val="18"/>
          <w:szCs w:val="18"/>
        </w:rPr>
      </w:pPr>
      <w:bookmarkStart w:name="（1）计价方法、使用寿命、减值测试" w:id="198"/>
      <w:bookmarkEnd w:id="198"/>
      <w:r>
        <w:rPr/>
      </w: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pacing w:val="-4"/>
          <w:sz w:val="18"/>
          <w:szCs w:val="18"/>
        </w:rPr>
        <w:t>无形资产按成本进行初始计量。与无形资产有关的支出，如果相关的经济利益很可能流入本公司且其成本能可靠地计量，</w:t>
      </w:r>
    </w:p>
    <w:p>
      <w:pPr>
        <w:pStyle w:val="BodyText"/>
        <w:spacing w:line="316" w:lineRule="auto" w:before="19"/>
        <w:ind w:left="514" w:right="113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9" w:lineRule="auto" w:before="19"/>
        <w:ind w:right="113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7"/>
        <w:ind w:right="1130" w:firstLine="360"/>
        <w:jc w:val="left"/>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130" w:firstLine="360"/>
        <w:jc w:val="left"/>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2832" w:hanging="360"/>
        <w:jc w:val="left"/>
      </w:pPr>
      <w:r>
        <w:rPr/>
        <w:t>计其使用寿命并按照使用寿命有限的无形资产的摊销政策进行摊销。 无形资产的减值测试方法和减值准备计提方法详见本报告第十一节、五、</w:t>
      </w:r>
      <w:r>
        <w:rPr>
          <w:rFonts w:ascii="宋体" w:hAnsi="宋体" w:cs="宋体" w:eastAsia="宋体" w:hint="default"/>
        </w:rPr>
        <w:t>22</w:t>
      </w:r>
      <w:r>
        <w:rPr/>
        <w:t>“长期资产减值”。</w:t>
      </w:r>
    </w:p>
    <w:p>
      <w:pPr>
        <w:spacing w:line="319" w:lineRule="auto" w:before="20"/>
        <w:ind w:left="514" w:right="4992" w:firstLine="1"/>
        <w:jc w:val="left"/>
        <w:rPr>
          <w:rFonts w:ascii="宋体" w:hAnsi="宋体" w:cs="宋体" w:eastAsia="宋体" w:hint="default"/>
          <w:sz w:val="18"/>
          <w:szCs w:val="18"/>
        </w:rPr>
      </w:pPr>
      <w:bookmarkStart w:name="（2）内部研究开发支出会计政策" w:id="199"/>
      <w:bookmarkEnd w:id="199"/>
      <w:r>
        <w:rPr/>
      </w: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）内部研究开发支出会计政策</w:t>
      </w:r>
      <w:r>
        <w:rPr>
          <w:rFonts w:ascii="宋体" w:hAnsi="宋体" w:cs="宋体" w:eastAsia="宋体" w:hint="default"/>
          <w:b/>
          <w:bCs/>
          <w:w w:val="99"/>
          <w:sz w:val="18"/>
          <w:szCs w:val="18"/>
        </w:rPr>
        <w:t> </w:t>
      </w:r>
      <w:r>
        <w:rPr>
          <w:rFonts w:ascii="宋体" w:hAnsi="宋体" w:cs="宋体" w:eastAsia="宋体" w:hint="default"/>
          <w:sz w:val="18"/>
          <w:szCs w:val="18"/>
        </w:rPr>
        <w:t>本公司内部研究开发项目的支出分为研究阶段支出与开发阶段支出。 研究阶段的支出，于发生时计入当期损益。</w:t>
      </w:r>
    </w:p>
    <w:p>
      <w:pPr>
        <w:pStyle w:val="BodyText"/>
        <w:spacing w:line="240" w:lineRule="auto" w:before="17"/>
        <w:ind w:left="514" w:right="1130"/>
        <w:jc w:val="left"/>
      </w:pPr>
      <w:r>
        <w:rPr/>
        <w:t>开发阶段的支出同时满足下列条件的，确认为无形资产，不能满足下述条件的开发阶段的支出计入当期损益：</w:t>
      </w:r>
    </w:p>
    <w:p>
      <w:pPr>
        <w:pStyle w:val="BodyText"/>
        <w:spacing w:line="240" w:lineRule="auto" w:before="76"/>
        <w:ind w:left="514" w:right="1130"/>
        <w:jc w:val="left"/>
      </w:pPr>
      <w:r>
        <w:rPr/>
        <w:t>①完成该无形资产以使其能够使用或出售在技术上具有可行性；</w:t>
      </w:r>
    </w:p>
    <w:p>
      <w:pPr>
        <w:pStyle w:val="BodyText"/>
        <w:spacing w:line="240" w:lineRule="auto" w:before="76"/>
        <w:ind w:left="514" w:right="1130"/>
        <w:jc w:val="left"/>
      </w:pPr>
      <w:r>
        <w:rPr/>
        <w:t>②具有完成该无形资产并使用或出售的意图；</w:t>
      </w:r>
    </w:p>
    <w:p>
      <w:pPr>
        <w:pStyle w:val="BodyText"/>
        <w:spacing w:line="316" w:lineRule="auto" w:before="76"/>
        <w:ind w:right="1130"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4" w:right="1130"/>
        <w:jc w:val="left"/>
      </w:pPr>
      <w:r>
        <w:rPr/>
        <w:t>④有足够的技术、财务资源和其他资源支持，以完成该无形资产的开发，并有能力使用或出售该无形资产；</w:t>
      </w:r>
    </w:p>
    <w:p>
      <w:pPr>
        <w:pStyle w:val="BodyText"/>
        <w:spacing w:line="316" w:lineRule="auto" w:before="76"/>
        <w:ind w:left="514" w:right="3912"/>
        <w:jc w:val="left"/>
      </w:pPr>
      <w:r>
        <w:rPr/>
        <w:t>⑤归属于该无形资产开发阶段的支出能够可靠地计量。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4" w:right="1032"/>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1130"/>
        <w:jc w:val="left"/>
      </w:pPr>
      <w:r>
        <w:rPr>
          <w:spacing w:val="-2"/>
        </w:rPr>
        <w:t>记的金额确认为资产减值损失，计入当期损益，同时计提相应的资产减值准备。资产减值损失一经确认，在以后会计期间不</w:t>
      </w:r>
      <w:r>
        <w:rPr>
          <w:spacing w:val="-66"/>
        </w:rPr>
        <w:t> </w:t>
      </w:r>
      <w:r>
        <w:rPr>
          <w:spacing w:val="-66"/>
        </w:rPr>
      </w:r>
      <w:r>
        <w:rPr/>
        <w:t>得转回。</w:t>
      </w:r>
    </w:p>
    <w:p>
      <w:pPr>
        <w:pStyle w:val="BodyText"/>
        <w:spacing w:line="316" w:lineRule="auto" w:before="19"/>
        <w:ind w:right="113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514" w:right="113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19"/>
        <w:ind w:right="1130"/>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3"/>
        </w:rPr>
        <w:t> </w:t>
      </w:r>
      <w:r>
        <w:rPr>
          <w:spacing w:val="-63"/>
        </w:rPr>
      </w:r>
      <w:r>
        <w:rPr/>
        <w:t>值部分）与其可收回金额，如相关资产组或者资产组组合的可收回金额低于其账面价值的，确认商誉的减值损失。</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6"/>
          <w:szCs w:val="26"/>
        </w:rPr>
      </w:pPr>
    </w:p>
    <w:p>
      <w:pPr>
        <w:spacing w:line="316" w:lineRule="auto" w:before="0"/>
        <w:ind w:left="514" w:right="1130" w:firstLine="1"/>
        <w:jc w:val="left"/>
        <w:rPr>
          <w:rFonts w:ascii="宋体" w:hAnsi="宋体" w:cs="宋体" w:eastAsia="宋体" w:hint="default"/>
          <w:sz w:val="18"/>
          <w:szCs w:val="18"/>
        </w:rPr>
      </w:pPr>
      <w:bookmarkStart w:name="（1）短期薪酬的会计处理方法" w:id="203"/>
      <w:bookmarkEnd w:id="203"/>
      <w:r>
        <w:rPr/>
      </w: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短期薪酬是指本公司在职工提供相关服务的年度报告期间结束后十二个月内需要全部予以支付的职工薪酬，离职后福利</w:t>
      </w:r>
    </w:p>
    <w:p>
      <w:pPr>
        <w:pStyle w:val="BodyText"/>
        <w:spacing w:line="316" w:lineRule="auto" w:before="19"/>
        <w:ind w:right="1130"/>
        <w:jc w:val="left"/>
      </w:pPr>
      <w:r>
        <w:rPr>
          <w:spacing w:val="-2"/>
        </w:rPr>
        <w:t>和辞退福利除外。本公司在职工提供服务的会计期间，将应付的短期薪酬确认为负债，并根据职工提供服务的受益对象计入</w:t>
      </w:r>
      <w:r>
        <w:rPr>
          <w:spacing w:val="-65"/>
        </w:rPr>
        <w:t> </w:t>
      </w:r>
      <w:r>
        <w:rPr>
          <w:spacing w:val="-65"/>
        </w:rPr>
      </w:r>
      <w:r>
        <w:rPr/>
        <w:t>相关资产成本和费用。</w:t>
      </w:r>
    </w:p>
    <w:p>
      <w:pPr>
        <w:spacing w:line="316" w:lineRule="auto" w:before="20"/>
        <w:ind w:left="514" w:right="1032" w:firstLine="1"/>
        <w:jc w:val="left"/>
        <w:rPr>
          <w:rFonts w:ascii="宋体" w:hAnsi="宋体" w:cs="宋体" w:eastAsia="宋体" w:hint="default"/>
          <w:sz w:val="18"/>
          <w:szCs w:val="18"/>
        </w:rPr>
      </w:pPr>
      <w:bookmarkStart w:name="（2）离职后福利的会计处理方法" w:id="204"/>
      <w:bookmarkEnd w:id="204"/>
      <w:r>
        <w:rPr/>
      </w: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离职后福利是指本公司为获得职工提供的服务而在职工退休或与企业解除劳动关系后，提供的各种形式的报酬和福利，</w:t>
      </w:r>
    </w:p>
    <w:p>
      <w:pPr>
        <w:pStyle w:val="BodyText"/>
        <w:spacing w:line="240" w:lineRule="auto" w:before="19"/>
        <w:ind w:right="0"/>
        <w:jc w:val="both"/>
      </w:pPr>
      <w:r>
        <w:rPr/>
        <w:t>短期薪酬和辞退福利除外。</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30"/>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240" w:lineRule="auto" w:before="19"/>
        <w:ind w:right="1130"/>
        <w:jc w:val="left"/>
      </w:pPr>
      <w:r>
        <w:rPr/>
        <w:t>本公司提供服务的会计期间，将根据设定提存计划计算的应缴存金额确认为负债，并计入当期损益或相关资产成本。</w:t>
      </w:r>
    </w:p>
    <w:p>
      <w:pPr>
        <w:spacing w:line="319" w:lineRule="auto" w:before="77"/>
        <w:ind w:left="514" w:right="1130" w:firstLine="1"/>
        <w:jc w:val="left"/>
        <w:rPr>
          <w:rFonts w:ascii="宋体" w:hAnsi="宋体" w:cs="宋体" w:eastAsia="宋体" w:hint="default"/>
          <w:sz w:val="18"/>
          <w:szCs w:val="18"/>
        </w:rPr>
      </w:pPr>
      <w:bookmarkStart w:name="（3）辞退福利的会计处理方法" w:id="205"/>
      <w:bookmarkEnd w:id="205"/>
      <w:r>
        <w:rPr/>
      </w: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辞退福利是指本公司在职工劳动合同到期之前解除与职工的劳动关系，或者为鼓励职工自愿接受裁减而给予职工的补</w:t>
      </w:r>
    </w:p>
    <w:p>
      <w:pPr>
        <w:pStyle w:val="BodyText"/>
        <w:spacing w:line="316" w:lineRule="auto" w:before="17"/>
        <w:ind w:right="1130"/>
        <w:jc w:val="left"/>
      </w:pP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spacing w:line="316" w:lineRule="auto" w:before="20"/>
        <w:ind w:left="874" w:right="1130" w:hanging="360"/>
        <w:jc w:val="left"/>
        <w:rPr>
          <w:rFonts w:ascii="宋体" w:hAnsi="宋体" w:cs="宋体" w:eastAsia="宋体" w:hint="default"/>
          <w:sz w:val="18"/>
          <w:szCs w:val="18"/>
        </w:rPr>
      </w:pPr>
      <w:bookmarkStart w:name="（4）其他长期职工福利的会计处理方法" w:id="206"/>
      <w:bookmarkEnd w:id="206"/>
      <w:r>
        <w:rPr/>
      </w: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本公司向职工提供的其他长期职工福利，符合设定提存计划的，按照设定提存计划进行会计处理，除此之外按照设</w:t>
      </w:r>
    </w:p>
    <w:p>
      <w:pPr>
        <w:pStyle w:val="BodyText"/>
        <w:spacing w:line="240" w:lineRule="auto" w:before="19"/>
        <w:ind w:right="1130"/>
        <w:jc w:val="left"/>
      </w:pPr>
      <w:r>
        <w:rPr/>
        <w:t>定收益计划进行会计处理。</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514" w:right="4812" w:hanging="178"/>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00" w:lineRule="auto" w:before="20"/>
        <w:ind w:left="514" w:right="4272" w:hanging="17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right="1133"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4" w:right="113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113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1050"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股份支付是为了获取职工或其他方提供服务而授予权益工具或者承担以权益工具为基础确定的负债的交易。股份支付分</w:t>
      </w:r>
    </w:p>
    <w:p>
      <w:pPr>
        <w:pStyle w:val="BodyText"/>
        <w:spacing w:line="240" w:lineRule="auto" w:before="31"/>
        <w:ind w:right="1130"/>
        <w:jc w:val="left"/>
      </w:pPr>
      <w:r>
        <w:rPr/>
        <w:t>为以权益结算的股份支付和以现金结算的股份支付。</w:t>
      </w:r>
    </w:p>
    <w:p>
      <w:pPr>
        <w:pStyle w:val="BodyText"/>
        <w:spacing w:line="316" w:lineRule="auto" w:before="76"/>
        <w:ind w:left="514" w:right="113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6" w:lineRule="auto" w:before="19"/>
        <w:ind w:right="113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31"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360"/>
        <w:jc w:val="both"/>
      </w:pPr>
      <w:r>
        <w:rPr>
          <w:spacing w:val="-2"/>
        </w:rPr>
        <w:t>当授予权益工具的公允价值无法可靠计量时，在服务取得日、后续的每个资产负债表日以及结算日，按权益工具的内在</w:t>
      </w:r>
      <w:r>
        <w:rPr/>
        <w:t> 价值计量，内在价值变动计入当期损益。</w:t>
      </w:r>
    </w:p>
    <w:p>
      <w:pPr>
        <w:pStyle w:val="BodyText"/>
        <w:spacing w:line="316" w:lineRule="auto" w:before="19"/>
        <w:ind w:left="514" w:right="113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1130"/>
        <w:jc w:val="left"/>
      </w:pPr>
      <w:r>
        <w:rPr/>
        <w:t>在相关负债结算前的每个资产负债表日以及结算日，对负债的公允价值重新计量，其变动计入当期损益。</w:t>
      </w:r>
    </w:p>
    <w:p>
      <w:pPr>
        <w:spacing w:line="300" w:lineRule="auto" w:before="76"/>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）修改、终止股份支付计划的相关会计处理</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本公司对股份支付计划进行修改时，若修改增加了所授予权益工具的公允价值，按照权益工具公允价值的增加相应确认</w:t>
      </w:r>
    </w:p>
    <w:p>
      <w:pPr>
        <w:pStyle w:val="BodyText"/>
        <w:spacing w:line="316" w:lineRule="auto" w:before="31"/>
        <w:ind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right="1132"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spacing w:line="300" w:lineRule="auto" w:before="19"/>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）涉及本公司与本公司股东或实际控制人的股份支付交易的会计处理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涉及本公司与本公司股东或实际控制人的股份支付交易，结算企业与接受服务企业中其一在本公司内，另一在本公司外</w:t>
      </w:r>
    </w:p>
    <w:p>
      <w:pPr>
        <w:pStyle w:val="BodyText"/>
        <w:spacing w:line="240" w:lineRule="auto" w:before="31"/>
        <w:ind w:right="0"/>
        <w:jc w:val="both"/>
      </w:pPr>
      <w:r>
        <w:rPr/>
        <w:t>的，在本公司合并财务报表中按照以下规定进行会计处理：</w:t>
      </w:r>
    </w:p>
    <w:p>
      <w:pPr>
        <w:pStyle w:val="BodyText"/>
        <w:spacing w:line="316" w:lineRule="auto" w:before="76"/>
        <w:ind w:right="1133"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9" w:lineRule="auto" w:before="19"/>
        <w:ind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7"/>
        <w:ind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19"/>
        <w:ind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spacing w:line="300" w:lineRule="auto" w:before="28"/>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31"/>
        <w:ind w:right="113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240" w:lineRule="auto" w:before="19"/>
        <w:ind w:left="514" w:right="1130"/>
        <w:jc w:val="left"/>
      </w:pPr>
      <w:r>
        <w:rPr/>
        <w:t>收入确认的具体方法：</w:t>
      </w:r>
    </w:p>
    <w:p>
      <w:pPr>
        <w:pStyle w:val="BodyText"/>
        <w:spacing w:line="316" w:lineRule="auto" w:before="77"/>
        <w:ind w:right="1130" w:firstLine="360"/>
        <w:jc w:val="left"/>
      </w:pPr>
      <w:r>
        <w:rPr>
          <w:spacing w:val="-2"/>
        </w:rPr>
        <w:t>①内销收入：电源类产品在产品运输至客户指定地点后确认收入；逆变器根据订单约定的交货时间和交货数量及时运送</w:t>
      </w:r>
      <w:r>
        <w:rPr/>
        <w:t> 至客户指定地点并与对方对账后确认收入；光伏电站业务根据当期发电量配比电站各级补助或销售单价确认收入。</w:t>
      </w:r>
    </w:p>
    <w:p>
      <w:pPr>
        <w:pStyle w:val="BodyText"/>
        <w:spacing w:line="240" w:lineRule="auto" w:before="19"/>
        <w:ind w:left="514" w:right="1130"/>
        <w:jc w:val="left"/>
      </w:pPr>
      <w:r>
        <w:rPr/>
        <w:t>②出口收入：出口报关单经海关核准后收入确认。</w:t>
      </w:r>
    </w:p>
    <w:p>
      <w:pPr>
        <w:pStyle w:val="Heading4"/>
        <w:spacing w:line="240" w:lineRule="auto" w:before="76"/>
        <w:ind w:right="1130"/>
        <w:jc w:val="left"/>
        <w:rPr>
          <w:b w:val="0"/>
          <w:bCs w:val="0"/>
        </w:rPr>
      </w:pPr>
      <w:r>
        <w:rPr>
          <w:rFonts w:ascii="Times New Roman" w:hAnsi="Times New Roman" w:cs="Times New Roman" w:eastAsia="Times New Roman" w:hint="default"/>
        </w:rPr>
        <w:t>(2)</w:t>
      </w:r>
      <w:r>
        <w:rPr/>
        <w:t>确认让渡资产使用权收入的依据</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514" w:right="0"/>
        <w:jc w:val="left"/>
      </w:pPr>
      <w:r>
        <w:rPr/>
        <w:t>与交易相关的经济利益很可能流入企业，收入的金额能够可靠地计量时，分别下列情况确定让渡资产使用权收入金额：</w:t>
      </w:r>
    </w:p>
    <w:p>
      <w:pPr>
        <w:pStyle w:val="BodyText"/>
        <w:spacing w:line="240" w:lineRule="auto" w:before="76"/>
        <w:ind w:left="514" w:right="1130"/>
        <w:jc w:val="left"/>
      </w:pPr>
      <w:r>
        <w:rPr/>
        <w:t>①利息收入金额，按照他人使用本企业货币资金的时间和实际利率计算确定。</w:t>
      </w:r>
    </w:p>
    <w:p>
      <w:pPr>
        <w:pStyle w:val="BodyText"/>
        <w:spacing w:line="240" w:lineRule="auto" w:before="76"/>
        <w:ind w:left="514" w:right="1130"/>
        <w:jc w:val="left"/>
      </w:pPr>
      <w:r>
        <w:rPr/>
        <w:t>②使用费收入金额，按照有关合同或协议约定的收费时间和方法计算确定。</w:t>
      </w:r>
    </w:p>
    <w:p>
      <w:pPr>
        <w:spacing w:line="300" w:lineRule="auto" w:before="76"/>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附回购条件的资产转让</w:t>
      </w:r>
      <w:r>
        <w:rPr>
          <w:rFonts w:ascii="宋体" w:hAnsi="宋体" w:cs="宋体" w:eastAsia="宋体" w:hint="default"/>
          <w:b/>
          <w:bCs/>
          <w:w w:val="99"/>
          <w:sz w:val="18"/>
          <w:szCs w:val="18"/>
        </w:rPr>
        <w:t> </w:t>
      </w:r>
      <w:r>
        <w:rPr>
          <w:rFonts w:ascii="宋体" w:hAnsi="宋体" w:cs="宋体" w:eastAsia="宋体" w:hint="default"/>
          <w:spacing w:val="-2"/>
          <w:sz w:val="18"/>
          <w:szCs w:val="18"/>
        </w:rPr>
        <w:t>公司销售产品或转让其他资产时，与购买方签订了所销售的产品或转让资产回购协议，根据协议条款判断销售商品是否</w:t>
      </w:r>
    </w:p>
    <w:p>
      <w:pPr>
        <w:pStyle w:val="BodyText"/>
        <w:spacing w:line="316" w:lineRule="auto" w:before="31"/>
        <w:ind w:right="1130"/>
        <w:jc w:val="left"/>
      </w:pPr>
      <w:r>
        <w:rPr>
          <w:spacing w:val="-2"/>
        </w:rPr>
        <w:t>满足收入确认条件。如售后回购属于融资交易，则在交付产品或资产时，本公司不确认销售收入。回购价款大于销售价款的</w:t>
      </w:r>
      <w:r>
        <w:rPr>
          <w:spacing w:val="-66"/>
        </w:rPr>
        <w:t> </w:t>
      </w:r>
      <w:r>
        <w:rPr>
          <w:spacing w:val="-66"/>
        </w:rPr>
      </w:r>
      <w:r>
        <w:rPr/>
        <w:t>差额，在回购期间按期计提利息，计入财务费用。</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30" w:firstLine="6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2"/>
        </w:rPr>
        <w:t>政府补助，是本公司从政府无偿取得的货币性资产与非货币性资产。根据相关政府文件规定的补助对象，将政府补助划</w:t>
      </w:r>
    </w:p>
    <w:p>
      <w:pPr>
        <w:pStyle w:val="BodyText"/>
        <w:spacing w:line="316" w:lineRule="auto" w:before="31"/>
        <w:ind w:left="514" w:right="0" w:hanging="360"/>
        <w:jc w:val="left"/>
      </w:pPr>
      <w:r>
        <w:rPr/>
        <w:t>分为与资产相关的政府补助和与收益相关的政府补助。 </w:t>
      </w:r>
      <w:r>
        <w:rPr>
          <w:spacing w:val="-4"/>
        </w:rPr>
        <w:t>与资产相关的政府补助，是指本公司取得的、用于购建或以其他方式形成长期资产的政府补助。与收益相关的政府补助，</w:t>
      </w:r>
    </w:p>
    <w:p>
      <w:pPr>
        <w:pStyle w:val="BodyText"/>
        <w:spacing w:line="240" w:lineRule="auto" w:before="19"/>
        <w:ind w:right="1130"/>
        <w:jc w:val="left"/>
      </w:pPr>
      <w:r>
        <w:rPr/>
        <w:t>是指除与资产相关的政府补助之外的政府补助。</w:t>
      </w:r>
    </w:p>
    <w:p>
      <w:pPr>
        <w:pStyle w:val="BodyText"/>
        <w:spacing w:line="300" w:lineRule="auto" w:before="76"/>
        <w:ind w:left="514" w:right="1130" w:hanging="5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对期末有证据表明公司能够符合财政扶持政策规定的相关条件且预计能够收到财政扶持资金的，按应收金额确认政府补</w:t>
      </w:r>
    </w:p>
    <w:p>
      <w:pPr>
        <w:pStyle w:val="BodyText"/>
        <w:spacing w:line="316" w:lineRule="auto" w:before="31"/>
        <w:ind w:left="514" w:right="1130" w:hanging="360"/>
        <w:jc w:val="left"/>
      </w:pPr>
      <w:r>
        <w:rPr/>
        <w:t>助。除此之外，政府补助均在实际收到时确认。 </w:t>
      </w:r>
      <w:r>
        <w:rPr>
          <w:spacing w:val="-2"/>
        </w:rPr>
        <w:t>政府补助为货币性资产的，按照收到或应收的金额计量。政府补助为非货币性资产的，按照公允价值计量；公允价值不</w:t>
      </w:r>
    </w:p>
    <w:p>
      <w:pPr>
        <w:pStyle w:val="BodyText"/>
        <w:spacing w:line="240" w:lineRule="auto" w:before="19"/>
        <w:ind w:right="1130"/>
        <w:jc w:val="left"/>
      </w:pPr>
      <w:r>
        <w:rPr/>
        <w:t>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BodyText"/>
        <w:spacing w:line="300" w:lineRule="auto" w:before="63"/>
        <w:ind w:left="517" w:right="1130" w:firstLine="58"/>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本公司根据经济业务的实质，确定某一类政府补助业务应当采用总额法还是净额法进行会计处理。通常情况下，本公司</w:t>
      </w:r>
    </w:p>
    <w:p>
      <w:pPr>
        <w:pStyle w:val="BodyText"/>
        <w:spacing w:line="240" w:lineRule="auto" w:before="32"/>
        <w:ind w:right="1130"/>
        <w:jc w:val="left"/>
      </w:pPr>
      <w:r>
        <w:rPr/>
        <w:t>对于同类或类似政府补助业务只选用一种方法，且对该业务一贯地运用该方法。</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829"/>
        <w:gridCol w:w="4474"/>
      </w:tblGrid>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核算内容</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采用总额法核算的政府补助类别</w:t>
            </w:r>
          </w:p>
        </w:tc>
        <w:tc>
          <w:tcPr>
            <w:tcW w:w="4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所有政府补助</w:t>
            </w:r>
          </w:p>
        </w:tc>
      </w:tr>
    </w:tbl>
    <w:p>
      <w:pPr>
        <w:spacing w:line="240" w:lineRule="auto" w:before="8"/>
        <w:rPr>
          <w:rFonts w:ascii="宋体" w:hAnsi="宋体" w:cs="宋体" w:eastAsia="宋体" w:hint="default"/>
          <w:sz w:val="6"/>
          <w:szCs w:val="6"/>
        </w:rPr>
      </w:pPr>
    </w:p>
    <w:p>
      <w:pPr>
        <w:pStyle w:val="BodyText"/>
        <w:spacing w:line="316" w:lineRule="auto" w:before="44"/>
        <w:ind w:left="514" w:right="0"/>
        <w:jc w:val="left"/>
      </w:pPr>
      <w:r>
        <w:rPr>
          <w:spacing w:val="-4"/>
        </w:rPr>
        <w:t>与资产相关的政府补助，确认为递延收益，按照所建造或购买的资产使用年限内按照合理、系统的方法分期计入损益或；</w:t>
      </w:r>
      <w:r>
        <w:rPr>
          <w:spacing w:val="-52"/>
        </w:rPr>
        <w:t> </w:t>
      </w:r>
      <w:r>
        <w:rPr>
          <w:spacing w:val="-52"/>
        </w:rPr>
      </w:r>
      <w:r>
        <w:rPr>
          <w:spacing w:val="-2"/>
        </w:rPr>
        <w:t>与收益相关的政府补助，用于补偿企业以后期间的相关费用或损失的，确认为递延收益，在确认相关费用或损失的期间</w:t>
      </w:r>
    </w:p>
    <w:p>
      <w:pPr>
        <w:pStyle w:val="BodyText"/>
        <w:spacing w:line="316" w:lineRule="auto" w:before="19"/>
        <w:ind w:left="514" w:right="1130" w:hanging="360"/>
        <w:jc w:val="left"/>
      </w:pPr>
      <w:r>
        <w:rPr/>
        <w:t>计入当期损益；用于补偿企业已发生的相关费用或损失的，取得时直接计入当期损益。 与企业日常活动相关的政府补助计入其他收益；与企业日常活动无关的政府补助计入营业外收支。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514" w:right="1032" w:hanging="360"/>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1130"/>
        <w:jc w:val="left"/>
      </w:pPr>
      <w:r>
        <w:rPr/>
        <w:t>冲减相关递延收益账面余额，超出部分计入当期损益；不存在相关递延收益的，直接计入当期损益。</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00" w:lineRule="auto" w:before="31"/>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32"/>
        <w:ind w:right="1032"/>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ind w:right="1130"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514" w:right="337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31"/>
        <w:ind w:left="514" w:right="1130"/>
        <w:jc w:val="left"/>
      </w:pPr>
      <w:r>
        <w:rPr/>
        <w:t>①商誉的初始确认所形成的暂时性差异；</w:t>
      </w:r>
    </w:p>
    <w:p>
      <w:pPr>
        <w:pStyle w:val="BodyText"/>
        <w:spacing w:line="319" w:lineRule="auto" w:before="76"/>
        <w:ind w:right="1032" w:firstLine="360"/>
        <w:jc w:val="left"/>
      </w:pPr>
      <w:r>
        <w:rPr/>
        <w:t>②非企业合并形成的交易或事项，且该交易或事项发生时既不影响会计利润，也不影响应纳税所得额（或可抵扣亏损） 所形成的暂时性差异；</w:t>
      </w:r>
    </w:p>
    <w:p>
      <w:pPr>
        <w:pStyle w:val="BodyText"/>
        <w:spacing w:line="316" w:lineRule="auto" w:before="17"/>
        <w:ind w:right="1130" w:firstLine="360"/>
        <w:jc w:val="left"/>
      </w:pPr>
      <w:r>
        <w:rPr>
          <w:spacing w:val="-2"/>
        </w:rPr>
        <w:t>③对于与子公司、联营企业投资相关的应纳税暂时性差异，该暂时性差异转回的时间能够控制并且该暂时性差异在可预</w:t>
      </w:r>
      <w:r>
        <w:rPr/>
        <w:t> 见的未来很可能不会转回。</w:t>
      </w:r>
    </w:p>
    <w:p>
      <w:pPr>
        <w:spacing w:line="240" w:lineRule="auto" w:before="7"/>
        <w:rPr>
          <w:rFonts w:ascii="宋体" w:hAnsi="宋体" w:cs="宋体" w:eastAsia="宋体" w:hint="default"/>
          <w:sz w:val="22"/>
          <w:szCs w:val="22"/>
        </w:rPr>
      </w:pPr>
    </w:p>
    <w:p>
      <w:pPr>
        <w:pStyle w:val="Heading3"/>
        <w:spacing w:line="240" w:lineRule="auto"/>
        <w:ind w:right="1130"/>
        <w:jc w:val="left"/>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6" w:right="1130"/>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16" w:lineRule="auto" w:before="46"/>
        <w:ind w:left="514" w:right="1130"/>
        <w:jc w:val="left"/>
      </w:pPr>
      <w:r>
        <w:rPr/>
        <w:t>①经营租入资产 </w:t>
      </w:r>
      <w:r>
        <w:rPr>
          <w:spacing w:val="-2"/>
        </w:rPr>
        <w:t>公司租入资产所支付的租赁费，在不扣除免租期的整个租赁期内，按直线法进行分摊，计入当期费用。公司支付的与租</w:t>
      </w:r>
    </w:p>
    <w:p>
      <w:pPr>
        <w:pStyle w:val="BodyText"/>
        <w:spacing w:line="316" w:lineRule="auto" w:before="19"/>
        <w:ind w:left="514" w:right="1130" w:hanging="360"/>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1130"/>
        <w:jc w:val="left"/>
      </w:pPr>
      <w:r>
        <w:rPr/>
        <w:t>租赁期内分摊，计入当期费用。</w:t>
      </w:r>
    </w:p>
    <w:p>
      <w:pPr>
        <w:pStyle w:val="BodyText"/>
        <w:spacing w:line="316" w:lineRule="auto" w:before="76"/>
        <w:ind w:left="514" w:right="1130"/>
        <w:jc w:val="left"/>
      </w:pPr>
      <w:r>
        <w:rPr/>
        <w:t>②经营租出资产 </w:t>
      </w:r>
      <w:r>
        <w:rPr>
          <w:spacing w:val="-2"/>
        </w:rPr>
        <w:t>公司出租资产所收取的租赁费，在不扣除免租期的整个租赁期内，按直线法进行分摊，确认为租赁收入。公司支付的与</w:t>
      </w:r>
    </w:p>
    <w:p>
      <w:pPr>
        <w:pStyle w:val="BodyText"/>
        <w:spacing w:line="316" w:lineRule="auto" w:before="19"/>
        <w:ind w:right="1130"/>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1130" w:firstLine="360"/>
        <w:jc w:val="left"/>
      </w:pPr>
      <w:r>
        <w:rPr>
          <w:spacing w:val="-2"/>
        </w:rPr>
        <w:t>公司承担了应由承租方承担的与租赁相关的费用时，公司将该部分费用从租金收入总额中扣除，按扣除后的租金费用在</w:t>
      </w:r>
      <w:r>
        <w:rPr/>
        <w:t> 租赁期内分配。</w:t>
      </w:r>
    </w:p>
    <w:p>
      <w:pPr>
        <w:pStyle w:val="Heading3"/>
        <w:spacing w:line="286" w:lineRule="exact"/>
        <w:ind w:left="576" w:right="1130"/>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16" w:lineRule="auto" w:before="46"/>
        <w:ind w:right="1130" w:firstLine="360"/>
        <w:jc w:val="left"/>
      </w:pPr>
      <w:r>
        <w:rPr>
          <w:spacing w:val="-2"/>
        </w:rPr>
        <w:t>①融资租入资产：公司在承租开始日，将租赁资产公允价值与最低租赁付款额现值两者中较低者作为租入资产的入账价</w:t>
      </w:r>
      <w:r>
        <w:rPr/>
        <w:t> 值，将最低租赁付款额作为长期应付款的入账价值，其差额作为未确认的融资费用。</w:t>
      </w:r>
    </w:p>
    <w:p>
      <w:pPr>
        <w:pStyle w:val="BodyText"/>
        <w:spacing w:line="300" w:lineRule="auto" w:before="19"/>
        <w:ind w:left="514" w:right="3552"/>
        <w:jc w:val="left"/>
      </w:pPr>
      <w:r>
        <w:rPr/>
        <w:t>融资租入资产的认定依据、计价和折旧方法详见本报告第十一节、五、</w:t>
      </w:r>
      <w:r>
        <w:rPr>
          <w:rFonts w:ascii="Times New Roman" w:hAnsi="Times New Roman" w:cs="Times New Roman" w:eastAsia="Times New Roman" w:hint="default"/>
        </w:rPr>
        <w:t>16</w:t>
      </w:r>
      <w:r>
        <w:rPr/>
        <w:t>、固定资产。 公司采用实际利率法对未确认的融资费用，在资产租赁期间内摊销，计入财务费用。</w:t>
      </w:r>
    </w:p>
    <w:p>
      <w:pPr>
        <w:pStyle w:val="BodyText"/>
        <w:spacing w:line="316" w:lineRule="auto" w:before="31"/>
        <w:ind w:right="0"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130"/>
        <w:jc w:val="left"/>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30"/>
        <w:jc w:val="left"/>
      </w:pPr>
      <w:r>
        <w:rPr/>
        <w:t>（</w:t>
      </w:r>
      <w:r>
        <w:rPr>
          <w:rFonts w:ascii="Times New Roman" w:hAnsi="Times New Roman" w:cs="Times New Roman" w:eastAsia="Times New Roman" w:hint="default"/>
        </w:rPr>
        <w:t>1</w:t>
      </w:r>
      <w:r>
        <w:rPr/>
        <w:t>）终止经营 </w:t>
      </w:r>
      <w:r>
        <w:rPr>
          <w:spacing w:val="-2"/>
        </w:rPr>
        <w:t>终止经营，是指满足下列条件之一的已被本公司处置或划归为持有待售的、在经营和编制财务报表时能够单独区分的组</w:t>
      </w:r>
    </w:p>
    <w:p>
      <w:pPr>
        <w:pStyle w:val="BodyText"/>
        <w:spacing w:line="316" w:lineRule="auto" w:before="31"/>
        <w:ind w:right="1130"/>
        <w:jc w:val="left"/>
      </w:pP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w:t>
      </w:r>
    </w:p>
    <w:p>
      <w:pPr>
        <w:pStyle w:val="BodyText"/>
        <w:spacing w:line="240" w:lineRule="auto" w:before="19"/>
        <w:ind w:left="514" w:right="1130"/>
        <w:jc w:val="left"/>
      </w:pPr>
      <w:r>
        <w:rPr/>
        <w:t>终止经营的会计处理方法参见本报告第十一节、五、</w:t>
      </w:r>
      <w:r>
        <w:rPr>
          <w:rFonts w:ascii="Times New Roman" w:hAnsi="Times New Roman" w:cs="Times New Roman" w:eastAsia="Times New Roman" w:hint="default"/>
        </w:rPr>
        <w:t>13“</w:t>
      </w:r>
      <w:r>
        <w:rPr/>
        <w:t>划分为持有待售资产</w:t>
      </w:r>
      <w:r>
        <w:rPr>
          <w:rFonts w:ascii="Times New Roman" w:hAnsi="Times New Roman" w:cs="Times New Roman" w:eastAsia="Times New Roman" w:hint="default"/>
        </w:rPr>
        <w:t>”</w:t>
      </w:r>
      <w:r>
        <w:rPr/>
        <w:t>相关描述。</w:t>
      </w:r>
    </w:p>
    <w:p>
      <w:pPr>
        <w:pStyle w:val="BodyText"/>
        <w:spacing w:line="300" w:lineRule="auto" w:before="63"/>
        <w:ind w:left="514" w:right="9222"/>
        <w:jc w:val="left"/>
      </w:pPr>
      <w:r>
        <w:rPr/>
        <w:t>（</w:t>
      </w:r>
      <w:r>
        <w:rPr>
          <w:rFonts w:ascii="Times New Roman" w:hAnsi="Times New Roman" w:cs="Times New Roman" w:eastAsia="Times New Roman" w:hint="default"/>
        </w:rPr>
        <w:t>2</w:t>
      </w:r>
      <w:r>
        <w:rPr/>
        <w:t>）套期会计 无。</w:t>
      </w:r>
    </w:p>
    <w:p>
      <w:pPr>
        <w:pStyle w:val="BodyText"/>
        <w:spacing w:line="300" w:lineRule="auto" w:before="31"/>
        <w:ind w:left="514" w:right="9222"/>
        <w:jc w:val="left"/>
      </w:pPr>
      <w:r>
        <w:rPr/>
        <w:t>（</w:t>
      </w:r>
      <w:r>
        <w:rPr>
          <w:rFonts w:ascii="Times New Roman" w:hAnsi="Times New Roman" w:cs="Times New Roman" w:eastAsia="Times New Roman" w:hint="default"/>
        </w:rPr>
        <w:t>3</w:t>
      </w:r>
      <w:r>
        <w:rPr/>
        <w:t>）回购股份 无。</w:t>
      </w:r>
    </w:p>
    <w:p>
      <w:pPr>
        <w:pStyle w:val="BodyText"/>
        <w:spacing w:line="300" w:lineRule="auto" w:before="31"/>
        <w:ind w:left="514" w:right="9042"/>
        <w:jc w:val="left"/>
      </w:pPr>
      <w:r>
        <w:rPr/>
        <w:t>（</w:t>
      </w:r>
      <w:r>
        <w:rPr>
          <w:rFonts w:ascii="Times New Roman" w:hAnsi="Times New Roman" w:cs="Times New Roman" w:eastAsia="Times New Roman" w:hint="default"/>
        </w:rPr>
        <w:t>4</w:t>
      </w:r>
      <w:r>
        <w:rPr/>
        <w:t>）资产证券化 无。</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1130"/>
        <w:jc w:val="left"/>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 报表格式的通知》修订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次定期会议审议通过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3308"/>
        <w:gridCol w:w="2129"/>
        <w:gridCol w:w="2129"/>
        <w:gridCol w:w="2129"/>
      </w:tblGrid>
      <w:tr>
        <w:trPr>
          <w:trHeight w:val="659"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876" w:right="66" w:hanging="81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日之前列报 金额</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5"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966" w:right="66" w:hanging="90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日经重列后金 额</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88,436,975.42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(88,436,975.42)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479,781,809.01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(479,781,809.01)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568,218,784.43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568,218,784.43</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33,624,662.85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33,624,662.85</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573,473,388.15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573,473,388.15</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16,877,519.80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16,877,519.80</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334,559,282.42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(334,559,282.42)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464,776,641.01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(464,776,641.01)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799,335,923.43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799,335,923.43</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1,236,933.91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(1,236,933.91)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12,392,585.65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1,236,933.91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13,629,519.56</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150,930,913.31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(62,328,089.01)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88,602,824.30</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62,328,089.01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62,328,089.01</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24,774,148.95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3,710,000.00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28,484,148.95</w:t>
            </w:r>
          </w:p>
        </w:tc>
      </w:tr>
      <w:tr>
        <w:trPr>
          <w:trHeight w:val="34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6,240,000.00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(1,680,000.00)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4,560,000.00</w:t>
            </w:r>
          </w:p>
        </w:tc>
      </w:tr>
      <w:tr>
        <w:trPr>
          <w:trHeight w:val="34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125,191,741.33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(2,030,000.00)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123,161,741.33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13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将原按账龄分析法计提坏账准 备的划分到</w:t>
            </w:r>
            <w:r>
              <w:rPr>
                <w:rFonts w:ascii="Times New Roman" w:hAnsi="Times New Roman" w:cs="Times New Roman" w:eastAsia="Times New Roman" w:hint="default"/>
                <w:sz w:val="18"/>
                <w:szCs w:val="18"/>
              </w:rPr>
              <w:t>“</w:t>
            </w:r>
            <w:r>
              <w:rPr>
                <w:rFonts w:ascii="宋体" w:hAnsi="宋体" w:cs="宋体" w:eastAsia="宋体" w:hint="default"/>
                <w:sz w:val="18"/>
                <w:szCs w:val="18"/>
              </w:rPr>
              <w:t>政府机构应收款 项</w:t>
            </w:r>
            <w:r>
              <w:rPr>
                <w:rFonts w:ascii="Times New Roman" w:hAnsi="Times New Roman" w:cs="Times New Roman" w:eastAsia="Times New Roman" w:hint="default"/>
                <w:sz w:val="18"/>
                <w:szCs w:val="18"/>
              </w:rPr>
              <w:t>”</w:t>
            </w:r>
            <w:r>
              <w:rPr>
                <w:rFonts w:ascii="宋体" w:hAnsi="宋体" w:cs="宋体" w:eastAsia="宋体" w:hint="default"/>
                <w:sz w:val="18"/>
                <w:szCs w:val="18"/>
              </w:rPr>
              <w:t>组合计提坏账准备</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本次变更经公司第四届董事 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次定期会议审 议通过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9"/>
        <w:gridCol w:w="2388"/>
        <w:gridCol w:w="2392"/>
        <w:gridCol w:w="2392"/>
      </w:tblGrid>
      <w:tr>
        <w:trPr>
          <w:trHeight w:val="1026"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将原按单项金额单项计提坏账 准备的划分到</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保证金、押金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组合计提坏账准备</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本次变更经公司第四届董事 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次定期会议审 议通过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487" w:lineRule="auto" w:before="35"/>
        <w:ind w:left="154" w:right="8966" w:firstLine="0"/>
        <w:jc w:val="left"/>
        <w:rPr>
          <w:rFonts w:ascii="宋体" w:hAnsi="宋体" w:cs="宋体" w:eastAsia="宋体" w:hint="default"/>
          <w:sz w:val="21"/>
          <w:szCs w:val="21"/>
        </w:rPr>
      </w:pPr>
      <w:bookmarkStart w:name="34、其他" w:id="220"/>
      <w:bookmarkEnd w:id="22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境内销售、提供不动产租赁服务，销售 不动产、其他应税销售服务行为、简易 计税方法、销售出口货物</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 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right="113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日，本公司取得深圳市科技创新委员会、深圳市财政委员会、国家税务总局深圳市税务局联合颁发的高新</w:t>
      </w:r>
      <w:r>
        <w:rPr/>
        <w:t> </w:t>
      </w:r>
      <w:r>
        <w:rPr>
          <w:spacing w:val="-2"/>
        </w:rPr>
        <w:t>技术企业证书，证书编号</w:t>
      </w:r>
      <w:r>
        <w:rPr>
          <w:rFonts w:ascii="Times New Roman" w:hAnsi="Times New Roman" w:cs="Times New Roman" w:eastAsia="Times New Roman" w:hint="default"/>
          <w:spacing w:val="-2"/>
        </w:rPr>
        <w:t>GR201844200761,</w:t>
      </w:r>
      <w:r>
        <w:rPr>
          <w:spacing w:val="-2"/>
        </w:rPr>
        <w:t>有效期</w:t>
      </w:r>
      <w:r>
        <w:rPr>
          <w:rFonts w:ascii="Times New Roman" w:hAnsi="Times New Roman" w:cs="Times New Roman" w:eastAsia="Times New Roman" w:hint="default"/>
          <w:spacing w:val="-2"/>
        </w:rPr>
        <w:t>3</w:t>
      </w:r>
      <w:r>
        <w:rPr>
          <w:spacing w:val="-2"/>
        </w:rPr>
        <w:t>年；据此，本公司</w:t>
      </w:r>
      <w:r>
        <w:rPr>
          <w:rFonts w:ascii="Times New Roman" w:hAnsi="Times New Roman" w:cs="Times New Roman" w:eastAsia="Times New Roman" w:hint="default"/>
          <w:spacing w:val="-2"/>
        </w:rPr>
        <w:t>2018</w:t>
      </w:r>
      <w:r>
        <w:rPr>
          <w:spacing w:val="-2"/>
        </w:rPr>
        <w:t>年度的企业所得税税率为</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2017</w:t>
      </w:r>
      <w:r>
        <w:rPr>
          <w:spacing w:val="-2"/>
        </w:rPr>
        <w:t>年度企业所得</w:t>
      </w:r>
      <w:r>
        <w:rPr>
          <w:spacing w:val="-38"/>
        </w:rPr>
        <w:t> </w:t>
      </w:r>
      <w:r>
        <w:rPr/>
        <w:t>税税率为</w:t>
      </w:r>
      <w:r>
        <w:rPr>
          <w:rFonts w:ascii="Times New Roman" w:hAnsi="Times New Roman" w:cs="Times New Roman" w:eastAsia="Times New Roman" w:hint="default"/>
        </w:rPr>
        <w:t>15%</w:t>
      </w:r>
      <w:r>
        <w:rPr/>
        <w:t>）。</w:t>
      </w:r>
    </w:p>
    <w:p>
      <w:pPr>
        <w:pStyle w:val="BodyText"/>
        <w:spacing w:line="300" w:lineRule="auto" w:before="13"/>
        <w:ind w:right="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日，茂硕电子取得深圳市科技创新委员会、深圳市财政委员会、深圳市国家税务局、深圳市地方税务局联</w:t>
      </w:r>
      <w:r>
        <w:rPr/>
        <w:t> 合颁发的高新技术企业证书，证书编号：</w:t>
      </w:r>
      <w:r>
        <w:rPr>
          <w:rFonts w:ascii="Times New Roman" w:hAnsi="Times New Roman" w:cs="Times New Roman" w:eastAsia="Times New Roman" w:hint="default"/>
        </w:rPr>
        <w:t>GR201644201599</w:t>
      </w:r>
      <w:r>
        <w:rPr/>
        <w:t>，有效期</w:t>
      </w:r>
      <w:r>
        <w:rPr>
          <w:rFonts w:ascii="Times New Roman" w:hAnsi="Times New Roman" w:cs="Times New Roman" w:eastAsia="Times New Roman" w:hint="default"/>
        </w:rPr>
        <w:t>3</w:t>
      </w:r>
      <w:r>
        <w:rPr/>
        <w:t>年，茂硕电子</w:t>
      </w:r>
      <w:r>
        <w:rPr>
          <w:rFonts w:ascii="Times New Roman" w:hAnsi="Times New Roman" w:cs="Times New Roman" w:eastAsia="Times New Roman" w:hint="default"/>
        </w:rPr>
        <w:t>2018</w:t>
      </w:r>
      <w:r>
        <w:rPr/>
        <w:t>年度的企业所得税税率为</w:t>
      </w:r>
      <w:r>
        <w:rPr>
          <w:rFonts w:ascii="Times New Roman" w:hAnsi="Times New Roman" w:cs="Times New Roman" w:eastAsia="Times New Roman" w:hint="default"/>
        </w:rPr>
        <w:t>15%</w:t>
      </w:r>
      <w:r>
        <w:rPr/>
        <w:t>。</w:t>
      </w:r>
    </w:p>
    <w:p>
      <w:pPr>
        <w:pStyle w:val="BodyText"/>
        <w:spacing w:line="300" w:lineRule="auto" w:before="13"/>
        <w:ind w:right="113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日，茂硕电气取得深圳市科技创新委员会、深圳市财政委员会、深圳市国家税务局、深圳市地方税务局联</w:t>
      </w:r>
      <w:r>
        <w:rPr/>
        <w:t> 合颁发的高新技术企业证书，证书编号：</w:t>
      </w:r>
      <w:r>
        <w:rPr>
          <w:rFonts w:ascii="Times New Roman" w:hAnsi="Times New Roman" w:cs="Times New Roman" w:eastAsia="Times New Roman" w:hint="default"/>
        </w:rPr>
        <w:t>GR201644202630</w:t>
      </w:r>
      <w:r>
        <w:rPr/>
        <w:t>，有效期</w:t>
      </w:r>
      <w:r>
        <w:rPr>
          <w:rFonts w:ascii="Times New Roman" w:hAnsi="Times New Roman" w:cs="Times New Roman" w:eastAsia="Times New Roman" w:hint="default"/>
        </w:rPr>
        <w:t>3</w:t>
      </w:r>
      <w:r>
        <w:rPr/>
        <w:t>年，茂硕电气</w:t>
      </w:r>
      <w:r>
        <w:rPr>
          <w:rFonts w:ascii="Times New Roman" w:hAnsi="Times New Roman" w:cs="Times New Roman" w:eastAsia="Times New Roman" w:hint="default"/>
        </w:rPr>
        <w:t>2018</w:t>
      </w:r>
      <w:r>
        <w:rPr/>
        <w:t>年度的企业所得税税率为</w:t>
      </w:r>
      <w:r>
        <w:rPr>
          <w:rFonts w:ascii="Times New Roman" w:hAnsi="Times New Roman" w:cs="Times New Roman" w:eastAsia="Times New Roman" w:hint="default"/>
        </w:rPr>
        <w:t>15%</w:t>
      </w:r>
      <w:r>
        <w:rPr/>
        <w:t>。</w:t>
      </w:r>
    </w:p>
    <w:p>
      <w:pPr>
        <w:pStyle w:val="BodyText"/>
        <w:spacing w:line="300" w:lineRule="auto" w:before="13"/>
        <w:ind w:right="1034" w:firstLine="360"/>
        <w:jc w:val="left"/>
      </w:pPr>
      <w:r>
        <w:rPr>
          <w:spacing w:val="-3"/>
        </w:rPr>
        <w:t>萍乡茂硕、新余茂硕和海宁茂硕从事的行业属于</w:t>
      </w:r>
      <w:r>
        <w:rPr>
          <w:rFonts w:ascii="Times New Roman" w:hAnsi="Times New Roman" w:cs="Times New Roman" w:eastAsia="Times New Roman" w:hint="default"/>
          <w:spacing w:val="-3"/>
        </w:rPr>
        <w:t>“</w:t>
      </w:r>
      <w:r>
        <w:rPr>
          <w:spacing w:val="-3"/>
        </w:rPr>
        <w:t>国家重点扶持的公共设施项目</w:t>
      </w:r>
      <w:r>
        <w:rPr>
          <w:rFonts w:ascii="Times New Roman" w:hAnsi="Times New Roman" w:cs="Times New Roman" w:eastAsia="Times New Roman" w:hint="default"/>
          <w:spacing w:val="-3"/>
        </w:rPr>
        <w:t>”</w:t>
      </w:r>
      <w:r>
        <w:rPr>
          <w:spacing w:val="-3"/>
        </w:rPr>
        <w:t>，根据《中华人民共和国企业所得税法》</w:t>
      </w:r>
      <w:r>
        <w:rPr/>
        <w:t> </w:t>
      </w:r>
      <w:r>
        <w:rPr>
          <w:spacing w:val="-2"/>
        </w:rPr>
        <w:t>中华人民共和国主席令第</w:t>
      </w:r>
      <w:r>
        <w:rPr>
          <w:rFonts w:ascii="Times New Roman" w:hAnsi="Times New Roman" w:cs="Times New Roman" w:eastAsia="Times New Roman" w:hint="default"/>
          <w:spacing w:val="-2"/>
        </w:rPr>
        <w:t>63</w:t>
      </w:r>
      <w:r>
        <w:rPr>
          <w:spacing w:val="-2"/>
        </w:rPr>
        <w:t>号文件，萍乡茂硕、新余茂硕和海宁茂硕享受</w:t>
      </w:r>
      <w:r>
        <w:rPr>
          <w:rFonts w:ascii="Times New Roman" w:hAnsi="Times New Roman" w:cs="Times New Roman" w:eastAsia="Times New Roman" w:hint="default"/>
          <w:spacing w:val="-2"/>
        </w:rPr>
        <w:t>“</w:t>
      </w:r>
      <w:r>
        <w:rPr>
          <w:spacing w:val="-2"/>
        </w:rPr>
        <w:t>自项目取得第一笔生产经营收入所属纳税年度起，</w:t>
      </w:r>
      <w:r>
        <w:rPr>
          <w:spacing w:val="-50"/>
        </w:rPr>
        <w:t> </w:t>
      </w:r>
      <w:r>
        <w:rPr/>
        <w:t>第一年至第三年免征企业所得税，第四年至第六年减半征收企业所得税</w:t>
      </w:r>
      <w:r>
        <w:rPr>
          <w:rFonts w:ascii="Times New Roman" w:hAnsi="Times New Roman" w:cs="Times New Roman" w:eastAsia="Times New Roman" w:hint="default"/>
        </w:rPr>
        <w:t>”</w:t>
      </w:r>
      <w:r>
        <w:rPr/>
        <w:t>的优惠政策，据此萍乡茂硕、新余茂硕</w:t>
      </w:r>
      <w:r>
        <w:rPr>
          <w:rFonts w:ascii="Times New Roman" w:hAnsi="Times New Roman" w:cs="Times New Roman" w:eastAsia="Times New Roman" w:hint="default"/>
        </w:rPr>
        <w:t>2018</w:t>
      </w:r>
      <w:r>
        <w:rPr/>
        <w:t>年度免 征企业所得税，海宁茂硕</w:t>
      </w:r>
      <w:r>
        <w:rPr>
          <w:rFonts w:ascii="Times New Roman" w:hAnsi="Times New Roman" w:cs="Times New Roman" w:eastAsia="Times New Roman" w:hint="default"/>
        </w:rPr>
        <w:t>2018</w:t>
      </w:r>
      <w:r>
        <w:rPr/>
        <w:t>年度减半征收企业所得税。</w:t>
      </w:r>
    </w:p>
    <w:p>
      <w:pPr>
        <w:spacing w:line="240" w:lineRule="auto" w:before="1"/>
        <w:rPr>
          <w:rFonts w:ascii="宋体" w:hAnsi="宋体" w:cs="宋体" w:eastAsia="宋体" w:hint="default"/>
          <w:sz w:val="22"/>
          <w:szCs w:val="22"/>
        </w:rPr>
      </w:pPr>
    </w:p>
    <w:p>
      <w:pPr>
        <w:spacing w:line="487" w:lineRule="auto" w:before="0"/>
        <w:ind w:left="154" w:right="7692" w:firstLine="0"/>
        <w:jc w:val="left"/>
        <w:rPr>
          <w:rFonts w:ascii="宋体" w:hAnsi="宋体" w:cs="宋体" w:eastAsia="宋体" w:hint="default"/>
          <w:sz w:val="21"/>
          <w:szCs w:val="21"/>
        </w:rPr>
      </w:pPr>
      <w:bookmarkStart w:name="3、其他" w:id="224"/>
      <w:bookmarkEnd w:id="2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5"/>
      <w:bookmarkEnd w:id="225"/>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6"/>
      <w:bookmarkEnd w:id="22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126,716.27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86,092.47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119,716,862.35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194,837,922.21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162,509,392.59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123,237,749.77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282,352,971.21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318,161,764.45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4,317,881.10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781,369.55</w:t>
            </w:r>
          </w:p>
        </w:tc>
      </w:tr>
    </w:tbl>
    <w:p>
      <w:pPr>
        <w:pStyle w:val="BodyText"/>
        <w:spacing w:line="240" w:lineRule="auto" w:before="51"/>
        <w:ind w:right="113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113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日，本公司不存在质押、冻结，或有潜在收回风险的款项。</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3,911,787.40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3,911,787.40</w:t>
            </w: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4、应收票据及应收账款" w:id="229"/>
      <w:bookmarkEnd w:id="229"/>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88,839,760.38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88,436,975.42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462,779,717.69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479,781,809.01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551,619,478.07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568,218,784.43</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69,845,744.38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68,152,883.85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18,994,016.00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20,284,091.57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88,839,760.38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88,436,975.42</w:t>
            </w:r>
          </w:p>
        </w:tc>
      </w:tr>
    </w:tbl>
    <w:p>
      <w:pPr>
        <w:pStyle w:val="BodyText"/>
        <w:spacing w:line="240" w:lineRule="auto" w:before="51"/>
        <w:ind w:right="113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25,423,835.40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25,423,835.40</w:t>
            </w:r>
          </w:p>
        </w:tc>
      </w:tr>
    </w:tbl>
    <w:p>
      <w:pPr>
        <w:pStyle w:val="BodyText"/>
        <w:spacing w:line="240" w:lineRule="auto" w:before="51"/>
        <w:ind w:right="113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207,282,243.77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14,784,991.00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3,366,072.98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8,559,606.99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210,648,316.75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23,344,597.99</w:t>
            </w:r>
          </w:p>
        </w:tc>
      </w:tr>
    </w:tbl>
    <w:p>
      <w:pPr>
        <w:pStyle w:val="BodyText"/>
        <w:spacing w:line="240" w:lineRule="auto" w:before="51"/>
        <w:ind w:right="113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1,189,025.00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1,189,025.00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70,749,0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73.32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68,015,6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2,733,436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23,395,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18,219,18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5,176,110.8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506,399,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966.49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46,353,6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460,046,2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81.57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517,329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,763.48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42,756,30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474,573,46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3.20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2,886,79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2,886,79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107,450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75,215.00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32,235.00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580,035,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832.81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117,256,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115.12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20.22%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462,779,7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17.69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540,832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,510.01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61,050,70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479,781,80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9.01</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深圳骑客智能科技有限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20,598,646.87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20,598,646.87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重庆瑞耕达网络科技有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10,152,002.27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10,152,002.27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7,157,343.92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5,921,967.93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Energy Solar Pty</w:t>
            </w:r>
            <w:r>
              <w:rPr>
                <w:rFonts w:ascii="Times New Roman"/>
                <w:spacing w:val="-8"/>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6,567,475.28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6,567,475.28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SR</w:t>
            </w:r>
            <w:r>
              <w:rPr>
                <w:rFonts w:ascii="Times New Roman"/>
                <w:spacing w:val="-23"/>
                <w:sz w:val="18"/>
              </w:rPr>
              <w:t> </w:t>
            </w:r>
            <w:r>
              <w:rPr>
                <w:rFonts w:ascii="Times New Roman"/>
                <w:sz w:val="18"/>
              </w:rPr>
              <w:t>iLLUMINATION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5,146,064.70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5,146,064.70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北京汉能户用薄膜发电 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2,996,120.26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1,498,060.13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1"/>
              <w:jc w:val="left"/>
              <w:rPr>
                <w:rFonts w:ascii="Times New Roman" w:hAnsi="Times New Roman" w:cs="Times New Roman" w:eastAsia="Times New Roman" w:hint="default"/>
                <w:sz w:val="18"/>
                <w:szCs w:val="18"/>
              </w:rPr>
            </w:pPr>
            <w:r>
              <w:rPr>
                <w:rFonts w:ascii="Times New Roman"/>
                <w:sz w:val="18"/>
              </w:rPr>
              <w:t>CLOSED JOIN</w:t>
            </w:r>
            <w:r>
              <w:rPr>
                <w:rFonts w:ascii="Times New Roman"/>
                <w:spacing w:val="-5"/>
                <w:sz w:val="18"/>
              </w:rPr>
              <w:t> </w:t>
            </w:r>
            <w:r>
              <w:rPr>
                <w:rFonts w:ascii="Times New Roman"/>
                <w:sz w:val="18"/>
              </w:rPr>
              <w:t>STOCK</w:t>
            </w:r>
            <w:r>
              <w:rPr>
                <w:rFonts w:ascii="Times New Roman"/>
                <w:w w:val="99"/>
                <w:sz w:val="18"/>
              </w:rPr>
              <w:t> </w:t>
            </w:r>
            <w:r>
              <w:rPr>
                <w:rFonts w:ascii="Times New Roman"/>
                <w:spacing w:val="-3"/>
                <w:sz w:val="18"/>
              </w:rPr>
              <w:t>COMPANY</w:t>
            </w:r>
            <w:r>
              <w:rPr>
                <w:rFonts w:ascii="Times New Roman"/>
                <w:spacing w:val="-9"/>
                <w:sz w:val="18"/>
              </w:rPr>
              <w:t> </w:t>
            </w:r>
            <w:r>
              <w:rPr>
                <w:rFonts w:ascii="Times New Roman"/>
                <w:sz w:val="18"/>
              </w:rPr>
              <w:t>OPTOGAN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2,867,047.17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2,867,047.17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湖北诺亚光电科技有限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福建省能宝光电集团有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辽宁宝林集团节能科技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1,860,746.07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1,860,746.07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1,843,288.43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1,843,288.43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斐翔供应链管理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1,262,897.49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1,262,897.49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山西广禾电力工程有限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南京冠亚电源设备有限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985,980.00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985,980.00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徐州市光伏宇网络技术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868,148.00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868,148.00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陕西易兆通新能源科技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720,672.60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720,672.60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深圳市中景科创光电科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508,795.11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508,795.11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临沂金七星新能源有限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陕西翼翔新能源科技有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401,940.00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401,940.00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浙江东能光电科技股份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4"/>
              <w:jc w:val="left"/>
              <w:rPr>
                <w:rFonts w:ascii="Times New Roman" w:hAnsi="Times New Roman" w:cs="Times New Roman" w:eastAsia="Times New Roman" w:hint="default"/>
                <w:sz w:val="18"/>
                <w:szCs w:val="18"/>
              </w:rPr>
            </w:pPr>
            <w:r>
              <w:rPr>
                <w:rFonts w:ascii="Times New Roman"/>
                <w:sz w:val="18"/>
              </w:rPr>
              <w:t>IRES ASIA</w:t>
            </w:r>
            <w:r>
              <w:rPr>
                <w:rFonts w:ascii="Times New Roman"/>
                <w:spacing w:val="-18"/>
                <w:sz w:val="18"/>
              </w:rPr>
              <w:t> </w:t>
            </w:r>
            <w:r>
              <w:rPr>
                <w:rFonts w:ascii="Times New Roman"/>
                <w:spacing w:val="-3"/>
                <w:sz w:val="18"/>
              </w:rPr>
              <w:t>PACIFIC</w:t>
            </w:r>
            <w:r>
              <w:rPr>
                <w:rFonts w:ascii="Times New Roman"/>
                <w:w w:val="99"/>
                <w:sz w:val="18"/>
              </w:rPr>
              <w:t> </w:t>
            </w:r>
            <w:r>
              <w:rPr>
                <w:rFonts w:ascii="Times New Roman"/>
                <w:sz w:val="18"/>
              </w:rPr>
              <w:t>PTY</w:t>
            </w:r>
            <w:r>
              <w:rPr>
                <w:rFonts w:ascii="Times New Roman"/>
                <w:spacing w:val="-8"/>
                <w:sz w:val="18"/>
              </w:rPr>
              <w:t> </w:t>
            </w:r>
            <w:r>
              <w:rPr>
                <w:rFonts w:ascii="Times New Roman"/>
                <w:spacing w:val="-6"/>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340,963.78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340,963.78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浙江上航太科新能源有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70,749,073.32</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68,015,637.20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339,995,161.93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67,552,711.94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3,377,635.58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407,547,873.87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3,377,635.58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12,238,854.61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14,220,311.40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2,844,062.28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3,864,450.11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1,932,225.07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36,975,876.53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36,975,876.53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474,847,366.52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46,353,684.92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4"/>
      </w:tblGrid>
      <w:tr>
        <w:trPr>
          <w:trHeight w:val="427"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944" w:type="dxa"/>
            <w:vMerge/>
            <w:tcBorders>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6"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政府机构应收款项组合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31,552,599.97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2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31,552,599.97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1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5"/>
        <w:jc w:val="left"/>
      </w:pPr>
      <w:r>
        <w:rPr/>
        <w:t>本期计提坏账准备金额</w:t>
      </w:r>
      <w:r>
        <w:rPr>
          <w:spacing w:val="-47"/>
        </w:rPr>
        <w:t> </w:t>
      </w:r>
      <w:r>
        <w:rPr>
          <w:rFonts w:ascii="Times New Roman" w:hAnsi="Times New Roman" w:cs="Times New Roman" w:eastAsia="Times New Roman" w:hint="default"/>
        </w:rPr>
        <w:t>58,473,168.28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1,779,740.82</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7174" w:space="165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627,172.54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应收电价补贴款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622,839.30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转回</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深圳市中景科创光电科技有限公司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529,728.98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转回</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1,779,740.82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131" w:firstLine="360"/>
        <w:jc w:val="both"/>
      </w:pPr>
      <w:r>
        <w:rPr/>
        <w:t>①</w:t>
      </w:r>
      <w:r>
        <w:rPr>
          <w:rFonts w:ascii="Times New Roman" w:hAnsi="Times New Roman" w:cs="Times New Roman" w:eastAsia="Times New Roman" w:hint="default"/>
        </w:rPr>
        <w:t>Brilliant info</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w:t>
      </w:r>
      <w:r>
        <w:rPr/>
        <w:t>本期根据已签订的还款协议书及</w:t>
      </w:r>
      <w:r>
        <w:rPr>
          <w:rFonts w:ascii="Times New Roman" w:hAnsi="Times New Roman" w:cs="Times New Roman" w:eastAsia="Times New Roman" w:hint="default"/>
        </w:rPr>
        <w:t>2018</w:t>
      </w:r>
      <w:r>
        <w:rPr/>
        <w:t>年的履约情况，判断约定的还款能够收回，按预计不可收回金 额计提坏账，本期转回坏账准备金额</w:t>
      </w:r>
      <w:r>
        <w:rPr>
          <w:rFonts w:ascii="Times New Roman" w:hAnsi="Times New Roman" w:cs="Times New Roman" w:eastAsia="Times New Roman" w:hint="default"/>
        </w:rPr>
        <w:t>627,172.54</w:t>
      </w:r>
      <w:r>
        <w:rPr/>
        <w:t>元；</w:t>
      </w:r>
    </w:p>
    <w:p>
      <w:pPr>
        <w:pStyle w:val="BodyText"/>
        <w:spacing w:line="300" w:lineRule="auto" w:before="13"/>
        <w:ind w:right="1130" w:firstLine="360"/>
        <w:jc w:val="both"/>
      </w:pPr>
      <w:r>
        <w:rPr>
          <w:spacing w:val="-2"/>
        </w:rPr>
        <w:t>②因</w:t>
      </w:r>
      <w:r>
        <w:rPr>
          <w:rFonts w:ascii="Times New Roman" w:hAnsi="Times New Roman" w:cs="Times New Roman" w:eastAsia="Times New Roman" w:hint="default"/>
          <w:spacing w:val="-2"/>
        </w:rPr>
        <w:t>2018</w:t>
      </w:r>
      <w:r>
        <w:rPr>
          <w:spacing w:val="-2"/>
        </w:rPr>
        <w:t>年度会计估计发生变更，上期对应收国家政府机构款项按账龄法计提坏账准备，本期根据变更后的会计估计确</w:t>
      </w:r>
      <w:r>
        <w:rPr/>
        <w:t> 认坏账准备，并冲回前期已计提的坏账准备金额</w:t>
      </w:r>
      <w:r>
        <w:rPr>
          <w:rFonts w:ascii="Times New Roman" w:hAnsi="Times New Roman" w:cs="Times New Roman" w:eastAsia="Times New Roman" w:hint="default"/>
        </w:rPr>
        <w:t>622,839.30</w:t>
      </w:r>
      <w:r>
        <w:rPr/>
        <w:t>元；</w:t>
      </w:r>
    </w:p>
    <w:p>
      <w:pPr>
        <w:pStyle w:val="BodyText"/>
        <w:spacing w:line="300" w:lineRule="auto" w:before="13"/>
        <w:ind w:right="1130" w:firstLine="360"/>
        <w:jc w:val="both"/>
      </w:pPr>
      <w:r>
        <w:rPr>
          <w:spacing w:val="-2"/>
        </w:rPr>
        <w:t>③上期根据深圳市南山区人民法院出具的（</w:t>
      </w:r>
      <w:r>
        <w:rPr>
          <w:rFonts w:ascii="Times New Roman" w:hAnsi="Times New Roman" w:cs="Times New Roman" w:eastAsia="Times New Roman" w:hint="default"/>
          <w:spacing w:val="-2"/>
        </w:rPr>
        <w:t>2016</w:t>
      </w:r>
      <w:r>
        <w:rPr>
          <w:spacing w:val="-2"/>
        </w:rPr>
        <w:t>）粤</w:t>
      </w:r>
      <w:r>
        <w:rPr>
          <w:rFonts w:ascii="Times New Roman" w:hAnsi="Times New Roman" w:cs="Times New Roman" w:eastAsia="Times New Roman" w:hint="default"/>
          <w:spacing w:val="-2"/>
        </w:rPr>
        <w:t>0305</w:t>
      </w:r>
      <w:r>
        <w:rPr>
          <w:spacing w:val="-2"/>
        </w:rPr>
        <w:t>执</w:t>
      </w:r>
      <w:r>
        <w:rPr>
          <w:rFonts w:ascii="Times New Roman" w:hAnsi="Times New Roman" w:cs="Times New Roman" w:eastAsia="Times New Roman" w:hint="default"/>
          <w:spacing w:val="-2"/>
        </w:rPr>
        <w:t>4606</w:t>
      </w:r>
      <w:r>
        <w:rPr>
          <w:spacing w:val="-2"/>
        </w:rPr>
        <w:t>号《查证结果通知书》号，深圳市中景科创光电科技有</w:t>
      </w:r>
      <w:r>
        <w:rPr/>
        <w:t> </w:t>
      </w:r>
      <w:r>
        <w:rPr>
          <w:spacing w:val="-2"/>
        </w:rPr>
        <w:t>限公司（以下简称</w:t>
      </w:r>
      <w:r>
        <w:rPr>
          <w:rFonts w:ascii="Times New Roman" w:hAnsi="Times New Roman" w:cs="Times New Roman" w:eastAsia="Times New Roman" w:hint="default"/>
          <w:spacing w:val="-2"/>
        </w:rPr>
        <w:t>“</w:t>
      </w:r>
      <w:r>
        <w:rPr>
          <w:spacing w:val="-2"/>
        </w:rPr>
        <w:t>中景科创</w:t>
      </w:r>
      <w:r>
        <w:rPr>
          <w:rFonts w:ascii="Times New Roman" w:hAnsi="Times New Roman" w:cs="Times New Roman" w:eastAsia="Times New Roman" w:hint="default"/>
          <w:spacing w:val="-2"/>
        </w:rPr>
        <w:t>”</w:t>
      </w:r>
      <w:r>
        <w:rPr>
          <w:spacing w:val="-2"/>
        </w:rPr>
        <w:t>）已无可供执行的财产，无法偿还所欠公司款项，故对其全额计提坏账准备，而本期收回中景</w:t>
      </w:r>
      <w:r>
        <w:rPr>
          <w:spacing w:val="-47"/>
        </w:rPr>
        <w:t> </w:t>
      </w:r>
      <w:r>
        <w:rPr>
          <w:spacing w:val="-47"/>
        </w:rPr>
      </w:r>
      <w:r>
        <w:rPr/>
        <w:t>科创应收款</w:t>
      </w:r>
      <w:r>
        <w:rPr>
          <w:rFonts w:ascii="Times New Roman" w:hAnsi="Times New Roman" w:cs="Times New Roman" w:eastAsia="Times New Roman" w:hint="default"/>
        </w:rPr>
        <w:t>529,728.98</w:t>
      </w:r>
      <w:r>
        <w:rPr/>
        <w:t>元，因此本期转回</w:t>
      </w:r>
      <w:r>
        <w:rPr>
          <w:rFonts w:ascii="Times New Roman" w:hAnsi="Times New Roman" w:cs="Times New Roman" w:eastAsia="Times New Roman" w:hint="default"/>
        </w:rPr>
        <w:t>529,728.98</w:t>
      </w:r>
      <w:r>
        <w:rPr/>
        <w:t>元的坏账准备。</w:t>
      </w:r>
    </w:p>
    <w:p>
      <w:pPr>
        <w:pStyle w:val="BodyText"/>
        <w:spacing w:line="240" w:lineRule="auto" w:before="53"/>
        <w:ind w:right="113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371,550.04</w:t>
            </w:r>
          </w:p>
        </w:tc>
      </w:tr>
    </w:tbl>
    <w:p>
      <w:pPr>
        <w:pStyle w:val="BodyText"/>
        <w:spacing w:line="240" w:lineRule="auto" w:before="51"/>
        <w:ind w:right="113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应收账款核销说明：</w:t>
      </w:r>
    </w:p>
    <w:p>
      <w:pPr>
        <w:pStyle w:val="BodyText"/>
        <w:spacing w:line="319" w:lineRule="auto" w:before="116"/>
        <w:ind w:right="1130"/>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本公司年末余额前五名应收账款金额为</w:t>
      </w:r>
      <w:r>
        <w:rPr>
          <w:rFonts w:ascii="Times New Roman" w:hAnsi="Times New Roman" w:cs="Times New Roman" w:eastAsia="Times New Roman" w:hint="default"/>
        </w:rPr>
        <w:t>142,838,200.38</w:t>
      </w:r>
      <w:r>
        <w:rPr/>
        <w:t>元，占应收账款年末余额合计数的比例为</w:t>
      </w:r>
      <w:r>
        <w:rPr>
          <w:rFonts w:ascii="Times New Roman" w:hAnsi="Times New Roman" w:cs="Times New Roman" w:eastAsia="Times New Roman" w:hint="default"/>
        </w:rPr>
        <w:t>24.63%</w:t>
      </w:r>
      <w:r>
        <w:rPr/>
        <w:t>，相应计提的坏账准</w:t>
      </w:r>
      <w:r>
        <w:rPr>
          <w:spacing w:val="-60"/>
        </w:rPr>
        <w:t> </w:t>
      </w:r>
      <w:r>
        <w:rPr>
          <w:spacing w:val="-60"/>
        </w:rPr>
      </w:r>
      <w:r>
        <w:rPr/>
        <w:t>备年末余额汇总金额为</w:t>
      </w:r>
      <w:r>
        <w:rPr>
          <w:rFonts w:ascii="Times New Roman" w:hAnsi="Times New Roman" w:cs="Times New Roman" w:eastAsia="Times New Roman" w:hint="default"/>
        </w:rPr>
        <w:t>4,517,452.76</w:t>
      </w:r>
      <w:r>
        <w:rPr/>
        <w:t>元。</w:t>
      </w:r>
    </w:p>
    <w:p>
      <w:pPr>
        <w:spacing w:line="240" w:lineRule="auto" w:before="10"/>
        <w:rPr>
          <w:rFonts w:ascii="宋体" w:hAnsi="宋体" w:cs="宋体" w:eastAsia="宋体" w:hint="default"/>
          <w:sz w:val="26"/>
          <w:szCs w:val="26"/>
        </w:rPr>
      </w:pPr>
    </w:p>
    <w:p>
      <w:pPr>
        <w:pStyle w:val="BodyText"/>
        <w:spacing w:line="338" w:lineRule="auto"/>
        <w:ind w:right="6612"/>
        <w:jc w:val="left"/>
      </w:pPr>
      <w:r>
        <w:rPr>
          <w:rFonts w:ascii="Times New Roman" w:hAnsi="Times New Roman" w:cs="Times New Roman" w:eastAsia="Times New Roman" w:hint="default"/>
        </w:rPr>
        <w:t>5)</w:t>
      </w:r>
      <w:r>
        <w:rPr/>
        <w:t>因金融资产转移而终止确认的应收账款</w:t>
      </w:r>
      <w:r>
        <w:rPr>
          <w:w w:val="99"/>
        </w:rPr>
        <w:t> </w:t>
      </w:r>
      <w:r>
        <w:rPr/>
        <w:t>本报告期无因金融资产转移而终止确认的应收款项。</w:t>
      </w:r>
    </w:p>
    <w:p>
      <w:pPr>
        <w:spacing w:line="240" w:lineRule="auto" w:before="0"/>
        <w:rPr>
          <w:rFonts w:ascii="宋体" w:hAnsi="宋体" w:cs="宋体" w:eastAsia="宋体" w:hint="default"/>
          <w:sz w:val="18"/>
          <w:szCs w:val="18"/>
        </w:rPr>
      </w:pPr>
    </w:p>
    <w:p>
      <w:pPr>
        <w:pStyle w:val="BodyText"/>
        <w:spacing w:line="338" w:lineRule="auto" w:before="120"/>
        <w:ind w:right="6252"/>
        <w:jc w:val="left"/>
      </w:pPr>
      <w:r>
        <w:rPr>
          <w:rFonts w:ascii="Times New Roman" w:hAnsi="Times New Roman" w:cs="Times New Roman" w:eastAsia="Times New Roman" w:hint="default"/>
        </w:rPr>
        <w:t>6)</w:t>
      </w:r>
      <w:r>
        <w:rPr/>
        <w:t>转移应收账款且继续涉入形成的资产、负债金额</w:t>
      </w:r>
      <w:r>
        <w:rPr>
          <w:w w:val="99"/>
        </w:rPr>
        <w:t> </w:t>
      </w:r>
      <w:r>
        <w:rPr/>
        <w:t>年末无转移应收账款且继续涉入形成的资产、负债金额。</w:t>
      </w:r>
    </w:p>
    <w:p>
      <w:pPr>
        <w:spacing w:line="240" w:lineRule="auto" w:before="0"/>
        <w:rPr>
          <w:rFonts w:ascii="宋体" w:hAnsi="宋体" w:cs="宋体" w:eastAsia="宋体" w:hint="default"/>
          <w:sz w:val="18"/>
          <w:szCs w:val="18"/>
        </w:rPr>
      </w:pPr>
    </w:p>
    <w:p>
      <w:pPr>
        <w:pStyle w:val="BodyText"/>
        <w:spacing w:line="240" w:lineRule="auto" w:before="120"/>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5、预付款项" w:id="232"/>
      <w:bookmarkEnd w:id="232"/>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1,854,239.79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2,265,330.82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368,132.35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1,863,239.79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2,633,463.17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15"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期末无账龄超过一年且金额重要的预付款项。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3"/>
        <w:spacing w:line="240" w:lineRule="auto"/>
        <w:ind w:right="113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640" w:lineRule="auto"/>
        <w:ind w:right="1107"/>
        <w:jc w:val="left"/>
      </w:pPr>
      <w:r>
        <w:rPr/>
        <w:t>本公司按预付对象归集的年末余额前五名预付账款汇总金额为</w:t>
      </w:r>
      <w:r>
        <w:rPr>
          <w:rFonts w:ascii="Times New Roman" w:hAnsi="Times New Roman" w:cs="Times New Roman" w:eastAsia="Times New Roman" w:hint="default"/>
        </w:rPr>
        <w:t>981,877.87</w:t>
      </w:r>
      <w:r>
        <w:rPr/>
        <w:t>元，占预付账款年末余额合计数的比例为</w:t>
      </w:r>
      <w:r>
        <w:rPr>
          <w:rFonts w:ascii="Times New Roman" w:hAnsi="Times New Roman" w:cs="Times New Roman" w:eastAsia="Times New Roman" w:hint="default"/>
        </w:rPr>
        <w:t>52.70%</w:t>
      </w:r>
      <w:r>
        <w:rPr/>
        <w:t>。 其他说明：</w:t>
      </w:r>
    </w:p>
    <w:p>
      <w:pPr>
        <w:pStyle w:val="Heading3"/>
        <w:spacing w:line="240" w:lineRule="auto" w:before="49"/>
        <w:ind w:right="1130"/>
        <w:jc w:val="left"/>
        <w:rPr>
          <w:b w:val="0"/>
          <w:bCs w:val="0"/>
        </w:rPr>
      </w:pPr>
      <w:bookmarkStart w:name="6、其他应收款" w:id="235"/>
      <w:bookmarkEnd w:id="23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24,750,182.74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33,624,662.85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24,750,182.74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33,624,662.85</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应收股利" w:id="237"/>
      <w:bookmarkEnd w:id="2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8,863,00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8,863,00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9,434,2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6,534,200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25,525,7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33.63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1,449,60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24,076,13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29,652,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331.86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901,588.7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28,750,743.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1,305,41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631,365.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1,973,9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1,973,919.7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35,694,1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10,943,9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24,750,18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41,060,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451.59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7,435,788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33,624,662.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On-Q Lighting</w:t>
            </w:r>
            <w:r>
              <w:rPr>
                <w:rFonts w:ascii="Times New Roman"/>
                <w:spacing w:val="-3"/>
                <w:sz w:val="18"/>
              </w:rPr>
              <w:t> </w:t>
            </w:r>
            <w:r>
              <w:rPr>
                <w:rFonts w:ascii="Times New Roman"/>
                <w:sz w:val="18"/>
              </w:rPr>
              <w:t>Systems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6,863,200.00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
              <w:jc w:val="center"/>
              <w:rPr>
                <w:rFonts w:ascii="宋体" w:hAnsi="宋体" w:cs="宋体" w:eastAsia="宋体" w:hint="default"/>
                <w:sz w:val="18"/>
                <w:szCs w:val="18"/>
              </w:rPr>
            </w:pPr>
            <w:r>
              <w:rPr>
                <w:rFonts w:ascii="宋体" w:hAnsi="宋体" w:cs="宋体" w:eastAsia="宋体" w:hint="default"/>
                <w:sz w:val="18"/>
                <w:szCs w:val="18"/>
              </w:rPr>
              <w:t>已结案，确定无法收回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代垫吴峰波等农民工工 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预计收回的可能性较小</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8,863,000.00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8,863,000.00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1,930,089.56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487,186.96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2,417,276.52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3,515,071.42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351,507.14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646,259.76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129,251.95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126,135.85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63,067.93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881,416.47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881,416.47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7,586,160.02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1,449,602.84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1"/>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7"/>
      </w:tblGrid>
      <w:tr>
        <w:trPr>
          <w:trHeight w:val="427"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944" w:type="dxa"/>
            <w:vMerge/>
            <w:tcBorders>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4"/>
      </w:tblGrid>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政府机构应收款项组合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13,512,567.46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4,427,006.15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17,939,573.61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3,554,024.55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3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right="7692"/>
        <w:jc w:val="left"/>
      </w:pPr>
      <w:r>
        <w:rPr/>
        <w:t>其他应收款核销说明： 本报告期内无实际核销的其他应收款。</w:t>
      </w:r>
    </w:p>
    <w:p>
      <w:pPr>
        <w:spacing w:line="240" w:lineRule="auto" w:before="9"/>
        <w:rPr>
          <w:rFonts w:ascii="宋体" w:hAnsi="宋体" w:cs="宋体" w:eastAsia="宋体" w:hint="default"/>
          <w:sz w:val="22"/>
          <w:szCs w:val="22"/>
        </w:rPr>
      </w:pPr>
    </w:p>
    <w:p>
      <w:pPr>
        <w:pStyle w:val="BodyText"/>
        <w:spacing w:line="240" w:lineRule="auto" w:before="44"/>
        <w:ind w:right="113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13,512,567.46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23,717,911.44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11,255,402.53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8,761,510.84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4,427,006.15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4,318,791.46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589,737.76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762,237.85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火灾赔偿款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1,838,018.00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71,419.14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35,694,151.04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41,060,451.59</w:t>
            </w:r>
          </w:p>
        </w:tc>
      </w:tr>
    </w:tbl>
    <w:p>
      <w:pPr>
        <w:pStyle w:val="BodyText"/>
        <w:spacing w:line="240" w:lineRule="auto" w:before="51"/>
        <w:ind w:right="113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13,512,567.46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6,863,200.00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26,875,567.46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9,213,000.00</w:t>
            </w:r>
          </w:p>
        </w:tc>
      </w:tr>
    </w:tbl>
    <w:p>
      <w:pPr>
        <w:pStyle w:val="BodyText"/>
        <w:spacing w:line="240" w:lineRule="auto" w:before="51"/>
        <w:ind w:right="113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right="1130"/>
        <w:jc w:val="left"/>
      </w:pPr>
      <w:r>
        <w:rPr/>
        <w:t>本报告期无涉及政府补助的应收款项。</w:t>
      </w:r>
    </w:p>
    <w:p>
      <w:pPr>
        <w:spacing w:line="240" w:lineRule="auto" w:before="0"/>
        <w:rPr>
          <w:rFonts w:ascii="宋体" w:hAnsi="宋体" w:cs="宋体" w:eastAsia="宋体" w:hint="default"/>
          <w:sz w:val="18"/>
          <w:szCs w:val="18"/>
        </w:rPr>
      </w:pPr>
    </w:p>
    <w:p>
      <w:pPr>
        <w:pStyle w:val="BodyText"/>
        <w:spacing w:line="300" w:lineRule="auto" w:before="153"/>
        <w:ind w:right="6432"/>
        <w:jc w:val="left"/>
      </w:pPr>
      <w:r>
        <w:rPr>
          <w:rFonts w:ascii="Times New Roman" w:hAnsi="Times New Roman" w:cs="Times New Roman" w:eastAsia="Times New Roman" w:hint="default"/>
        </w:rPr>
        <w:t>7)</w:t>
      </w:r>
      <w:r>
        <w:rPr/>
        <w:t>因金融资产转移而终止确认的其他应收款</w:t>
      </w:r>
      <w:r>
        <w:rPr>
          <w:w w:val="99"/>
        </w:rPr>
        <w:t> </w:t>
      </w:r>
      <w:r>
        <w:rPr/>
        <w:t>本报告期无因金融资产转移而终止确认的其他应收款。</w:t>
      </w:r>
    </w:p>
    <w:p>
      <w:pPr>
        <w:spacing w:line="240" w:lineRule="auto" w:before="0"/>
        <w:rPr>
          <w:rFonts w:ascii="宋体" w:hAnsi="宋体" w:cs="宋体" w:eastAsia="宋体" w:hint="default"/>
          <w:sz w:val="18"/>
          <w:szCs w:val="18"/>
        </w:rPr>
      </w:pPr>
    </w:p>
    <w:p>
      <w:pPr>
        <w:pStyle w:val="BodyText"/>
        <w:spacing w:line="338" w:lineRule="auto" w:before="148"/>
        <w:ind w:right="5892"/>
        <w:jc w:val="left"/>
      </w:pPr>
      <w:r>
        <w:rPr>
          <w:rFonts w:ascii="Times New Roman" w:hAnsi="Times New Roman" w:cs="Times New Roman" w:eastAsia="Times New Roman" w:hint="default"/>
        </w:rPr>
        <w:t>8)</w:t>
      </w:r>
      <w:r>
        <w:rPr/>
        <w:t>转移其他应收款且继续涉入形成的资产、负债金额</w:t>
      </w:r>
      <w:r>
        <w:rPr>
          <w:w w:val="99"/>
        </w:rPr>
        <w:t> </w:t>
      </w:r>
      <w:r>
        <w:rPr/>
        <w:t>本报告期无转移其他应收款且继续涉入而形成的资产、负债。</w:t>
      </w:r>
    </w:p>
    <w:p>
      <w:pPr>
        <w:spacing w:line="240" w:lineRule="auto" w:before="0"/>
        <w:rPr>
          <w:rFonts w:ascii="宋体" w:hAnsi="宋体" w:cs="宋体" w:eastAsia="宋体" w:hint="default"/>
          <w:sz w:val="18"/>
          <w:szCs w:val="18"/>
        </w:rPr>
      </w:pPr>
    </w:p>
    <w:p>
      <w:pPr>
        <w:pStyle w:val="BodyText"/>
        <w:spacing w:line="240" w:lineRule="auto" w:before="120"/>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7、存货" w:id="239"/>
      <w:bookmarkEnd w:id="239"/>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113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82,366,494.85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33,044,590.82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49,321,904.03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97,848,098.90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11,915,623.67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85,932,475.23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14,838,440.86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616,422.23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14,222,018.63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16,297,381.37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16,297,381.37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66,270,509.25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24,047,200.45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42,223,308.80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73,045,584.16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11,911,190.66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61,134,393.50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285,910.60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262,002.54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23,908.06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47,390.73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47,390.73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9,924,367.24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9,924,367.24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28,259,983.90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28,259,983.90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10,104,612.50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10,104,612.50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9,219,968.67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9,219,968.67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15,133,080.54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1,682,390.48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13,450,690.06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2,503,389.93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291,695.67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2,211,694.26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198,923,415.84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59,652,606.52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139,270,809.32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227,221,797.66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24,118,510.00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203,103,287.66</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113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11,915,623.67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25,656,290.43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4,527,323.28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33,044,590.82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616,422.23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616,422.23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11,911,190.66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16,620,740.15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4,484,730.36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24,047,200.45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262,002.54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262,002.54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291,695.67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1,390,694.81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1,682,390.48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24,118,510.00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44,546,150.16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9,012,053.64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59,652,606.52</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8、持有待售资产" w:id="244"/>
      <w:bookmarkEnd w:id="244"/>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9、一年内到期的非流动资产" w:id="245"/>
      <w:bookmarkEnd w:id="245"/>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10、其他流动资产" w:id="246"/>
      <w:bookmarkEnd w:id="246"/>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预交税款及待抵扣增值税进项税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35,576,510.04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26,423,314.62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待摊租金、保险等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64,685.17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35,576,510.04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26,487,999.79</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11、可供出售金融资产" w:id="247"/>
      <w:bookmarkEnd w:id="247"/>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可供出售金融资产情况" w:id="248"/>
      <w:bookmarkEnd w:id="24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61,273,143.21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34,008,022.37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27,265,120.84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50,273,143.21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11,625,860.00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38,647,283.21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61,273,143.21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34,008,022.37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27,265,120.84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50,273,143.21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11,625,860.00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38,647,283.21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61,273,143.21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34,008,022.37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27,265,120.84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50,273,143.21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11,625,860.00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38,647,283.21</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期末按公允价值计量的可供出售金融资产" w:id="249"/>
      <w:bookmarkEnd w:id="24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3）期末按成本计量的可供出售金融资产" w:id="250"/>
      <w:bookmarkEnd w:id="25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杭州骑客 智能科技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11,016,245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11,016,245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深圳市聚 电网络科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义乌市亚 杰网络科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Glamorsky</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深圳茂硕</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center"/>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投资发展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佛山市南 海区联合 广东新光 源产业创 新中心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3"/>
              <w:jc w:val="left"/>
              <w:rPr>
                <w:rFonts w:ascii="Times New Roman" w:hAnsi="Times New Roman" w:cs="Times New Roman" w:eastAsia="Times New Roman" w:hint="default"/>
                <w:sz w:val="18"/>
                <w:szCs w:val="18"/>
              </w:rPr>
            </w:pPr>
            <w:r>
              <w:rPr>
                <w:rFonts w:ascii="Times New Roman"/>
                <w:sz w:val="18"/>
              </w:rPr>
              <w:t>Brilliant</w:t>
            </w:r>
            <w:r>
              <w:rPr>
                <w:rFonts w:ascii="Times New Roman"/>
                <w:w w:val="99"/>
                <w:sz w:val="18"/>
              </w:rPr>
              <w:t> </w:t>
            </w:r>
            <w:r>
              <w:rPr>
                <w:rFonts w:ascii="Times New Roman"/>
                <w:sz w:val="18"/>
              </w:rPr>
              <w:t>Info Corp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安徽新国 利英核能 源有限公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深圳前海 茂硕新能 源科技有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918,886.16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918,886.16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河南弘康 茂硕电气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113,720.00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113,720.00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深圳茂硕 祥泰科技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湖南茂硕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143,591.47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143,591.47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143,591.47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143,591.47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深圳市迈 斯达尔医 疗器械有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浙江茂硕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42,725.74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42,725.74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42,725.74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42,725.74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深圳茂硕 尚世文化 传媒有限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50,273,143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61,273,143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11,625,860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22,382,162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34,008,022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0"/>
        <w:jc w:val="left"/>
        <w:rPr>
          <w:b w:val="0"/>
          <w:bCs w:val="0"/>
        </w:rPr>
      </w:pPr>
      <w:bookmarkStart w:name="（4）报告期内可供出售金融资产减值的变动情况" w:id="251"/>
      <w:bookmarkEnd w:id="25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11,625,860.00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11,625,860.00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22,382,162.37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20,965,153.37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34,008,022.37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32,591,013.37</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5）可供出售权益工具期末公允价值严重下跌或非暂时性下跌但未计提减值准备的相关说" w:id="252"/>
      <w:bookmarkEnd w:id="25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12、持有至到期投资" w:id="253"/>
      <w:bookmarkEnd w:id="253"/>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持有至到期投资情况" w:id="254"/>
      <w:bookmarkEnd w:id="254"/>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2）期末重要的持有至到期投资" w:id="255"/>
      <w:bookmarkEnd w:id="25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本期重分类的持有至到期投资" w:id="256"/>
      <w:bookmarkEnd w:id="25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13、长期应收款" w:id="257"/>
      <w:bookmarkEnd w:id="257"/>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长期应收款情况" w:id="258"/>
      <w:bookmarkEnd w:id="25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3502"/>
        <w:gridCol w:w="3500"/>
        <w:gridCol w:w="1154"/>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92"/>
        <w:gridCol w:w="1179"/>
        <w:gridCol w:w="1167"/>
        <w:gridCol w:w="1168"/>
        <w:gridCol w:w="1166"/>
        <w:gridCol w:w="1169"/>
        <w:gridCol w:w="1164"/>
        <w:gridCol w:w="1165"/>
      </w:tblGrid>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4,827,808.65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4,827,808.65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1,172,191.35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1,172,191.35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4,827,808.65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4,827,808.65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因金融资产转移而终止确认的长期应收款" w:id="259"/>
      <w:bookmarkEnd w:id="25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本报告期无因金融资产转移而终止确认的长期应收款。</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3）转移长期应收款且继续涉入形成的资产、负债金额" w:id="260"/>
      <w:bookmarkEnd w:id="26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pStyle w:val="BodyText"/>
        <w:spacing w:line="664" w:lineRule="exact" w:before="25"/>
        <w:ind w:right="5892"/>
        <w:jc w:val="left"/>
      </w:pPr>
      <w:r>
        <w:rPr/>
        <w:t>本报告期无转移长期应收款且继续涉入而形成的资产、负债。 其他说明</w:t>
      </w:r>
    </w:p>
    <w:p>
      <w:pPr>
        <w:pStyle w:val="BodyText"/>
        <w:spacing w:line="309" w:lineRule="auto" w:before="89"/>
        <w:ind w:right="1133" w:firstLine="363"/>
        <w:jc w:val="both"/>
      </w:pPr>
      <w:r>
        <w:rPr>
          <w:spacing w:val="-2"/>
        </w:rPr>
        <w:t>本期公司分别与远东国际租赁有限公司、平安国际融资租赁有限公司签订售后回租协议和融资租赁协议，将某固定资产</w:t>
      </w:r>
      <w:r>
        <w:rPr/>
        <w:t> 以高于账面价值的价格出售后再将该固定资产租回，并约定租赁期满后，在付清租金及留购价款</w:t>
      </w:r>
      <w:r>
        <w:rPr>
          <w:rFonts w:ascii="Times New Roman" w:hAnsi="Times New Roman" w:cs="Times New Roman" w:eastAsia="Times New Roman" w:hint="default"/>
        </w:rPr>
        <w:t>2,000.00</w:t>
      </w:r>
      <w:r>
        <w:rPr/>
        <w:t>元及</w:t>
      </w:r>
      <w:r>
        <w:rPr>
          <w:rFonts w:ascii="Times New Roman" w:hAnsi="Times New Roman" w:cs="Times New Roman" w:eastAsia="Times New Roman" w:hint="default"/>
        </w:rPr>
        <w:t>100.00</w:t>
      </w:r>
      <w:r>
        <w:rPr/>
        <w:t>元后将 资产购回。</w:t>
      </w:r>
    </w:p>
    <w:p>
      <w:pPr>
        <w:pStyle w:val="BodyText"/>
        <w:spacing w:line="319" w:lineRule="auto" w:before="24"/>
        <w:ind w:right="1133" w:firstLine="363"/>
        <w:jc w:val="both"/>
      </w:pPr>
      <w:r>
        <w:rPr>
          <w:spacing w:val="-2"/>
        </w:rPr>
        <w:t>上述固定资产出售、租赁及回购之间相互关联，且在基本确定将于租赁期满后低价回购的情况下，将这一系列交易作为</w:t>
      </w:r>
      <w:r>
        <w:rPr/>
        <w:t> 一个整体更能反映其总体经济影响，因此将该项交易作为抵押借款处理。</w:t>
      </w:r>
    </w:p>
    <w:p>
      <w:pPr>
        <w:pStyle w:val="BodyText"/>
        <w:spacing w:line="300" w:lineRule="auto" w:before="17"/>
        <w:ind w:right="1131" w:firstLine="363"/>
        <w:jc w:val="both"/>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日，公司抵押的固定资产账面价值为</w:t>
      </w:r>
      <w:r>
        <w:rPr>
          <w:rFonts w:ascii="Times New Roman" w:hAnsi="Times New Roman" w:cs="Times New Roman" w:eastAsia="Times New Roman" w:hint="default"/>
          <w:spacing w:val="-2"/>
        </w:rPr>
        <w:t>40,127,108.10</w:t>
      </w:r>
      <w:r>
        <w:rPr>
          <w:spacing w:val="-2"/>
        </w:rPr>
        <w:t>元，应收融资租赁保证金余额为</w:t>
      </w:r>
      <w:r>
        <w:rPr>
          <w:rFonts w:ascii="Times New Roman" w:hAnsi="Times New Roman" w:cs="Times New Roman" w:eastAsia="Times New Roman" w:hint="default"/>
          <w:spacing w:val="-2"/>
        </w:rPr>
        <w:t>4,827,808.65</w:t>
      </w:r>
      <w:r>
        <w:rPr>
          <w:spacing w:val="-2"/>
        </w:rPr>
        <w:t>元，应</w:t>
      </w:r>
      <w:r>
        <w:rPr/>
        <w:t> 付融资租赁款余额为</w:t>
      </w:r>
      <w:r>
        <w:rPr>
          <w:rFonts w:ascii="Times New Roman" w:hAnsi="Times New Roman" w:cs="Times New Roman" w:eastAsia="Times New Roman" w:hint="default"/>
        </w:rPr>
        <w:t>56,352,237.12</w:t>
      </w:r>
      <w:r>
        <w:rPr/>
        <w:t>元。</w:t>
      </w:r>
    </w:p>
    <w:p>
      <w:pPr>
        <w:spacing w:line="240" w:lineRule="auto" w:before="1"/>
        <w:rPr>
          <w:rFonts w:ascii="宋体" w:hAnsi="宋体" w:cs="宋体" w:eastAsia="宋体" w:hint="default"/>
          <w:sz w:val="22"/>
          <w:szCs w:val="22"/>
        </w:rPr>
      </w:pPr>
    </w:p>
    <w:p>
      <w:pPr>
        <w:pStyle w:val="Heading3"/>
        <w:spacing w:line="240" w:lineRule="auto"/>
        <w:ind w:right="1130"/>
        <w:jc w:val="left"/>
        <w:rPr>
          <w:b w:val="0"/>
          <w:bCs w:val="0"/>
        </w:rPr>
      </w:pPr>
      <w:bookmarkStart w:name="14、长期股权投资" w:id="261"/>
      <w:bookmarkEnd w:id="26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924,840.1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-498,494.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新余市茂 硕海量投 资企业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9,587,962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13,614.88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8,601,577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新余市神 木园农业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1,307,766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-226,353.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1,081,413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-130,826.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103,984,7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2,217,298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23,831,75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82,370,32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23,831,75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9.14</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山西茂硕 光伏电力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-143,266.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1,023,899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880,632.8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145,805,3</w:t>
            </w:r>
          </w:p>
          <w:p>
            <w:pPr>
              <w:pStyle w:val="TableParagraph"/>
              <w:spacing w:line="240" w:lineRule="auto" w:before="106"/>
              <w:ind w:left="367" w:right="0"/>
              <w:jc w:val="left"/>
              <w:rPr>
                <w:rFonts w:ascii="Times New Roman" w:hAnsi="Times New Roman" w:cs="Times New Roman" w:eastAsia="Times New Roman" w:hint="default"/>
                <w:sz w:val="18"/>
                <w:szCs w:val="18"/>
              </w:rPr>
            </w:pPr>
            <w:r>
              <w:rPr>
                <w:rFonts w:ascii="Times New Roman"/>
                <w:sz w:val="18"/>
              </w:rPr>
              <w:t>55.11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1,231,972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1,023,899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122,956,0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56.21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0.75</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145,805,3</w:t>
            </w:r>
          </w:p>
          <w:p>
            <w:pPr>
              <w:pStyle w:val="TableParagraph"/>
              <w:spacing w:line="240" w:lineRule="auto" w:before="106"/>
              <w:ind w:left="367" w:right="0"/>
              <w:jc w:val="left"/>
              <w:rPr>
                <w:rFonts w:ascii="Times New Roman" w:hAnsi="Times New Roman" w:cs="Times New Roman" w:eastAsia="Times New Roman" w:hint="default"/>
                <w:sz w:val="18"/>
                <w:szCs w:val="18"/>
              </w:rPr>
            </w:pPr>
            <w:r>
              <w:rPr>
                <w:rFonts w:ascii="Times New Roman"/>
                <w:sz w:val="18"/>
              </w:rPr>
              <w:t>55.11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1,231,972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1,023,899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122,956,0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56.21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0.75</w:t>
            </w:r>
          </w:p>
        </w:tc>
      </w:tr>
    </w:tbl>
    <w:p>
      <w:pPr>
        <w:pStyle w:val="BodyText"/>
        <w:spacing w:line="240" w:lineRule="auto" w:before="51"/>
        <w:ind w:right="113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39" w:firstLine="360"/>
        <w:jc w:val="both"/>
      </w:pPr>
      <w:r>
        <w:rPr>
          <w:rFonts w:ascii="Times New Roman" w:hAnsi="Times New Roman" w:cs="Times New Roman" w:eastAsia="Times New Roman" w:hint="default"/>
        </w:rPr>
        <w:t>(1)</w:t>
      </w:r>
      <w:r>
        <w:rPr/>
        <w:t>由于湖南省方正达电子科技有限公司本期业绩大幅下滑，其业绩明显低于预期且资金较为短缺，公司对其持有的长</w:t>
      </w:r>
      <w:r>
        <w:rPr>
          <w:w w:val="99"/>
        </w:rPr>
        <w:t> </w:t>
      </w:r>
      <w:r>
        <w:rPr/>
        <w:t>期股权投资具有减值迹象，根据万隆（上海）资产评估有限公司出具的万隆评报字（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10141</w:t>
      </w:r>
      <w:r>
        <w:rPr/>
        <w:t>号的评估报告，需对该</w:t>
      </w:r>
      <w:r>
        <w:rPr>
          <w:w w:val="99"/>
        </w:rPr>
        <w:t> </w:t>
      </w:r>
      <w:r>
        <w:rPr/>
        <w:t>长期股权投资计提减值准备</w:t>
      </w:r>
      <w:r>
        <w:rPr>
          <w:rFonts w:ascii="Times New Roman" w:hAnsi="Times New Roman" w:cs="Times New Roman" w:eastAsia="Times New Roman" w:hint="default"/>
        </w:rPr>
        <w:t>23,831,759.14</w:t>
      </w:r>
      <w:r>
        <w:rPr/>
        <w:t>元。</w:t>
      </w:r>
    </w:p>
    <w:p>
      <w:pPr>
        <w:pStyle w:val="BodyText"/>
        <w:spacing w:line="300" w:lineRule="auto" w:before="13"/>
        <w:ind w:right="1185" w:firstLine="360"/>
        <w:jc w:val="both"/>
      </w:pPr>
      <w:r>
        <w:rPr>
          <w:rFonts w:ascii="Times New Roman" w:hAnsi="Times New Roman" w:cs="Times New Roman" w:eastAsia="Times New Roman" w:hint="default"/>
        </w:rPr>
        <w:t>(2)</w:t>
      </w:r>
      <w:r>
        <w:rPr/>
        <w:t>其他系公司本期处置持有原子公司山西茂硕光伏电力有限公司</w:t>
      </w:r>
      <w:r>
        <w:rPr>
          <w:rFonts w:ascii="Times New Roman" w:hAnsi="Times New Roman" w:cs="Times New Roman" w:eastAsia="Times New Roman" w:hint="default"/>
        </w:rPr>
        <w:t>26.40%</w:t>
      </w:r>
      <w:r>
        <w:rPr/>
        <w:t>的股权导致丧失控制权，剩余股权改按权益法</w:t>
      </w:r>
      <w:r>
        <w:rPr>
          <w:w w:val="99"/>
        </w:rPr>
        <w:t> </w:t>
      </w:r>
      <w:r>
        <w:rPr/>
        <w:t>核算所致。</w:t>
      </w:r>
    </w:p>
    <w:p>
      <w:pPr>
        <w:spacing w:line="240" w:lineRule="auto" w:before="6"/>
        <w:rPr>
          <w:rFonts w:ascii="宋体" w:hAnsi="宋体" w:cs="宋体" w:eastAsia="宋体" w:hint="default"/>
          <w:sz w:val="23"/>
          <w:szCs w:val="23"/>
        </w:rPr>
      </w:pPr>
    </w:p>
    <w:p>
      <w:pPr>
        <w:pStyle w:val="Heading3"/>
        <w:spacing w:line="240" w:lineRule="auto"/>
        <w:ind w:right="1130"/>
        <w:jc w:val="left"/>
        <w:rPr>
          <w:b w:val="0"/>
          <w:bCs w:val="0"/>
        </w:rPr>
      </w:pPr>
      <w:bookmarkStart w:name="15、投资性房地产" w:id="262"/>
      <w:bookmarkEnd w:id="26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采用成本计量模式的投资性房地产" w:id="263"/>
      <w:bookmarkEnd w:id="26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采用公允价值计量模式的投资性房地产" w:id="264"/>
      <w:bookmarkEnd w:id="26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3）未办妥产权证书的投资性房地产情况" w:id="265"/>
      <w:bookmarkEnd w:id="26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16、固定资产" w:id="266"/>
      <w:bookmarkEnd w:id="26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409,077,159.89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573,473,388.15</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409,077,159.89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573,473,388.15</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固定资产情况" w:id="267"/>
      <w:bookmarkEnd w:id="26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588" w:right="91" w:hanging="405"/>
              <w:jc w:val="left"/>
              <w:rPr>
                <w:rFonts w:ascii="宋体" w:hAnsi="宋体" w:cs="宋体" w:eastAsia="宋体" w:hint="default"/>
                <w:sz w:val="18"/>
                <w:szCs w:val="18"/>
              </w:rPr>
            </w:pPr>
            <w:r>
              <w:rPr>
                <w:rFonts w:ascii="宋体" w:hAnsi="宋体" w:cs="宋体" w:eastAsia="宋体" w:hint="default"/>
                <w:sz w:val="18"/>
                <w:szCs w:val="18"/>
              </w:rPr>
              <w:t>办公及其他设 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228,588,071.89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321,377,424.61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79,087,196.48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28,696,958.18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21,001,757.19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678,751,408.35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947,574.85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7,148,457.83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3,814,716.62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3,025,004.58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2,365,854.93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17,301,608.81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947,574.85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7,148,457.83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3,814,716.62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3,025,004.58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2,365,854.93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17,301,608.81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29,223,665.24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10,732,193.53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8,802,493.51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2,406,678.89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51,165,031.17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10,732,193.53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8,802,493.51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2,181,248.81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21,715,935.85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29,223,665.24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225,430.08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29,449,095.32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229,535,646.74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299,302,217.20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72,169,719.57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22,919,469.25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20,960,933.23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644,887,985.99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23,193,047.88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26,545,755.58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22,157,639.46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20,164,733.65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13,216,843.63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105,278,020.20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7,362,897.49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15,423,263.75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7,537,668.86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2,283,530.57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3,076,037.12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35,683,397.79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7,362,897.49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15,423,263.75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7,537,668.86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2,283,530.57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3,076,037.12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35,683,397.79</w:t>
            </w:r>
          </w:p>
        </w:tc>
      </w:tr>
      <w:tr>
        <w:trPr>
          <w:trHeight w:val="402" w:hRule="exact"/>
        </w:trPr>
        <w:tc>
          <w:tcPr>
            <w:tcW w:w="1356"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3,399,794.40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7,261,378.36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8,320,351.20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2,046,566.27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21,028,090.23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7,261,378.36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8,320,351.20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2,010,821.94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17,592,551.50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3,399,794.40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3,435,538.73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30,555,945.37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38,569,224.93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22,433,929.96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14,127,913.02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14,246,314.48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119,933,327.76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114,275,344.14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1,528,920.66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64,040.24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115,877,498.34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114,275,344.14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64,040.24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115,877,498.34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114,275,344.14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64,040.24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115,877,498.34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198,979,701.37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146,457,648.13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48,206,868.95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8,727,515.99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6,705,425.45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409,077,159.89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205,395,024.01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293,472,568.73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56,929,557.02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8,532,224.53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9,144,013.86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573,473,388.15</w:t>
            </w:r>
          </w:p>
        </w:tc>
      </w:tr>
    </w:tbl>
    <w:p>
      <w:pPr>
        <w:spacing w:line="240" w:lineRule="auto" w:before="6"/>
        <w:rPr>
          <w:rFonts w:ascii="宋体" w:hAnsi="宋体" w:cs="宋体" w:eastAsia="宋体" w:hint="default"/>
          <w:sz w:val="20"/>
          <w:szCs w:val="20"/>
        </w:rPr>
      </w:pPr>
    </w:p>
    <w:p>
      <w:pPr>
        <w:pStyle w:val="BodyText"/>
        <w:spacing w:line="319" w:lineRule="auto" w:before="44"/>
        <w:ind w:right="1033" w:firstLine="360"/>
        <w:jc w:val="left"/>
      </w:pPr>
      <w:bookmarkStart w:name="计提减值主要原因：预计未来公司光电设备资产营运成本增加、政府补贴不到位影响现金流" w:id="268"/>
      <w:bookmarkEnd w:id="268"/>
      <w:r>
        <w:rPr/>
      </w:r>
      <w:r>
        <w:rPr>
          <w:spacing w:val="-2"/>
        </w:rPr>
        <w:t>计提减值主要原因：预计未来公司光电设备资产营运成本增加、政府补贴不到位影响现金流入及电站投资成本大幅下滑</w:t>
      </w:r>
      <w:r>
        <w:rPr/>
        <w:t> 等原因而产生减值迹象，根据万隆（上海）资产评估有限公司出具的万隆评报字（</w:t>
      </w:r>
      <w:r>
        <w:rPr>
          <w:rFonts w:ascii="Times New Roman" w:hAnsi="Times New Roman" w:cs="Times New Roman" w:eastAsia="Times New Roman" w:hint="default"/>
        </w:rPr>
        <w:t>2019</w:t>
      </w:r>
      <w:r>
        <w:rPr/>
        <w:t>）第</w:t>
      </w:r>
      <w:r>
        <w:rPr>
          <w:spacing w:val="-46"/>
        </w:rPr>
        <w:t> </w:t>
      </w:r>
      <w:r>
        <w:rPr>
          <w:rFonts w:ascii="Times New Roman" w:hAnsi="Times New Roman" w:cs="Times New Roman" w:eastAsia="Times New Roman" w:hint="default"/>
        </w:rPr>
        <w:t>10145 </w:t>
      </w:r>
      <w:r>
        <w:rPr/>
        <w:t>号和万隆评报字（</w:t>
      </w:r>
      <w:r>
        <w:rPr>
          <w:rFonts w:ascii="Times New Roman" w:hAnsi="Times New Roman" w:cs="Times New Roman" w:eastAsia="Times New Roman" w:hint="default"/>
        </w:rPr>
        <w:t>2019</w:t>
      </w:r>
      <w:r>
        <w:rPr/>
        <w:t>）</w:t>
      </w:r>
    </w:p>
    <w:p>
      <w:pPr>
        <w:pStyle w:val="BodyText"/>
        <w:spacing w:line="247" w:lineRule="exact"/>
        <w:ind w:right="1130"/>
        <w:jc w:val="left"/>
      </w:pPr>
      <w:r>
        <w:rPr/>
        <w:t>第</w:t>
      </w:r>
      <w:r>
        <w:rPr>
          <w:spacing w:val="-46"/>
        </w:rPr>
        <w:t> </w:t>
      </w:r>
      <w:r>
        <w:rPr>
          <w:rFonts w:ascii="Times New Roman" w:hAnsi="Times New Roman" w:cs="Times New Roman" w:eastAsia="Times New Roman" w:hint="default"/>
        </w:rPr>
        <w:t>10146</w:t>
      </w:r>
      <w:r>
        <w:rPr>
          <w:rFonts w:ascii="Times New Roman" w:hAnsi="Times New Roman" w:cs="Times New Roman" w:eastAsia="Times New Roman" w:hint="default"/>
          <w:spacing w:val="-1"/>
        </w:rPr>
        <w:t> </w:t>
      </w:r>
      <w:r>
        <w:rPr/>
        <w:t>号，需对该光电设备资产计提减值准备</w:t>
      </w:r>
      <w:r>
        <w:rPr>
          <w:spacing w:val="-46"/>
        </w:rPr>
        <w:t> </w:t>
      </w:r>
      <w:r>
        <w:rPr>
          <w:rFonts w:ascii="Times New Roman" w:hAnsi="Times New Roman" w:cs="Times New Roman" w:eastAsia="Times New Roman" w:hint="default"/>
        </w:rPr>
        <w:t>114,275,344.14</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1130"/>
        <w:jc w:val="left"/>
        <w:rPr>
          <w:b w:val="0"/>
          <w:bCs w:val="0"/>
        </w:rPr>
      </w:pPr>
      <w:bookmarkStart w:name="（2）暂时闲置的固定资产情况" w:id="269"/>
      <w:bookmarkEnd w:id="26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通过融资租赁租入的固定资产情况" w:id="270"/>
      <w:bookmarkEnd w:id="27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9" w:right="0"/>
              <w:jc w:val="left"/>
              <w:rPr>
                <w:rFonts w:ascii="Times New Roman" w:hAnsi="Times New Roman" w:cs="Times New Roman" w:eastAsia="Times New Roman" w:hint="default"/>
                <w:sz w:val="18"/>
                <w:szCs w:val="18"/>
              </w:rPr>
            </w:pPr>
            <w:r>
              <w:rPr>
                <w:rFonts w:ascii="Times New Roman"/>
                <w:sz w:val="18"/>
              </w:rPr>
              <w:t>3,570,316.24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2,798,929.58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771,386.66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47,147,463.75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12,225,712.16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34,921,751.59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7,164,777.87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3,388,542.71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3,776,235.16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1,974,942.23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1,317,207.55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657,734.68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59,857,500.09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19,730,392.00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40,127,108.09</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4）通过经营租赁租出的固定资产" w:id="271"/>
      <w:bookmarkEnd w:id="27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5）未办妥产权证书的固定资产情况" w:id="272"/>
      <w:bookmarkEnd w:id="27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89"/>
              <w:jc w:val="righ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菁英家园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14,302,364.65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34"/>
              <w:jc w:val="right"/>
              <w:rPr>
                <w:rFonts w:ascii="宋体" w:hAnsi="宋体" w:cs="宋体" w:eastAsia="宋体" w:hint="default"/>
                <w:sz w:val="18"/>
                <w:szCs w:val="18"/>
              </w:rPr>
            </w:pPr>
            <w:r>
              <w:rPr>
                <w:rFonts w:ascii="宋体" w:hAnsi="宋体" w:cs="宋体" w:eastAsia="宋体" w:hint="default"/>
                <w:sz w:val="18"/>
                <w:szCs w:val="18"/>
              </w:rPr>
              <w:t>人才安居工程，目前尚无法办理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14,302,364.65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固定资产清理" w:id="273"/>
      <w:bookmarkEnd w:id="27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17、在建工程" w:id="274"/>
      <w:bookmarkEnd w:id="27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7,590,000.00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16,877,519.80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7,590,000.00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16,877,519.80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在建工程情况" w:id="275"/>
      <w:bookmarkEnd w:id="27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罗家边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太 阳能光伏电站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105,000.00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105,000.00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105,000.00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105,000.00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3.44MW</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太阳能光伏电站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16,793,274.52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9,203,274.52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16,772,519.80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16,772,519.80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16,898,274.52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9,308,274.52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16,877,519.80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16,877,519.80</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2）重要在建工程项目本期变动情况" w:id="276"/>
      <w:bookmarkEnd w:id="27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何家边</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3.44MW</w:t>
            </w:r>
          </w:p>
          <w:p>
            <w:pPr>
              <w:pStyle w:val="TableParagraph"/>
              <w:spacing w:line="319" w:lineRule="auto" w:before="65"/>
              <w:ind w:left="22" w:right="159"/>
              <w:jc w:val="both"/>
              <w:rPr>
                <w:rFonts w:ascii="宋体" w:hAnsi="宋体" w:cs="宋体" w:eastAsia="宋体" w:hint="default"/>
                <w:sz w:val="18"/>
                <w:szCs w:val="18"/>
              </w:rPr>
            </w:pPr>
            <w:r>
              <w:rPr>
                <w:rFonts w:ascii="宋体" w:hAnsi="宋体" w:cs="宋体" w:eastAsia="宋体" w:hint="default"/>
                <w:sz w:val="18"/>
                <w:szCs w:val="18"/>
              </w:rPr>
              <w:t>太阳能 光伏电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28,945,5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16,772,5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19.80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16,793,2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58.02%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58.02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28,945,5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16,772,5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19.80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16,793,2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74.52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本期计提在建工程减值准备情况" w:id="277"/>
      <w:bookmarkEnd w:id="27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139"/>
        <w:jc w:val="right"/>
      </w:pPr>
      <w:r>
        <w:rPr/>
        <w:pict>
          <v:shape style="position:absolute;margin-left:56.459999pt;margin-top:-69.918274pt;width:479.25pt;height:268.150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 </w:t>
                        </w:r>
                        <w:r>
                          <w:rPr>
                            <w:rFonts w:ascii="宋体" w:hAnsi="宋体" w:cs="宋体" w:eastAsia="宋体" w:hint="default"/>
                            <w:sz w:val="18"/>
                            <w:szCs w:val="18"/>
                          </w:rPr>
                          <w:t>太阳能光伏电站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公司光电设备资产的减值（减值原因详 </w:t>
                        </w:r>
                        <w:r>
                          <w:rPr>
                            <w:rFonts w:ascii="宋体" w:hAnsi="宋体" w:cs="宋体" w:eastAsia="宋体" w:hint="default"/>
                            <w:spacing w:val="-5"/>
                            <w:sz w:val="18"/>
                            <w:szCs w:val="18"/>
                          </w:rPr>
                          <w:t>见附注六、注释</w:t>
                        </w:r>
                        <w:r>
                          <w:rPr>
                            <w:rFonts w:ascii="宋体" w:hAnsi="宋体" w:cs="宋体" w:eastAsia="宋体" w:hint="default"/>
                            <w:spacing w:val="-35"/>
                            <w:sz w:val="18"/>
                            <w:szCs w:val="18"/>
                          </w:rPr>
                          <w:t> </w:t>
                        </w:r>
                        <w:r>
                          <w:rPr>
                            <w:rFonts w:ascii="Times New Roman" w:hAnsi="Times New Roman" w:cs="Times New Roman" w:eastAsia="Times New Roman" w:hint="default"/>
                            <w:spacing w:val="-11"/>
                            <w:sz w:val="18"/>
                            <w:szCs w:val="18"/>
                          </w:rPr>
                          <w:t>10</w:t>
                        </w:r>
                        <w:r>
                          <w:rPr>
                            <w:rFonts w:ascii="宋体" w:hAnsi="宋体" w:cs="宋体" w:eastAsia="宋体" w:hint="default"/>
                            <w:spacing w:val="-11"/>
                            <w:sz w:val="18"/>
                            <w:szCs w:val="18"/>
                          </w:rPr>
                          <w:t>），在建光伏电站预计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将不会投入且资产重建成本大幅下跌， 该工程具有减值迹象，根据万隆（上海</w:t>
                        </w:r>
                        <w:r>
                          <w:rPr>
                            <w:rFonts w:ascii="宋体" w:hAnsi="宋体" w:cs="宋体" w:eastAsia="宋体" w:hint="default"/>
                            <w:sz w:val="18"/>
                            <w:szCs w:val="18"/>
                          </w:rPr>
                          <w:t> 资产评估有限公司出具的万隆评报字</w:t>
                        </w:r>
                      </w:p>
                      <w:p>
                        <w:pPr>
                          <w:pStyle w:val="TableParagraph"/>
                          <w:spacing w:line="302" w:lineRule="auto" w:before="20"/>
                          <w:ind w:left="22"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）第 号的评估报告，需对该在 建工程计提减值准备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太阳能光伏电站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9,203,274.52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公司光电设备资产的减值（减值原因详 </w:t>
                        </w:r>
                        <w:r>
                          <w:rPr>
                            <w:rFonts w:ascii="宋体" w:hAnsi="宋体" w:cs="宋体" w:eastAsia="宋体" w:hint="default"/>
                            <w:spacing w:val="-5"/>
                            <w:sz w:val="18"/>
                            <w:szCs w:val="18"/>
                          </w:rPr>
                          <w:t>见附注六、注释</w:t>
                        </w:r>
                        <w:r>
                          <w:rPr>
                            <w:rFonts w:ascii="宋体" w:hAnsi="宋体" w:cs="宋体" w:eastAsia="宋体" w:hint="default"/>
                            <w:spacing w:val="-35"/>
                            <w:sz w:val="18"/>
                            <w:szCs w:val="18"/>
                          </w:rPr>
                          <w:t> </w:t>
                        </w:r>
                        <w:r>
                          <w:rPr>
                            <w:rFonts w:ascii="Times New Roman" w:hAnsi="Times New Roman" w:cs="Times New Roman" w:eastAsia="Times New Roman" w:hint="default"/>
                            <w:spacing w:val="-11"/>
                            <w:sz w:val="18"/>
                            <w:szCs w:val="18"/>
                          </w:rPr>
                          <w:t>10</w:t>
                        </w:r>
                        <w:r>
                          <w:rPr>
                            <w:rFonts w:ascii="宋体" w:hAnsi="宋体" w:cs="宋体" w:eastAsia="宋体" w:hint="default"/>
                            <w:spacing w:val="-11"/>
                            <w:sz w:val="18"/>
                            <w:szCs w:val="18"/>
                          </w:rPr>
                          <w:t>），在建光伏电站预计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将不会投入且资产重建成本大幅下跌， 该工程具有减值迹象，根据万隆（上海</w:t>
                        </w:r>
                        <w:r>
                          <w:rPr>
                            <w:rFonts w:ascii="宋体" w:hAnsi="宋体" w:cs="宋体" w:eastAsia="宋体" w:hint="default"/>
                            <w:sz w:val="18"/>
                            <w:szCs w:val="18"/>
                          </w:rPr>
                          <w:t> 资产评估有限公司出具的万隆评报字</w:t>
                        </w:r>
                      </w:p>
                      <w:p>
                        <w:pPr>
                          <w:pStyle w:val="TableParagraph"/>
                          <w:spacing w:line="302" w:lineRule="auto" w:before="20"/>
                          <w:ind w:left="22"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）第 号的评估报告，需对该在 建工程计提减值准备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9,203,274.52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9,308,274.52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4）工程物资" w:id="278"/>
      <w:bookmarkEnd w:id="27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18、生产性生物资产" w:id="279"/>
      <w:bookmarkEnd w:id="27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采用成本计量模式的生产性生物资产" w:id="280"/>
      <w:bookmarkEnd w:id="28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2）采用公允价值计量模式的生产性生物资产" w:id="281"/>
      <w:bookmarkEnd w:id="28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19、油气资产" w:id="282"/>
      <w:bookmarkEnd w:id="28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20、无形资产" w:id="283"/>
      <w:bookmarkEnd w:id="28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无形资产情况" w:id="284"/>
      <w:bookmarkEnd w:id="28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11,186,463.73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52,594,928.82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11,186,463.73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52,594,928.82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140,233.16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140,233.16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140,233.16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140,233.16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1,329,913.23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2,069,491.86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2,069,491.86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11,321,648.35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50,665,670.12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7,233,945.05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671,233.76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10,112,206.18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19,452,633.07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197,313.87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5,087,149.95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179,663.40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407,702.80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5,871,830.02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197,313.87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5,087,149.95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179,663.40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407,702.80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5,871,830.02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1,086,094.96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550,897.16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1,639,418.88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1,086,094.96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550,897.16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1,639,418.88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1,632,561.95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10,517,482.22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23,685,044.21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8,051,459.82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18,124,999.96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804,166.13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26,980,625.91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8,248,773.69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23,455,968.18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363,296.33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1,074,257.55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33,142,295.75</w:t>
            </w:r>
          </w:p>
        </w:tc>
      </w:tr>
    </w:tbl>
    <w:p>
      <w:pPr>
        <w:pStyle w:val="BodyText"/>
        <w:spacing w:line="240" w:lineRule="auto" w:before="51"/>
        <w:ind w:right="113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未办妥产权证书的土地使用权情况" w:id="285"/>
      <w:bookmarkEnd w:id="28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439" w:lineRule="auto" w:before="51"/>
        <w:ind w:right="7332"/>
        <w:jc w:val="left"/>
      </w:pPr>
      <w:r>
        <w:rPr/>
        <w:t>其他说明： 本报告期无未办妥产权证书的土地使用权。</w:t>
      </w:r>
    </w:p>
    <w:p>
      <w:pPr>
        <w:spacing w:after="0" w:line="43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21、开发支出" w:id="286"/>
      <w:bookmarkEnd w:id="286"/>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2、商誉" w:id="287"/>
      <w:bookmarkEnd w:id="287"/>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商誉账面原值" w:id="288"/>
      <w:bookmarkEnd w:id="28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10,451,111.03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2）商誉减值准备" w:id="289"/>
      <w:bookmarkEnd w:id="28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1,624,635.28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8,826,474.75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1,624,635.28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8,826,474.75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10,451,110.03</w:t>
            </w:r>
          </w:p>
        </w:tc>
      </w:tr>
    </w:tbl>
    <w:p>
      <w:pPr>
        <w:pStyle w:val="BodyText"/>
        <w:spacing w:line="240" w:lineRule="auto" w:before="51"/>
        <w:ind w:right="1130"/>
        <w:jc w:val="left"/>
      </w:pPr>
      <w:r>
        <w:rPr/>
        <w:t>商誉所在资产组或资产组组合的相关信息</w:t>
      </w:r>
    </w:p>
    <w:p>
      <w:pPr>
        <w:pStyle w:val="BodyText"/>
        <w:spacing w:line="309" w:lineRule="auto" w:before="115"/>
        <w:ind w:right="1130" w:firstLine="29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日（并购日），公司收购茂硕新能源形成的商誉未分配资产组；</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26</w:t>
      </w:r>
      <w:r>
        <w:rPr>
          <w:spacing w:val="-1"/>
        </w:rPr>
        <w:t>日，深圳茂硕电气有限公司成</w:t>
      </w:r>
      <w:r>
        <w:rPr/>
        <w:t> </w:t>
      </w:r>
      <w:r>
        <w:rPr>
          <w:spacing w:val="-2"/>
        </w:rPr>
        <w:t>立，茂硕新能源将逆变器业务相关设备、人员全部转移至深圳茂硕电气有限公司。资产组相关的业务为：深圳茂硕电气逆变</w:t>
      </w:r>
      <w:r>
        <w:rPr>
          <w:spacing w:val="-66"/>
        </w:rPr>
        <w:t> </w:t>
      </w:r>
      <w:r>
        <w:rPr>
          <w:spacing w:val="-66"/>
        </w:rPr>
      </w:r>
      <w:r>
        <w:rPr/>
        <w:t>器研发、生产和销售。</w:t>
      </w:r>
    </w:p>
    <w:p>
      <w:pPr>
        <w:pStyle w:val="BodyText"/>
        <w:spacing w:line="319" w:lineRule="auto" w:before="65"/>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02" w:lineRule="auto" w:before="136"/>
        <w:ind w:right="1130" w:firstLine="360"/>
        <w:jc w:val="both"/>
      </w:pPr>
      <w:r>
        <w:rPr/>
        <w:t>①与收购台州南瑞新能源有限公司相关的商誉：本公司于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月处置台州南瑞新能源有限公司的股权，相关商誉本 期减少。</w:t>
      </w:r>
    </w:p>
    <w:p>
      <w:pPr>
        <w:pStyle w:val="BodyText"/>
        <w:spacing w:line="240" w:lineRule="auto" w:before="68"/>
        <w:ind w:left="514" w:right="0"/>
        <w:jc w:val="left"/>
      </w:pPr>
      <w:r>
        <w:rPr/>
        <w:t>②本期公司评估了深圳茂硕新能源科技有限公司相关商誉的可回收金额</w:t>
      </w:r>
      <w:r>
        <w:rPr>
          <w:spacing w:val="-82"/>
        </w:rPr>
        <w:t>，</w:t>
      </w:r>
      <w:r>
        <w:rPr/>
        <w:t>公司将商誉分摊至资产组并对与商誉相关</w:t>
      </w:r>
      <w:r>
        <w:rPr>
          <w:spacing w:val="1"/>
        </w:rPr>
        <w:t>的</w:t>
      </w:r>
      <w:r>
        <w:rPr/>
        <w:t>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2"/>
        <w:jc w:val="both"/>
      </w:pPr>
      <w:r>
        <w:rPr>
          <w:spacing w:val="-2"/>
        </w:rPr>
        <w:t>产组进行了减值测试，然后将该商誉分摊至资产组的账面价值并将分摊后的资产组账面价值与其可收回金额进行比较，确认</w:t>
      </w:r>
      <w:r>
        <w:rPr>
          <w:spacing w:val="-64"/>
        </w:rPr>
        <w:t> </w:t>
      </w:r>
      <w:r>
        <w:rPr>
          <w:spacing w:val="-64"/>
        </w:rPr>
      </w:r>
      <w:r>
        <w:rPr/>
        <w:t>了与公司逆变器业务相关的商誉发生了减值，金额为</w:t>
      </w:r>
      <w:r>
        <w:rPr>
          <w:rFonts w:ascii="Times New Roman" w:hAnsi="Times New Roman" w:cs="Times New Roman" w:eastAsia="Times New Roman" w:hint="default"/>
        </w:rPr>
        <w:t>8,826,474.75</w:t>
      </w:r>
      <w:r>
        <w:rPr/>
        <w:t>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日，具体的商誉的账面价值及相关 减值准备如下：</w:t>
      </w:r>
    </w:p>
    <w:tbl>
      <w:tblPr>
        <w:tblW w:w="0" w:type="auto"/>
        <w:jc w:val="left"/>
        <w:tblInd w:w="146" w:type="dxa"/>
        <w:tblLayout w:type="fixed"/>
        <w:tblCellMar>
          <w:top w:w="0" w:type="dxa"/>
          <w:left w:w="0" w:type="dxa"/>
          <w:bottom w:w="0" w:type="dxa"/>
          <w:right w:w="0" w:type="dxa"/>
        </w:tblCellMar>
        <w:tblLook w:val="01E0"/>
      </w:tblPr>
      <w:tblGrid>
        <w:gridCol w:w="4279"/>
        <w:gridCol w:w="4084"/>
      </w:tblGrid>
      <w:tr>
        <w:trPr>
          <w:trHeight w:val="42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2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26"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8"/>
              <w:jc w:val="right"/>
              <w:rPr>
                <w:rFonts w:ascii="Times New Roman" w:hAnsi="Times New Roman" w:cs="Times New Roman" w:eastAsia="Times New Roman" w:hint="default"/>
                <w:sz w:val="18"/>
                <w:szCs w:val="18"/>
              </w:rPr>
            </w:pPr>
            <w:r>
              <w:rPr>
                <w:rFonts w:ascii="Times New Roman"/>
                <w:spacing w:val="-1"/>
                <w:sz w:val="18"/>
              </w:rPr>
              <w:t>1,624,635.28</w:t>
            </w:r>
          </w:p>
        </w:tc>
      </w:tr>
      <w:tr>
        <w:trPr>
          <w:trHeight w:val="42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pacing w:val="-1"/>
                <w:sz w:val="18"/>
              </w:rPr>
              <w:t>8,826,474.75</w:t>
            </w:r>
          </w:p>
        </w:tc>
      </w:tr>
      <w:tr>
        <w:trPr>
          <w:trHeight w:val="42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资产组的账面价值④</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pacing w:val="-1"/>
                <w:sz w:val="18"/>
              </w:rPr>
              <w:t>1,808,840.52</w:t>
            </w:r>
          </w:p>
        </w:tc>
      </w:tr>
      <w:tr>
        <w:trPr>
          <w:trHeight w:val="42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包含商誉的资产组的价值⑤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pacing w:val="-1"/>
                <w:sz w:val="18"/>
              </w:rPr>
              <w:t>10,635,315.27</w:t>
            </w:r>
          </w:p>
        </w:tc>
      </w:tr>
      <w:tr>
        <w:trPr>
          <w:trHeight w:val="42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资产组预计未来现金流量的现值（可收回金额）⑥</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pacing w:val="-1"/>
                <w:sz w:val="18"/>
              </w:rPr>
              <w:t>1,765,340.23</w:t>
            </w:r>
          </w:p>
        </w:tc>
      </w:tr>
      <w:tr>
        <w:trPr>
          <w:trHeight w:val="779"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先确认商誉减值损失⑦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p>
            <w:pPr>
              <w:pStyle w:val="TableParagraph"/>
              <w:spacing w:line="240" w:lineRule="auto" w:before="102"/>
              <w:ind w:left="19" w:right="0"/>
              <w:jc w:val="left"/>
              <w:rPr>
                <w:rFonts w:ascii="宋体" w:hAnsi="宋体" w:cs="宋体" w:eastAsia="宋体" w:hint="default"/>
                <w:sz w:val="18"/>
                <w:szCs w:val="18"/>
              </w:rPr>
            </w:pPr>
            <w:r>
              <w:rPr>
                <w:rFonts w:ascii="宋体" w:hAnsi="宋体" w:cs="宋体" w:eastAsia="宋体" w:hint="default"/>
                <w:sz w:val="18"/>
                <w:szCs w:val="18"/>
              </w:rPr>
              <w:t>（剩余确认资产组的减值损失）</w:t>
            </w:r>
          </w:p>
        </w:tc>
        <w:tc>
          <w:tcPr>
            <w:tcW w:w="4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pacing w:val="-1"/>
                <w:sz w:val="18"/>
              </w:rPr>
              <w:t>8,826,474.75</w:t>
            </w:r>
          </w:p>
        </w:tc>
      </w:tr>
    </w:tbl>
    <w:p>
      <w:pPr>
        <w:spacing w:line="240" w:lineRule="auto" w:before="8"/>
        <w:rPr>
          <w:rFonts w:ascii="宋体" w:hAnsi="宋体" w:cs="宋体" w:eastAsia="宋体" w:hint="default"/>
          <w:sz w:val="7"/>
          <w:szCs w:val="7"/>
        </w:rPr>
      </w:pPr>
    </w:p>
    <w:p>
      <w:pPr>
        <w:pStyle w:val="BodyText"/>
        <w:spacing w:line="307" w:lineRule="auto" w:before="44"/>
        <w:ind w:right="1130" w:firstLine="360"/>
        <w:jc w:val="both"/>
      </w:pPr>
      <w:r>
        <w:rPr/>
        <w:t>根据万隆（上海）资产评估有限公司出具的万隆评报字（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10140</w:t>
      </w:r>
      <w:r>
        <w:rPr/>
        <w:t>号，本期采用的评估方法为资产基础法，关键 参数为成新率。主要原因是形成商誉有关的资产组所在公司深圳茂硕电气有限公司逆变器业务受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“531</w:t>
      </w:r>
      <w:r>
        <w:rPr/>
        <w:t>新政</w:t>
      </w:r>
      <w:r>
        <w:rPr>
          <w:rFonts w:ascii="Times New Roman" w:hAnsi="Times New Roman" w:cs="Times New Roman" w:eastAsia="Times New Roman" w:hint="default"/>
        </w:rPr>
        <w:t>”</w:t>
      </w:r>
      <w:r>
        <w:rPr/>
        <w:t>影响，销</w:t>
      </w:r>
      <w:r>
        <w:rPr>
          <w:spacing w:val="-65"/>
        </w:rPr>
        <w:t> </w:t>
      </w:r>
      <w:r>
        <w:rPr>
          <w:spacing w:val="-2"/>
        </w:rPr>
        <w:t>售业绩大幅下滑并被客户强行退货，公司决定将原有的光伏逆变器产品生产工作进行外包并转型为专门承接研发订单的数字</w:t>
      </w:r>
      <w:r>
        <w:rPr>
          <w:spacing w:val="-63"/>
        </w:rPr>
        <w:t> </w:t>
      </w:r>
      <w:r>
        <w:rPr>
          <w:spacing w:val="-63"/>
        </w:rPr>
      </w:r>
      <w:r>
        <w:rPr/>
        <w:t>电源技术公司，因此资产组未来年度预期收益及风险难以合理量化，无法采用收益法进行评估。</w:t>
      </w:r>
    </w:p>
    <w:p>
      <w:pPr>
        <w:pStyle w:val="BodyText"/>
        <w:spacing w:line="360" w:lineRule="auto" w:before="67"/>
        <w:ind w:right="8592"/>
        <w:jc w:val="left"/>
      </w:pPr>
      <w:r>
        <w:rPr/>
        <w:t>商誉减值测试的影响 其他说明</w:t>
      </w:r>
    </w:p>
    <w:p>
      <w:pPr>
        <w:spacing w:line="240" w:lineRule="auto" w:before="12"/>
        <w:rPr>
          <w:rFonts w:ascii="宋体" w:hAnsi="宋体" w:cs="宋体" w:eastAsia="宋体" w:hint="default"/>
          <w:sz w:val="19"/>
          <w:szCs w:val="19"/>
        </w:rPr>
      </w:pPr>
    </w:p>
    <w:p>
      <w:pPr>
        <w:pStyle w:val="Heading3"/>
        <w:spacing w:line="240" w:lineRule="auto"/>
        <w:ind w:right="1130"/>
        <w:jc w:val="left"/>
        <w:rPr>
          <w:b w:val="0"/>
          <w:bCs w:val="0"/>
        </w:rPr>
      </w:pPr>
      <w:bookmarkStart w:name="23、长期待摊费用" w:id="290"/>
      <w:bookmarkEnd w:id="29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13,476,649.83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6,787,213.09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5,010,205.49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15,253,657.43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4,377,014.67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564,620.92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3,812,393.75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1,274,275.30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545,911.49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728,363.81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系统项目实施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1,598,665.06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400,924.20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1,197,740.86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364,191.03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43,197.64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320,993.39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20,726,604.86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7,151,404.12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6,564,859.74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21,313,149.24</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4、递延所得税资产/递延所得税负债" w:id="291"/>
      <w:bookmarkEnd w:id="29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160,145,084.53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24,060,333.86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83,423,761.01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14,353,681.97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7,784,372.48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1,670,627.04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8,396,616.96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1,825,703.55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30,596,508.95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4,589,476.34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49,391,564.38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8,671,808.93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4,716,160.93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707,424.14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16,454,883.68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3,359,050.83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2,292,780.26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343,917.04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4,352,106.55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702,526.11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207,595,707.15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31,680,898.42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162,018,932.58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28,912,771.39</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31,680,898.42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28,912,771.39</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227,286,931.39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29,132,167.35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103,839,279.16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15,275,244.88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8,028,787.38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1,962,379.78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341,117,377.71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44,407,412.23</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3,339,783.06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5,470,660.20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2,700,649.85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16,862,586.94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1,662,086.73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9,213,872.82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1,308,079.69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29,761,473.55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20,121,568.02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42,530,685.65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103,839,279.16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29,132,167.35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5、其他非流动资产" w:id="297"/>
      <w:bookmarkEnd w:id="29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2,177,643.76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6,836,007.43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创意大厦使用权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15,647,289.15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16,625,244.75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17,824,932.91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24,361,252.18</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6、短期借款" w:id="298"/>
      <w:bookmarkEnd w:id="29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短期借款分类" w:id="299"/>
      <w:bookmarkEnd w:id="29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50,101,360.00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219,551,780.00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222,101,360.00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244,551,780.00</w:t>
            </w:r>
          </w:p>
        </w:tc>
      </w:tr>
    </w:tbl>
    <w:p>
      <w:pPr>
        <w:pStyle w:val="BodyText"/>
        <w:spacing w:line="240" w:lineRule="auto" w:before="51"/>
        <w:ind w:right="113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已逾期未偿还的短期借款情况" w:id="300"/>
      <w:bookmarkEnd w:id="30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7、以公允价值计量且其变动计入当期损益的金融负债" w:id="301"/>
      <w:bookmarkEnd w:id="301"/>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其他说明：</w:t>
      </w:r>
    </w:p>
    <w:p>
      <w:pPr>
        <w:pStyle w:val="BodyText"/>
        <w:spacing w:line="240" w:lineRule="auto" w:before="116"/>
        <w:ind w:left="514" w:right="1130"/>
        <w:jc w:val="left"/>
      </w:pPr>
      <w:r>
        <w:rPr/>
        <w:t>衍生金融负债包括远期外汇合约，未被指定为套期工具，其公允价值变动产生的收益或损失，直接计入当期损益。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130"/>
        <w:jc w:val="left"/>
        <w:rPr>
          <w:b w:val="0"/>
          <w:bCs w:val="0"/>
        </w:rPr>
      </w:pPr>
      <w:bookmarkStart w:name="28、衍生金融负债" w:id="302"/>
      <w:bookmarkEnd w:id="302"/>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9、应付票据及应付账款" w:id="303"/>
      <w:bookmarkEnd w:id="303"/>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255,171,958.21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334,559,282.42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514,136,582.76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464,776,641.01</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769,308,540.97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799,335,923.43</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应付票据分类列示" w:id="304"/>
      <w:bookmarkEnd w:id="30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255,171,958.21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334,559,282.42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255,171,958.21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334,559,282.42</w:t>
            </w:r>
          </w:p>
        </w:tc>
      </w:tr>
    </w:tbl>
    <w:p>
      <w:pPr>
        <w:pStyle w:val="BodyText"/>
        <w:spacing w:line="240" w:lineRule="auto" w:before="51"/>
        <w:ind w:right="113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应付账款列示" w:id="305"/>
      <w:bookmarkEnd w:id="30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447,738,417.20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413,345,424.28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37,528,953.67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31,282,534.12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3,222,380.35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7,800,111.30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22,642,992.86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6,183,475.49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2,954,025.72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4,404,615.38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49,812.96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1,760,480.44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514,136,582.76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464,776,641.01</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账龄超过1年的重要应付账款" w:id="306"/>
      <w:bookmarkEnd w:id="30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信息产业电子第十一设计研究院科技工 程股份有限公司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13,159,969.85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工程尾款及质保金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江西通力电业发展有限公司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11,955,659.91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尚未裁决，工程款暂未支付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深圳雷柏科技股份有限公司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3,183,880.35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设备有争议尚未验收</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2,694,860.00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工程尾款及质保金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30,994,370.11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0、预收款项" w:id="307"/>
      <w:bookmarkEnd w:id="307"/>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预收款项列示" w:id="308"/>
      <w:bookmarkEnd w:id="30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12,492,155.17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11,654,673.31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12,492,155.17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11,654,673.31</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账龄超过1年的重要预收款项" w:id="309"/>
      <w:bookmarkEnd w:id="30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期末建造合同形成的已结算未完工项目情况" w:id="310"/>
      <w:bookmarkEnd w:id="31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31、应付职工薪酬" w:id="311"/>
      <w:bookmarkEnd w:id="311"/>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应付职工薪酬列示" w:id="312"/>
      <w:bookmarkEnd w:id="31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28,610,847.03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200,054,512.42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200,096,600.86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28,568,758.59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6,726,185.46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6,807,193.86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33,285.03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35,285.03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28,693,855.43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206,813,982.91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206,939,079.75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28,568,758.59</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短期薪酬列示" w:id="313"/>
      <w:bookmarkEnd w:id="31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28,557,697.10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187,971,766.99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187,987,769.17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28,541,694.92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7,128,378.66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7,128,378.66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24,023.08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2,059,195.21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2,083,218.29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1,711,498.16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1,731,945.36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185,801.38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187,571.41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161,895.67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163,701.52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2,472,655.62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2,472,655.62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29,126.85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410,188.48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412,251.66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27,063.67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28,610,847.03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200,054,512.42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200,096,600.86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28,568,758.59</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3）设定提存计划列示" w:id="314"/>
      <w:bookmarkEnd w:id="31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76,215.90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6,526,378.10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6,602,594.00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199,807.36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204,599.86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6,726,185.46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6,807,193.86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32、应交税费" w:id="315"/>
      <w:bookmarkEnd w:id="315"/>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12,401,876.14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9,007,167.52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2,040,850.52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1,026,701.79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259,409.43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515,654.53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532,035.31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838,662.89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240,869.90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397,922.52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160,579.93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265,281.68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118,780.58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95,499.42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15,754,401.81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12,146,890.35</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33、其他应付款" w:id="316"/>
      <w:bookmarkEnd w:id="316"/>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1,292,994.13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1,236,933.91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23,322,269.08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12,392,585.65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24,615,263.21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13,629,519.56</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应付利息" w:id="317"/>
      <w:bookmarkEnd w:id="31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1,292,994.13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1,236,933.91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1,292,994.13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1,236,933.91</w:t>
            </w:r>
          </w:p>
        </w:tc>
      </w:tr>
    </w:tbl>
    <w:p>
      <w:pPr>
        <w:pStyle w:val="BodyText"/>
        <w:spacing w:line="240" w:lineRule="auto" w:before="51"/>
        <w:ind w:right="113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应付股利" w:id="318"/>
      <w:bookmarkEnd w:id="31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3）其他应付款" w:id="319"/>
      <w:bookmarkEnd w:id="31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7,237,859.20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1,944,747.79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6,111,146.48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1,147,260.89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2,302,725.52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2,748,747.17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1,745,929.92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应付技术使用费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2,096,759.36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1,082,363.66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745,402.48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法院判决诉讼费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952,454.17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应付食堂费用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2,084,535.75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211,790.13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444,069.71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23,322,269.08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12,392,585.65</w:t>
            </w:r>
          </w:p>
        </w:tc>
      </w:tr>
    </w:tbl>
    <w:p>
      <w:pPr>
        <w:pStyle w:val="BodyText"/>
        <w:spacing w:line="240" w:lineRule="auto" w:before="51"/>
        <w:ind w:right="113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439" w:lineRule="auto" w:before="51"/>
        <w:ind w:right="7152"/>
        <w:jc w:val="left"/>
      </w:pPr>
      <w:r>
        <w:rPr/>
        <w:t>其他说明 本报告期无账龄超过一年的重要其他应付款。</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3"/>
        <w:spacing w:line="240" w:lineRule="auto"/>
        <w:ind w:right="1130"/>
        <w:jc w:val="left"/>
        <w:rPr>
          <w:b w:val="0"/>
          <w:bCs w:val="0"/>
        </w:rPr>
      </w:pPr>
      <w:bookmarkStart w:name="34、持有待售负债" w:id="320"/>
      <w:bookmarkEnd w:id="320"/>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5、一年内到期的非流动负债" w:id="321"/>
      <w:bookmarkEnd w:id="321"/>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23,062,107.60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11,584,294.83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23,062,107.60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11,584,294.83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36、其他流动负债" w:id="322"/>
      <w:bookmarkEnd w:id="322"/>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7、长期借款" w:id="323"/>
      <w:bookmarkEnd w:id="323"/>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长期借款分类" w:id="324"/>
      <w:bookmarkEnd w:id="32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line="240" w:lineRule="auto" w:before="12"/>
        <w:rPr>
          <w:rFonts w:ascii="宋体" w:hAnsi="宋体" w:cs="宋体" w:eastAsia="宋体" w:hint="default"/>
          <w:sz w:val="19"/>
          <w:szCs w:val="19"/>
        </w:rPr>
      </w:pPr>
    </w:p>
    <w:p>
      <w:pPr>
        <w:pStyle w:val="Heading3"/>
        <w:spacing w:line="240" w:lineRule="auto"/>
        <w:ind w:right="1130"/>
        <w:jc w:val="left"/>
        <w:rPr>
          <w:b w:val="0"/>
          <w:bCs w:val="0"/>
        </w:rPr>
      </w:pPr>
      <w:bookmarkStart w:name="38、应付债券" w:id="325"/>
      <w:bookmarkEnd w:id="325"/>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应付债券" w:id="326"/>
      <w:bookmarkEnd w:id="32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2）应付债券的增减变动（不包括划分为金融负债的优先股、永续债等其他金融工具）" w:id="327"/>
      <w:bookmarkEnd w:id="32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1130"/>
        <w:jc w:val="left"/>
        <w:rPr>
          <w:b w:val="0"/>
          <w:bCs w:val="0"/>
        </w:rPr>
      </w:pPr>
      <w:bookmarkStart w:name="（3）可转换公司债券的转股条件、转股时间说明" w:id="328"/>
      <w:bookmarkEnd w:id="32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4）划分为金融负债的其他金融工具说明" w:id="329"/>
      <w:bookmarkEnd w:id="32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right="1130"/>
        <w:jc w:val="left"/>
        <w:rPr>
          <w:b w:val="0"/>
          <w:bCs w:val="0"/>
        </w:rPr>
      </w:pPr>
      <w:bookmarkStart w:name="39、长期应付款" w:id="330"/>
      <w:bookmarkEnd w:id="330"/>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33,290,129.52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33,290,129.52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按款项性质列示长期应付款" w:id="331"/>
      <w:bookmarkEnd w:id="33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56,352,237.12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11,584,294.83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23,062,107.60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11,584,294.83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33,290,129.52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专项应付款" w:id="332"/>
      <w:bookmarkEnd w:id="33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单位：人民币元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40、长期应付职工薪酬" w:id="333"/>
      <w:bookmarkEnd w:id="333"/>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长期应付职工薪酬表" w:id="334"/>
      <w:bookmarkEnd w:id="33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设定受益计划变动情况" w:id="335"/>
      <w:bookmarkEnd w:id="33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1、预计负债" w:id="336"/>
      <w:bookmarkEnd w:id="336"/>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0" w:right="0"/>
              <w:jc w:val="left"/>
              <w:rPr>
                <w:rFonts w:ascii="Times New Roman" w:hAnsi="Times New Roman" w:cs="Times New Roman" w:eastAsia="Times New Roman" w:hint="default"/>
                <w:sz w:val="18"/>
                <w:szCs w:val="18"/>
              </w:rPr>
            </w:pPr>
            <w:r>
              <w:rPr>
                <w:rFonts w:ascii="Times New Roman"/>
                <w:sz w:val="18"/>
              </w:rPr>
              <w:t>1,201,184.00</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1,150,000.00</w:t>
            </w: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软件著作权诉讼、劳动关系诉 讼</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318"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0" w:right="0"/>
              <w:jc w:val="left"/>
              <w:rPr>
                <w:rFonts w:ascii="Times New Roman" w:hAnsi="Times New Roman" w:cs="Times New Roman" w:eastAsia="Times New Roman" w:hint="default"/>
                <w:sz w:val="18"/>
                <w:szCs w:val="18"/>
              </w:rPr>
            </w:pPr>
            <w:r>
              <w:rPr>
                <w:rFonts w:ascii="Times New Roman"/>
                <w:sz w:val="18"/>
              </w:rPr>
              <w:t>3,053,976.04</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3,202,106.55</w:t>
            </w: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茂硕电子和茂硕电气销售的 产品附有质保期，按照销售额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计提质量保证金</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405" w:right="0"/>
              <w:jc w:val="left"/>
              <w:rPr>
                <w:rFonts w:ascii="Times New Roman" w:hAnsi="Times New Roman" w:cs="Times New Roman" w:eastAsia="Times New Roman" w:hint="default"/>
                <w:sz w:val="18"/>
                <w:szCs w:val="18"/>
              </w:rPr>
            </w:pPr>
            <w:r>
              <w:rPr>
                <w:rFonts w:ascii="Times New Roman"/>
                <w:sz w:val="18"/>
              </w:rPr>
              <w:t>4,255,160.04</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4,352,106.55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2、递延收益" w:id="337"/>
      <w:bookmarkEnd w:id="337"/>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16,454,883.76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3,709,935.45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12,744,948.31</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详见表涉及政府补 助的项目</w:t>
            </w:r>
          </w:p>
        </w:tc>
      </w:tr>
      <w:tr>
        <w:trPr>
          <w:trHeight w:val="391" w:hRule="exact"/>
        </w:trPr>
        <w:tc>
          <w:tcPr>
            <w:tcW w:w="1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34" w:right="0"/>
              <w:jc w:val="left"/>
              <w:rPr>
                <w:rFonts w:ascii="Times New Roman" w:hAnsi="Times New Roman" w:cs="Times New Roman" w:eastAsia="Times New Roman" w:hint="default"/>
                <w:sz w:val="18"/>
                <w:szCs w:val="18"/>
              </w:rPr>
            </w:pPr>
            <w:r>
              <w:rPr>
                <w:rFonts w:ascii="Times New Roman"/>
                <w:sz w:val="18"/>
              </w:rPr>
              <w:t>16,454,883.76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3,709,935.45</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12,744,948.31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4"/>
              <w:jc w:val="both"/>
              <w:rPr>
                <w:rFonts w:ascii="宋体" w:hAnsi="宋体" w:cs="宋体" w:eastAsia="宋体" w:hint="default"/>
                <w:sz w:val="18"/>
                <w:szCs w:val="18"/>
              </w:rPr>
            </w:pPr>
            <w:r>
              <w:rPr>
                <w:rFonts w:ascii="宋体" w:hAnsi="宋体" w:cs="宋体" w:eastAsia="宋体" w:hint="default"/>
                <w:sz w:val="18"/>
                <w:szCs w:val="18"/>
              </w:rPr>
              <w:t>大功率智能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电源驱 动生产项目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8,908,182.81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1,100,782.52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7,807,400.29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深圳集中供 电智能驱动 工程实验室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4,600,973.52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675,820.53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3,925,152.99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太阳能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智能驱动产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1,426,822.53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1,426,822.53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茂硕电源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照明驱 动电源重点 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561,162.82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97,904.88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463,257.94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w:t>
            </w:r>
            <w:r>
              <w:rPr>
                <w:rFonts w:ascii="宋体" w:hAnsi="宋体" w:cs="宋体" w:eastAsia="宋体" w:hint="default"/>
                <w:w w:val="99"/>
                <w:sz w:val="18"/>
                <w:szCs w:val="18"/>
              </w:rPr>
              <w:t> </w:t>
            </w:r>
            <w:r>
              <w:rPr>
                <w:rFonts w:ascii="宋体" w:hAnsi="宋体" w:cs="宋体" w:eastAsia="宋体" w:hint="default"/>
                <w:sz w:val="18"/>
                <w:szCs w:val="18"/>
              </w:rPr>
              <w:t>源生产线智</w:t>
            </w:r>
            <w:r>
              <w:rPr>
                <w:rFonts w:ascii="宋体" w:hAnsi="宋体" w:cs="宋体" w:eastAsia="宋体" w:hint="default"/>
                <w:w w:val="99"/>
                <w:sz w:val="18"/>
                <w:szCs w:val="18"/>
              </w:rPr>
              <w:t> </w:t>
            </w:r>
            <w:r>
              <w:rPr>
                <w:rFonts w:ascii="宋体" w:hAnsi="宋体" w:cs="宋体" w:eastAsia="宋体" w:hint="default"/>
                <w:sz w:val="18"/>
                <w:szCs w:val="18"/>
              </w:rPr>
              <w:t>能化升级改</w:t>
            </w:r>
            <w:r>
              <w:rPr>
                <w:rFonts w:ascii="宋体" w:hAnsi="宋体" w:cs="宋体" w:eastAsia="宋体" w:hint="default"/>
                <w:w w:val="99"/>
                <w:sz w:val="18"/>
                <w:szCs w:val="18"/>
              </w:rPr>
              <w:t> </w:t>
            </w:r>
            <w:r>
              <w:rPr>
                <w:rFonts w:ascii="宋体" w:hAnsi="宋体" w:cs="宋体" w:eastAsia="宋体" w:hint="default"/>
                <w:sz w:val="18"/>
                <w:szCs w:val="18"/>
              </w:rPr>
              <w:t>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智能光伏功 率优化器的 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572,992.08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351,604.99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221,387.09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16,454,883.7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2,283,112.92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1,426,822.53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12,744,948.3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其他说明：</w:t>
      </w:r>
    </w:p>
    <w:p>
      <w:pPr>
        <w:spacing w:line="240" w:lineRule="auto" w:before="0"/>
        <w:rPr>
          <w:rFonts w:ascii="宋体" w:hAnsi="宋体" w:cs="宋体" w:eastAsia="宋体" w:hint="default"/>
          <w:sz w:val="15"/>
          <w:szCs w:val="15"/>
        </w:rPr>
      </w:pPr>
    </w:p>
    <w:p>
      <w:pPr>
        <w:pStyle w:val="BodyText"/>
        <w:spacing w:line="309" w:lineRule="auto"/>
        <w:ind w:right="1131" w:firstLine="360"/>
        <w:jc w:val="both"/>
      </w:pPr>
      <w:r>
        <w:rPr>
          <w:spacing w:val="-1"/>
        </w:rPr>
        <w:t>深圳市发展和改革委员会于</w:t>
      </w:r>
      <w:r>
        <w:rPr>
          <w:rFonts w:ascii="Times New Roman" w:hAnsi="Times New Roman" w:cs="Times New Roman" w:eastAsia="Times New Roman" w:hint="default"/>
          <w:spacing w:val="-1"/>
        </w:rPr>
        <w:t>2018</w:t>
      </w:r>
      <w:r>
        <w:rPr>
          <w:spacing w:val="-1"/>
        </w:rPr>
        <w:t>年同意公司撤销太阳能</w:t>
      </w:r>
      <w:r>
        <w:rPr>
          <w:rFonts w:ascii="Times New Roman" w:hAnsi="Times New Roman" w:cs="Times New Roman" w:eastAsia="Times New Roman" w:hint="default"/>
          <w:spacing w:val="-1"/>
        </w:rPr>
        <w:t>LED</w:t>
      </w:r>
      <w:r>
        <w:rPr>
          <w:spacing w:val="-1"/>
        </w:rPr>
        <w:t>智能驱动产业化项目，并对前期获得</w:t>
      </w:r>
      <w:r>
        <w:rPr>
          <w:rFonts w:ascii="Times New Roman" w:hAnsi="Times New Roman" w:cs="Times New Roman" w:eastAsia="Times New Roman" w:hint="default"/>
          <w:spacing w:val="-1"/>
        </w:rPr>
        <w:t>180.00</w:t>
      </w:r>
      <w:r>
        <w:rPr>
          <w:spacing w:val="-1"/>
        </w:rPr>
        <w:t>万元的政府补助</w:t>
      </w:r>
      <w:r>
        <w:rPr/>
        <w:t> </w:t>
      </w:r>
      <w:r>
        <w:rPr>
          <w:spacing w:val="-2"/>
        </w:rPr>
        <w:t>全额退回，根据准则规定对已确认的政府补助需要退回的，存在相关递延收益的，冲减相关递延收益账面余额，超出部分计</w:t>
      </w:r>
      <w:r>
        <w:rPr>
          <w:spacing w:val="-66"/>
        </w:rPr>
        <w:t> </w:t>
      </w:r>
      <w:r>
        <w:rPr>
          <w:spacing w:val="-66"/>
        </w:rPr>
      </w:r>
      <w:r>
        <w:rPr/>
        <w:t>入当期损益。本期转出剩余递延收益</w:t>
      </w:r>
      <w:r>
        <w:rPr>
          <w:rFonts w:ascii="Times New Roman" w:hAnsi="Times New Roman" w:cs="Times New Roman" w:eastAsia="Times New Roman" w:hint="default"/>
        </w:rPr>
        <w:t>1,426,822.53</w:t>
      </w:r>
      <w:r>
        <w:rPr/>
        <w:t>元，并冲减其他收益</w:t>
      </w:r>
      <w:r>
        <w:rPr>
          <w:rFonts w:ascii="Times New Roman" w:hAnsi="Times New Roman" w:cs="Times New Roman" w:eastAsia="Times New Roman" w:hint="default"/>
        </w:rPr>
        <w:t>373,177.47</w:t>
      </w:r>
      <w:r>
        <w:rPr/>
        <w:t>元。</w:t>
      </w:r>
    </w:p>
    <w:p>
      <w:pPr>
        <w:spacing w:line="240" w:lineRule="auto" w:before="6"/>
        <w:rPr>
          <w:rFonts w:ascii="宋体" w:hAnsi="宋体" w:cs="宋体" w:eastAsia="宋体" w:hint="default"/>
          <w:sz w:val="21"/>
          <w:szCs w:val="21"/>
        </w:rPr>
      </w:pPr>
    </w:p>
    <w:p>
      <w:pPr>
        <w:pStyle w:val="Heading3"/>
        <w:spacing w:line="240" w:lineRule="auto"/>
        <w:ind w:right="1130"/>
        <w:jc w:val="left"/>
        <w:rPr>
          <w:b w:val="0"/>
          <w:bCs w:val="0"/>
        </w:rPr>
      </w:pPr>
      <w:bookmarkStart w:name="43、其他非流动负债" w:id="338"/>
      <w:bookmarkEnd w:id="338"/>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建设资助款</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right="113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40" w:firstLine="362"/>
        <w:jc w:val="left"/>
      </w:pPr>
      <w:r>
        <w:rPr>
          <w:rFonts w:ascii="Times New Roman" w:hAnsi="Times New Roman" w:cs="Times New Roman" w:eastAsia="Times New Roman" w:hint="default"/>
        </w:rPr>
        <w:t>*“</w:t>
      </w:r>
      <w:r>
        <w:rPr/>
        <w:t>茂硕电源技术中心</w:t>
      </w:r>
      <w:r>
        <w:rPr>
          <w:rFonts w:ascii="Times New Roman" w:hAnsi="Times New Roman" w:cs="Times New Roman" w:eastAsia="Times New Roman" w:hint="default"/>
        </w:rPr>
        <w:t>”</w:t>
      </w:r>
      <w:r>
        <w:rPr/>
        <w:t>建设资助款系深圳市科技工贸和信息化委员会向本公司无偿资助产业技术进步资金，补助协议约 定通过验收后转入资本公积，该补助项目于本期验收合格后转入资本公积</w:t>
      </w:r>
      <w:r>
        <w:rPr>
          <w:rFonts w:ascii="Times New Roman" w:hAnsi="Times New Roman" w:cs="Times New Roman" w:eastAsia="Times New Roman" w:hint="default"/>
        </w:rPr>
        <w:t>—</w:t>
      </w:r>
      <w:r>
        <w:rPr/>
        <w:t>其他资本公积。</w:t>
      </w:r>
    </w:p>
    <w:p>
      <w:pPr>
        <w:spacing w:line="240" w:lineRule="auto" w:before="1"/>
        <w:rPr>
          <w:rFonts w:ascii="宋体" w:hAnsi="宋体" w:cs="宋体" w:eastAsia="宋体" w:hint="default"/>
          <w:sz w:val="22"/>
          <w:szCs w:val="22"/>
        </w:rPr>
      </w:pPr>
    </w:p>
    <w:p>
      <w:pPr>
        <w:pStyle w:val="Heading3"/>
        <w:spacing w:line="240" w:lineRule="auto"/>
        <w:ind w:right="1130"/>
        <w:jc w:val="left"/>
        <w:rPr>
          <w:b w:val="0"/>
          <w:bCs w:val="0"/>
        </w:rPr>
      </w:pPr>
      <w:bookmarkStart w:name="44、股本" w:id="339"/>
      <w:bookmarkEnd w:id="339"/>
      <w:r>
        <w:rPr>
          <w:b w:val="0"/>
          <w:bCs w:val="0"/>
        </w:rPr>
      </w:r>
      <w:r>
        <w:rPr>
          <w:rFonts w:ascii="Times New Roman" w:hAnsi="Times New Roman" w:cs="Times New Roman" w:eastAsia="Times New Roman" w:hint="default"/>
        </w:rPr>
        <w:t>44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274,780,458.00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-452,751.00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-452,751.00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274,327,707.00</w:t>
            </w:r>
          </w:p>
        </w:tc>
      </w:tr>
    </w:tbl>
    <w:p>
      <w:pPr>
        <w:pStyle w:val="BodyText"/>
        <w:spacing w:line="240" w:lineRule="auto" w:before="51"/>
        <w:ind w:right="1130"/>
        <w:jc w:val="left"/>
      </w:pPr>
      <w:r>
        <w:rPr/>
        <w:t>其他说明：</w:t>
      </w:r>
    </w:p>
    <w:p>
      <w:pPr>
        <w:pStyle w:val="BodyText"/>
        <w:spacing w:line="300" w:lineRule="auto" w:before="116"/>
        <w:ind w:right="1130" w:firstLine="360"/>
        <w:jc w:val="left"/>
      </w:pPr>
      <w:r>
        <w:rPr>
          <w:spacing w:val="-2"/>
        </w:rPr>
        <w:t>本公司之联营公司湖南方正达</w:t>
      </w:r>
      <w:r>
        <w:rPr>
          <w:rFonts w:ascii="Times New Roman" w:hAnsi="Times New Roman" w:cs="Times New Roman" w:eastAsia="Times New Roman" w:hint="default"/>
          <w:spacing w:val="-2"/>
        </w:rPr>
        <w:t>2017</w:t>
      </w:r>
      <w:r>
        <w:rPr>
          <w:spacing w:val="-2"/>
        </w:rPr>
        <w:t>年度未完成业绩承诺，根据公司与方笑求、蓝顺明签署的《盈利预测补偿协议》及补</w:t>
      </w:r>
      <w:r>
        <w:rPr/>
        <w:t> 充协议的约定，公司回购方笑求、蓝顺明股份合计</w:t>
      </w:r>
      <w:r>
        <w:rPr>
          <w:rFonts w:ascii="Times New Roman" w:hAnsi="Times New Roman" w:cs="Times New Roman" w:eastAsia="Times New Roman" w:hint="default"/>
        </w:rPr>
        <w:t>452,751.00</w:t>
      </w:r>
      <w:r>
        <w:rPr/>
        <w:t>股并予以注销，减少股本人民币</w:t>
      </w:r>
      <w:r>
        <w:rPr>
          <w:rFonts w:ascii="Times New Roman" w:hAnsi="Times New Roman" w:cs="Times New Roman" w:eastAsia="Times New Roman" w:hint="default"/>
        </w:rPr>
        <w:t>452,751.00</w:t>
      </w:r>
      <w:r>
        <w:rPr/>
        <w:t>元，减少资本公积 </w:t>
      </w:r>
      <w:r>
        <w:rPr>
          <w:rFonts w:ascii="Times New Roman" w:hAnsi="Times New Roman" w:cs="Times New Roman" w:eastAsia="Times New Roman" w:hint="default"/>
        </w:rPr>
        <w:t>3,459,017.64</w:t>
      </w:r>
      <w:r>
        <w:rPr/>
        <w:t>元。</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45、其他权益工具" w:id="340"/>
      <w:bookmarkEnd w:id="340"/>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期末发行在外的优先股、永续债等其他金融工具基本情况" w:id="341"/>
      <w:bookmarkEnd w:id="34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2）期末发行在外的优先股、永续债等金融工具变动情况表" w:id="342"/>
      <w:bookmarkEnd w:id="34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1130"/>
        <w:jc w:val="left"/>
        <w:rPr>
          <w:b w:val="0"/>
          <w:bCs w:val="0"/>
        </w:rPr>
      </w:pPr>
      <w:bookmarkStart w:name="46、资本公积" w:id="343"/>
      <w:bookmarkEnd w:id="343"/>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425,521,860.95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42,022,815.91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383,499,045.04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24,979,014.34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27,979,014.34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450,500,875.29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42,022,815.91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411,478,059.38</w:t>
            </w:r>
          </w:p>
        </w:tc>
      </w:tr>
    </w:tbl>
    <w:p>
      <w:pPr>
        <w:pStyle w:val="BodyText"/>
        <w:spacing w:line="240" w:lineRule="auto" w:before="51"/>
        <w:ind w:right="1130"/>
        <w:jc w:val="left"/>
      </w:pPr>
      <w:r>
        <w:rPr/>
        <w:t>其他说明，包括本期增减变动情况、变动原因说明：</w:t>
      </w:r>
    </w:p>
    <w:p>
      <w:pPr>
        <w:pStyle w:val="BodyText"/>
        <w:spacing w:line="240" w:lineRule="auto" w:before="116"/>
        <w:ind w:left="514" w:right="1130"/>
        <w:jc w:val="left"/>
      </w:pPr>
      <w:r>
        <w:rPr/>
        <w:t>（</w:t>
      </w:r>
      <w:r>
        <w:rPr>
          <w:rFonts w:ascii="Times New Roman" w:hAnsi="Times New Roman" w:cs="Times New Roman" w:eastAsia="Times New Roman" w:hint="default"/>
        </w:rPr>
        <w:t>1</w:t>
      </w:r>
      <w:r>
        <w:rPr/>
        <w:t>）资本溢价减少详见本报告第十一节、七、</w:t>
      </w:r>
      <w:r>
        <w:rPr>
          <w:rFonts w:ascii="Times New Roman" w:hAnsi="Times New Roman" w:cs="Times New Roman" w:eastAsia="Times New Roman" w:hint="default"/>
        </w:rPr>
        <w:t>44</w:t>
      </w:r>
      <w:r>
        <w:rPr/>
        <w:t>、股本。</w:t>
      </w:r>
    </w:p>
    <w:p>
      <w:pPr>
        <w:pStyle w:val="BodyText"/>
        <w:spacing w:line="300" w:lineRule="auto" w:before="63"/>
        <w:ind w:left="514" w:right="1062"/>
        <w:jc w:val="left"/>
      </w:pPr>
      <w:r>
        <w:rPr/>
        <w:t>（</w:t>
      </w:r>
      <w:r>
        <w:rPr>
          <w:rFonts w:ascii="Times New Roman" w:hAnsi="Times New Roman" w:cs="Times New Roman" w:eastAsia="Times New Roman" w:hint="default"/>
        </w:rPr>
        <w:t>2</w:t>
      </w:r>
      <w:r>
        <w:rPr/>
        <w:t>）与少数股东的交易 如本报告第十一节、九、</w:t>
      </w:r>
      <w:r>
        <w:rPr>
          <w:rFonts w:ascii="Times New Roman" w:hAnsi="Times New Roman" w:cs="Times New Roman" w:eastAsia="Times New Roman" w:hint="default"/>
        </w:rPr>
        <w:t>2</w:t>
      </w:r>
      <w:r>
        <w:rPr/>
        <w:t>所述，本公司于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日购买子公司惠州茂硕少数股东</w:t>
      </w:r>
      <w:r>
        <w:rPr>
          <w:rFonts w:ascii="Times New Roman" w:hAnsi="Times New Roman" w:cs="Times New Roman" w:eastAsia="Times New Roman" w:hint="default"/>
        </w:rPr>
        <w:t>10%</w:t>
      </w:r>
      <w:r>
        <w:rPr/>
        <w:t>的股权。本次交易完成后，</w:t>
      </w:r>
    </w:p>
    <w:p>
      <w:pPr>
        <w:pStyle w:val="BodyText"/>
        <w:spacing w:line="300" w:lineRule="auto" w:before="13"/>
        <w:ind w:right="1131"/>
        <w:jc w:val="left"/>
      </w:pPr>
      <w:r>
        <w:rPr/>
        <w:t>本公司持有惠州茂硕</w:t>
      </w:r>
      <w:r>
        <w:rPr>
          <w:rFonts w:ascii="Times New Roman" w:hAnsi="Times New Roman" w:cs="Times New Roman" w:eastAsia="Times New Roman" w:hint="default"/>
        </w:rPr>
        <w:t>100%</w:t>
      </w:r>
      <w:r>
        <w:rPr/>
        <w:t>的股权。购买成本与交易日取得的按新取得的股权比例计算确定应享有子公司自交易日开始持续</w:t>
      </w:r>
      <w:r>
        <w:rPr>
          <w:spacing w:val="-57"/>
        </w:rPr>
        <w:t> </w:t>
      </w:r>
      <w:r>
        <w:rPr>
          <w:spacing w:val="-57"/>
        </w:rPr>
      </w:r>
      <w:r>
        <w:rPr/>
        <w:t>计算的可辨认净资产份额的差额调减资本公积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38,563,798.27</w:t>
      </w:r>
      <w:r>
        <w:rPr/>
        <w:t>元。</w:t>
      </w:r>
    </w:p>
    <w:p>
      <w:pPr>
        <w:pStyle w:val="BodyText"/>
        <w:spacing w:line="240" w:lineRule="auto" w:before="13"/>
        <w:ind w:left="514" w:right="1130"/>
        <w:jc w:val="left"/>
      </w:pPr>
      <w:r>
        <w:rPr/>
        <w:t>（</w:t>
      </w:r>
      <w:r>
        <w:rPr>
          <w:rFonts w:ascii="Times New Roman" w:hAnsi="Times New Roman" w:cs="Times New Roman" w:eastAsia="Times New Roman" w:hint="default"/>
        </w:rPr>
        <w:t>3</w:t>
      </w:r>
      <w:r>
        <w:rPr/>
        <w:t>）其他资本公积增加详见本报告第十一节、七、</w:t>
      </w:r>
      <w:r>
        <w:rPr>
          <w:rFonts w:ascii="Times New Roman" w:hAnsi="Times New Roman" w:cs="Times New Roman" w:eastAsia="Times New Roman" w:hint="default"/>
        </w:rPr>
        <w:t>43</w:t>
      </w:r>
      <w:r>
        <w:rPr/>
        <w:t>、其他非流动负债。</w:t>
      </w:r>
    </w:p>
    <w:p>
      <w:pPr>
        <w:spacing w:line="240" w:lineRule="auto" w:before="11"/>
        <w:rPr>
          <w:rFonts w:ascii="宋体" w:hAnsi="宋体" w:cs="宋体" w:eastAsia="宋体" w:hint="default"/>
          <w:sz w:val="25"/>
          <w:szCs w:val="25"/>
        </w:rPr>
      </w:pPr>
    </w:p>
    <w:p>
      <w:pPr>
        <w:pStyle w:val="Heading3"/>
        <w:spacing w:line="240" w:lineRule="auto"/>
        <w:ind w:right="1130"/>
        <w:jc w:val="left"/>
        <w:rPr>
          <w:b w:val="0"/>
          <w:bCs w:val="0"/>
        </w:rPr>
      </w:pPr>
      <w:bookmarkStart w:name="47、库存股" w:id="344"/>
      <w:bookmarkEnd w:id="344"/>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13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8、其他综合收益" w:id="345"/>
      <w:bookmarkEnd w:id="345"/>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1130"/>
        <w:jc w:val="left"/>
      </w:pPr>
      <w:r>
        <w:rPr/>
        <w:t>其他说明，包括对现金流量套期损益的有效部分转为被套期项目初始确认金额调整：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49、专项储备" w:id="346"/>
      <w:bookmarkEnd w:id="346"/>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13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0、盈余公积" w:id="347"/>
      <w:bookmarkEnd w:id="347"/>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25,571,701.00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25,571,701.00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25,571,701.00</w:t>
            </w:r>
          </w:p>
        </w:tc>
      </w:tr>
    </w:tbl>
    <w:p>
      <w:pPr>
        <w:pStyle w:val="BodyText"/>
        <w:spacing w:line="240" w:lineRule="auto" w:before="51"/>
        <w:ind w:right="113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1、未分配利润" w:id="348"/>
      <w:bookmarkEnd w:id="348"/>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99,705,204.83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94,811,104.24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99,705,204.83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94,811,104.24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-255,760,999.17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13,065,004.57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3,148,934.20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-156,055,794.34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99,705,204.83</w:t>
            </w:r>
          </w:p>
        </w:tc>
      </w:tr>
    </w:tbl>
    <w:p>
      <w:pPr>
        <w:pStyle w:val="BodyText"/>
        <w:spacing w:line="240" w:lineRule="auto" w:before="51"/>
        <w:ind w:right="1130"/>
        <w:jc w:val="left"/>
      </w:pPr>
      <w:r>
        <w:rPr/>
        <w:t>调整期初未分配利润明细：</w:t>
      </w:r>
    </w:p>
    <w:p>
      <w:pPr>
        <w:pStyle w:val="BodyText"/>
        <w:spacing w:line="240" w:lineRule="auto" w:before="117"/>
        <w:ind w:right="113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3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113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52、营业收入和营业成本" w:id="349"/>
      <w:bookmarkEnd w:id="349"/>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1,326,973,014.83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1,072,928,830.61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1,626,208,314.78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1,312,042,119.23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10,802,094.27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11,167,337.98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25,867,967.23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15,579,370.45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1,337,775,109.10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1,084,096,168.59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1,652,076,282.01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1,327,621,489.68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53、税金及附加" w:id="350"/>
      <w:bookmarkEnd w:id="350"/>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3,183,358.89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4,375,227.15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2,513,307.23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3,859,706.51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1,514,768.03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1,882,776.54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81,377.40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252,576.67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1,222,908.54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1,351,620.04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8,515,850.17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11,726,706.91</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4、销售费用" w:id="351"/>
      <w:bookmarkEnd w:id="351"/>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27,220,571.38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28,025,297.71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15,622,276.42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20,813,587.22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16,623,340.15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13,173,570.61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售后品质费用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11,241,031.16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8,015,238.73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5,654,241.51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4,251,761.41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3,536,610.20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5,081,376.87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2,160,733.01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4,187,159.56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947,876.76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1,273,365.81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低值易耗品与材料费用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804,268.36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1,000,690.60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3,921,014.61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1,556,813.76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87,731,963.56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87,378,862.28</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5、管理费用" w:id="352"/>
      <w:bookmarkEnd w:id="352"/>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32,722,857.12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44,952,591.10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10,375,428.83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11,951,280.75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6,689,246.47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8,415,586.39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3,489,832.06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3,590,912.22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3,771,432.05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3,335,394.17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2,088,558.47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2,797,635.50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2,144,683.90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2,748,053.68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1,774,137.22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2,222,498.53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952,454.17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252,696.96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1,733,365.97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6,412,449.51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6,602,809.03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70,912,140.81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88,602,824.30</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56、研发费用" w:id="353"/>
      <w:bookmarkEnd w:id="353"/>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29,732,299.75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28,452,437.16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9,995,755.17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7,988,173.88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5,378,272.66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5,718,821.32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燃料动力费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3,435,136.80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3,893,745.81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2,496,741.68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2,977,256.71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2,473,982.39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2,909,740.05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1,662,310.94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2,519,125.45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1,105,286.49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1,519,093.37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692,275.66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895,174.94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1,888,509.38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188,188.79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1,132,337.09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1,047,701.44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2,433,673.85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58,476,084.06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62,328,089.01</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57、财务费用" w:id="354"/>
      <w:bookmarkEnd w:id="354"/>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20,895,082.78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20,081,107.78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2,017,970.74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1,931,696.57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-6,603,930.68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12,420,279.95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1,018,508.47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963,053.11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-755,939.80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1,519,653.96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12,535,750.03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33,052,398.23</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58、资产减值损失" w:id="355"/>
      <w:bookmarkEnd w:id="355"/>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60,247,452.01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20,304,202.20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44,546,150.16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17,203,849.61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22,382,162.37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7,395,400.00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24,105,170.75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115,877,498.34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9,308,274.52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8,826,474.75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285,293,182.90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44,903,451.81</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59、其他收益" w:id="356"/>
      <w:bookmarkEnd w:id="356"/>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12,024,004.73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9,424,289.54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12,050,005.68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9,424,289.54</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60、投资收益" w:id="357"/>
      <w:bookmarkEnd w:id="357"/>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49"/>
        <w:gridCol w:w="3191"/>
        <w:gridCol w:w="2918"/>
      </w:tblGrid>
      <w:tr>
        <w:trPr>
          <w:trHeight w:val="40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1,231,972.47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3,066,721.06</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-2,995,611.11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12,963,729.63</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财产品持有期间取得的投资收益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144,089.22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215,408.22</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-70,200.00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-176,570.00</w:t>
            </w:r>
            <w:r>
              <w:rPr>
                <w:rFonts w:ascii="Times New Roman"/>
                <w:sz w:val="18"/>
              </w:rPr>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-1,689,749.42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16,069,288.91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1、公允价值变动收益" w:id="358"/>
      <w:bookmarkEnd w:id="358"/>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2、资产处置收益" w:id="359"/>
      <w:bookmarkEnd w:id="359"/>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-3,400,390.11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348,719.77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-427,451.20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-3,827,841.31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348,719.77</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63、营业外收入" w:id="360"/>
      <w:bookmarkEnd w:id="360"/>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773,189.66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932,636.44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773,189.66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1,838,018.00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14,474.04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1,838,018.00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30,177.65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10,028.00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久悬未决收入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1,839,884.31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业绩对赌补偿款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3,911,787.40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254,986.90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325,983.23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254,986.90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2,909,400.21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7,029,325.28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2,909,400.21</w:t>
            </w:r>
          </w:p>
        </w:tc>
      </w:tr>
    </w:tbl>
    <w:p>
      <w:pPr>
        <w:pStyle w:val="BodyText"/>
        <w:spacing w:line="240" w:lineRule="auto" w:before="51"/>
        <w:ind w:right="113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64、营业外支出" w:id="361"/>
      <w:bookmarkEnd w:id="361"/>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8,704,259.74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8,704,259.74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64,106.58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64,106.58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613,276.13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424,547.52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613,276.13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26,922.93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244,534.05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26,922.93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24,834.74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98,944.55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148,283.46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98,944.55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9,507,909.93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1,926,199.77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9,507,909.93</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5、所得税费用" w:id="362"/>
      <w:bookmarkEnd w:id="362"/>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所得税费用表" w:id="363"/>
      <w:bookmarkEnd w:id="36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4,156,793.99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9,776,677.53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-2,932,979.41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-7,342,012.09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1,223,814.58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2,434,665.44</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会计利润与所得税费用调整过程" w:id="364"/>
      <w:bookmarkEnd w:id="36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-271,912,925.79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-40,786,938.87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7,777,879.32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7,301.50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-238,196.63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290,701.08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-323,340.25</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29,633,029.91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本期冲回前期已确认递延所得税资产的可抵扣暂时性差异或 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13,672,305.00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-6,450,241.83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暂时性差异在合并层面抵消，但递延所得税资产未予冲回</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-2,442,054.00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83,369.35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1,223,814.58</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66、其他综合收益" w:id="365"/>
      <w:bookmarkEnd w:id="365"/>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67、现金流量表项目" w:id="366"/>
      <w:bookmarkEnd w:id="366"/>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收到的其他与经营活动有关的现金" w:id="367"/>
      <w:bookmarkEnd w:id="36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9,908,570.23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10,916,070.21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8,292,963.55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15,636,382.17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2,017,970.74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1,931,696.57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20,219,504.52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28,484,148.95</w:t>
            </w:r>
          </w:p>
        </w:tc>
      </w:tr>
    </w:tbl>
    <w:p>
      <w:pPr>
        <w:pStyle w:val="BodyText"/>
        <w:spacing w:line="240" w:lineRule="auto" w:before="51"/>
        <w:ind w:right="113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支付的其他与经营活动有关的现金" w:id="368"/>
      <w:bookmarkEnd w:id="36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42,672,646.32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36,302,683.28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27,299,302.91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29,291,111.94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4,285,504.23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17,901,704.50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7,182,382.63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10,931,573.32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1,018,508.47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2,433,909.18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126,267.48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447,496.79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82,584,612.04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97,308,479.01</w:t>
            </w:r>
          </w:p>
        </w:tc>
      </w:tr>
    </w:tbl>
    <w:p>
      <w:pPr>
        <w:pStyle w:val="BodyText"/>
        <w:spacing w:line="240" w:lineRule="auto" w:before="51"/>
        <w:ind w:right="1130"/>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3）收到的其他与投资活动有关的现金" w:id="369"/>
      <w:bookmarkEnd w:id="36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收回拆出资金及利息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20,092,894.69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收回因工程合同被法院冻结的款项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20,092,894.69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4,560,000.00</w:t>
            </w:r>
          </w:p>
        </w:tc>
      </w:tr>
    </w:tbl>
    <w:p>
      <w:pPr>
        <w:pStyle w:val="BodyText"/>
        <w:spacing w:line="240" w:lineRule="auto" w:before="51"/>
        <w:ind w:right="113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支付的其他与投资活动有关的现金" w:id="370"/>
      <w:bookmarkEnd w:id="37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资金拆出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22,047,375.07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与投资相关的费用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1,517,724.18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2,468,470.67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23,565,099.25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5,068,470.67</w:t>
            </w:r>
          </w:p>
        </w:tc>
      </w:tr>
    </w:tbl>
    <w:p>
      <w:pPr>
        <w:pStyle w:val="BodyText"/>
        <w:spacing w:line="240" w:lineRule="auto" w:before="51"/>
        <w:ind w:right="113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收到的其他与筹资活动有关的现金" w:id="371"/>
      <w:bookmarkEnd w:id="37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280,896,470.98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123,161,741.33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融资租赁收到的现金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不符合终止确认票据贴现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1,745,929.92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收退回的筹资费用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322,942,400.90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123,161,741.33</w:t>
            </w:r>
          </w:p>
        </w:tc>
      </w:tr>
    </w:tbl>
    <w:p>
      <w:pPr>
        <w:pStyle w:val="BodyText"/>
        <w:spacing w:line="240" w:lineRule="auto" w:before="51"/>
        <w:ind w:right="113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6）支付的其他与筹资活动有关的现金" w:id="372"/>
      <w:bookmarkEnd w:id="37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325,968,434.01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175,608,814.94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70,766,700.00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22,301,568.87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13,784,248.40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4,496,496.80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1301368"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410,519,383.41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202,806,881.61</w:t>
            </w:r>
          </w:p>
        </w:tc>
      </w:tr>
    </w:tbl>
    <w:p>
      <w:pPr>
        <w:pStyle w:val="BodyText"/>
        <w:spacing w:line="240" w:lineRule="auto" w:before="51"/>
        <w:ind w:right="113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68、现金流量表补充资料" w:id="373"/>
      <w:bookmarkEnd w:id="373"/>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现金流量表补充资料" w:id="374"/>
      <w:bookmarkEnd w:id="37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-273,136,740.37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24,973,218.08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285,293,182.90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44,903,451.81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35,683,397.79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43,013,561.91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5,871,830.02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6,547,114.78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6,564,859.74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6,598,799.97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3,827,841.31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-348,719.77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610,276.13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419,987.66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24,183,791.70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32,501,387.73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1,689,749.42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-16,069,288.91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-2,768,127.03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-7,342,012.09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-1,217,387.10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11,543,302.01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-54,972,130.58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-41,794,907.66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-167,059,798.77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20,097,496.21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288,311,555.92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-1,882,958.20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-310,567.01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77,843,793.97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199,949,173.63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119,843,578.62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194,924,014.68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194,924,014.68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-75,080,436.06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8,367,474.16</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本期支付的取得子公司的现金净额" w:id="375"/>
      <w:bookmarkEnd w:id="37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本期收到的处置子公司的现金净额" w:id="376"/>
      <w:bookmarkEnd w:id="37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4,815,765.46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4,515,765.46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165,693.95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165,693.44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4,650,071.51</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4）现金和现金等价物的构成" w:id="377"/>
      <w:bookmarkEnd w:id="37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119,843,578.62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194,924,014.68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126,716.27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86,092.47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119,716,862.35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194,837,922.21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6" w:right="0"/>
              <w:jc w:val="left"/>
              <w:rPr>
                <w:rFonts w:ascii="Times New Roman" w:hAnsi="Times New Roman" w:cs="Times New Roman" w:eastAsia="Times New Roman" w:hint="default"/>
                <w:sz w:val="18"/>
                <w:szCs w:val="18"/>
              </w:rPr>
            </w:pPr>
            <w:r>
              <w:rPr>
                <w:rFonts w:ascii="Times New Roman"/>
                <w:sz w:val="18"/>
              </w:rPr>
              <w:t>119,843,578.62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194,924,014.68</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78"/>
      <w:bookmarkEnd w:id="378"/>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9"/>
      <w:bookmarkEnd w:id="379"/>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162,509,392.59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25,423,835.40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40,127,108.09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228,060,336.08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71、外币货币性项目" w:id="380"/>
      <w:bookmarkEnd w:id="380"/>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外币货币性项目" w:id="381"/>
      <w:bookmarkEnd w:id="38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8,243,325.90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56,575,594.32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426,961.82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374,103.95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29,696,255.88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203,811,343.36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6,171.62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2,932,752.27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2,569,677.54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6,880,371.31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50,101,360.00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569,236.19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3,906,781.82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17,071.11</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130"/>
        <w:jc w:val="left"/>
        <w:rPr>
          <w:b w:val="0"/>
          <w:bCs w:val="0"/>
        </w:rPr>
      </w:pPr>
      <w:bookmarkStart w:name="（2）境外经营实体说明，包括对于重要的境外经营实体，应披露其境外主要经营地、记账" w:id="382"/>
      <w:bookmarkEnd w:id="38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72、套期" w:id="383"/>
      <w:bookmarkEnd w:id="383"/>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73、政府补助" w:id="384"/>
      <w:bookmarkEnd w:id="384"/>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政府补助基本情况" w:id="385"/>
      <w:bookmarkEnd w:id="38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10,114,069.28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10,114,069.28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2,283,112.92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减：退回的政府补助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-373,177.47</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13,594,069.28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13,704,004.73</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政府补助退回情况" w:id="386"/>
      <w:bookmarkEnd w:id="38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智能驱动产业化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已撤销该项目</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87"/>
      <w:bookmarkEnd w:id="38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8"/>
      <w:bookmarkEnd w:id="38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9"/>
      <w:bookmarkEnd w:id="3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1130"/>
        <w:jc w:val="left"/>
        <w:rPr>
          <w:b w:val="0"/>
          <w:bCs w:val="0"/>
        </w:rPr>
      </w:pPr>
      <w:bookmarkStart w:name="（1）本期发生的非同一控制下企业合并" w:id="390"/>
      <w:bookmarkEnd w:id="39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合并成本及商誉" w:id="391"/>
      <w:bookmarkEnd w:id="39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3）被购买方于购买日可辨认资产、负债" w:id="392"/>
      <w:bookmarkEnd w:id="39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93"/>
      <w:bookmarkEnd w:id="39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5）购买日或合并当期期末无法合理确定合并对价或被购买方可辨认资产、负债公允价值" w:id="394"/>
      <w:bookmarkEnd w:id="39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6）其他说明" w:id="395"/>
      <w:bookmarkEnd w:id="39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2、同一控制下企业合并" w:id="396"/>
      <w:bookmarkEnd w:id="39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本期发生的同一控制下企业合并" w:id="397"/>
      <w:bookmarkEnd w:id="39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合并成本" w:id="398"/>
      <w:bookmarkEnd w:id="39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1130"/>
        <w:jc w:val="left"/>
        <w:rPr>
          <w:b w:val="0"/>
          <w:bCs w:val="0"/>
        </w:rPr>
      </w:pPr>
      <w:bookmarkStart w:name="（3）合并日被合并方资产、负债的账面价值" w:id="399"/>
      <w:bookmarkEnd w:id="39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1130"/>
        <w:jc w:val="left"/>
        <w:rPr>
          <w:b w:val="0"/>
          <w:bCs w:val="0"/>
        </w:rPr>
      </w:pPr>
      <w:bookmarkStart w:name="3、反向购买" w:id="400"/>
      <w:bookmarkEnd w:id="40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1130"/>
        <w:jc w:val="left"/>
        <w:rPr>
          <w:b w:val="0"/>
          <w:bCs w:val="0"/>
        </w:rPr>
      </w:pPr>
      <w:bookmarkStart w:name="4、处置子公司" w:id="401"/>
      <w:bookmarkEnd w:id="40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6"/>
        <w:gridCol w:w="735"/>
        <w:gridCol w:w="735"/>
        <w:gridCol w:w="735"/>
        <w:gridCol w:w="735"/>
        <w:gridCol w:w="735"/>
        <w:gridCol w:w="737"/>
        <w:gridCol w:w="737"/>
        <w:gridCol w:w="736"/>
        <w:gridCol w:w="736"/>
        <w:gridCol w:w="725"/>
      </w:tblGrid>
      <w:tr>
        <w:trPr>
          <w:trHeight w:val="705"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7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4"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3"/>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山西茂 硕光伏 电力有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617,372.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1,230,00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-291,055</w:t>
            </w:r>
          </w:p>
          <w:p>
            <w:pPr>
              <w:pStyle w:val="TableParagraph"/>
              <w:spacing w:line="240" w:lineRule="auto" w:before="105"/>
              <w:ind w:left="478" w:right="0"/>
              <w:jc w:val="left"/>
              <w:rPr>
                <w:rFonts w:ascii="Times New Roman" w:hAnsi="Times New Roman" w:cs="Times New Roman" w:eastAsia="Times New Roman" w:hint="default"/>
                <w:sz w:val="18"/>
                <w:szCs w:val="18"/>
              </w:rPr>
            </w:pPr>
            <w:r>
              <w:rPr>
                <w:rFonts w:ascii="Times New Roman"/>
                <w:sz w:val="18"/>
              </w:rPr>
              <w:t>.96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台州南 瑞新能 源有限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5,015,76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产权移 交</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-3,612,9</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83.49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连云港 闰洋光 伏发电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5、其他原因的合并范围变动" w:id="402"/>
      <w:bookmarkEnd w:id="40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403"/>
      <w:bookmarkEnd w:id="40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4"/>
      <w:bookmarkEnd w:id="40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5"/>
      <w:bookmarkEnd w:id="40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130"/>
        <w:jc w:val="left"/>
        <w:rPr>
          <w:b w:val="0"/>
          <w:bCs w:val="0"/>
        </w:rPr>
      </w:pPr>
      <w:bookmarkStart w:name="（1）企业集团的构成" w:id="406"/>
      <w:bookmarkEnd w:id="4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技术研究院有限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惠州茂硕能源科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（香港）国际有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海宁茂硕诺华能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深圳茂硕电气有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新余茂硕新能源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萍乡茂硕新能源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灵武市茂硕新能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加码技术有限公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宁夏茂硕富寅能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茂硕科技有限公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瑞盈茂硕融资租 赁（深圳）有限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河北茂硕燚晶光 伏电力开发有限 公司</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电气设备销售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6"/>
        <w:ind w:right="1130"/>
        <w:jc w:val="left"/>
      </w:pPr>
      <w:r>
        <w:rPr/>
        <w:t>确定公司是代理人还是委托人的依据：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重要的非全资子公司" w:id="407"/>
      <w:bookmarkEnd w:id="40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海宁茂硕诺华能源有限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-7,889,990.61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9,108,232.23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-9,170,361.64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-7,663,174.66</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130"/>
        <w:jc w:val="left"/>
        <w:rPr>
          <w:b w:val="0"/>
          <w:bCs w:val="0"/>
        </w:rPr>
      </w:pPr>
      <w:bookmarkStart w:name="（3）重要非全资子公司的主要财务信息" w:id="408"/>
      <w:bookmarkEnd w:id="40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海宁茂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12,664,5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09.80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58,062,3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70,726,8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39,996,4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78.63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39,996,4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11,123,1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93,187,4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104,310,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577.46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46,493,4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46,493,4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92.97</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茂硕电 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30,474,0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47.02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30,474,0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33,120,0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68,449,8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42.49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2,132,58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70,582,4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115,526,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907.23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7,098,52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122,625,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427.60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Times New Roman" w:hAnsi="Times New Roman" w:cs="Times New Roman" w:eastAsia="Times New Roman" w:hint="default"/>
                <w:sz w:val="18"/>
                <w:szCs w:val="18"/>
              </w:rPr>
            </w:pPr>
            <w:r>
              <w:rPr>
                <w:rFonts w:ascii="Times New Roman"/>
                <w:sz w:val="18"/>
              </w:rPr>
              <w:t>111,401,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223.74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2,632,31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114,033,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542.11</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18,675,815.0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-27,086,702.7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-27,086,702.7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18,233,739.4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19,440,228.5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6,574,337.73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6,574,337.73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19,457,545.6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76,426,509.3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-45,054,049.0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-45,054,049.0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-1,291,678.48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111,867,123.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-2,211,755.51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-2,211,755.51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-9,259,906.25</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使用企业集团资产和清偿企业集团债务的重大限制" w:id="409"/>
      <w:bookmarkEnd w:id="40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5）向纳入合并财务报表范围的结构化主体提供的财务支持或其他支持" w:id="410"/>
      <w:bookmarkEnd w:id="41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2、在子公司的所有者权益份额发生变化且仍控制子公司的交易" w:id="411"/>
      <w:bookmarkEnd w:id="41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在子公司所有者权益份额发生变化的情况说明" w:id="412"/>
      <w:bookmarkEnd w:id="41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30"/>
        <w:jc w:val="left"/>
      </w:pPr>
      <w:r>
        <w:rPr/>
        <w:t>子公司所有者权益份额变动详见本报告第十一节、七、合并财务报表项目注释</w:t>
      </w:r>
      <w:r>
        <w:rPr>
          <w:rFonts w:ascii="Times New Roman" w:hAnsi="Times New Roman" w:cs="Times New Roman" w:eastAsia="Times New Roman" w:hint="default"/>
        </w:rPr>
        <w:t>46</w:t>
      </w:r>
      <w:r>
        <w:rPr/>
        <w:t>。 如本报告第十一节、七、</w:t>
      </w:r>
      <w:r>
        <w:rPr>
          <w:rFonts w:ascii="Times New Roman" w:hAnsi="Times New Roman" w:cs="Times New Roman" w:eastAsia="Times New Roman" w:hint="default"/>
        </w:rPr>
        <w:t>46</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日购买子公司惠州茂硕少数股东</w:t>
      </w:r>
      <w:r>
        <w:rPr>
          <w:rFonts w:ascii="Times New Roman" w:hAnsi="Times New Roman" w:cs="Times New Roman" w:eastAsia="Times New Roman" w:hint="default"/>
        </w:rPr>
        <w:t>10%</w:t>
      </w:r>
      <w:r>
        <w:rPr/>
        <w:t>的股权。本次交易完成后，</w:t>
      </w:r>
    </w:p>
    <w:p>
      <w:pPr>
        <w:pStyle w:val="BodyText"/>
        <w:spacing w:line="300" w:lineRule="auto" w:before="13"/>
        <w:ind w:right="1132"/>
        <w:jc w:val="left"/>
      </w:pPr>
      <w:r>
        <w:rPr/>
        <w:t>本公司持有惠州茂硕</w:t>
      </w:r>
      <w:r>
        <w:rPr>
          <w:rFonts w:ascii="Times New Roman" w:hAnsi="Times New Roman" w:cs="Times New Roman" w:eastAsia="Times New Roman" w:hint="default"/>
        </w:rPr>
        <w:t>100%</w:t>
      </w:r>
      <w:r>
        <w:rPr/>
        <w:t>的股权。购买成本与交易日取得的按新取得的股权比例计算确定应享有子公司自交易日开始持续</w:t>
      </w:r>
      <w:r>
        <w:rPr>
          <w:spacing w:val="-57"/>
        </w:rPr>
        <w:t> </w:t>
      </w:r>
      <w:r>
        <w:rPr>
          <w:spacing w:val="-57"/>
        </w:rPr>
      </w:r>
      <w:r>
        <w:rPr/>
        <w:t>计算的可辨认净资产份额的差额调减资本公积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38,563,798.27</w:t>
      </w:r>
      <w:r>
        <w:rPr/>
        <w:t>元。</w:t>
      </w:r>
    </w:p>
    <w:p>
      <w:pPr>
        <w:spacing w:line="240" w:lineRule="auto" w:before="1"/>
        <w:rPr>
          <w:rFonts w:ascii="宋体" w:hAnsi="宋体" w:cs="宋体" w:eastAsia="宋体" w:hint="default"/>
          <w:sz w:val="22"/>
          <w:szCs w:val="22"/>
        </w:rPr>
      </w:pPr>
    </w:p>
    <w:p>
      <w:pPr>
        <w:pStyle w:val="Heading3"/>
        <w:spacing w:line="240" w:lineRule="auto"/>
        <w:ind w:right="1130"/>
        <w:jc w:val="left"/>
        <w:rPr>
          <w:b w:val="0"/>
          <w:bCs w:val="0"/>
        </w:rPr>
      </w:pPr>
      <w:bookmarkStart w:name="（2）交易对于少数股东权益及归属于母公司所有者权益的影响" w:id="413"/>
      <w:bookmarkEnd w:id="41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70,766,700.00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70,766,700.00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32,202,901.73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38,563,798.27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38,563,798.27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在合营安排或联营企业中的权益" w:id="414"/>
      <w:bookmarkEnd w:id="41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重要的合营企业或联营企业" w:id="415"/>
      <w:bookmarkEnd w:id="41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130"/>
        <w:jc w:val="left"/>
      </w:pPr>
      <w:r>
        <w:rPr/>
        <w:t>在合营企业或联营企业的持股比例不同于表决权比例的说明：</w:t>
      </w:r>
    </w:p>
    <w:p>
      <w:pPr>
        <w:pStyle w:val="BodyText"/>
        <w:spacing w:line="240" w:lineRule="auto" w:before="116"/>
        <w:ind w:right="113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2）重要合营企业的主要财务信息" w:id="416"/>
      <w:bookmarkEnd w:id="41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3）重要联营企业的主要财务信息" w:id="417"/>
      <w:bookmarkEnd w:id="41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方正达</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方正达</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328,180,554.56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361,481,162.07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115,163,757.51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119,086,721.19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443,344,312.07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480,567,883.26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184,787,023.72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234,570,917.55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4,050,000.08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1,883,333.37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188,837,023.80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236,454,250.92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254,507,288.27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244,113,632.34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56,602,420.91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54,681,453.64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82,370,325.46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103,984,785.66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418,451,790.03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469,456,966.77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10,393,655.93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45,828,261.96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10,393,655.93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45,828,261.96</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不重要的合营企业和联营企业的汇总财务信息" w:id="418"/>
      <w:bookmarkEnd w:id="41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40,585,730.75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41,820,569.46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-1,041,317.19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-836,382.59</w:t>
            </w:r>
            <w:r>
              <w:rPr>
                <w:rFonts w:ascii="Times New Roman"/>
                <w:sz w:val="18"/>
              </w:rPr>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-1,041,317.19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-836,382.59</w:t>
            </w:r>
            <w:r>
              <w:rPr>
                <w:rFonts w:ascii="Times New Roman"/>
                <w:sz w:val="18"/>
              </w:rPr>
            </w: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5）合营企业或联营企业向本公司转移资金的能力存在重大限制的说明" w:id="419"/>
      <w:bookmarkEnd w:id="41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6）合营企业或联营企业发生的超额亏损" w:id="420"/>
      <w:bookmarkEnd w:id="42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7）与合营企业投资相关的未确认承诺" w:id="421"/>
      <w:bookmarkEnd w:id="42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8）与合营企业或联营企业投资相关的或有负债" w:id="422"/>
      <w:bookmarkEnd w:id="42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4、重要的共同经营" w:id="423"/>
      <w:bookmarkEnd w:id="42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在未纳入合并财务报表范围的结构化主体中的权益" w:id="424"/>
      <w:bookmarkEnd w:id="42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其他" w:id="425"/>
      <w:bookmarkEnd w:id="42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130"/>
        <w:jc w:val="left"/>
        <w:rPr>
          <w:b w:val="0"/>
          <w:bCs w:val="0"/>
        </w:rPr>
      </w:pPr>
      <w:bookmarkStart w:name="十、与金融工具相关的风险" w:id="426"/>
      <w:bookmarkEnd w:id="42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本公司的经营活动会面临各种金融风险：信用风险、流动风险和市场风险（主要为汇率风险和利率风险）。本公司整体</w:t>
      </w:r>
      <w:r>
        <w:rPr/>
        <w:t> 的风险管理计划针对金融市场的不可预见性，力求减少对本公司财务业绩的潜在不利影响。</w:t>
      </w:r>
    </w:p>
    <w:p>
      <w:pPr>
        <w:pStyle w:val="Heading4"/>
        <w:spacing w:line="240" w:lineRule="auto" w:before="19"/>
        <w:ind w:left="154" w:right="1130"/>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316" w:lineRule="auto" w:before="63"/>
        <w:ind w:right="1131" w:firstLine="360"/>
        <w:jc w:val="both"/>
      </w:pPr>
      <w:r>
        <w:rPr>
          <w:spacing w:val="-2"/>
        </w:rPr>
        <w:t>本公司的信用风险主要来自货币资金、应收票据、应收账款、其他应收款和可供出售金融资产等。管理层已制定适当的</w:t>
      </w:r>
      <w:r>
        <w:rPr/>
        <w:t> 信用政策，并且不断监察这些信用风险的敞口。</w:t>
      </w:r>
    </w:p>
    <w:p>
      <w:pPr>
        <w:pStyle w:val="BodyText"/>
        <w:spacing w:line="316" w:lineRule="auto" w:before="19"/>
        <w:ind w:right="1132" w:firstLine="360"/>
        <w:jc w:val="both"/>
      </w:pPr>
      <w:r>
        <w:rPr>
          <w:spacing w:val="-2"/>
        </w:rPr>
        <w:t>本公司持有的货币资金，主要存放于国有控股银行和其他大中型商业银行等金融机构，管理层认为这些商业银行具备较</w:t>
      </w:r>
      <w:r>
        <w:rPr/>
        <w:t> 高信誉和资产状况，不存在重大的信用风险，不会产生因对方单位违约而导致的任何重大损失。</w:t>
      </w:r>
    </w:p>
    <w:p>
      <w:pPr>
        <w:pStyle w:val="BodyText"/>
        <w:spacing w:line="319" w:lineRule="auto" w:before="19"/>
        <w:ind w:right="1131" w:firstLine="360"/>
        <w:jc w:val="both"/>
      </w:pPr>
      <w:r>
        <w:rPr>
          <w:spacing w:val="-2"/>
        </w:rPr>
        <w:t>对于应收账款、其他应收款和应收票据，本公司设定相关政策以控制信用风险敞口。本公司基于对客户的财务状况、从</w:t>
      </w:r>
      <w:r>
        <w:rPr/>
        <w:t> </w:t>
      </w:r>
      <w:r>
        <w:rPr>
          <w:spacing w:val="-2"/>
        </w:rPr>
        <w:t>第三方获取担保的可能性、信用记录及其它因素诸如目前市场状况等评估客户的信用资质并设置相应信用期。本公司会定期</w:t>
      </w:r>
      <w:r>
        <w:rPr>
          <w:spacing w:val="-64"/>
        </w:rPr>
        <w:t> </w:t>
      </w:r>
      <w:r>
        <w:rPr>
          <w:spacing w:val="-64"/>
        </w:rPr>
      </w:r>
      <w:r>
        <w:rPr>
          <w:spacing w:val="-2"/>
        </w:rPr>
        <w:t>对客户信用记录进行监控，对于信用记录不良的客户，本公司会采用书面催款、缩短信用期或取消信用期等方式，以确保本</w:t>
      </w:r>
      <w:r>
        <w:rPr>
          <w:spacing w:val="-66"/>
        </w:rPr>
        <w:t> </w:t>
      </w:r>
      <w:r>
        <w:rPr>
          <w:spacing w:val="-66"/>
        </w:rPr>
      </w:r>
      <w:r>
        <w:rPr/>
        <w:t>公司的整体信用风险在可控的范围内。</w:t>
      </w:r>
    </w:p>
    <w:p>
      <w:pPr>
        <w:pStyle w:val="Heading4"/>
        <w:spacing w:line="240" w:lineRule="auto" w:before="17"/>
        <w:ind w:left="154" w:right="1130"/>
        <w:jc w:val="left"/>
        <w:rPr>
          <w:b w:val="0"/>
          <w:bCs w:val="0"/>
        </w:rPr>
      </w:pPr>
      <w:r>
        <w:rPr>
          <w:rFonts w:ascii="Times New Roman" w:hAnsi="Times New Roman" w:cs="Times New Roman" w:eastAsia="Times New Roman" w:hint="default"/>
        </w:rPr>
        <w:t>2</w:t>
      </w:r>
      <w:r>
        <w:rPr/>
        <w:t>、流动性风险</w:t>
      </w:r>
      <w:r>
        <w:rPr>
          <w:b w:val="0"/>
          <w:bCs w:val="0"/>
        </w:rPr>
      </w:r>
    </w:p>
    <w:p>
      <w:pPr>
        <w:pStyle w:val="BodyText"/>
        <w:spacing w:line="300" w:lineRule="auto" w:before="63"/>
        <w:ind w:left="514" w:right="1130"/>
        <w:jc w:val="left"/>
      </w:pP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w:t>
      </w:r>
      <w:r>
        <w:rPr>
          <w:spacing w:val="-2"/>
        </w:rPr>
        <w:t>本公司财务部门持续监控公司短期和长期的资金需求，以确保维持充裕的现金储备；同时持续监控是否符合借款协议的</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规定，从主要金融机构获得提供足够备用资金的承诺，以满足短期和长期的资金需求。</w:t>
      </w:r>
    </w:p>
    <w:p>
      <w:pPr>
        <w:pStyle w:val="BodyText"/>
        <w:spacing w:line="240" w:lineRule="auto" w:before="76"/>
        <w:ind w:left="514" w:right="1130"/>
        <w:jc w:val="left"/>
      </w:pPr>
      <w:r>
        <w:rPr/>
        <w:t>截止</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日，本公司各项金融资产及金融负债以未折现的合同现金流量按到期日列示如下：</w:t>
      </w:r>
    </w:p>
    <w:p>
      <w:pPr>
        <w:spacing w:line="240" w:lineRule="auto" w:before="0"/>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1295"/>
        <w:gridCol w:w="1666"/>
        <w:gridCol w:w="1650"/>
        <w:gridCol w:w="1664"/>
        <w:gridCol w:w="1455"/>
        <w:gridCol w:w="1441"/>
        <w:gridCol w:w="684"/>
      </w:tblGrid>
      <w:tr>
        <w:trPr>
          <w:trHeight w:val="427" w:hRule="exact"/>
        </w:trPr>
        <w:tc>
          <w:tcPr>
            <w:tcW w:w="1295"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56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8" w:hRule="exact"/>
        </w:trPr>
        <w:tc>
          <w:tcPr>
            <w:tcW w:w="1295" w:type="dxa"/>
            <w:vMerge/>
            <w:tcBorders>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282,352,971.21</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282,352,971.21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282,352,971.21</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88,839,760.38</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88,839,760.38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88,839,760.38</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462,779,717.69</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580,035,832.81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580,035,832.81</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24,750,182.74</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35,694,151.04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35,694,151.04</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4,827,808.65</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4,827,808.65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854,470.48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3,973,338.17</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863,550,440.67</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991,750,524.09</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986,922,715.44</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854,470.48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3,973,338.17</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222,101,360.00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222,101,360.00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222,101,360.00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255,171,958.21</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255,171,958.21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255,171,958.21</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514,136,582.76</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514,136,582.76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514,136,582.76</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23,322,269.08</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23,322,269.08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23,322,269.08</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1,292,994.13</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1,292,994.13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1,292,994.13</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56,352,237.12</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56,352,237.12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23,062,107.60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23,258,728.30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10,031,401.22</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1,072,377,401.30</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1,072,377,401.30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1,039,087,271.78</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23,258,728.30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10,031,401.22</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514" w:right="1130"/>
        <w:jc w:val="left"/>
      </w:pPr>
      <w:r>
        <w:rPr/>
        <w:t>续：</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210"/>
        <w:gridCol w:w="1944"/>
        <w:gridCol w:w="1971"/>
        <w:gridCol w:w="1807"/>
        <w:gridCol w:w="842"/>
        <w:gridCol w:w="926"/>
        <w:gridCol w:w="995"/>
      </w:tblGrid>
      <w:tr>
        <w:trPr>
          <w:trHeight w:val="427" w:hRule="exact"/>
        </w:trPr>
        <w:tc>
          <w:tcPr>
            <w:tcW w:w="1210" w:type="dxa"/>
            <w:vMerge w:val="restart"/>
            <w:tcBorders>
              <w:top w:val="single" w:sz="6" w:space="0" w:color="000000"/>
              <w:left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48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6" w:hRule="exact"/>
        </w:trPr>
        <w:tc>
          <w:tcPr>
            <w:tcW w:w="1210" w:type="dxa"/>
            <w:vMerge/>
            <w:tcBorders>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318,161,764.45</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318,161,764.45</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318,161,764.45</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88,436,975.42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88,436,975.42</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88,436,975.42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479,781,809.01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540,832,510.01</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540,832,510.01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33,624,662.85</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41,060,451.59</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41,060,451.59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1,000,000.00</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1,000,000.00</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1,000,000.00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921,005,211.73</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 w:right="0"/>
              <w:jc w:val="left"/>
              <w:rPr>
                <w:rFonts w:ascii="Times New Roman" w:hAnsi="Times New Roman" w:cs="Times New Roman" w:eastAsia="Times New Roman" w:hint="default"/>
                <w:sz w:val="18"/>
                <w:szCs w:val="18"/>
              </w:rPr>
            </w:pPr>
            <w:r>
              <w:rPr>
                <w:rFonts w:ascii="Times New Roman"/>
                <w:sz w:val="18"/>
              </w:rPr>
              <w:t>989,491,701.47</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989,491,701.47</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244,551,780.00</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244,551,780.00</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244,551,780.00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334,559,282.42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334,559,282.42</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334,559,282.42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464,776,641.01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464,776,641.01</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464,776,641.01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12,392,585.65</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12,392,585.65</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12,392,585.65</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1,236,933.91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1,236,933.91</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1,236,933.91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11,584,294.83</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 w:right="0"/>
              <w:jc w:val="left"/>
              <w:rPr>
                <w:rFonts w:ascii="Times New Roman" w:hAnsi="Times New Roman" w:cs="Times New Roman" w:eastAsia="Times New Roman" w:hint="default"/>
                <w:sz w:val="18"/>
                <w:szCs w:val="18"/>
              </w:rPr>
            </w:pPr>
            <w:r>
              <w:rPr>
                <w:rFonts w:ascii="Times New Roman"/>
                <w:sz w:val="18"/>
              </w:rPr>
              <w:t>11,584,294.83</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11,584,294.83</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214"/>
        <w:gridCol w:w="1944"/>
        <w:gridCol w:w="1971"/>
        <w:gridCol w:w="1807"/>
        <w:gridCol w:w="842"/>
        <w:gridCol w:w="926"/>
        <w:gridCol w:w="995"/>
      </w:tblGrid>
      <w:tr>
        <w:trPr>
          <w:trHeight w:val="427"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1,069,101,517.82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1,069,101,517.82</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1,069,101,517.82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Heading4"/>
        <w:spacing w:line="240" w:lineRule="auto" w:before="44"/>
        <w:ind w:left="154" w:right="1130"/>
        <w:jc w:val="left"/>
        <w:rPr>
          <w:b w:val="0"/>
          <w:bCs w:val="0"/>
        </w:rPr>
      </w:pPr>
      <w:r>
        <w:rPr>
          <w:rFonts w:ascii="Times New Roman" w:hAnsi="Times New Roman" w:cs="Times New Roman" w:eastAsia="Times New Roman" w:hint="default"/>
        </w:rPr>
        <w:t>3</w:t>
      </w:r>
      <w:r>
        <w:rPr/>
        <w:t>、市场风险</w:t>
      </w:r>
      <w:r>
        <w:rPr>
          <w:b w:val="0"/>
          <w:bCs w:val="0"/>
        </w:rPr>
      </w:r>
    </w:p>
    <w:p>
      <w:pPr>
        <w:pStyle w:val="Heading4"/>
        <w:spacing w:line="240" w:lineRule="auto" w:before="63"/>
        <w:ind w:left="154" w:right="1130"/>
        <w:jc w:val="left"/>
        <w:rPr>
          <w:b w:val="0"/>
          <w:bCs w:val="0"/>
        </w:rPr>
      </w:pPr>
      <w:r>
        <w:rPr/>
        <w:t>（</w:t>
      </w:r>
      <w:r>
        <w:rPr>
          <w:rFonts w:ascii="Times New Roman" w:hAnsi="Times New Roman" w:cs="Times New Roman" w:eastAsia="Times New Roman" w:hint="default"/>
        </w:rPr>
        <w:t>1</w:t>
      </w:r>
      <w:r>
        <w:rPr/>
        <w:t>）汇率风险</w:t>
      </w:r>
      <w:r>
        <w:rPr>
          <w:b w:val="0"/>
          <w:bCs w:val="0"/>
        </w:rPr>
      </w:r>
    </w:p>
    <w:p>
      <w:pPr>
        <w:pStyle w:val="BodyText"/>
        <w:spacing w:line="316" w:lineRule="auto" w:before="63"/>
        <w:ind w:right="1132" w:firstLine="360"/>
        <w:jc w:val="both"/>
      </w:pPr>
      <w:r>
        <w:rPr>
          <w:spacing w:val="-2"/>
        </w:rPr>
        <w:t>本公司的主要经营位于中国境内，主要业务以人民币结算。但本公司已确认的外币资产和负债及未来的外币交易（外币</w:t>
      </w:r>
      <w:r>
        <w:rPr/>
        <w:t> </w:t>
      </w:r>
      <w:r>
        <w:rPr>
          <w:spacing w:val="-2"/>
        </w:rPr>
        <w:t>资产和负债及外币交易的计价货币主要为美元和港币）依然存在汇率风险。本公司财务部门负责监控公司外币交易和外币资</w:t>
      </w:r>
      <w:r>
        <w:rPr>
          <w:spacing w:val="-64"/>
        </w:rPr>
        <w:t> </w:t>
      </w:r>
      <w:r>
        <w:rPr>
          <w:spacing w:val="-64"/>
        </w:rPr>
      </w:r>
      <w:r>
        <w:rPr/>
        <w:t>产及负债的规模，以最大程度降低面临的汇率风险；</w:t>
      </w:r>
    </w:p>
    <w:p>
      <w:pPr>
        <w:pStyle w:val="BodyText"/>
        <w:spacing w:line="240" w:lineRule="auto" w:before="19"/>
        <w:ind w:left="514" w:right="1130"/>
        <w:jc w:val="left"/>
      </w:pPr>
      <w:r>
        <w:rPr/>
        <w:t>①本年度本公司及其子公司与银行签署的远期外汇合约，金额为</w:t>
      </w:r>
      <w:r>
        <w:rPr>
          <w:rFonts w:ascii="Times New Roman" w:hAnsi="Times New Roman" w:cs="Times New Roman" w:eastAsia="Times New Roman" w:hint="default"/>
        </w:rPr>
        <w:t>1,000.00</w:t>
      </w:r>
      <w:r>
        <w:rPr/>
        <w:t>万美元。</w:t>
      </w:r>
    </w:p>
    <w:p>
      <w:pPr>
        <w:pStyle w:val="BodyText"/>
        <w:spacing w:line="240" w:lineRule="auto" w:before="63"/>
        <w:ind w:left="514" w:right="1130"/>
        <w:jc w:val="left"/>
      </w:pPr>
      <w:r>
        <w:rPr/>
        <w:t>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931"/>
        <w:gridCol w:w="1931"/>
        <w:gridCol w:w="1932"/>
        <w:gridCol w:w="1932"/>
        <w:gridCol w:w="1932"/>
      </w:tblGrid>
      <w:tr>
        <w:trPr>
          <w:trHeight w:val="427" w:hRule="exact"/>
        </w:trPr>
        <w:tc>
          <w:tcPr>
            <w:tcW w:w="1931"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1931" w:type="dxa"/>
            <w:vMerge/>
            <w:tcBorders>
              <w:left w:val="single" w:sz="6" w:space="0" w:color="000000"/>
              <w:bottom w:val="single" w:sz="6" w:space="0" w:color="000000"/>
              <w:right w:val="single" w:sz="6" w:space="0" w:color="000000"/>
            </w:tcBorders>
          </w:tcPr>
          <w:p>
            <w:pP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93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56,575,594.32</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374,103.95</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56,949,698.27</w:t>
            </w:r>
          </w:p>
        </w:tc>
      </w:tr>
      <w:tr>
        <w:trPr>
          <w:trHeight w:val="426"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203,811,343.36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2,569,677.54</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6,171.62</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206,387,192.52</w:t>
            </w:r>
          </w:p>
        </w:tc>
      </w:tr>
      <w:tr>
        <w:trPr>
          <w:trHeight w:val="427"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6,880,371.31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6,880,371.31</w:t>
            </w:r>
          </w:p>
        </w:tc>
      </w:tr>
      <w:tr>
        <w:trPr>
          <w:trHeight w:val="427"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267,267,308.99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2,943,781.49</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6,171.62</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270,217,262.10</w:t>
            </w:r>
          </w:p>
        </w:tc>
      </w:tr>
      <w:tr>
        <w:trPr>
          <w:trHeight w:val="427"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93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50,101,360.00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50,101,360.00</w:t>
            </w:r>
          </w:p>
        </w:tc>
      </w:tr>
      <w:tr>
        <w:trPr>
          <w:trHeight w:val="428"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3,906,781.82</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3,906,781.82</w:t>
            </w:r>
          </w:p>
        </w:tc>
      </w:tr>
      <w:tr>
        <w:trPr>
          <w:trHeight w:val="426"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17,071.11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17,071.11</w:t>
            </w:r>
          </w:p>
        </w:tc>
      </w:tr>
      <w:tr>
        <w:trPr>
          <w:trHeight w:val="428" w:hRule="exact"/>
        </w:trPr>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54,025,212.93</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54,025,212.93</w:t>
            </w:r>
          </w:p>
        </w:tc>
      </w:tr>
    </w:tbl>
    <w:p>
      <w:pPr>
        <w:spacing w:line="240" w:lineRule="auto" w:before="9"/>
        <w:rPr>
          <w:rFonts w:ascii="宋体" w:hAnsi="宋体" w:cs="宋体" w:eastAsia="宋体" w:hint="default"/>
          <w:sz w:val="6"/>
          <w:szCs w:val="6"/>
        </w:rPr>
      </w:pPr>
    </w:p>
    <w:p>
      <w:pPr>
        <w:pStyle w:val="BodyText"/>
        <w:spacing w:line="240" w:lineRule="auto" w:before="44"/>
        <w:ind w:left="514" w:right="1130"/>
        <w:jc w:val="left"/>
      </w:pPr>
      <w:r>
        <w:rPr/>
        <w:t>续：</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09"/>
        <w:gridCol w:w="1615"/>
        <w:gridCol w:w="1778"/>
        <w:gridCol w:w="1453"/>
        <w:gridCol w:w="1454"/>
        <w:gridCol w:w="1650"/>
      </w:tblGrid>
      <w:tr>
        <w:trPr>
          <w:trHeight w:val="427" w:hRule="exact"/>
        </w:trPr>
        <w:tc>
          <w:tcPr>
            <w:tcW w:w="1709" w:type="dxa"/>
            <w:vMerge w:val="restart"/>
            <w:tcBorders>
              <w:top w:val="single" w:sz="6" w:space="0" w:color="000000"/>
              <w:left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9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1709" w:type="dxa"/>
            <w:vMerge/>
            <w:tcBorders>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61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650"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83,551,166.51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553,246.88</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437.29</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 w:right="0"/>
              <w:jc w:val="left"/>
              <w:rPr>
                <w:rFonts w:ascii="Times New Roman" w:hAnsi="Times New Roman" w:cs="Times New Roman" w:eastAsia="Times New Roman" w:hint="default"/>
                <w:sz w:val="18"/>
                <w:szCs w:val="18"/>
              </w:rPr>
            </w:pPr>
            <w:r>
              <w:rPr>
                <w:rFonts w:ascii="Times New Roman"/>
                <w:sz w:val="18"/>
              </w:rPr>
              <w:t>84,104,850.68</w:t>
            </w: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169,129,274.22</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2,451,516.95</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6,171.62</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171,586,962.79</w:t>
            </w: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6,550,548.18</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6,550,548.18</w:t>
            </w: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259,230,988.91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3,004,763.83</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6,171.62</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437.29</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262,242,361.65</w:t>
            </w: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615"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65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38,551,780.00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38,551,780.00</w:t>
            </w:r>
          </w:p>
        </w:tc>
      </w:tr>
      <w:tr>
        <w:trPr>
          <w:trHeight w:val="426"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7,244,173.83</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 w:right="0"/>
              <w:jc w:val="lef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 w:right="0"/>
              <w:jc w:val="left"/>
              <w:rPr>
                <w:rFonts w:ascii="Times New Roman" w:hAnsi="Times New Roman" w:cs="Times New Roman" w:eastAsia="Times New Roman" w:hint="default"/>
                <w:sz w:val="18"/>
                <w:szCs w:val="18"/>
              </w:rPr>
            </w:pPr>
            <w:r>
              <w:rPr>
                <w:rFonts w:ascii="Times New Roman"/>
                <w:sz w:val="18"/>
              </w:rPr>
              <w:t>7,244,173.83</w:t>
            </w:r>
          </w:p>
        </w:tc>
      </w:tr>
      <w:tr>
        <w:trPr>
          <w:trHeight w:val="42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159,918.36</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159,918.36</w:t>
            </w:r>
          </w:p>
        </w:tc>
      </w:tr>
      <w:tr>
        <w:trPr>
          <w:trHeight w:val="42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45,955,872.19</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45,955,872.19</w:t>
            </w:r>
          </w:p>
        </w:tc>
      </w:tr>
    </w:tbl>
    <w:p>
      <w:pPr>
        <w:spacing w:line="240" w:lineRule="auto" w:before="8"/>
        <w:rPr>
          <w:rFonts w:ascii="宋体" w:hAnsi="宋体" w:cs="宋体" w:eastAsia="宋体" w:hint="default"/>
          <w:sz w:val="6"/>
          <w:szCs w:val="6"/>
        </w:rPr>
      </w:pPr>
    </w:p>
    <w:p>
      <w:pPr>
        <w:pStyle w:val="BodyText"/>
        <w:spacing w:line="240" w:lineRule="auto" w:before="44"/>
        <w:ind w:left="511" w:right="1130"/>
        <w:jc w:val="left"/>
      </w:pPr>
      <w:r>
        <w:rPr/>
        <w:t>③敏感性分析：</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00" w:lineRule="auto" w:before="44"/>
        <w:ind w:right="1040" w:firstLine="357"/>
        <w:jc w:val="both"/>
      </w:pPr>
      <w:r>
        <w:rPr>
          <w:spacing w:val="-3"/>
        </w:rPr>
        <w:t>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日，对于本公司各类美元及港币金融资产和美元金融负债，如果人民币对美元及港币升值或贬值</w:t>
      </w:r>
      <w:r>
        <w:rPr>
          <w:rFonts w:ascii="Times New Roman" w:hAnsi="Times New Roman" w:cs="Times New Roman" w:eastAsia="Times New Roman" w:hint="default"/>
          <w:spacing w:val="-3"/>
        </w:rPr>
        <w:t>10%</w:t>
      </w:r>
      <w:r>
        <w:rPr>
          <w:spacing w:val="-3"/>
        </w:rPr>
        <w:t>，</w:t>
      </w:r>
      <w:r>
        <w:rPr/>
        <w:t> 其他因素保持不变，则本公司将减少或增加净利润约</w:t>
      </w:r>
      <w:r>
        <w:rPr>
          <w:rFonts w:ascii="Times New Roman" w:hAnsi="Times New Roman" w:cs="Times New Roman" w:eastAsia="Times New Roman" w:hint="default"/>
        </w:rPr>
        <w:t>17,415,254.13</w:t>
      </w:r>
      <w:r>
        <w:rPr/>
        <w:t>元（</w:t>
      </w:r>
      <w:r>
        <w:rPr>
          <w:rFonts w:ascii="Times New Roman" w:hAnsi="Times New Roman" w:cs="Times New Roman" w:eastAsia="Times New Roman" w:hint="default"/>
        </w:rPr>
        <w:t>2017</w:t>
      </w:r>
      <w:r>
        <w:rPr/>
        <w:t>年度约</w:t>
      </w:r>
      <w:r>
        <w:rPr>
          <w:rFonts w:ascii="Times New Roman" w:hAnsi="Times New Roman" w:cs="Times New Roman" w:eastAsia="Times New Roman" w:hint="default"/>
        </w:rPr>
        <w:t>18,424,547.51</w:t>
      </w:r>
      <w:r>
        <w:rPr/>
        <w:t>元</w:t>
      </w:r>
      <w:r>
        <w:rPr>
          <w:rFonts w:ascii="Times New Roman" w:hAnsi="Times New Roman" w:cs="Times New Roman" w:eastAsia="Times New Roman" w:hint="default"/>
        </w:rPr>
        <w:t>)</w:t>
      </w:r>
      <w:r>
        <w:rPr/>
        <w:t>。</w:t>
      </w:r>
    </w:p>
    <w:p>
      <w:pPr>
        <w:pStyle w:val="Heading4"/>
        <w:spacing w:line="240" w:lineRule="auto" w:before="51"/>
        <w:ind w:left="154" w:right="1130"/>
        <w:jc w:val="left"/>
        <w:rPr>
          <w:b w:val="0"/>
          <w:bCs w:val="0"/>
        </w:rPr>
      </w:pPr>
      <w:r>
        <w:rPr/>
        <w:t>（</w:t>
      </w:r>
      <w:r>
        <w:rPr>
          <w:rFonts w:ascii="Times New Roman" w:hAnsi="Times New Roman" w:cs="Times New Roman" w:eastAsia="Times New Roman" w:hint="default"/>
        </w:rPr>
        <w:t>2</w:t>
      </w:r>
      <w:r>
        <w:rPr/>
        <w:t>）利率风险</w:t>
      </w:r>
      <w:r>
        <w:rPr>
          <w:b w:val="0"/>
          <w:bCs w:val="0"/>
        </w:rPr>
      </w:r>
    </w:p>
    <w:p>
      <w:pPr>
        <w:pStyle w:val="BodyText"/>
        <w:spacing w:line="319" w:lineRule="auto" w:before="63"/>
        <w:ind w:right="1132" w:firstLine="360"/>
        <w:jc w:val="both"/>
      </w:pPr>
      <w:r>
        <w:rPr>
          <w:spacing w:val="-2"/>
        </w:rPr>
        <w:t>本公司的利率风险主要产生于银行借款。浮动利率的金融负债使本公司面临现金流量利率风险，固定利率的金融负债使</w:t>
      </w:r>
      <w:r>
        <w:rPr/>
        <w:t> 本公司面临公允价值利率风险。本公司根据当时的市场环境来决定固定利率及浮动利率合同的相对比例。</w:t>
      </w:r>
    </w:p>
    <w:p>
      <w:pPr>
        <w:pStyle w:val="BodyText"/>
        <w:spacing w:line="316" w:lineRule="auto" w:before="17"/>
        <w:ind w:right="1131" w:firstLine="360"/>
        <w:jc w:val="both"/>
      </w:pPr>
      <w:r>
        <w:rPr>
          <w:spacing w:val="-2"/>
        </w:rPr>
        <w:t>本公司财务部门持续监控公司利率水平。利率上升会增加新增带息债务的成本以及本公司尚未付清的以浮动利率计息的</w:t>
      </w:r>
      <w:r>
        <w:rPr/>
        <w:t> </w:t>
      </w:r>
      <w:r>
        <w:rPr>
          <w:spacing w:val="-2"/>
        </w:rPr>
        <w:t>带息债务的利息支出，并对本公司的财务业绩产生重大的不利影响，管理层会依据最新的市场状况及时做出调整，这些调整</w:t>
      </w:r>
      <w:r>
        <w:rPr>
          <w:spacing w:val="-66"/>
        </w:rPr>
        <w:t> </w:t>
      </w:r>
      <w:r>
        <w:rPr>
          <w:spacing w:val="-66"/>
        </w:rPr>
      </w:r>
      <w:r>
        <w:rPr/>
        <w:t>可能是进行利率互换的安排来降低利率风险。</w:t>
      </w:r>
    </w:p>
    <w:p>
      <w:pPr>
        <w:pStyle w:val="BodyText"/>
        <w:spacing w:line="240" w:lineRule="auto" w:before="19"/>
        <w:ind w:left="660" w:right="1130"/>
        <w:jc w:val="left"/>
      </w:pPr>
      <w:r>
        <w:rPr/>
        <w:t>①本度公司无利率互换安排。</w:t>
      </w:r>
    </w:p>
    <w:p>
      <w:pPr>
        <w:pStyle w:val="BodyText"/>
        <w:spacing w:line="240" w:lineRule="auto" w:before="76"/>
        <w:ind w:left="660" w:right="1130"/>
        <w:jc w:val="left"/>
      </w:pPr>
      <w:r>
        <w:rPr/>
        <w:t>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日，本公司无长期带息债务主要为人民币计价的浮动利率合同。</w:t>
      </w:r>
    </w:p>
    <w:p>
      <w:pPr>
        <w:spacing w:line="240" w:lineRule="auto" w:before="1"/>
        <w:rPr>
          <w:rFonts w:ascii="宋体" w:hAnsi="宋体" w:cs="宋体" w:eastAsia="宋体" w:hint="default"/>
          <w:sz w:val="24"/>
          <w:szCs w:val="24"/>
        </w:rPr>
      </w:pPr>
    </w:p>
    <w:p>
      <w:pPr>
        <w:pStyle w:val="Heading2"/>
        <w:spacing w:line="240" w:lineRule="auto"/>
        <w:ind w:right="1130"/>
        <w:jc w:val="left"/>
        <w:rPr>
          <w:b w:val="0"/>
          <w:bCs w:val="0"/>
        </w:rPr>
      </w:pPr>
      <w:bookmarkStart w:name="十一、公允价值的披露" w:id="427"/>
      <w:bookmarkEnd w:id="42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以公允价值计量的资产和负债的期末公允价值" w:id="428"/>
      <w:bookmarkEnd w:id="42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2,060,800.00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2,060,800.00</w:t>
            </w:r>
          </w:p>
        </w:tc>
      </w:tr>
      <w:tr>
        <w:trPr>
          <w:trHeight w:val="161"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83"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2、持续和非持续第一层次公允价值计量项目市价的确定依据" w:id="429"/>
      <w:bookmarkEnd w:id="42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3、持续和非持续第二层次公允价值计量项目，采用的估值技术和重要参数的定性及定量信" w:id="430"/>
      <w:bookmarkEnd w:id="43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4、持续和非持续第三层次公允价值计量项目，采用的估值技术和重要参数的定性及定量信" w:id="431"/>
      <w:bookmarkEnd w:id="43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5、持续的第三层次公允价值计量项目，期初与期末账面价值间的调节信息及不可观察参数" w:id="432"/>
      <w:bookmarkEnd w:id="43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6、持续的公允价值计量项目，本期内发生各层级之间转换的，转换的原因及确定转换时点" w:id="433"/>
      <w:bookmarkEnd w:id="43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7、本期内发生的估值技术变更及变更原因" w:id="434"/>
      <w:bookmarkEnd w:id="43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8、不以公允价值计量的金融资产和金融负债的公允价值情况" w:id="435"/>
      <w:bookmarkEnd w:id="43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102" w:firstLine="0"/>
        <w:jc w:val="left"/>
        <w:rPr>
          <w:rFonts w:ascii="宋体" w:hAnsi="宋体" w:cs="宋体" w:eastAsia="宋体" w:hint="default"/>
          <w:sz w:val="21"/>
          <w:szCs w:val="21"/>
        </w:rPr>
      </w:pPr>
      <w:bookmarkStart w:name="9、其他" w:id="436"/>
      <w:bookmarkEnd w:id="43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7"/>
      <w:bookmarkEnd w:id="437"/>
      <w:r>
        <w:rPr>
          <w:rFonts w:ascii="宋体" w:hAnsi="宋体" w:cs="宋体" w:eastAsia="宋体" w:hint="default"/>
          <w:b/>
          <w:bCs/>
          <w:spacing w:val="1"/>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8"/>
      <w:bookmarkEnd w:id="4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34.88%</w:t>
            </w:r>
          </w:p>
        </w:tc>
      </w:tr>
    </w:tbl>
    <w:p>
      <w:pPr>
        <w:pStyle w:val="BodyText"/>
        <w:spacing w:line="240" w:lineRule="auto" w:before="51"/>
        <w:ind w:right="1130"/>
        <w:jc w:val="left"/>
      </w:pPr>
      <w:r>
        <w:rPr/>
        <w:t>本企业的母公司情况的说明</w:t>
      </w:r>
    </w:p>
    <w:p>
      <w:pPr>
        <w:spacing w:line="240" w:lineRule="auto" w:before="0"/>
        <w:rPr>
          <w:rFonts w:ascii="宋体" w:hAnsi="宋体" w:cs="宋体" w:eastAsia="宋体" w:hint="default"/>
          <w:sz w:val="15"/>
          <w:szCs w:val="15"/>
        </w:rPr>
      </w:pPr>
    </w:p>
    <w:p>
      <w:pPr>
        <w:pStyle w:val="BodyText"/>
        <w:spacing w:line="240" w:lineRule="auto"/>
        <w:ind w:left="517" w:right="1130"/>
        <w:jc w:val="left"/>
      </w:pPr>
      <w:r>
        <w:rPr/>
        <w:t>顾永德直接持有本公司</w:t>
      </w:r>
      <w:r>
        <w:rPr>
          <w:rFonts w:ascii="Times New Roman" w:hAnsi="Times New Roman" w:cs="Times New Roman" w:eastAsia="Times New Roman" w:hint="default"/>
        </w:rPr>
        <w:t>30.64%</w:t>
      </w:r>
      <w:r>
        <w:rPr/>
        <w:t>的股份，并通过深圳德旺投资发展有限公司持有本公司</w:t>
      </w:r>
      <w:r>
        <w:rPr>
          <w:rFonts w:ascii="Times New Roman" w:hAnsi="Times New Roman" w:cs="Times New Roman" w:eastAsia="Times New Roman" w:hint="default"/>
        </w:rPr>
        <w:t>4.24%</w:t>
      </w:r>
      <w:r>
        <w:rPr/>
        <w:t>的股份，合计持有公司</w:t>
      </w:r>
    </w:p>
    <w:p>
      <w:pPr>
        <w:pStyle w:val="BodyText"/>
        <w:spacing w:line="240" w:lineRule="auto" w:before="61"/>
        <w:ind w:right="1130"/>
        <w:jc w:val="left"/>
      </w:pPr>
      <w:r>
        <w:rPr>
          <w:rFonts w:ascii="Times New Roman" w:hAnsi="Times New Roman" w:cs="Times New Roman" w:eastAsia="Times New Roman" w:hint="default"/>
        </w:rPr>
        <w:t>34.88%</w:t>
      </w:r>
      <w:r>
        <w:rPr/>
        <w:t>股权。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ind w:right="8412"/>
        <w:jc w:val="left"/>
      </w:pPr>
      <w:r>
        <w:rPr/>
        <w:t>本企业最终控制方是顾永德。 其他说明：</w:t>
      </w:r>
    </w:p>
    <w:p>
      <w:pPr>
        <w:spacing w:line="240" w:lineRule="auto" w:before="11"/>
        <w:rPr>
          <w:rFonts w:ascii="宋体" w:hAnsi="宋体" w:cs="宋体" w:eastAsia="宋体" w:hint="default"/>
          <w:sz w:val="19"/>
          <w:szCs w:val="19"/>
        </w:rPr>
      </w:pPr>
    </w:p>
    <w:p>
      <w:pPr>
        <w:spacing w:line="547" w:lineRule="auto" w:before="0"/>
        <w:ind w:left="154" w:right="4002" w:firstLine="0"/>
        <w:jc w:val="left"/>
        <w:rPr>
          <w:rFonts w:ascii="宋体" w:hAnsi="宋体" w:cs="宋体" w:eastAsia="宋体" w:hint="default"/>
          <w:sz w:val="21"/>
          <w:szCs w:val="21"/>
        </w:rPr>
      </w:pPr>
      <w:bookmarkStart w:name="2、本企业的子公司情况" w:id="439"/>
      <w:bookmarkEnd w:id="4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本企业子公司的情况详见附注第十一节、九、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40"/>
      <w:bookmarkEnd w:id="44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2"/>
        <w:jc w:val="left"/>
      </w:pPr>
      <w:r>
        <w:rPr/>
        <w:t>本企业重要的合营或联营企业详见附注第十一节、九、</w:t>
      </w:r>
      <w:r>
        <w:rPr>
          <w:rFonts w:ascii="Times New Roman" w:hAnsi="Times New Roman" w:cs="Times New Roman" w:eastAsia="Times New Roman" w:hint="default"/>
        </w:rPr>
        <w:t>3“</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4、其他关联方情况" w:id="441"/>
      <w:bookmarkEnd w:id="44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持有本公司控股子公司海宁茂硕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33.9091%</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安徽新国利英核能源有限公司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本公司控股子公司茂硕新能源持有其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深圳市迈斯达尔医疗器械有限公司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本公司控股子公司茂硕电气持有其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26.40%</w:t>
            </w:r>
            <w:r>
              <w:rPr>
                <w:rFonts w:ascii="宋体" w:hAnsi="宋体" w:cs="宋体" w:eastAsia="宋体" w:hint="default"/>
                <w:sz w:val="18"/>
                <w:szCs w:val="18"/>
              </w:rPr>
              <w:t>的股份</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5、关联交易情况" w:id="442"/>
      <w:bookmarkEnd w:id="44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购销商品、提供和接受劳务的关联交易" w:id="443"/>
      <w:bookmarkEnd w:id="44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6"/>
                <w:sz w:val="18"/>
                <w:szCs w:val="18"/>
              </w:rPr>
              <w:t>采购原材料、商品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12,849,129.85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8,499,394.18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1,398,163.00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2,277,528.16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杭州骑客智能科技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4,560,094.74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河南弘康茂硕电气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596,591.59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727,521.37</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海宁市诺耶科华太 阳能电力工程有限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1,670,849.45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安徽新国利英核能 源有限公司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39,151.77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16,514,733.89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16,103,690.22</w:t>
            </w:r>
          </w:p>
        </w:tc>
      </w:tr>
    </w:tbl>
    <w:p>
      <w:pPr>
        <w:pStyle w:val="BodyText"/>
        <w:spacing w:line="240" w:lineRule="auto" w:before="51"/>
        <w:ind w:right="113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5,708,097.24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1,762,302.55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湖南茂硕新能源科技有限公司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1,286,292.74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6,155,619.40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722,281.20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177,826.05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8,756,692.53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7,055,726.65</w:t>
            </w:r>
          </w:p>
        </w:tc>
      </w:tr>
    </w:tbl>
    <w:p>
      <w:pPr>
        <w:pStyle w:val="BodyText"/>
        <w:spacing w:line="240" w:lineRule="auto" w:before="51"/>
        <w:ind w:right="113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关联受托管理/承包及委托管理/出包情况" w:id="444"/>
      <w:bookmarkEnd w:id="44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113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3）关联租赁情况" w:id="445"/>
      <w:bookmarkEnd w:id="44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深圳前海茂硕新能源科技有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22,247.60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142,444.29</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142,444.29</w:t>
            </w:r>
          </w:p>
        </w:tc>
      </w:tr>
    </w:tbl>
    <w:p>
      <w:pPr>
        <w:pStyle w:val="BodyText"/>
        <w:spacing w:line="240" w:lineRule="auto" w:before="51"/>
        <w:ind w:right="113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4）关联担保情况" w:id="446"/>
      <w:bookmarkEnd w:id="44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茂 硕电气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left"/>
      </w:pPr>
      <w:r>
        <w:rPr/>
        <w:t>关联担保情况说明</w:t>
      </w:r>
    </w:p>
    <w:p>
      <w:pPr>
        <w:pStyle w:val="BodyText"/>
        <w:spacing w:line="240" w:lineRule="auto" w:before="116"/>
        <w:ind w:left="514" w:right="1130"/>
        <w:jc w:val="left"/>
      </w:pPr>
      <w:r>
        <w:rPr>
          <w:rFonts w:ascii="Times New Roman" w:hAnsi="Times New Roman" w:cs="Times New Roman" w:eastAsia="Times New Roman" w:hint="default"/>
        </w:rPr>
        <w:t>*</w:t>
      </w:r>
      <w:r>
        <w:rPr/>
        <w:t>本公司与茂硕电子共同为惠州茂硕提供担保。</w:t>
      </w:r>
    </w:p>
    <w:p>
      <w:pPr>
        <w:spacing w:line="240" w:lineRule="auto" w:before="11"/>
        <w:rPr>
          <w:rFonts w:ascii="宋体" w:hAnsi="宋体" w:cs="宋体" w:eastAsia="宋体" w:hint="default"/>
          <w:sz w:val="25"/>
          <w:szCs w:val="25"/>
        </w:rPr>
      </w:pPr>
    </w:p>
    <w:p>
      <w:pPr>
        <w:pStyle w:val="Heading3"/>
        <w:spacing w:line="240" w:lineRule="auto"/>
        <w:ind w:right="1130"/>
        <w:jc w:val="left"/>
        <w:rPr>
          <w:b w:val="0"/>
          <w:bCs w:val="0"/>
        </w:rPr>
      </w:pPr>
      <w:bookmarkStart w:name="（5）关联方资金拆借" w:id="447"/>
      <w:bookmarkEnd w:id="44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6）关联方资产转让、债务重组情况" w:id="448"/>
      <w:bookmarkEnd w:id="44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1130"/>
        <w:jc w:val="left"/>
        <w:rPr>
          <w:b w:val="0"/>
          <w:bCs w:val="0"/>
        </w:rPr>
      </w:pPr>
      <w:bookmarkStart w:name="（7）关键管理人员报酬" w:id="449"/>
      <w:bookmarkEnd w:id="44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3,504,500.00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8）其他关联交易" w:id="450"/>
      <w:bookmarkEnd w:id="45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6、关联方应收应付款项" w:id="451"/>
      <w:bookmarkEnd w:id="4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应收项目" w:id="452"/>
      <w:bookmarkEnd w:id="4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湖南茂硕电气有限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2,604,980.50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125,936.53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4,400,550.50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山西茂硕光伏电力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3,407,320.00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125,627.50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河南茂硕电气有限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3,167,834.00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158,391.70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5"/>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1"/>
                <w:sz w:val="18"/>
              </w:rPr>
              <w:t> </w:t>
            </w:r>
            <w:r>
              <w:rPr>
                <w:rFonts w:ascii="Times New Roman"/>
                <w:sz w:val="18"/>
              </w:rPr>
              <w:t>Info</w:t>
            </w:r>
            <w:r>
              <w:rPr>
                <w:rFonts w:ascii="Times New Roman"/>
                <w:w w:val="99"/>
                <w:sz w:val="18"/>
              </w:rPr>
              <w:t> </w:t>
            </w:r>
            <w:r>
              <w:rPr>
                <w:rFonts w:ascii="Times New Roman"/>
                <w:sz w:val="18"/>
              </w:rPr>
              <w:t>Corporation</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7,157,343.92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5,921,967.93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8,186,425.59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6,549,140.47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河南弘康茂硕电气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624,110.72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31,205.54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1,625.41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65.37</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海宁市诺耶科华太 阳能电力工程有限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深圳前海茂硕新能 源科技有限公司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2）应付项目" w:id="453"/>
      <w:bookmarkEnd w:id="4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1,186,981.66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10,254,348.93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7,603,749.28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3,988,250.01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海宁市诺耶科华太阳能电力 工程有限公司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2,694,860.00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1,792,900.06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安徽新国利英核能源有限公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深圳市迈斯达尔医疗器械有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262,645.83</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深圳前海茂硕新能源科技有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23,360.00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7、关联方承诺" w:id="454"/>
      <w:bookmarkEnd w:id="45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5"/>
      <w:bookmarkEnd w:id="4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6"/>
      <w:bookmarkEnd w:id="45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以权益结算的股份支付情况" w:id="458"/>
      <w:bookmarkEnd w:id="45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3、以现金结算的股份支付情况" w:id="459"/>
      <w:bookmarkEnd w:id="45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4、股份支付的修改、终止情况" w:id="460"/>
      <w:bookmarkEnd w:id="46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61"/>
      <w:bookmarkEnd w:id="46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2"/>
      <w:bookmarkEnd w:id="46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3"/>
      <w:bookmarkEnd w:id="46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1130"/>
        <w:jc w:val="left"/>
      </w:pPr>
      <w:r>
        <w:rPr/>
        <w:t>资产负债表日存在的重要承诺</w:t>
      </w:r>
    </w:p>
    <w:p>
      <w:pPr>
        <w:pStyle w:val="Heading4"/>
        <w:spacing w:line="240" w:lineRule="auto" w:before="116"/>
        <w:ind w:left="232" w:right="113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已签订的正在或准备履行的租赁合同及财务影响</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3967"/>
        <w:gridCol w:w="2864"/>
        <w:gridCol w:w="2864"/>
      </w:tblGrid>
      <w:tr>
        <w:trPr>
          <w:trHeight w:val="426"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864"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1"/>
                <w:sz w:val="18"/>
              </w:rPr>
              <w:t>7,521,819.84</w:t>
            </w:r>
          </w:p>
        </w:tc>
      </w:tr>
      <w:tr>
        <w:trPr>
          <w:trHeight w:val="42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pacing w:val="-1"/>
                <w:sz w:val="18"/>
              </w:rPr>
              <w:t>7,615,838.69</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1"/>
                <w:sz w:val="18"/>
              </w:rPr>
              <w:t>7,989,014.78</w:t>
            </w:r>
          </w:p>
        </w:tc>
      </w:tr>
      <w:tr>
        <w:trPr>
          <w:trHeight w:val="42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pacing w:val="-1"/>
                <w:sz w:val="18"/>
              </w:rPr>
              <w:t>8,521,653.95</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1"/>
                <w:sz w:val="18"/>
              </w:rPr>
              <w:t>8,939,215.00</w:t>
            </w:r>
          </w:p>
        </w:tc>
      </w:tr>
      <w:tr>
        <w:trPr>
          <w:trHeight w:val="42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pacing w:val="-1"/>
                <w:sz w:val="18"/>
              </w:rPr>
              <w:t>9,050,962.69</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1"/>
                <w:sz w:val="18"/>
              </w:rPr>
              <w:t>9,494,459.87</w:t>
            </w:r>
          </w:p>
        </w:tc>
      </w:tr>
      <w:tr>
        <w:trPr>
          <w:trHeight w:val="426"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8"/>
              <w:jc w:val="right"/>
              <w:rPr>
                <w:rFonts w:ascii="Times New Roman" w:hAnsi="Times New Roman" w:cs="Times New Roman" w:eastAsia="Times New Roman" w:hint="default"/>
                <w:sz w:val="18"/>
                <w:szCs w:val="18"/>
              </w:rPr>
            </w:pPr>
            <w:r>
              <w:rPr>
                <w:rFonts w:ascii="Times New Roman"/>
                <w:spacing w:val="-1"/>
                <w:sz w:val="18"/>
              </w:rPr>
              <w:t>22,764,431.05</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7"/>
              <w:jc w:val="right"/>
              <w:rPr>
                <w:rFonts w:ascii="Times New Roman" w:hAnsi="Times New Roman" w:cs="Times New Roman" w:eastAsia="Times New Roman" w:hint="default"/>
                <w:sz w:val="18"/>
                <w:szCs w:val="18"/>
              </w:rPr>
            </w:pPr>
            <w:r>
              <w:rPr>
                <w:rFonts w:ascii="Times New Roman"/>
                <w:spacing w:val="-1"/>
                <w:sz w:val="18"/>
              </w:rPr>
              <w:t>23,879,888.18</w:t>
            </w:r>
          </w:p>
        </w:tc>
      </w:tr>
      <w:tr>
        <w:trPr>
          <w:trHeight w:val="428"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b/>
                <w:spacing w:val="-1"/>
                <w:sz w:val="18"/>
              </w:rPr>
              <w:t>47,952,886.38</w:t>
            </w:r>
            <w:r>
              <w:rPr>
                <w:rFonts w:ascii="Times New Roman"/>
                <w:spacing w:val="-1"/>
                <w:sz w:val="18"/>
              </w:rPr>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b/>
                <w:spacing w:val="-1"/>
                <w:sz w:val="18"/>
              </w:rPr>
              <w:t>57,824,397.67</w:t>
            </w:r>
            <w:r>
              <w:rPr>
                <w:rFonts w:ascii="Times New Roman"/>
                <w:spacing w:val="-1"/>
                <w:sz w:val="18"/>
              </w:rPr>
            </w:r>
          </w:p>
        </w:tc>
      </w:tr>
    </w:tbl>
    <w:p>
      <w:pPr>
        <w:pStyle w:val="BodyText"/>
        <w:spacing w:line="240" w:lineRule="auto" w:before="10"/>
        <w:ind w:left="604" w:right="1130"/>
        <w:jc w:val="left"/>
      </w:pPr>
      <w:r>
        <w:rPr/>
        <w:t>除存在上述承诺事项外，截止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p>
    <w:p>
      <w:pPr>
        <w:spacing w:line="240" w:lineRule="auto" w:before="12"/>
        <w:rPr>
          <w:rFonts w:ascii="宋体" w:hAnsi="宋体" w:cs="宋体" w:eastAsia="宋体" w:hint="default"/>
          <w:sz w:val="25"/>
          <w:szCs w:val="25"/>
        </w:rPr>
      </w:pPr>
    </w:p>
    <w:p>
      <w:pPr>
        <w:pStyle w:val="Heading3"/>
        <w:spacing w:line="240" w:lineRule="auto"/>
        <w:ind w:right="1130"/>
        <w:jc w:val="left"/>
        <w:rPr>
          <w:b w:val="0"/>
          <w:bCs w:val="0"/>
        </w:rPr>
      </w:pPr>
      <w:bookmarkStart w:name="2、或有事项" w:id="464"/>
      <w:bookmarkEnd w:id="46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资产负债表日存在的重要或有事项" w:id="465"/>
      <w:bookmarkEnd w:id="46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line="300" w:lineRule="auto" w:before="0"/>
        <w:ind w:left="534" w:right="0" w:firstLine="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对外提供债务担保形成的或有事项及其财务影响</w:t>
      </w:r>
      <w:r>
        <w:rPr>
          <w:rFonts w:ascii="宋体" w:hAnsi="宋体" w:cs="宋体" w:eastAsia="宋体" w:hint="default"/>
          <w:b/>
          <w:bCs/>
          <w:w w:val="99"/>
          <w:sz w:val="18"/>
          <w:szCs w:val="18"/>
        </w:rPr>
        <w:t> </w:t>
      </w:r>
      <w:r>
        <w:rPr>
          <w:rFonts w:ascii="宋体" w:hAnsi="宋体" w:cs="宋体" w:eastAsia="宋体" w:hint="default"/>
          <w:spacing w:val="-2"/>
          <w:sz w:val="18"/>
          <w:szCs w:val="18"/>
        </w:rPr>
        <w:t>为关联方提供担保详见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本报告第十一节、十二、关联方及关联交易之</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。除存在上述或有事项外，截止</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p>
    <w:p>
      <w:pPr>
        <w:pStyle w:val="BodyText"/>
        <w:spacing w:line="240" w:lineRule="auto" w:before="13"/>
        <w:ind w:right="1130"/>
        <w:jc w:val="left"/>
      </w:pPr>
      <w:r>
        <w:rPr/>
        <w:t>月</w:t>
      </w:r>
      <w:r>
        <w:rPr>
          <w:rFonts w:ascii="Times New Roman" w:hAnsi="Times New Roman" w:cs="Times New Roman" w:eastAsia="Times New Roman" w:hint="default"/>
        </w:rPr>
        <w:t>31</w:t>
      </w:r>
      <w:r>
        <w:rPr/>
        <w:t>日，本公司无其他应披露未披露的重要或有事项。</w:t>
      </w:r>
    </w:p>
    <w:p>
      <w:pPr>
        <w:spacing w:line="240" w:lineRule="auto" w:before="11"/>
        <w:rPr>
          <w:rFonts w:ascii="宋体" w:hAnsi="宋体" w:cs="宋体" w:eastAsia="宋体" w:hint="default"/>
          <w:sz w:val="25"/>
          <w:szCs w:val="25"/>
        </w:rPr>
      </w:pPr>
    </w:p>
    <w:p>
      <w:pPr>
        <w:pStyle w:val="Heading3"/>
        <w:spacing w:line="240" w:lineRule="auto"/>
        <w:ind w:right="1130"/>
        <w:jc w:val="left"/>
        <w:rPr>
          <w:b w:val="0"/>
          <w:bCs w:val="0"/>
        </w:rPr>
      </w:pPr>
      <w:bookmarkStart w:name="（2）公司没有需要披露的重要或有事项，也应予以说明" w:id="466"/>
      <w:bookmarkEnd w:id="46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7"/>
      <w:bookmarkEnd w:id="4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8"/>
      <w:bookmarkEnd w:id="46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9"/>
      <w:bookmarkEnd w:id="46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2、利润分配情况" w:id="470"/>
      <w:bookmarkEnd w:id="47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3、销售退回" w:id="471"/>
      <w:bookmarkEnd w:id="47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4、其他资产负债表日后事项说明" w:id="472"/>
      <w:bookmarkEnd w:id="47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w:t>
      </w:r>
      <w:r>
        <w:rPr>
          <w:spacing w:val="-1"/>
        </w:rPr>
        <w:t>公司与平安银行股份有限公司深圳分行签订的《综合授信额度合同》及《最高额抵押担保合同》，</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 </w:t>
      </w:r>
      <w:r>
        <w:rPr/>
        <w:t>月，公司与平安银行股份有限公司深圳分行签订《贷款合同》（平银【深圳】贷字第</w:t>
      </w:r>
      <w:r>
        <w:rPr>
          <w:rFonts w:ascii="Times New Roman" w:hAnsi="Times New Roman" w:cs="Times New Roman" w:eastAsia="Times New Roman" w:hint="default"/>
        </w:rPr>
        <w:t>B224201901080001</w:t>
      </w:r>
      <w:r>
        <w:rPr/>
        <w:t>），借款金额为人 民币</w:t>
      </w:r>
      <w:r>
        <w:rPr>
          <w:rFonts w:ascii="Times New Roman" w:hAnsi="Times New Roman" w:cs="Times New Roman" w:eastAsia="Times New Roman" w:hint="default"/>
        </w:rPr>
        <w:t>1.2</w:t>
      </w:r>
      <w:r>
        <w:rPr/>
        <w:t>亿元，借款期限为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日，惠州茂硕将其位于博罗县罗阳镇三徐村委会、梅花村委会地段的 </w:t>
      </w:r>
      <w:r>
        <w:rPr>
          <w:spacing w:val="-1"/>
        </w:rPr>
        <w:t>房产</w:t>
      </w:r>
      <w:r>
        <w:rPr>
          <w:rFonts w:ascii="Times New Roman" w:hAnsi="Times New Roman" w:cs="Times New Roman" w:eastAsia="Times New Roman" w:hint="default"/>
          <w:spacing w:val="-1"/>
        </w:rPr>
        <w:t>(</w:t>
      </w:r>
      <w:r>
        <w:rPr>
          <w:spacing w:val="-1"/>
        </w:rPr>
        <w:t>粤房地权证博罗字第</w:t>
      </w:r>
      <w:r>
        <w:rPr>
          <w:rFonts w:ascii="Times New Roman" w:hAnsi="Times New Roman" w:cs="Times New Roman" w:eastAsia="Times New Roman" w:hint="default"/>
          <w:spacing w:val="-1"/>
        </w:rPr>
        <w:t>1100022058</w:t>
      </w:r>
      <w:r>
        <w:rPr>
          <w:spacing w:val="-1"/>
        </w:rPr>
        <w:t>号</w:t>
      </w:r>
      <w:r>
        <w:rPr>
          <w:rFonts w:ascii="Times New Roman" w:hAnsi="Times New Roman" w:cs="Times New Roman" w:eastAsia="Times New Roman" w:hint="default"/>
          <w:spacing w:val="-1"/>
        </w:rPr>
        <w:t>-</w:t>
      </w:r>
      <w:r>
        <w:rPr>
          <w:spacing w:val="-1"/>
        </w:rPr>
        <w:t>粤房地权证博罗字第</w:t>
      </w:r>
      <w:r>
        <w:rPr>
          <w:rFonts w:ascii="Times New Roman" w:hAnsi="Times New Roman" w:cs="Times New Roman" w:eastAsia="Times New Roman" w:hint="default"/>
          <w:spacing w:val="-1"/>
        </w:rPr>
        <w:t>1100022061</w:t>
      </w:r>
      <w:r>
        <w:rPr>
          <w:spacing w:val="-1"/>
        </w:rPr>
        <w:t>号）和土地（博府国用</w:t>
      </w:r>
      <w:r>
        <w:rPr>
          <w:rFonts w:ascii="Times New Roman" w:hAnsi="Times New Roman" w:cs="Times New Roman" w:eastAsia="Times New Roman" w:hint="default"/>
          <w:spacing w:val="-1"/>
        </w:rPr>
        <w:t>2010</w:t>
      </w:r>
      <w:r>
        <w:rPr>
          <w:spacing w:val="-1"/>
        </w:rPr>
        <w:t>第</w:t>
      </w:r>
      <w:r>
        <w:rPr>
          <w:rFonts w:ascii="Times New Roman" w:hAnsi="Times New Roman" w:cs="Times New Roman" w:eastAsia="Times New Roman" w:hint="default"/>
          <w:spacing w:val="-1"/>
        </w:rPr>
        <w:t>011611</w:t>
      </w:r>
      <w:r>
        <w:rPr>
          <w:spacing w:val="-1"/>
        </w:rPr>
        <w:t>号、博府国用</w:t>
      </w:r>
      <w:r>
        <w:rPr>
          <w:spacing w:val="-44"/>
        </w:rPr>
        <w:t> </w:t>
      </w:r>
      <w:r>
        <w:rPr>
          <w:spacing w:val="-44"/>
        </w:rPr>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011171</w:t>
      </w:r>
      <w:r>
        <w:rPr/>
        <w:t>号）为前述借款提供全额抵押担保。</w:t>
      </w:r>
    </w:p>
    <w:p>
      <w:pPr>
        <w:pStyle w:val="BodyText"/>
        <w:spacing w:line="316" w:lineRule="auto" w:before="13"/>
        <w:ind w:right="1130" w:firstLine="360"/>
        <w:jc w:val="left"/>
      </w:pPr>
      <w:r>
        <w:rPr>
          <w:spacing w:val="-2"/>
        </w:rPr>
        <w:t>除存在上述资产负债表日后事项外，截至财务报告批准报出日止，本公司无其他应披露未披露的重大资产负债表日后事</w:t>
      </w:r>
      <w:r>
        <w:rPr/>
        <w:t> 项。</w:t>
      </w:r>
    </w:p>
    <w:p>
      <w:pPr>
        <w:spacing w:line="240" w:lineRule="auto" w:before="10"/>
        <w:rPr>
          <w:rFonts w:ascii="宋体" w:hAnsi="宋体" w:cs="宋体" w:eastAsia="宋体" w:hint="default"/>
          <w:sz w:val="20"/>
          <w:szCs w:val="20"/>
        </w:rPr>
      </w:pPr>
    </w:p>
    <w:p>
      <w:pPr>
        <w:pStyle w:val="Heading2"/>
        <w:spacing w:line="240" w:lineRule="auto"/>
        <w:ind w:right="1130"/>
        <w:jc w:val="left"/>
        <w:rPr>
          <w:b w:val="0"/>
          <w:bCs w:val="0"/>
        </w:rPr>
      </w:pPr>
      <w:bookmarkStart w:name="十六、其他重要事项" w:id="473"/>
      <w:bookmarkEnd w:id="47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前期会计差错更正" w:id="474"/>
      <w:bookmarkEnd w:id="47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追溯重述法" w:id="475"/>
      <w:bookmarkEnd w:id="47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未来适用法" w:id="476"/>
      <w:bookmarkEnd w:id="47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right="1130"/>
        <w:jc w:val="left"/>
        <w:rPr>
          <w:b w:val="0"/>
          <w:bCs w:val="0"/>
        </w:rPr>
      </w:pPr>
      <w:bookmarkStart w:name="2、债务重组" w:id="477"/>
      <w:bookmarkEnd w:id="47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3、资产置换" w:id="478"/>
      <w:bookmarkEnd w:id="47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非货币性资产交换" w:id="479"/>
      <w:bookmarkEnd w:id="47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2）其他资产置换" w:id="480"/>
      <w:bookmarkEnd w:id="48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4、年金计划" w:id="481"/>
      <w:bookmarkEnd w:id="48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5、终止经营" w:id="482"/>
      <w:bookmarkEnd w:id="48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after="0" w:line="316"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6、分部信息" w:id="483"/>
      <w:bookmarkEnd w:id="48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1）报告分部的确定依据与会计政策" w:id="484"/>
      <w:bookmarkEnd w:id="4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left"/>
      </w:pPr>
      <w:r>
        <w:rPr>
          <w:spacing w:val="-2"/>
        </w:rPr>
        <w:t>本公司以内部组织结构、管理要求、内部报告制度为依据确定经营分部。本公司的经营分部是指同时满足下列条件的组</w:t>
      </w:r>
      <w:r>
        <w:rPr/>
        <w:t> 成部分：</w:t>
      </w:r>
    </w:p>
    <w:p>
      <w:pPr>
        <w:pStyle w:val="BodyText"/>
        <w:spacing w:line="240" w:lineRule="auto" w:before="19"/>
        <w:ind w:left="444" w:right="1130"/>
        <w:jc w:val="left"/>
      </w:pPr>
      <w:r>
        <w:rPr/>
        <w:t>①该组成部分能够在日常活动中产生收入、发生费用；</w:t>
      </w:r>
    </w:p>
    <w:p>
      <w:pPr>
        <w:pStyle w:val="BodyText"/>
        <w:spacing w:line="240" w:lineRule="auto" w:before="76"/>
        <w:ind w:left="444" w:right="1130"/>
        <w:jc w:val="left"/>
      </w:pPr>
      <w:r>
        <w:rPr/>
        <w:t>②管理层能够定期评价该组成部分的经营成果，以决定向其配置资源、评价其业绩；</w:t>
      </w:r>
    </w:p>
    <w:p>
      <w:pPr>
        <w:pStyle w:val="BodyText"/>
        <w:spacing w:line="316" w:lineRule="auto" w:before="76"/>
        <w:ind w:left="514" w:right="3372" w:hanging="70"/>
        <w:jc w:val="left"/>
      </w:pPr>
      <w:r>
        <w:rPr/>
        <w:t>③能够取得该组成部分的财务状况、经营成果和现金流量等有关会计信息。 本公司以经营分部为基础确定报告分部，满足下列条件之一的经营分部确定为报告分部：</w:t>
      </w:r>
    </w:p>
    <w:p>
      <w:pPr>
        <w:pStyle w:val="BodyText"/>
        <w:spacing w:line="240" w:lineRule="auto" w:before="19"/>
        <w:ind w:left="444" w:right="1130"/>
        <w:jc w:val="left"/>
      </w:pPr>
      <w:r>
        <w:rPr/>
        <w:t>①该经营分部的分部收入占所有分部收入合计的</w:t>
      </w:r>
      <w:r>
        <w:rPr>
          <w:rFonts w:ascii="Times New Roman" w:hAnsi="Times New Roman" w:cs="Times New Roman" w:eastAsia="Times New Roman" w:hint="default"/>
        </w:rPr>
        <w:t>10%</w:t>
      </w:r>
      <w:r>
        <w:rPr/>
        <w:t>或者以上；</w:t>
      </w:r>
    </w:p>
    <w:p>
      <w:pPr>
        <w:pStyle w:val="BodyText"/>
        <w:spacing w:line="316" w:lineRule="auto" w:before="63"/>
        <w:ind w:right="1130" w:firstLine="290"/>
        <w:jc w:val="left"/>
      </w:pPr>
      <w:r>
        <w:rPr>
          <w:spacing w:val="-1"/>
        </w:rPr>
        <w:t>②该分部的分部利润（亏损）的绝对额，占所有盈利分部利润合计额或者所有亏损分部亏损合计额的绝对额两者中较大</w:t>
      </w:r>
      <w:r>
        <w:rPr/>
        <w:t> 者的</w:t>
      </w:r>
      <w:r>
        <w:rPr>
          <w:rFonts w:ascii="Times New Roman" w:hAnsi="Times New Roman" w:cs="Times New Roman" w:eastAsia="Times New Roman" w:hint="default"/>
        </w:rPr>
        <w:t>10%</w:t>
      </w:r>
      <w:r>
        <w:rPr/>
        <w:t>或者以上。</w:t>
      </w:r>
    </w:p>
    <w:p>
      <w:pPr>
        <w:pStyle w:val="BodyText"/>
        <w:spacing w:line="300" w:lineRule="auto"/>
        <w:ind w:right="1115" w:firstLine="360"/>
        <w:jc w:val="left"/>
      </w:pPr>
      <w:r>
        <w:rPr>
          <w:spacing w:val="-1"/>
        </w:rPr>
        <w:t>按上述会计政策确定的报告分部的经营分部的对外交易收入合计额占合并总收入的比重未达到</w:t>
      </w:r>
      <w:r>
        <w:rPr>
          <w:rFonts w:ascii="Times New Roman" w:hAnsi="Times New Roman" w:cs="Times New Roman" w:eastAsia="Times New Roman" w:hint="default"/>
          <w:spacing w:val="-1"/>
        </w:rPr>
        <w:t>75%</w:t>
      </w:r>
      <w:r>
        <w:rPr>
          <w:spacing w:val="-1"/>
        </w:rPr>
        <w:t>时，增加报告分部的</w:t>
      </w:r>
      <w:r>
        <w:rPr/>
        <w:t> 数量，按下述规定将其他未作为报告分部的经营分部纳入报告分部的范围，直到该比重达到</w:t>
      </w:r>
      <w:r>
        <w:rPr>
          <w:rFonts w:ascii="Times New Roman" w:hAnsi="Times New Roman" w:cs="Times New Roman" w:eastAsia="Times New Roman" w:hint="default"/>
        </w:rPr>
        <w:t>75%</w:t>
      </w:r>
      <w:r>
        <w:rPr/>
        <w:t>：</w:t>
      </w:r>
    </w:p>
    <w:p>
      <w:pPr>
        <w:pStyle w:val="BodyText"/>
        <w:spacing w:line="240" w:lineRule="auto" w:before="13"/>
        <w:ind w:left="444" w:right="1130"/>
        <w:jc w:val="left"/>
      </w:pPr>
      <w:r>
        <w:rPr/>
        <w:t>①将管理层认为披露该经营分部信息对会计信息使用者有用的经营分部确定为报告分部；</w:t>
      </w:r>
    </w:p>
    <w:p>
      <w:pPr>
        <w:pStyle w:val="BodyText"/>
        <w:spacing w:line="316" w:lineRule="auto" w:before="76"/>
        <w:ind w:right="1130" w:firstLine="290"/>
        <w:jc w:val="left"/>
      </w:pPr>
      <w:r>
        <w:rPr>
          <w:spacing w:val="-1"/>
        </w:rPr>
        <w:t>②将该经营分部与一个或一个以上的具有相似经济特征、满足经营分部合并条件的其他经营分部合并，作为一个报告分</w:t>
      </w:r>
      <w:r>
        <w:rPr/>
        <w:t> 部。</w:t>
      </w:r>
    </w:p>
    <w:p>
      <w:pPr>
        <w:pStyle w:val="BodyText"/>
        <w:spacing w:line="240" w:lineRule="auto" w:before="19"/>
        <w:ind w:left="444" w:right="1130"/>
        <w:jc w:val="left"/>
      </w:pPr>
      <w:r>
        <w:rPr/>
        <w:t>分部间转移价格参照市场价格确定，与各分部共同使用的资产、相关的费用按照收入比例在不同的分部之间分配。</w:t>
      </w:r>
    </w:p>
    <w:p>
      <w:pPr>
        <w:spacing w:line="240" w:lineRule="auto" w:before="12"/>
        <w:rPr>
          <w:rFonts w:ascii="宋体" w:hAnsi="宋体" w:cs="宋体" w:eastAsia="宋体" w:hint="default"/>
          <w:sz w:val="26"/>
          <w:szCs w:val="26"/>
        </w:rPr>
      </w:pPr>
    </w:p>
    <w:p>
      <w:pPr>
        <w:pStyle w:val="Heading3"/>
        <w:spacing w:line="240" w:lineRule="auto"/>
        <w:ind w:right="1130"/>
        <w:jc w:val="left"/>
        <w:rPr>
          <w:b w:val="0"/>
          <w:bCs w:val="0"/>
        </w:rPr>
      </w:pPr>
      <w:bookmarkStart w:name="（2）报告分部的财务信息" w:id="485"/>
      <w:bookmarkEnd w:id="4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电源</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1,207,392,800.00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44,530,100.00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75,983,900.00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-933,800.00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1,326,973,000.00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993,445,600.00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17,648,700.00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62,001,700.00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-167,200.00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1,072,928,800.00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1,862,664,200.00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300,544,500.00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33,120,000.00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-491,128,900.00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1,705,199,800.00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1,080,569,200.00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70,582,400.00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-341,283,000.00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1,148,253,600.00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3）公司无报告分部的，或者不能披露各报告分部的资产总额和负债总额的，应说明原因" w:id="486"/>
      <w:bookmarkEnd w:id="48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4）其他说明" w:id="487"/>
      <w:bookmarkEnd w:id="48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0"/>
        <w:jc w:val="left"/>
        <w:rPr>
          <w:b w:val="0"/>
          <w:bCs w:val="0"/>
        </w:rPr>
      </w:pPr>
      <w:bookmarkStart w:name="7、其他对投资者决策有影响的重要交易和事项" w:id="488"/>
      <w:bookmarkEnd w:id="48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472" w:firstLine="0"/>
        <w:jc w:val="left"/>
        <w:rPr>
          <w:rFonts w:ascii="宋体" w:hAnsi="宋体" w:cs="宋体" w:eastAsia="宋体" w:hint="default"/>
          <w:sz w:val="21"/>
          <w:szCs w:val="21"/>
        </w:rPr>
      </w:pPr>
      <w:bookmarkStart w:name="8、其他" w:id="489"/>
      <w:bookmarkEnd w:id="48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0"/>
      <w:bookmarkEnd w:id="49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91"/>
      <w:bookmarkEnd w:id="49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25,705,658.60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39,240,613.48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170,707,018.70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281,704,340.61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196,412,677.30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320,944,954.09</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应收票据" w:id="492"/>
      <w:bookmarkEnd w:id="49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应收票据分类列示</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10,439,846.38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24,235,109.71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15,265,812.22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15,005,503.77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25,705,658.60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39,240,613.48</w:t>
            </w:r>
          </w:p>
        </w:tc>
      </w:tr>
    </w:tbl>
    <w:p>
      <w:pPr>
        <w:pStyle w:val="BodyText"/>
        <w:spacing w:line="240" w:lineRule="auto" w:before="51"/>
        <w:ind w:right="113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18,426,816.87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3,115,288.54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3,366,072.98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8,063,357.63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21,792,889.85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11,178,646.17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4)期末公司因出票人未履约而将其转应收账款的票据" w:id="493"/>
      <w:bookmarkEnd w:id="493"/>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257,926.00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257,926.00</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2）应收账款" w:id="494"/>
      <w:bookmarkEnd w:id="49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33,558,3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32.12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32,322,9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96.32%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1,235,375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15,993,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026.09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14,355,74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1,637,285.1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207,345,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341.75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37,873,6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169,471,6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314,129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,224.72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34,062,16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280,067,05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5.49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241,001,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873.87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70,294,8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170,707,0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18.70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330,122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,250.81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48,417,91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281,704,34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0.61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7,157,343.92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5,921,967.93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SR</w:t>
            </w:r>
            <w:r>
              <w:rPr>
                <w:rFonts w:ascii="Times New Roman"/>
                <w:spacing w:val="-23"/>
                <w:sz w:val="18"/>
              </w:rPr>
              <w:t> </w:t>
            </w:r>
            <w:r>
              <w:rPr>
                <w:rFonts w:ascii="Times New Roman"/>
                <w:sz w:val="18"/>
              </w:rPr>
              <w:t>iLLUMINATION</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3,504,465.29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3,504,465.29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82"/>
              <w:jc w:val="left"/>
              <w:rPr>
                <w:rFonts w:ascii="Times New Roman" w:hAnsi="Times New Roman" w:cs="Times New Roman" w:eastAsia="Times New Roman" w:hint="default"/>
                <w:sz w:val="18"/>
                <w:szCs w:val="18"/>
              </w:rPr>
            </w:pPr>
            <w:r>
              <w:rPr>
                <w:rFonts w:ascii="Times New Roman"/>
                <w:sz w:val="18"/>
              </w:rPr>
              <w:t>CLOSED JOIN</w:t>
            </w:r>
            <w:r>
              <w:rPr>
                <w:rFonts w:ascii="Times New Roman"/>
                <w:spacing w:val="-5"/>
                <w:sz w:val="18"/>
              </w:rPr>
              <w:t> </w:t>
            </w:r>
            <w:r>
              <w:rPr>
                <w:rFonts w:ascii="Times New Roman"/>
                <w:sz w:val="18"/>
              </w:rPr>
              <w:t>STOCK</w:t>
            </w:r>
            <w:r>
              <w:rPr>
                <w:rFonts w:ascii="Times New Roman"/>
                <w:w w:val="99"/>
                <w:sz w:val="18"/>
              </w:rPr>
              <w:t> </w:t>
            </w:r>
            <w:r>
              <w:rPr>
                <w:rFonts w:ascii="Times New Roman"/>
                <w:spacing w:val="-3"/>
                <w:sz w:val="18"/>
              </w:rPr>
              <w:t>COMPANY</w:t>
            </w:r>
            <w:r>
              <w:rPr>
                <w:rFonts w:ascii="Times New Roman"/>
                <w:spacing w:val="-9"/>
                <w:sz w:val="18"/>
              </w:rPr>
              <w:t> </w:t>
            </w:r>
            <w:r>
              <w:rPr>
                <w:rFonts w:ascii="Times New Roman"/>
                <w:sz w:val="18"/>
              </w:rPr>
              <w:t>OPTOGAN</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2,867,047.17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2,867,047.17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湖北诺亚光电科技有限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2,076,456.50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福建省能宝光电集团有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1,962,009.87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重庆瑞耕达网络科技有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10,152,002.27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10,152,002.27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贵州瑞凯科技有限公司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1,843,288.43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1,843,288.43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斐翔供应链管理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1,262,897.49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1,262,897.49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辽宁宝林集团节能科技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1,860,746.07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1,860,746.07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深圳市中景科创光电科 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508,795.11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508,795.11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深圳骑客智能科技有限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363,280.00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33,558,332.12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32,322,956.13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114,251,293.46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24,080,087.79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1,204,004.37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138,331,381.25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1,204,004.37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2,212,230.18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221,223.02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2,363,454.75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472,690.95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3,819,494.35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1,909,747.18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34,066,033.52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34,066,033.52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180,792,594.05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37,873,699.04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20.95%</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38"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4"/>
      </w:tblGrid>
      <w:tr>
        <w:trPr>
          <w:trHeight w:val="426"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8" w:hRule="exact"/>
        </w:trPr>
        <w:tc>
          <w:tcPr>
            <w:tcW w:w="2944" w:type="dxa"/>
            <w:vMerge/>
            <w:tcBorders>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26,552,747.70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26,552,747.70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7"/>
          <w:pgSz w:w="11910" w:h="16840"/>
          <w:pgMar w:footer="979" w:header="747" w:top="1060" w:bottom="1160" w:left="980" w:right="0"/>
        </w:sectPr>
      </w:pPr>
    </w:p>
    <w:p>
      <w:pPr>
        <w:spacing w:line="240" w:lineRule="auto" w:before="3"/>
        <w:rPr>
          <w:rFonts w:ascii="宋体" w:hAnsi="宋体" w:cs="宋体" w:eastAsia="宋体" w:hint="default"/>
          <w:sz w:val="16"/>
          <w:szCs w:val="16"/>
        </w:rPr>
      </w:pPr>
    </w:p>
    <w:p>
      <w:pPr>
        <w:pStyle w:val="BodyText"/>
        <w:spacing w:line="240" w:lineRule="auto"/>
        <w:ind w:right="-1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5"/>
        <w:jc w:val="left"/>
      </w:pPr>
      <w:r>
        <w:rPr/>
        <w:t>本期计提坏账准备金额</w:t>
      </w:r>
      <w:r>
        <w:rPr>
          <w:spacing w:val="-47"/>
        </w:rPr>
        <w:t> </w:t>
      </w:r>
      <w:r>
        <w:rPr>
          <w:rFonts w:ascii="Times New Roman" w:hAnsi="Times New Roman" w:cs="Times New Roman" w:eastAsia="Times New Roman" w:hint="default"/>
        </w:rPr>
        <w:t>23,033,846.49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1,156,901.52</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7174" w:space="165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627,172.54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转回</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深圳市中景科创光电科技有限公司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529,728.98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转回</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1,156,901.52</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131" w:firstLine="360"/>
        <w:jc w:val="both"/>
      </w:pPr>
      <w:r>
        <w:rPr/>
        <w:t>①</w:t>
      </w:r>
      <w:r>
        <w:rPr>
          <w:rFonts w:ascii="Times New Roman" w:hAnsi="Times New Roman" w:cs="Times New Roman" w:eastAsia="Times New Roman" w:hint="default"/>
        </w:rPr>
        <w:t>Brilliant info</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w:t>
      </w:r>
      <w:r>
        <w:rPr/>
        <w:t>本期根据已签订的还款协议书及</w:t>
      </w:r>
      <w:r>
        <w:rPr>
          <w:rFonts w:ascii="Times New Roman" w:hAnsi="Times New Roman" w:cs="Times New Roman" w:eastAsia="Times New Roman" w:hint="default"/>
        </w:rPr>
        <w:t>2018</w:t>
      </w:r>
      <w:r>
        <w:rPr/>
        <w:t>年的履约情况，判断约定的还款能够收回，按预计不可收回金 额计提坏账，本期转回坏账准备金额</w:t>
      </w:r>
      <w:r>
        <w:rPr>
          <w:rFonts w:ascii="Times New Roman" w:hAnsi="Times New Roman" w:cs="Times New Roman" w:eastAsia="Times New Roman" w:hint="default"/>
        </w:rPr>
        <w:t>627,172.54</w:t>
      </w:r>
      <w:r>
        <w:rPr/>
        <w:t>元；</w:t>
      </w:r>
    </w:p>
    <w:p>
      <w:pPr>
        <w:pStyle w:val="BodyText"/>
        <w:spacing w:line="300" w:lineRule="auto" w:before="13"/>
        <w:ind w:right="1130" w:firstLine="360"/>
        <w:jc w:val="both"/>
      </w:pPr>
      <w:r>
        <w:rPr>
          <w:spacing w:val="-2"/>
        </w:rPr>
        <w:t>②上期根据深圳市南山区人民法院出具的（</w:t>
      </w:r>
      <w:r>
        <w:rPr>
          <w:rFonts w:ascii="Times New Roman" w:hAnsi="Times New Roman" w:cs="Times New Roman" w:eastAsia="Times New Roman" w:hint="default"/>
          <w:spacing w:val="-2"/>
        </w:rPr>
        <w:t>2016</w:t>
      </w:r>
      <w:r>
        <w:rPr>
          <w:spacing w:val="-2"/>
        </w:rPr>
        <w:t>）粤</w:t>
      </w:r>
      <w:r>
        <w:rPr>
          <w:rFonts w:ascii="Times New Roman" w:hAnsi="Times New Roman" w:cs="Times New Roman" w:eastAsia="Times New Roman" w:hint="default"/>
          <w:spacing w:val="-2"/>
        </w:rPr>
        <w:t>0305</w:t>
      </w:r>
      <w:r>
        <w:rPr>
          <w:spacing w:val="-2"/>
        </w:rPr>
        <w:t>执</w:t>
      </w:r>
      <w:r>
        <w:rPr>
          <w:rFonts w:ascii="Times New Roman" w:hAnsi="Times New Roman" w:cs="Times New Roman" w:eastAsia="Times New Roman" w:hint="default"/>
          <w:spacing w:val="-2"/>
        </w:rPr>
        <w:t>4606</w:t>
      </w:r>
      <w:r>
        <w:rPr>
          <w:spacing w:val="-2"/>
        </w:rPr>
        <w:t>号《查证结果通知书》号，深圳市中景科创光电科技有</w:t>
      </w:r>
      <w:r>
        <w:rPr/>
        <w:t> </w:t>
      </w:r>
      <w:r>
        <w:rPr>
          <w:spacing w:val="-2"/>
        </w:rPr>
        <w:t>限公司（以下简称</w:t>
      </w:r>
      <w:r>
        <w:rPr>
          <w:rFonts w:ascii="Times New Roman" w:hAnsi="Times New Roman" w:cs="Times New Roman" w:eastAsia="Times New Roman" w:hint="default"/>
          <w:spacing w:val="-2"/>
        </w:rPr>
        <w:t>“</w:t>
      </w:r>
      <w:r>
        <w:rPr>
          <w:spacing w:val="-2"/>
        </w:rPr>
        <w:t>中景科创</w:t>
      </w:r>
      <w:r>
        <w:rPr>
          <w:rFonts w:ascii="Times New Roman" w:hAnsi="Times New Roman" w:cs="Times New Roman" w:eastAsia="Times New Roman" w:hint="default"/>
          <w:spacing w:val="-2"/>
        </w:rPr>
        <w:t>”</w:t>
      </w:r>
      <w:r>
        <w:rPr>
          <w:spacing w:val="-2"/>
        </w:rPr>
        <w:t>）已无可供执行的财产，无法偿还所欠公司款项，故对其全额计提坏账准备，而本期收回中景</w:t>
      </w:r>
      <w:r>
        <w:rPr>
          <w:spacing w:val="-47"/>
        </w:rPr>
        <w:t> </w:t>
      </w:r>
      <w:r>
        <w:rPr>
          <w:spacing w:val="-47"/>
        </w:rPr>
      </w:r>
      <w:r>
        <w:rPr/>
        <w:t>科创应收款</w:t>
      </w:r>
      <w:r>
        <w:rPr>
          <w:rFonts w:ascii="Times New Roman" w:hAnsi="Times New Roman" w:cs="Times New Roman" w:eastAsia="Times New Roman" w:hint="default"/>
        </w:rPr>
        <w:t>529,728.98</w:t>
      </w:r>
      <w:r>
        <w:rPr/>
        <w:t>元，因此本期转回</w:t>
      </w:r>
      <w:r>
        <w:rPr>
          <w:rFonts w:ascii="Times New Roman" w:hAnsi="Times New Roman" w:cs="Times New Roman" w:eastAsia="Times New Roman" w:hint="default"/>
        </w:rPr>
        <w:t>529,728.98</w:t>
      </w:r>
      <w:r>
        <w:rPr/>
        <w:t>元的坏账准备。</w:t>
      </w:r>
    </w:p>
    <w:p>
      <w:pPr>
        <w:pStyle w:val="BodyText"/>
        <w:spacing w:line="300" w:lineRule="auto" w:before="13"/>
        <w:ind w:right="1131" w:firstLine="360"/>
        <w:jc w:val="both"/>
      </w:pPr>
      <w:r>
        <w:rPr>
          <w:spacing w:val="-2"/>
        </w:rPr>
        <w:t>无法偿还所欠公司款项，故对其全额计提坏账准备，而本期收回中景科创应收款</w:t>
      </w:r>
      <w:r>
        <w:rPr>
          <w:rFonts w:ascii="Times New Roman" w:hAnsi="Times New Roman" w:cs="Times New Roman" w:eastAsia="Times New Roman" w:hint="default"/>
          <w:spacing w:val="-2"/>
        </w:rPr>
        <w:t>529,728.98</w:t>
      </w:r>
      <w:r>
        <w:rPr>
          <w:spacing w:val="-2"/>
        </w:rPr>
        <w:t>元，因此本期转回</w:t>
      </w:r>
      <w:r>
        <w:rPr>
          <w:rFonts w:ascii="Times New Roman" w:hAnsi="Times New Roman" w:cs="Times New Roman" w:eastAsia="Times New Roman" w:hint="default"/>
          <w:spacing w:val="-2"/>
        </w:rPr>
        <w:t>529,728.98</w:t>
      </w:r>
      <w:r>
        <w:rPr>
          <w:rFonts w:ascii="Times New Roman" w:hAnsi="Times New Roman" w:cs="Times New Roman" w:eastAsia="Times New Roman" w:hint="default"/>
        </w:rPr>
        <w:t> </w:t>
      </w:r>
      <w:r>
        <w:rPr/>
        <w:t>元的坏账准备。</w:t>
      </w:r>
    </w:p>
    <w:p>
      <w:pPr>
        <w:spacing w:line="240" w:lineRule="auto" w:before="11"/>
        <w:rPr>
          <w:rFonts w:ascii="宋体" w:hAnsi="宋体" w:cs="宋体" w:eastAsia="宋体" w:hint="default"/>
          <w:sz w:val="22"/>
          <w:szCs w:val="22"/>
        </w:rPr>
      </w:pPr>
    </w:p>
    <w:p>
      <w:pPr>
        <w:pStyle w:val="BodyText"/>
        <w:spacing w:line="240" w:lineRule="auto" w:before="44"/>
        <w:ind w:right="113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right="7692"/>
        <w:jc w:val="left"/>
      </w:pPr>
      <w:r>
        <w:rPr/>
        <w:t>应收账款核销说明： 本报告期无实际核销的应收帐款。</w:t>
      </w:r>
    </w:p>
    <w:p>
      <w:pPr>
        <w:spacing w:line="240" w:lineRule="auto" w:before="1"/>
        <w:rPr>
          <w:rFonts w:ascii="宋体" w:hAnsi="宋体" w:cs="宋体" w:eastAsia="宋体" w:hint="default"/>
          <w:sz w:val="26"/>
          <w:szCs w:val="26"/>
        </w:rPr>
      </w:pPr>
    </w:p>
    <w:p>
      <w:pPr>
        <w:pStyle w:val="BodyText"/>
        <w:spacing w:line="319" w:lineRule="auto"/>
        <w:ind w:right="1126"/>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1"/>
        </w:rPr>
        <w:t>本公司年末余额前五名应收账款金额为</w:t>
      </w:r>
      <w:r>
        <w:rPr>
          <w:rFonts w:ascii="Times New Roman" w:hAnsi="Times New Roman" w:cs="Times New Roman" w:eastAsia="Times New Roman" w:hint="default"/>
          <w:spacing w:val="-1"/>
        </w:rPr>
        <w:t>9,877,0397.10</w:t>
      </w:r>
      <w:r>
        <w:rPr>
          <w:spacing w:val="-1"/>
        </w:rPr>
        <w:t>元，占应收账款年末余额合计数的比例为</w:t>
      </w:r>
      <w:r>
        <w:rPr>
          <w:rFonts w:ascii="Times New Roman" w:hAnsi="Times New Roman" w:cs="Times New Roman" w:eastAsia="Times New Roman" w:hint="default"/>
          <w:spacing w:val="-1"/>
        </w:rPr>
        <w:t>40.98%</w:t>
      </w:r>
      <w:r>
        <w:rPr>
          <w:spacing w:val="-1"/>
        </w:rPr>
        <w:t>，相应计提的坏账准备</w:t>
      </w:r>
      <w:r>
        <w:rPr>
          <w:spacing w:val="-84"/>
        </w:rPr>
        <w:t> </w:t>
      </w:r>
      <w:r>
        <w:rPr>
          <w:spacing w:val="-84"/>
        </w:rPr>
      </w:r>
      <w:r>
        <w:rPr/>
        <w:t>年末余额汇总金额为</w:t>
      </w:r>
      <w:r>
        <w:rPr>
          <w:rFonts w:ascii="Times New Roman" w:hAnsi="Times New Roman" w:cs="Times New Roman" w:eastAsia="Times New Roman" w:hint="default"/>
        </w:rPr>
        <w:t>3,932,110.11</w:t>
      </w:r>
      <w:r>
        <w:rPr/>
        <w:t>元。</w:t>
      </w:r>
    </w:p>
    <w:p>
      <w:pPr>
        <w:spacing w:line="240" w:lineRule="auto" w:before="10"/>
        <w:rPr>
          <w:rFonts w:ascii="宋体" w:hAnsi="宋体" w:cs="宋体" w:eastAsia="宋体" w:hint="default"/>
          <w:sz w:val="26"/>
          <w:szCs w:val="26"/>
        </w:rPr>
      </w:pPr>
    </w:p>
    <w:p>
      <w:pPr>
        <w:pStyle w:val="BodyText"/>
        <w:spacing w:line="338" w:lineRule="auto"/>
        <w:ind w:right="6612"/>
        <w:jc w:val="left"/>
      </w:pPr>
      <w:r>
        <w:rPr>
          <w:rFonts w:ascii="Times New Roman" w:hAnsi="Times New Roman" w:cs="Times New Roman" w:eastAsia="Times New Roman" w:hint="default"/>
        </w:rPr>
        <w:t>5)</w:t>
      </w:r>
      <w:r>
        <w:rPr/>
        <w:t>因金融资产转移而终止确认的应收账款</w:t>
      </w:r>
      <w:r>
        <w:rPr>
          <w:w w:val="99"/>
        </w:rPr>
        <w:t> </w:t>
      </w:r>
      <w:r>
        <w:rPr/>
        <w:t>本报告期无因金融资产转移而终止确认的应收款项。</w:t>
      </w:r>
    </w:p>
    <w:p>
      <w:pPr>
        <w:spacing w:line="240" w:lineRule="auto" w:before="0"/>
        <w:rPr>
          <w:rFonts w:ascii="宋体" w:hAnsi="宋体" w:cs="宋体" w:eastAsia="宋体" w:hint="default"/>
          <w:sz w:val="18"/>
          <w:szCs w:val="18"/>
        </w:rPr>
      </w:pPr>
    </w:p>
    <w:p>
      <w:pPr>
        <w:pStyle w:val="BodyText"/>
        <w:spacing w:line="338" w:lineRule="auto" w:before="120"/>
        <w:ind w:right="5892"/>
        <w:jc w:val="left"/>
      </w:pPr>
      <w:r>
        <w:rPr>
          <w:rFonts w:ascii="Times New Roman" w:hAnsi="Times New Roman" w:cs="Times New Roman" w:eastAsia="Times New Roman" w:hint="default"/>
        </w:rPr>
        <w:t>6)</w:t>
      </w:r>
      <w:r>
        <w:rPr/>
        <w:t>转移应收账款且继续涉入形成的资产、负债金额</w:t>
      </w:r>
      <w:r>
        <w:rPr>
          <w:w w:val="99"/>
        </w:rPr>
        <w:t> </w:t>
      </w:r>
      <w:r>
        <w:rPr/>
        <w:t>本报告期无因转移应收款项且继续涉入而形成的资产、负债。</w:t>
      </w:r>
    </w:p>
    <w:p>
      <w:pPr>
        <w:spacing w:line="240" w:lineRule="auto" w:before="0"/>
        <w:rPr>
          <w:rFonts w:ascii="宋体" w:hAnsi="宋体" w:cs="宋体" w:eastAsia="宋体" w:hint="default"/>
          <w:sz w:val="18"/>
          <w:szCs w:val="18"/>
        </w:rPr>
      </w:pPr>
    </w:p>
    <w:p>
      <w:pPr>
        <w:pStyle w:val="BodyText"/>
        <w:spacing w:line="240" w:lineRule="auto" w:before="120"/>
        <w:ind w:right="113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0"/>
        <w:jc w:val="left"/>
        <w:rPr>
          <w:b w:val="0"/>
          <w:bCs w:val="0"/>
        </w:rPr>
      </w:pPr>
      <w:bookmarkStart w:name="2、其他应收款" w:id="495"/>
      <w:bookmarkEnd w:id="4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345,929,254.91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380,311,669.50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345,929,254.91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380,311,669.50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应收利息" w:id="496"/>
      <w:bookmarkEnd w:id="49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2）应收股利" w:id="497"/>
      <w:bookmarkEnd w:id="49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其他应收款" w:id="498"/>
      <w:bookmarkEnd w:id="49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18"/>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346,701,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438.80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772,183.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345,929,2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54.91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378,713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,245.66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650,149.0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378,063,09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6.64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110,560.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748,572</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748,572.86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346,811,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999.60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882,744.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345,929,2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54.91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380,961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,818.52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650,149.0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380,311,66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9.50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21,401.43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29,562.86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41,356.75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20,678.38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642,097.44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642,097.44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1,258,017.05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772,183.89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61.38%</w:t>
            </w: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38" w:lineRule="auto" w:before="29"/>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4"/>
      </w:tblGrid>
      <w:tr>
        <w:trPr>
          <w:trHeight w:val="426"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944" w:type="dxa"/>
            <w:vMerge/>
            <w:tcBorders>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2" w:right="0"/>
              <w:jc w:val="left"/>
              <w:rPr>
                <w:rFonts w:ascii="Times New Roman" w:hAnsi="Times New Roman" w:cs="Times New Roman" w:eastAsia="Times New Roman" w:hint="default"/>
                <w:sz w:val="18"/>
                <w:szCs w:val="18"/>
              </w:rPr>
            </w:pPr>
            <w:r>
              <w:rPr>
                <w:rFonts w:ascii="Times New Roman"/>
                <w:sz w:val="18"/>
              </w:rPr>
              <w:t>340,248,143.79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4"/>
      </w:tblGrid>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政府机构应收款项组合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2,681,207.81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2,514,070.15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2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345,443,421.75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0</w:t>
            </w:r>
          </w:p>
        </w:tc>
        <w:tc>
          <w:tcPr>
            <w:tcW w:w="14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pStyle w:val="BodyText"/>
        <w:spacing w:line="240" w:lineRule="auto" w:before="44"/>
        <w:ind w:right="-16"/>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6"/>
        <w:jc w:val="left"/>
      </w:pPr>
      <w:r>
        <w:rPr/>
        <w:t>本期计提坏账准备金额</w:t>
      </w:r>
      <w:r>
        <w:rPr>
          <w:spacing w:val="-46"/>
        </w:rPr>
        <w:t> </w:t>
      </w:r>
      <w:r>
        <w:rPr>
          <w:rFonts w:ascii="Times New Roman" w:hAnsi="Times New Roman" w:cs="Times New Roman" w:eastAsia="Times New Roman" w:hint="default"/>
        </w:rPr>
        <w:t>232,595.67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3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right="7872"/>
        <w:jc w:val="left"/>
      </w:pPr>
      <w:r>
        <w:rPr/>
        <w:t>其他应收款核销说明： 本报告期无实际核销的其他应收款。</w:t>
      </w:r>
    </w:p>
    <w:p>
      <w:pPr>
        <w:spacing w:line="240" w:lineRule="auto" w:before="9"/>
        <w:rPr>
          <w:rFonts w:ascii="宋体" w:hAnsi="宋体" w:cs="宋体" w:eastAsia="宋体" w:hint="default"/>
          <w:sz w:val="22"/>
          <w:szCs w:val="22"/>
        </w:rPr>
      </w:pPr>
    </w:p>
    <w:p>
      <w:pPr>
        <w:pStyle w:val="BodyText"/>
        <w:spacing w:line="240" w:lineRule="auto" w:before="44"/>
        <w:ind w:right="113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341,439,910.83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354,794,726.64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2,681,207.81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23,717,911.44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2,624,630.95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2,248,572.86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66,250.01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200,607.58</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346,811,999.60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380,961,818.52</w:t>
            </w:r>
          </w:p>
        </w:tc>
      </w:tr>
    </w:tbl>
    <w:p>
      <w:pPr>
        <w:pStyle w:val="BodyText"/>
        <w:spacing w:line="240" w:lineRule="auto" w:before="51"/>
        <w:ind w:right="113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深圳茂硕电子科技有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84,817,064.59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深圳茂硕新能源科技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79,723,947.63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新余茂硕新能源科技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63,666,215.77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深圳茂硕能源技术研 究院有限公司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深圳茂硕电气有限公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24,211,608.80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312,148,836.79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8"/>
        <w:rPr>
          <w:rFonts w:ascii="宋体" w:hAnsi="宋体" w:cs="宋体" w:eastAsia="宋体" w:hint="default"/>
          <w:sz w:val="6"/>
          <w:szCs w:val="6"/>
        </w:rPr>
      </w:pPr>
    </w:p>
    <w:p>
      <w:pPr>
        <w:pStyle w:val="BodyText"/>
        <w:spacing w:line="309" w:lineRule="auto" w:before="44"/>
        <w:ind w:right="6252"/>
        <w:jc w:val="left"/>
      </w:pPr>
      <w:r>
        <w:rPr/>
        <w:t>本报告期无涉及政府补助的应收款项。 </w:t>
      </w:r>
      <w:r>
        <w:rPr>
          <w:rFonts w:ascii="Times New Roman" w:hAnsi="Times New Roman" w:cs="Times New Roman" w:eastAsia="Times New Roman" w:hint="default"/>
        </w:rPr>
        <w:t>7)</w:t>
      </w:r>
      <w:r>
        <w:rPr/>
        <w:t>因金融资产转移而终止确认的其他应收款 本报告期无因金融资产转移而终止确认的其他应收款项。</w:t>
      </w:r>
    </w:p>
    <w:p>
      <w:pPr>
        <w:spacing w:line="240" w:lineRule="auto" w:before="0"/>
        <w:rPr>
          <w:rFonts w:ascii="宋体" w:hAnsi="宋体" w:cs="宋体" w:eastAsia="宋体" w:hint="default"/>
          <w:sz w:val="18"/>
          <w:szCs w:val="18"/>
        </w:rPr>
      </w:pPr>
    </w:p>
    <w:p>
      <w:pPr>
        <w:pStyle w:val="BodyText"/>
        <w:spacing w:line="338" w:lineRule="auto" w:before="141"/>
        <w:ind w:right="5892"/>
        <w:jc w:val="left"/>
      </w:pPr>
      <w:r>
        <w:rPr>
          <w:rFonts w:ascii="Times New Roman" w:hAnsi="Times New Roman" w:cs="Times New Roman" w:eastAsia="Times New Roman" w:hint="default"/>
        </w:rPr>
        <w:t>8)</w:t>
      </w:r>
      <w:r>
        <w:rPr/>
        <w:t>转移其他应收款且继续涉入形成的资产、负债金额</w:t>
      </w:r>
      <w:r>
        <w:rPr>
          <w:w w:val="99"/>
        </w:rPr>
        <w:t> </w:t>
      </w:r>
      <w:r>
        <w:rPr/>
        <w:t>本报告期无转移其他应收款且继续涉入而形成的资产、负债。</w:t>
      </w:r>
    </w:p>
    <w:p>
      <w:pPr>
        <w:spacing w:line="240" w:lineRule="auto" w:before="0"/>
        <w:rPr>
          <w:rFonts w:ascii="宋体" w:hAnsi="宋体" w:cs="宋体" w:eastAsia="宋体" w:hint="default"/>
          <w:sz w:val="18"/>
          <w:szCs w:val="18"/>
        </w:rPr>
      </w:pPr>
    </w:p>
    <w:p>
      <w:pPr>
        <w:pStyle w:val="BodyText"/>
        <w:spacing w:line="240" w:lineRule="auto" w:before="120"/>
        <w:ind w:right="113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0"/>
        <w:jc w:val="left"/>
        <w:rPr>
          <w:b w:val="0"/>
          <w:bCs w:val="0"/>
        </w:rPr>
      </w:pPr>
      <w:bookmarkStart w:name="3、长期股权投资" w:id="499"/>
      <w:bookmarkEnd w:id="49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565,867,892.30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59,461,595.30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506,406,297.00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495,101,192.30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495,101,192.30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140,062,677.87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24,105,170.75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115,957,507.12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138,474,700.36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138,474,700.36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705,930,570.17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83,566,766.05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622,363,804.12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633,575,892.66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633,575,892.66</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1）对子公司投资" w:id="500"/>
      <w:bookmarkEnd w:id="50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深圳茂硕新能源 技术研究院有限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30,637,000.00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30,637,000.00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70,766,700.00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351,536,700.00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茂硕能源科技（香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港）国际有限公司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34,058,882.65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34,058,882.65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瑞盈茂硕融资租 </w:t>
            </w:r>
            <w:r>
              <w:rPr>
                <w:rFonts w:ascii="宋体" w:hAnsi="宋体" w:cs="宋体" w:eastAsia="宋体" w:hint="default"/>
                <w:spacing w:val="-7"/>
                <w:sz w:val="18"/>
                <w:szCs w:val="18"/>
              </w:rPr>
              <w:t>赁（深圳）有限公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46,154,074.35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46,154,074.35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海宁茂硕诺华能 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16,280,360.00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16,280,360.00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深圳茂硕电气有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33,181,235.30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33,181,235.30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33,181,235.30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33,181,235.30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加码技术有限公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495,101,192.30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70,766,700.00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565,867,892.30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59,461,595.30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59,461,595.30</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2）对联营、合营企业投资" w:id="501"/>
      <w:bookmarkEnd w:id="50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924,840.1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-498,494.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426,345.7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107,549,8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60.19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2,217,298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23,831,75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109,767,1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23,831,75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9.14</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-130,826.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138,474,7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1,587,977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140,062,6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0.75</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138,474,7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1,587,977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140,062,6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0"/>
        <w:jc w:val="left"/>
        <w:rPr>
          <w:b w:val="0"/>
          <w:bCs w:val="0"/>
        </w:rPr>
      </w:pPr>
      <w:bookmarkStart w:name="（3）其他说明" w:id="502"/>
      <w:bookmarkEnd w:id="50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4、营业收入和营业成本" w:id="503"/>
      <w:bookmarkEnd w:id="5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620,438,163.35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541,562,194.33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775,113,723.97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675,622,951.25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4,915,535.02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2,179,593.51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4,483,673.92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2,398,388.21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625,353,698.37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543,741,787.84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779,597,397.89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678,021,339.46</w:t>
            </w:r>
          </w:p>
        </w:tc>
      </w:tr>
    </w:tbl>
    <w:p>
      <w:pPr>
        <w:pStyle w:val="BodyText"/>
        <w:spacing w:line="240" w:lineRule="auto" w:before="51"/>
        <w:ind w:right="113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0"/>
        <w:jc w:val="left"/>
        <w:rPr>
          <w:b w:val="0"/>
          <w:bCs w:val="0"/>
        </w:rPr>
      </w:pPr>
      <w:bookmarkStart w:name="5、投资收益" w:id="504"/>
      <w:bookmarkEnd w:id="5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1,587,977.51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9,665,035.99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31,000,151.19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-70,200.00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-182,100.00</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1,517,777.51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40,483,087.18</w:t>
            </w:r>
          </w:p>
        </w:tc>
      </w:tr>
    </w:tbl>
    <w:p>
      <w:pPr>
        <w:spacing w:line="240" w:lineRule="auto" w:before="2"/>
        <w:rPr>
          <w:rFonts w:ascii="宋体" w:hAnsi="宋体" w:cs="宋体" w:eastAsia="宋体" w:hint="default"/>
          <w:sz w:val="19"/>
          <w:szCs w:val="19"/>
        </w:rPr>
      </w:pPr>
    </w:p>
    <w:p>
      <w:pPr>
        <w:pStyle w:val="Heading3"/>
        <w:spacing w:line="240" w:lineRule="auto" w:before="35"/>
        <w:ind w:right="1130"/>
        <w:jc w:val="left"/>
        <w:rPr>
          <w:b w:val="0"/>
          <w:bCs w:val="0"/>
        </w:rPr>
      </w:pPr>
      <w:bookmarkStart w:name="6、其他" w:id="505"/>
      <w:bookmarkEnd w:id="50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130"/>
        <w:jc w:val="left"/>
        <w:rPr>
          <w:b w:val="0"/>
          <w:bCs w:val="0"/>
        </w:rPr>
      </w:pPr>
      <w:bookmarkStart w:name="十八、补充资料" w:id="506"/>
      <w:bookmarkEnd w:id="50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当期非经常性损益明细表" w:id="507"/>
      <w:bookmarkEnd w:id="50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-7,433,728.55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13,704,004.73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523,404.45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144,089.22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-8,704,259.74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29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1,156,901.52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2,742,027.10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37,688.69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33,950.04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0"/>
        <w:jc w:val="left"/>
        <w:rPr>
          <w:b w:val="0"/>
          <w:bCs w:val="0"/>
        </w:rPr>
      </w:pPr>
      <w:bookmarkStart w:name="2、净资产收益率及每股收益" w:id="508"/>
      <w:bookmarkEnd w:id="50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1130"/>
        <w:jc w:val="left"/>
        <w:rPr>
          <w:b w:val="0"/>
          <w:bCs w:val="0"/>
        </w:rPr>
      </w:pPr>
      <w:bookmarkStart w:name="3、境内外会计准则下会计数据差异" w:id="509"/>
      <w:bookmarkEnd w:id="50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1）同时按照国际会计准则与按中国会计准则披露的财务报告中净利润和净资产差异情况" w:id="510"/>
      <w:bookmarkEnd w:id="51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0"/>
        <w:jc w:val="left"/>
        <w:rPr>
          <w:b w:val="0"/>
          <w:bCs w:val="0"/>
        </w:rPr>
      </w:pPr>
      <w:bookmarkStart w:name="（2）同时按照境外会计准则与按中国会计准则披露的财务报告中净利润和净资产差异情况" w:id="511"/>
      <w:bookmarkEnd w:id="51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1130"/>
        <w:jc w:val="left"/>
        <w:rPr>
          <w:b w:val="0"/>
          <w:bCs w:val="0"/>
        </w:rPr>
      </w:pPr>
      <w:bookmarkStart w:name="（3）境内外会计准则下会计数据差异原因说明，对已经境外审计机构审计的数据进行差异" w:id="512"/>
      <w:bookmarkEnd w:id="51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0"/>
        <w:jc w:val="left"/>
        <w:rPr>
          <w:b w:val="0"/>
          <w:bCs w:val="0"/>
        </w:rPr>
      </w:pPr>
      <w:bookmarkStart w:name="4、其他" w:id="513"/>
      <w:bookmarkEnd w:id="51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30"/>
        <w:jc w:val="left"/>
        <w:rPr>
          <w:b w:val="0"/>
          <w:bCs w:val="0"/>
        </w:rPr>
      </w:pPr>
      <w:bookmarkStart w:name="第十二节 备查文件目录" w:id="514"/>
      <w:bookmarkEnd w:id="514"/>
      <w:r>
        <w:rPr>
          <w:b w:val="0"/>
          <w:bCs w:val="0"/>
        </w:rPr>
      </w:r>
      <w:bookmarkStart w:name="_bookmark11" w:id="515"/>
      <w:bookmarkEnd w:id="515"/>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0"/>
        <w:jc w:val="left"/>
      </w:pPr>
      <w:r>
        <w:rPr>
          <w:rFonts w:ascii="Times New Roman" w:hAnsi="Times New Roman" w:cs="Times New Roman" w:eastAsia="Times New Roman" w:hint="default"/>
        </w:rPr>
        <w:t>1</w:t>
      </w:r>
      <w:r>
        <w:rPr/>
        <w:t>、载有公司董事长签署的</w:t>
      </w:r>
      <w:r>
        <w:rPr>
          <w:rFonts w:ascii="Times New Roman" w:hAnsi="Times New Roman" w:cs="Times New Roman" w:eastAsia="Times New Roman" w:hint="default"/>
        </w:rPr>
        <w:t>2018</w:t>
      </w:r>
      <w:r>
        <w:rPr/>
        <w:t>年年度报告正本。</w:t>
      </w:r>
    </w:p>
    <w:p>
      <w:pPr>
        <w:pStyle w:val="BodyText"/>
        <w:spacing w:line="240" w:lineRule="auto" w:before="63"/>
        <w:ind w:right="1130"/>
        <w:jc w:val="left"/>
      </w:pPr>
      <w:r>
        <w:rPr>
          <w:rFonts w:ascii="Times New Roman" w:hAnsi="Times New Roman" w:cs="Times New Roman" w:eastAsia="Times New Roman" w:hint="default"/>
        </w:rPr>
        <w:t>2</w:t>
      </w:r>
      <w:r>
        <w:rPr/>
        <w:t>、载有公司负责人、主管会计工作负责人及会计机构负责人签名并盖章的财务报表。</w:t>
      </w:r>
    </w:p>
    <w:p>
      <w:pPr>
        <w:pStyle w:val="BodyText"/>
        <w:spacing w:line="240" w:lineRule="auto" w:before="63"/>
        <w:ind w:right="113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right="1130"/>
        <w:jc w:val="left"/>
      </w:pPr>
      <w:r>
        <w:rPr>
          <w:rFonts w:ascii="Times New Roman" w:hAnsi="Times New Roman" w:cs="Times New Roman" w:eastAsia="Times New Roman" w:hint="default"/>
        </w:rPr>
        <w:t>4</w:t>
      </w:r>
      <w:r>
        <w:rPr/>
        <w:t>、报告期内在中国证监会指定信息披露载体上公开披露过的所有公司文件的正本及公告的原稿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20" w:lineRule="exact"/>
        <w:ind w:left="6955" w:right="0" w:firstLine="0"/>
        <w:rPr>
          <w:rFonts w:ascii="宋体" w:hAnsi="宋体" w:cs="宋体" w:eastAsia="宋体" w:hint="default"/>
          <w:sz w:val="2"/>
          <w:szCs w:val="2"/>
        </w:rPr>
      </w:pPr>
      <w:r>
        <w:rPr>
          <w:rFonts w:ascii="宋体" w:hAnsi="宋体" w:cs="宋体" w:eastAsia="宋体" w:hint="default"/>
          <w:sz w:val="2"/>
          <w:szCs w:val="2"/>
        </w:rPr>
        <w:pict>
          <v:group style="width:142.15pt;height:.45pt;mso-position-horizontal-relative:char;mso-position-vertical-relative:line" coordorigin="0,0" coordsize="2843,9">
            <v:group style="position:absolute;left:4;top:4;width:2834;height:2" coordorigin="4,4" coordsize="2834,2">
              <v:shape style="position:absolute;left:4;top:4;width:2834;height:2" coordorigin="4,4" coordsize="2834,0" path="m4,4l2838,4e" filled="false" stroked="true" strokeweight=".42pt" strokecolor="#000000">
                <v:path arrowok="t"/>
              </v:shape>
            </v:group>
          </v:group>
        </w:pict>
      </w:r>
      <w:r>
        <w:rPr>
          <w:rFonts w:ascii="宋体" w:hAnsi="宋体" w:cs="宋体" w:eastAsia="宋体" w:hint="default"/>
          <w:sz w:val="2"/>
          <w:szCs w:val="2"/>
        </w:rPr>
      </w:r>
    </w:p>
    <w:p>
      <w:pPr>
        <w:spacing w:line="273" w:lineRule="auto" w:before="9"/>
        <w:ind w:left="6979" w:right="1130" w:firstLine="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pacing w:val="-21"/>
          <w:sz w:val="21"/>
          <w:szCs w:val="21"/>
        </w:rPr>
        <w:t> </w:t>
      </w:r>
      <w:r>
        <w:rPr>
          <w:rFonts w:ascii="宋体" w:hAnsi="宋体" w:cs="宋体" w:eastAsia="宋体" w:hint="default"/>
          <w:sz w:val="21"/>
          <w:szCs w:val="21"/>
        </w:rPr>
        <w:t>顾永德（签章）</w:t>
      </w:r>
      <w:r>
        <w:rPr>
          <w:rFonts w:ascii="宋体" w:hAnsi="宋体" w:cs="宋体" w:eastAsia="宋体" w:hint="default"/>
          <w:sz w:val="21"/>
          <w:szCs w:val="21"/>
        </w:rPr>
        <w:t> 茂硕电源科技股份有限公司 二〇一九年四月二十二日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02520" type="#_x0000_t75" stroked="false">
          <v:imagedata r:id="rId1" o:title=""/>
        </v:shape>
      </w:pict>
    </w:r>
    <w:r>
      <w:rPr/>
      <w:pict>
        <v:shape style="position:absolute;margin-left:533.179993pt;margin-top:795.517944pt;width:6.5pt;height:11pt;mso-position-horizontal-relative:page;mso-position-vertical-relative:page;z-index:-13024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02472" type="#_x0000_t75" stroked="false">
          <v:imagedata r:id="rId1" o:title=""/>
        </v:shape>
      </w:pict>
    </w:r>
    <w:r>
      <w:rPr/>
      <w:pict>
        <v:shape style="position:absolute;margin-left:527.679993pt;margin-top:781.957947pt;width:13pt;height:11pt;mso-position-horizontal-relative:page;mso-position-vertical-relative:page;z-index:-1302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02424" type="#_x0000_t75" stroked="false">
          <v:imagedata r:id="rId1" o:title=""/>
        </v:shape>
      </w:pict>
    </w:r>
    <w:r>
      <w:rPr/>
      <w:pict>
        <v:shape style="position:absolute;margin-left:524.179993pt;margin-top:781.957947pt;width:15.5pt;height:11pt;mso-position-horizontal-relative:page;mso-position-vertical-relative:page;z-index:-13024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02376" type="#_x0000_t75" stroked="false">
          <v:imagedata r:id="rId1" o:title=""/>
        </v:shape>
      </w:pict>
    </w:r>
    <w:r>
      <w:rPr/>
      <w:pict>
        <v:shape style="position:absolute;margin-left:523.179993pt;margin-top:781.957947pt;width:17.5pt;height:11pt;mso-position-horizontal-relative:page;mso-position-vertical-relative:page;z-index:-1302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02328" type="#_x0000_t75" stroked="false">
          <v:imagedata r:id="rId1" o:title=""/>
        </v:shape>
      </w:pict>
    </w:r>
    <w:r>
      <w:rPr/>
      <w:pict>
        <v:shape style="position:absolute;margin-left:524.179993pt;margin-top:781.957947pt;width:15.5pt;height:11pt;mso-position-horizontal-relative:page;mso-position-vertical-relative:page;z-index:-1302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02280" type="#_x0000_t75" stroked="false">
          <v:imagedata r:id="rId1" o:title=""/>
        </v:shape>
      </w:pict>
    </w:r>
    <w:r>
      <w:rPr/>
      <w:pict>
        <v:shape style="position:absolute;margin-left:523.179993pt;margin-top:781.957947pt;width:17.5pt;height:11pt;mso-position-horizontal-relative:page;mso-position-vertical-relative:page;z-index:-1302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302544" type="#_x0000_t202" filled="false" stroked="false">
          <v:textbox inset="0,0,0,0">
            <w:txbxContent>
              <w:p>
                <w:pPr>
                  <w:pStyle w:val="BodyText"/>
                  <w:spacing w:line="214" w:lineRule="exact"/>
                  <w:ind w:left="20" w:right="0"/>
                  <w:jc w:val="left"/>
                </w:pPr>
                <w:r>
                  <w:rPr/>
                  <w:t>茂硕电源科技股份有限公司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4"/>
    </w:pPr>
    <w:rPr>
      <w:rFonts w:ascii="宋体" w:hAnsi="宋体" w:eastAsia="宋体"/>
      <w:sz w:val="21"/>
      <w:szCs w:val="21"/>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5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mosopower.com/" TargetMode="External"/><Relationship Id="rId9" Type="http://schemas.openxmlformats.org/officeDocument/2006/relationships/hyperlink" Target="mailto:GYD@mosopower.com" TargetMode="External"/><Relationship Id="rId10" Type="http://schemas.openxmlformats.org/officeDocument/2006/relationships/hyperlink" Target="mailto:yaoyao.zhu@mosopower.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hyperlink" Target="http://www/" TargetMode="Externa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茂硕电源科技股份有限公司</dc:creator>
  <dc:title>茂硕电源科技股份有限公司2018年年度报告全文</dc:title>
  <dcterms:created xsi:type="dcterms:W3CDTF">2020-05-05T05:53:06Z</dcterms:created>
  <dcterms:modified xsi:type="dcterms:W3CDTF">2020-05-05T05:53:06Z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Microsoft® Office Word 2007</vt:lpwstr>
  </property>
  <property fmtid="{D5CDD505-2E9C-101B-9397-08002B2CF9AE}" pid="4" name="LastSaved">
    <vt:filetime>2020-05-04T00:00:00Z</vt:filetime>
  </property>
</Properties>
</file>