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150" w:right="1130"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茂硕电源科技股份有限公司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49" w:right="113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2" w:right="113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公司负责人顾永德、主管会计工作负责人刘爱民及会计机构负责人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秦利红声明：保证年度报告中财务报告的真实、准确、完整。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本年度报告内容所涉及的未来计划、发展战略等前瞻性描述，不构成公司</w:t>
      </w:r>
      <w:r>
        <w:rPr>
          <w:rFonts w:ascii="宋体" w:hAnsi="宋体" w:cs="宋体" w:eastAsia="宋体" w:hint="default"/>
          <w:spacing w:val="2"/>
          <w:sz w:val="28"/>
          <w:szCs w:val="28"/>
        </w:rPr>
      </w:r>
    </w:p>
    <w:p>
      <w:pPr>
        <w:spacing w:line="448" w:lineRule="auto" w:before="0"/>
        <w:ind w:left="714" w:right="1124" w:hanging="563"/>
        <w:jc w:val="left"/>
        <w:rPr>
          <w:rFonts w:ascii="宋体" w:hAnsi="宋体" w:cs="宋体" w:eastAsia="宋体" w:hint="default"/>
          <w:sz w:val="28"/>
          <w:szCs w:val="28"/>
        </w:rPr>
      </w:pPr>
      <w:r>
        <w:rPr>
          <w:rFonts w:ascii="宋体" w:hAnsi="宋体" w:cs="宋体" w:eastAsia="宋体" w:hint="default"/>
          <w:b/>
          <w:bCs/>
          <w:sz w:val="28"/>
          <w:szCs w:val="28"/>
        </w:rPr>
        <w:t>对投资者的实质承诺，敬请投资者注意投资风险</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67"/>
          <w:sz w:val="28"/>
          <w:szCs w:val="28"/>
        </w:rPr>
        <w:t> </w:t>
      </w:r>
      <w:r>
        <w:rPr>
          <w:rFonts w:ascii="宋体" w:hAnsi="宋体" w:cs="宋体" w:eastAsia="宋体" w:hint="default"/>
          <w:b/>
          <w:bCs/>
          <w:spacing w:val="2"/>
          <w:sz w:val="28"/>
          <w:szCs w:val="28"/>
        </w:rPr>
        <w:t>公司可能面临的风险详见本报告第四节 </w:t>
      </w:r>
      <w:r>
        <w:rPr>
          <w:rFonts w:ascii="宋体" w:hAnsi="宋体" w:cs="宋体" w:eastAsia="宋体" w:hint="default"/>
          <w:b/>
          <w:bCs/>
          <w:sz w:val="28"/>
          <w:szCs w:val="28"/>
        </w:rPr>
        <w:t>管理层讨论与分析</w:t>
      </w:r>
      <w:r>
        <w:rPr>
          <w:rFonts w:ascii="宋体" w:hAnsi="宋体" w:cs="宋体" w:eastAsia="宋体" w:hint="default"/>
          <w:b/>
          <w:bCs/>
          <w:spacing w:val="24"/>
          <w:sz w:val="28"/>
          <w:szCs w:val="28"/>
        </w:rPr>
        <w:t> </w:t>
      </w:r>
      <w:r>
        <w:rPr>
          <w:rFonts w:ascii="宋体" w:hAnsi="宋体" w:cs="宋体" w:eastAsia="宋体" w:hint="default"/>
          <w:b/>
          <w:bCs/>
          <w:spacing w:val="2"/>
          <w:sz w:val="28"/>
          <w:szCs w:val="28"/>
        </w:rPr>
        <w:t>九、公司未来</w:t>
      </w:r>
      <w:r>
        <w:rPr>
          <w:rFonts w:ascii="宋体" w:hAnsi="宋体" w:cs="宋体" w:eastAsia="宋体" w:hint="default"/>
          <w:spacing w:val="2"/>
          <w:sz w:val="28"/>
          <w:szCs w:val="28"/>
        </w:rPr>
      </w:r>
    </w:p>
    <w:p>
      <w:pPr>
        <w:spacing w:line="475" w:lineRule="auto" w:before="14"/>
        <w:ind w:left="714" w:right="2602" w:hanging="563"/>
        <w:jc w:val="left"/>
        <w:rPr>
          <w:rFonts w:ascii="宋体" w:hAnsi="宋体" w:cs="宋体" w:eastAsia="宋体" w:hint="default"/>
          <w:sz w:val="28"/>
          <w:szCs w:val="28"/>
        </w:rPr>
      </w:pPr>
      <w:r>
        <w:rPr>
          <w:rFonts w:ascii="宋体" w:hAnsi="宋体" w:cs="宋体" w:eastAsia="宋体" w:hint="default"/>
          <w:b/>
          <w:bCs/>
          <w:sz w:val="28"/>
          <w:szCs w:val="28"/>
        </w:rPr>
        <w:t>发展的展望</w:t>
      </w:r>
      <w:r>
        <w:rPr>
          <w:rFonts w:ascii="宋体" w:hAnsi="宋体" w:cs="宋体" w:eastAsia="宋体" w:hint="default"/>
          <w:b/>
          <w:bCs/>
          <w:spacing w:val="-2"/>
          <w:sz w:val="28"/>
          <w:szCs w:val="28"/>
        </w:rPr>
        <w:t> </w:t>
      </w:r>
      <w:r>
        <w:rPr>
          <w:rFonts w:ascii="宋体" w:hAnsi="宋体" w:cs="宋体" w:eastAsia="宋体" w:hint="default"/>
          <w:b/>
          <w:bCs/>
          <w:sz w:val="28"/>
          <w:szCs w:val="28"/>
        </w:rPr>
        <w:t>（五）未来可能面临的风险提示。</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52" w:right="1130"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53"/>
          <w:szCs w:val="53"/>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90"/>
            <w:ind w:right="0"/>
            <w:jc w:val="left"/>
            <w:rPr>
              <w:rFonts w:ascii="Times New Roman" w:hAnsi="Times New Roman" w:cs="Times New Roman" w:eastAsia="Times New Roman" w:hint="default"/>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rPr>
              <w:tab/>
              <w:t>6</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rFonts w:ascii="Times New Roman" w:hAnsi="Times New Roman" w:cs="Times New Roman" w:eastAsia="Times New Roman" w:hint="default"/>
              </w:rPr>
              <w:tab/>
              <w:t>33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49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54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2"/>
              </w:rPr>
              <w:t> </w:t>
            </w:r>
            <w:r>
              <w:rPr/>
              <w:t>可转换公司债券相关情况</w:t>
            </w:r>
            <w:r>
              <w:rPr>
                <w:rFonts w:ascii="Times New Roman" w:hAnsi="Times New Roman" w:cs="Times New Roman" w:eastAsia="Times New Roman" w:hint="default"/>
              </w:rPr>
              <w:tab/>
              <w:t>55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2"/>
              </w:rPr>
              <w:t> </w:t>
            </w:r>
            <w:r>
              <w:rPr/>
              <w:t>董事、监事、高级管理人员和员工情况</w:t>
            </w:r>
            <w:r>
              <w:rPr>
                <w:rFonts w:ascii="Times New Roman" w:hAnsi="Times New Roman" w:cs="Times New Roman" w:eastAsia="Times New Roman" w:hint="default"/>
              </w:rPr>
              <w:tab/>
              <w:t>56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2"/>
              </w:rPr>
              <w:t> </w:t>
            </w:r>
            <w:r>
              <w:rPr/>
              <w:t>公司治理</w:t>
            </w:r>
            <w:r>
              <w:rPr>
                <w:rFonts w:ascii="Times New Roman" w:hAnsi="Times New Roman" w:cs="Times New Roman" w:eastAsia="Times New Roman" w:hint="default"/>
              </w:rPr>
              <w:tab/>
              <w:t>64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71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2"/>
              </w:rPr>
              <w:t> </w:t>
            </w:r>
            <w:r>
              <w:rPr/>
              <w:t>财务报告</w:t>
            </w:r>
            <w:r>
              <w:rPr>
                <w:rFonts w:ascii="Times New Roman" w:hAnsi="Times New Roman" w:cs="Times New Roman" w:eastAsia="Times New Roman" w:hint="default"/>
              </w:rPr>
              <w:tab/>
              <w:t>72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214</w:t>
            </w:r>
          </w:hyperlink>
        </w:p>
        <w:p>
          <w:pPr/>
          <w:r>
            <w:fldChar w:fldCharType="end"/>
          </w:r>
        </w:p>
      </w:sdtContent>
    </w:sdt>
    <w:p>
      <w:pPr>
        <w:spacing w:after="0"/>
        <w:sectPr>
          <w:pgSz w:w="11910" w:h="16840"/>
          <w:pgMar w:header="745" w:footer="980" w:top="1060" w:bottom="1160" w:left="980" w:right="0"/>
        </w:sectPr>
      </w:pPr>
    </w:p>
    <w:p>
      <w:pPr>
        <w:spacing w:before="945"/>
        <w:ind w:left="152" w:right="113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香港加码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加码技术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山西茂硕光伏电力股份有限公司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钢盾科技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深圳市钢盾科技有限公司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前海九派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深圳市前海九派资本管理合伙企业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安徽新国利英核能源有限公司，原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浙江国利英核能源有限公司</w:t>
            </w:r>
            <w:r>
              <w:rPr>
                <w:rFonts w:ascii="Times New Roman" w:hAnsi="Times New Roman" w:cs="Times New Roman" w:eastAsia="Times New Roman"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弘康茂硕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方正达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宋体" w:hAnsi="宋体" w:cs="宋体" w:eastAsia="宋体" w:hint="default"/>
                <w:sz w:val="18"/>
                <w:szCs w:val="18"/>
              </w:rPr>
              <w:t>、</w:t>
            </w: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开关电源、消费电子电源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为各类消费电子产品提供所需电力的装置，属于消费电子产品必需配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件；为公司主营产品之一</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00" w:lineRule="auto" w:before="49"/>
              <w:ind w:left="24"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、柔性印制电路板、柔性电路板或柔性 线路板</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组装电子零件用的基板，是在柔性基材上按预定设计形成点间连接及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印制元件的印制板</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24326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002660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Moso Power Supply Technology</w:t>
            </w:r>
            <w:r>
              <w:rPr>
                <w:rFonts w:ascii="Times New Roman"/>
                <w:spacing w:val="-28"/>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Moso</w:t>
            </w:r>
            <w:r>
              <w:rPr>
                <w:rFonts w:ascii="Times New Roman"/>
                <w:spacing w:val="-5"/>
                <w:sz w:val="18"/>
              </w:rPr>
              <w:t> </w:t>
            </w:r>
            <w:r>
              <w:rPr>
                <w:rFonts w:ascii="Times New Roman"/>
                <w:sz w:val="18"/>
              </w:rPr>
              <w:t>Power</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广东省深圳市南山区松白路关外小白芒桑泰工业园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www.mosopower.com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GYD@mosopower.com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3557"/>
        <w:gridCol w:w="3615"/>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顾永德</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朱瑶瑶</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号茂硕科技园</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0755-27659888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0755-27659888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0755-27659888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0755-27659888</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hyperlink r:id="rId9">
              <w:r>
                <w:rPr>
                  <w:rFonts w:ascii="Times New Roman"/>
                  <w:sz w:val="18"/>
                </w:rPr>
                <w:t>GYD@mosopower.com</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0">
              <w:r>
                <w:rPr>
                  <w:rFonts w:ascii="Times New Roman"/>
                  <w:sz w:val="18"/>
                </w:rPr>
                <w:t>yaoyao.zhu@mosopower.com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91440300786559921G</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日，公司原控股股东深圳德旺投资发展有限公司（以下简称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德旺 </w:t>
            </w:r>
            <w:r>
              <w:rPr>
                <w:rFonts w:ascii="宋体" w:hAnsi="宋体" w:cs="宋体" w:eastAsia="宋体" w:hint="default"/>
                <w:spacing w:val="-3"/>
                <w:w w:val="99"/>
                <w:sz w:val="18"/>
                <w:szCs w:val="18"/>
              </w:rPr>
              <w:t>投资</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）与顾永德先生签署了《股权转让合同》，徳旺投资为顾永德先生的全资控</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股公司，德旺投资将其持有的茂硕电源无限售流通股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49,200,347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股协议转让给公 司实际控制人顾永德先生，顾永德先生现为公司控股股东。</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王建华</w:t>
            </w:r>
            <w:r>
              <w:rPr>
                <w:rFonts w:ascii="宋体" w:hAnsi="宋体" w:cs="宋体" w:eastAsia="宋体" w:hint="default"/>
                <w:spacing w:val="1"/>
                <w:sz w:val="18"/>
                <w:szCs w:val="18"/>
              </w:rPr>
              <w:t> </w:t>
            </w:r>
            <w:r>
              <w:rPr>
                <w:rFonts w:ascii="宋体" w:hAnsi="宋体" w:cs="宋体" w:eastAsia="宋体" w:hint="default"/>
                <w:sz w:val="18"/>
                <w:szCs w:val="18"/>
              </w:rPr>
              <w:t>刘国军</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中天国富证券有限公司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z w:val="18"/>
                <w:szCs w:val="18"/>
              </w:rPr>
              <w:t>贵州省贵阳市观山湖区长岭 北路中天会展城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区金融商务 区集中商业（北）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常江、彭德强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中天国富证券有限公司对公 司的持续督导义务至公司首 次公开发行股票的募集专户 资金完结为止。</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公司是否需追溯调整或重述以前年度会计数据</w:t>
      </w:r>
    </w:p>
    <w:p>
      <w:pPr>
        <w:pStyle w:val="BodyText"/>
        <w:spacing w:line="348" w:lineRule="auto" w:before="117"/>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会计政策变更</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973"/>
        <w:gridCol w:w="1419"/>
        <w:gridCol w:w="1358"/>
        <w:gridCol w:w="1335"/>
        <w:gridCol w:w="850"/>
        <w:gridCol w:w="1419"/>
        <w:gridCol w:w="1274"/>
      </w:tblGrid>
      <w:tr>
        <w:trPr>
          <w:trHeight w:val="161" w:hRule="exact"/>
        </w:trPr>
        <w:tc>
          <w:tcPr>
            <w:tcW w:w="1973"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59" w:hanging="92"/>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vMerge/>
            <w:tcBorders>
              <w:left w:val="single" w:sz="4" w:space="0" w:color="000000"/>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1973"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69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73"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1,247,847,109.57</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1,337,775,109.10</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1,337,775,109.10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-6.72%</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1,652,076,282.01</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1,652,076,282.0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19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vMerge/>
            <w:tcBorders>
              <w:left w:val="single" w:sz="9" w:space="0" w:color="D2D2D2"/>
              <w:right w:val="single" w:sz="4" w:space="0" w:color="000000"/>
            </w:tcBorders>
          </w:tcPr>
          <w:p>
            <w:pPr/>
          </w:p>
        </w:tc>
        <w:tc>
          <w:tcPr>
            <w:tcW w:w="1358"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715"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66,527,398.75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-255,760,999.17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-255,760,999.17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126.01%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13,065,004.57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13,065,004.57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358"/>
        <w:gridCol w:w="1335"/>
        <w:gridCol w:w="850"/>
        <w:gridCol w:w="1419"/>
        <w:gridCol w:w="1274"/>
      </w:tblGrid>
      <w:tr>
        <w:trPr>
          <w:trHeight w:val="102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44,080,948.82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-255,794,949.21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-255,794,949.21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-10,966,934.68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-10,966,934.68</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41,757,050.90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77,843,793.97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77,843,793.97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196,239,173.63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199,949,173.63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319"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vMerge/>
            <w:tcBorders>
              <w:left w:val="single" w:sz="4" w:space="0" w:color="000000"/>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693"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69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11"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3"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1,633,310,676.95</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1,704,948,943.24</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1,703,839,434.97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-4.14%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2,047,914,695.95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2,047,914,695.9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9" w:type="dxa"/>
            <w:vMerge/>
            <w:tcBorders>
              <w:left w:val="single" w:sz="9" w:space="0" w:color="D2D2D2"/>
              <w:right w:val="single" w:sz="4" w:space="0" w:color="000000"/>
            </w:tcBorders>
          </w:tcPr>
          <w:p>
            <w:pPr/>
          </w:p>
        </w:tc>
        <w:tc>
          <w:tcPr>
            <w:tcW w:w="1358"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61"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616,347,128.33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555,321,673.04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554,188,928.01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850,558,239.12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850,558,239.12</w:t>
            </w:r>
          </w:p>
        </w:tc>
      </w:tr>
    </w:tbl>
    <w:p>
      <w:pPr>
        <w:pStyle w:val="BodyText"/>
        <w:spacing w:line="240" w:lineRule="auto" w:before="49"/>
        <w:ind w:right="0"/>
        <w:jc w:val="both"/>
      </w:pPr>
      <w:r>
        <w:rPr/>
        <w:t>会计政策变更的原因及会计差错更正的情况</w:t>
      </w:r>
    </w:p>
    <w:p>
      <w:pPr>
        <w:pStyle w:val="BodyText"/>
        <w:spacing w:line="240" w:lineRule="auto" w:before="115"/>
        <w:ind w:left="0" w:right="1129"/>
        <w:jc w:val="right"/>
      </w:pPr>
      <w:r>
        <w:rPr/>
        <w:t>本公司自</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w:t>
      </w:r>
      <w:r>
        <w:rPr/>
        <w:t>起执行财政部</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年修订</w:t>
      </w:r>
      <w:r>
        <w:rPr>
          <w:spacing w:val="-27"/>
        </w:rPr>
        <w:t>的</w:t>
      </w:r>
      <w:r>
        <w:rPr>
          <w:spacing w:val="-3"/>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w:t>
      </w:r>
      <w:r>
        <w:rPr>
          <w:spacing w:val="-3"/>
        </w:rPr>
        <w:t>工</w:t>
      </w:r>
      <w:r>
        <w:rPr/>
        <w:t>具确认和计量</w:t>
      </w:r>
      <w:r>
        <w:rPr>
          <w:spacing w:val="-92"/>
        </w:rPr>
        <w:t>》</w:t>
      </w:r>
      <w:r>
        <w:rPr>
          <w:spacing w:val="-118"/>
        </w:rPr>
        <w:t>、</w:t>
      </w:r>
      <w:r>
        <w:rPr/>
        <w:t>《企业会计</w:t>
      </w:r>
      <w:r>
        <w:rPr>
          <w:spacing w:val="2"/>
        </w:rPr>
        <w:t>准</w:t>
      </w:r>
      <w:r>
        <w:rPr/>
        <w:t>则</w:t>
      </w:r>
    </w:p>
    <w:p>
      <w:pPr>
        <w:pStyle w:val="BodyText"/>
        <w:spacing w:line="240" w:lineRule="auto" w:before="63"/>
        <w:ind w:right="0"/>
        <w:jc w:val="both"/>
      </w:pPr>
      <w:r>
        <w:rPr/>
        <w:t>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rPr>
        <w:t>-</w:t>
      </w:r>
      <w:r>
        <w:rPr/>
        <w:t>金融资产转移》和</w:t>
      </w:r>
      <w:r>
        <w:rPr>
          <w:spacing w:val="-3"/>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套期</w:t>
      </w:r>
      <w:r>
        <w:rPr>
          <w:spacing w:val="-3"/>
        </w:rPr>
        <w:t>会</w:t>
      </w:r>
      <w:r>
        <w:rPr/>
        <w:t>计</w:t>
      </w:r>
      <w:r>
        <w:rPr>
          <w:spacing w:val="-92"/>
        </w:rPr>
        <w:t>》、</w:t>
      </w:r>
      <w:r>
        <w:rPr/>
        <w:t>《企业会计准则第</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3"/>
        </w:rPr>
        <w:t>-</w:t>
      </w:r>
      <w:r>
        <w:rPr/>
        <w:t>金融工具列报</w:t>
      </w:r>
      <w:r>
        <w:rPr>
          <w:spacing w:val="-92"/>
        </w:rPr>
        <w:t>》</w:t>
      </w:r>
      <w:r>
        <w:rPr/>
        <w:t>（以上四项统称</w:t>
      </w:r>
      <w:r>
        <w:rPr>
          <w:rFonts w:ascii="Times New Roman" w:hAnsi="Times New Roman" w:cs="Times New Roman" w:eastAsia="Times New Roman" w:hint="default"/>
          <w:spacing w:val="-1"/>
        </w:rPr>
        <w:t>&lt;</w:t>
      </w:r>
      <w:r>
        <w:rPr/>
        <w:t>新</w:t>
      </w:r>
    </w:p>
    <w:p>
      <w:pPr>
        <w:pStyle w:val="BodyText"/>
        <w:spacing w:line="312" w:lineRule="auto" w:before="63"/>
        <w:ind w:right="1128"/>
        <w:jc w:val="both"/>
      </w:pPr>
      <w:r>
        <w:rPr>
          <w:spacing w:val="-3"/>
        </w:rPr>
        <w:t>金融工具准则</w:t>
      </w:r>
      <w:r>
        <w:rPr>
          <w:rFonts w:ascii="Times New Roman" w:hAnsi="Times New Roman" w:cs="Times New Roman" w:eastAsia="Times New Roman" w:hint="default"/>
          <w:spacing w:val="-3"/>
        </w:rPr>
        <w:t>&gt;</w:t>
      </w:r>
      <w:r>
        <w:rPr>
          <w:spacing w:val="-3"/>
        </w:rPr>
        <w:t>），变更后的会计政策详见本报告第十二节、五、重要会计政策及会计估计。于</w:t>
      </w:r>
      <w:r>
        <w:rPr>
          <w:spacing w:val="-38"/>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1"/>
        </w:rPr>
        <w:t>日之前的金融</w:t>
      </w:r>
      <w:r>
        <w:rPr/>
        <w:t> </w:t>
      </w:r>
      <w:r>
        <w:rPr>
          <w:spacing w:val="-2"/>
        </w:rPr>
        <w:t>工具确认和计量与新金融工具准则要求不一致的，本公司按照新金融工具准则的要求进行衔接调整。涉及前期比较财务报表</w:t>
      </w:r>
      <w:r>
        <w:rPr>
          <w:spacing w:val="-64"/>
        </w:rPr>
        <w:t> </w:t>
      </w:r>
      <w:r>
        <w:rPr>
          <w:spacing w:val="-64"/>
        </w:rPr>
      </w:r>
      <w:r>
        <w:rPr>
          <w:spacing w:val="-2"/>
        </w:rPr>
        <w:t>数据与新金融工具准则要求不一致的，本公司未调整可比期间信息。金融工具原账面价值和新金融工具准则施行日的新账面</w:t>
      </w:r>
      <w:r>
        <w:rPr>
          <w:spacing w:val="-64"/>
        </w:rPr>
        <w:t> </w:t>
      </w:r>
      <w:r>
        <w:rPr>
          <w:spacing w:val="-64"/>
        </w:rPr>
      </w:r>
      <w:r>
        <w:rPr/>
        <w:t>价值之间的差额，计入</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日留存收益或其他综合收益。</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2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222,193,494.08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315,553,055.08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354,155,411.22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355,945,149.19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-767,745.79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17,336,064.66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34,398,384.86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15,560,695.02</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-5,093,376.13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15,763,528.14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29,158,564.15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4,252,232.66</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-74,004,872.43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11,240,144.70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97,650,763.27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6,871,015.36</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1,969,162.20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-7,433,728.55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12,892,461.74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12,117,741.38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13,704,004.73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11,454,289.54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523,404.45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151,254.68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7,775.98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144,089.22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215,408.22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7,143,880.11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-8,704,259.74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1,156,901.52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1,976,970.42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2,742,027.10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5,523,113.17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2,010,420.49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37,688.69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4,692,825.93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758,659.67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1,511,762.17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22,446,449.93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33,950.04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24,031,939.25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项目界定为经常性损益的项目的情形。</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3" w:firstLine="360"/>
        <w:jc w:val="both"/>
      </w:pPr>
      <w:r>
        <w:rPr>
          <w:spacing w:val="-2"/>
        </w:rPr>
        <w:t>消费电子电源和</w:t>
      </w:r>
      <w:r>
        <w:rPr>
          <w:rFonts w:ascii="Times New Roman" w:hAnsi="Times New Roman" w:cs="Times New Roman" w:eastAsia="Times New Roman" w:hint="default"/>
          <w:spacing w:val="-2"/>
        </w:rPr>
        <w:t>LED</w:t>
      </w:r>
      <w:r>
        <w:rPr>
          <w:spacing w:val="-2"/>
        </w:rPr>
        <w:t>电源是公司的主营业务，公司在该领域经过多年的大力发展，已成为全球领先的电源解决方案供应</w:t>
      </w:r>
      <w:r>
        <w:rPr/>
        <w:t> 商和国内电源行业的标志性企业。</w:t>
      </w:r>
    </w:p>
    <w:p>
      <w:pPr>
        <w:pStyle w:val="BodyText"/>
        <w:spacing w:line="316" w:lineRule="auto" w:before="72"/>
        <w:ind w:left="513" w:right="0"/>
        <w:jc w:val="left"/>
      </w:pPr>
      <w:r>
        <w:rPr>
          <w:rFonts w:ascii="宋体" w:hAnsi="宋体" w:cs="宋体" w:eastAsia="宋体" w:hint="default"/>
          <w:b/>
          <w:bCs/>
        </w:rPr>
        <w:t>消费电子类电源方面：</w:t>
      </w:r>
      <w:r>
        <w:rPr>
          <w:rFonts w:ascii="宋体" w:hAnsi="宋体" w:cs="宋体" w:eastAsia="宋体" w:hint="default"/>
          <w:b/>
          <w:bCs/>
          <w:w w:val="99"/>
        </w:rPr>
        <w:t> </w:t>
      </w:r>
      <w:r>
        <w:rPr>
          <w:spacing w:val="-4"/>
        </w:rPr>
        <w:t>消费电子类电源是指为各类消费电子产品提供所需电力转换的装置，属于消费电子产品必需配件，广泛应用于移动终端、</w:t>
      </w:r>
    </w:p>
    <w:p>
      <w:pPr>
        <w:pStyle w:val="BodyText"/>
        <w:spacing w:line="316" w:lineRule="auto" w:before="19"/>
        <w:ind w:left="513" w:right="1063" w:hanging="361"/>
        <w:jc w:val="left"/>
      </w:pPr>
      <w:r>
        <w:rPr/>
        <w:t>家庭娱乐等应用领域。 公司消费电子类电源产品应用领域涵盖网络通信、安防、移动终端、医疗器械、电动工具、小家电、</w:t>
      </w:r>
      <w:r>
        <w:rPr>
          <w:rFonts w:ascii="Times New Roman" w:hAnsi="Times New Roman" w:cs="Times New Roman" w:eastAsia="Times New Roman" w:hint="default"/>
        </w:rPr>
        <w:t>POS</w:t>
      </w:r>
      <w:r>
        <w:rPr/>
        <w:t>机、打印机、</w:t>
      </w:r>
    </w:p>
    <w:p>
      <w:pPr>
        <w:pStyle w:val="BodyText"/>
        <w:spacing w:line="309" w:lineRule="auto" w:before="0"/>
        <w:ind w:right="0"/>
        <w:jc w:val="left"/>
      </w:pPr>
      <w:r>
        <w:rPr/>
        <w:t>打标机、无人机等，尤其在高端机顶盒</w:t>
      </w:r>
      <w:r>
        <w:rPr>
          <w:rFonts w:ascii="Times New Roman" w:hAnsi="Times New Roman" w:cs="Times New Roman" w:eastAsia="Times New Roman" w:hint="default"/>
        </w:rPr>
        <w:t>/</w:t>
      </w:r>
      <w:r>
        <w:rPr/>
        <w:t>网络通讯</w:t>
      </w:r>
      <w:r>
        <w:rPr>
          <w:rFonts w:ascii="Times New Roman" w:hAnsi="Times New Roman" w:cs="Times New Roman" w:eastAsia="Times New Roman" w:hint="default"/>
        </w:rPr>
        <w:t>/</w:t>
      </w:r>
      <w:r>
        <w:rPr/>
        <w:t>安防等电源市场方面在全球占有领先地位。经过多年的积累</w:t>
      </w:r>
      <w:r>
        <w:rPr>
          <w:rFonts w:ascii="Times New Roman" w:hAnsi="Times New Roman" w:cs="Times New Roman" w:eastAsia="Times New Roman" w:hint="default"/>
        </w:rPr>
        <w:t>, </w:t>
      </w:r>
      <w:r>
        <w:rPr/>
        <w:t>公司凭借先</w:t>
      </w:r>
      <w:r>
        <w:rPr>
          <w:spacing w:val="-55"/>
        </w:rPr>
        <w:t> </w:t>
      </w:r>
      <w:r>
        <w:rPr>
          <w:spacing w:val="-55"/>
        </w:rPr>
      </w:r>
      <w:r>
        <w:rPr>
          <w:spacing w:val="-4"/>
        </w:rPr>
        <w:t>进的产品技术、优质的产品质量、自动智能化快速批量制造和快速准确响应客户需求的能力，赢得了稳定的国际大客户群体，</w:t>
      </w:r>
      <w:r>
        <w:rPr>
          <w:spacing w:val="-44"/>
        </w:rPr>
        <w:t> </w:t>
      </w:r>
      <w:r>
        <w:rPr>
          <w:spacing w:val="-44"/>
        </w:rPr>
      </w:r>
      <w:r>
        <w:rPr/>
        <w:t>公司市场份额不断扩大，报告期内，公司在电动工具领域及激光打印机领域已经与两家世界五百强企业有批量订单交付。</w:t>
      </w:r>
    </w:p>
    <w:p>
      <w:pPr>
        <w:pStyle w:val="BodyText"/>
        <w:spacing w:line="302" w:lineRule="auto" w:before="24"/>
        <w:ind w:right="0" w:firstLine="360"/>
        <w:jc w:val="left"/>
      </w:pPr>
      <w:r>
        <w:rPr>
          <w:spacing w:val="-2"/>
        </w:rPr>
        <w:t>报告期内，公司</w:t>
      </w:r>
      <w:r>
        <w:rPr>
          <w:rFonts w:ascii="Times New Roman" w:hAnsi="Times New Roman" w:cs="Times New Roman" w:eastAsia="Times New Roman" w:hint="default"/>
          <w:spacing w:val="-2"/>
        </w:rPr>
        <w:t>SPS</w:t>
      </w:r>
      <w:r>
        <w:rPr>
          <w:spacing w:val="-2"/>
        </w:rPr>
        <w:t>研发中心已经完成</w:t>
      </w:r>
      <w:r>
        <w:rPr>
          <w:rFonts w:ascii="Times New Roman" w:hAnsi="Times New Roman" w:cs="Times New Roman" w:eastAsia="Times New Roman" w:hint="default"/>
          <w:spacing w:val="-2"/>
        </w:rPr>
        <w:t>5W</w:t>
      </w:r>
      <w:r>
        <w:rPr>
          <w:spacing w:val="-2"/>
        </w:rPr>
        <w:t>～</w:t>
      </w:r>
      <w:r>
        <w:rPr>
          <w:rFonts w:ascii="Times New Roman" w:hAnsi="Times New Roman" w:cs="Times New Roman" w:eastAsia="Times New Roman" w:hint="default"/>
          <w:spacing w:val="-2"/>
        </w:rPr>
        <w:t>150W</w:t>
      </w:r>
      <w:r>
        <w:rPr>
          <w:spacing w:val="-2"/>
        </w:rPr>
        <w:t>系列消费电子类电源的标准化升级动作，产品实现了自动化智能生产，</w:t>
      </w:r>
      <w:r>
        <w:rPr/>
        <w:t> </w:t>
      </w:r>
      <w:r>
        <w:rPr>
          <w:spacing w:val="-2"/>
        </w:rPr>
        <w:t>缩短了交付客户的时间；同时突破并完成了由中小功率产品向大功率产品的开发升级（最大达到</w:t>
      </w:r>
      <w:r>
        <w:rPr>
          <w:rFonts w:ascii="Times New Roman" w:hAnsi="Times New Roman" w:cs="Times New Roman" w:eastAsia="Times New Roman" w:hint="default"/>
          <w:spacing w:val="-2"/>
        </w:rPr>
        <w:t>2500W</w:t>
      </w:r>
      <w:r>
        <w:rPr>
          <w:spacing w:val="-2"/>
        </w:rPr>
        <w:t>激光设备电源），从</w:t>
      </w:r>
      <w:r>
        <w:rPr>
          <w:spacing w:val="-48"/>
        </w:rPr>
        <w:t> </w:t>
      </w:r>
      <w:r>
        <w:rPr>
          <w:spacing w:val="-48"/>
        </w:rPr>
      </w:r>
      <w:r>
        <w:rPr/>
        <w:t>传统电源转向全数字化电源的设计，逐步完善了公司单个功能电源到智能系统的多元化产品。公司继续执行</w:t>
      </w:r>
      <w:r>
        <w:rPr>
          <w:rFonts w:ascii="Times New Roman" w:hAnsi="Times New Roman" w:cs="Times New Roman" w:eastAsia="Times New Roman" w:hint="default"/>
        </w:rPr>
        <w:t>“</w:t>
      </w:r>
      <w:r>
        <w:rPr/>
        <w:t>一个中心、两</w:t>
      </w:r>
      <w:r>
        <w:rPr>
          <w:spacing w:val="-73"/>
        </w:rPr>
        <w:t> </w:t>
      </w:r>
      <w:r>
        <w:rPr>
          <w:spacing w:val="-73"/>
        </w:rPr>
      </w:r>
      <w:r>
        <w:rPr/>
        <w:t>个重点</w:t>
      </w:r>
      <w:r>
        <w:rPr>
          <w:rFonts w:ascii="Times New Roman" w:hAnsi="Times New Roman" w:cs="Times New Roman" w:eastAsia="Times New Roman" w:hint="default"/>
        </w:rPr>
        <w:t>”</w:t>
      </w:r>
      <w:r>
        <w:rPr/>
        <w:t>的发展战略，即以客户满意为中心，重点抓公司系列产品的标准化、重点抓</w:t>
      </w:r>
      <w:r>
        <w:rPr>
          <w:rFonts w:ascii="Times New Roman" w:hAnsi="Times New Roman" w:cs="Times New Roman" w:eastAsia="Times New Roman" w:hint="default"/>
        </w:rPr>
        <w:t>VIP</w:t>
      </w:r>
      <w:r>
        <w:rPr/>
        <w:t>客户定制产品的个性化；通过中小</w:t>
      </w:r>
      <w:r>
        <w:rPr>
          <w:spacing w:val="-15"/>
        </w:rPr>
        <w:t> </w:t>
      </w:r>
      <w:r>
        <w:rPr>
          <w:spacing w:val="-15"/>
        </w:rPr>
      </w:r>
      <w:r>
        <w:rPr>
          <w:spacing w:val="-2"/>
        </w:rPr>
        <w:t>功率产品的标准化（针对不同应用领域），来实现设计优化、成本优化、工艺优化、品质优化，从而保障公司基本面的市场</w:t>
      </w:r>
      <w:r>
        <w:rPr>
          <w:spacing w:val="-73"/>
        </w:rPr>
        <w:t> </w:t>
      </w:r>
      <w:r>
        <w:rPr>
          <w:spacing w:val="-73"/>
        </w:rPr>
      </w:r>
      <w:r>
        <w:rPr/>
        <w:t>竞争能力，通过</w:t>
      </w:r>
      <w:r>
        <w:rPr>
          <w:rFonts w:ascii="Times New Roman" w:hAnsi="Times New Roman" w:cs="Times New Roman" w:eastAsia="Times New Roman" w:hint="default"/>
        </w:rPr>
        <w:t>VIP</w:t>
      </w:r>
      <w:r>
        <w:rPr/>
        <w:t>客户定制产品的个性化来实现性价比最高产品的输出，提升公司盈利能力；同时，通过电源新技术、新 材料（氮化镓芯片）的研究开发，预研出一系列高性能的前卫电源产品，铺设了未来电源领域领导者的基础。</w:t>
      </w:r>
    </w:p>
    <w:p>
      <w:pPr>
        <w:spacing w:line="240" w:lineRule="auto" w:before="2"/>
        <w:rPr>
          <w:rFonts w:ascii="宋体" w:hAnsi="宋体" w:cs="宋体" w:eastAsia="宋体" w:hint="default"/>
          <w:sz w:val="26"/>
          <w:szCs w:val="26"/>
        </w:rPr>
      </w:pPr>
    </w:p>
    <w:p>
      <w:pPr>
        <w:pStyle w:val="Heading5"/>
        <w:spacing w:line="240" w:lineRule="auto" w:before="0"/>
        <w:ind w:right="1133"/>
        <w:jc w:val="left"/>
        <w:rPr>
          <w:b w:val="0"/>
          <w:bCs w:val="0"/>
        </w:rPr>
      </w:pPr>
      <w:r>
        <w:rPr>
          <w:rFonts w:ascii="Times New Roman" w:hAnsi="Times New Roman" w:cs="Times New Roman" w:eastAsia="Times New Roman" w:hint="default"/>
        </w:rPr>
        <w:t>LED</w:t>
      </w:r>
      <w:r>
        <w:rPr/>
        <w:t>电源方面：</w:t>
      </w:r>
      <w:r>
        <w:rPr>
          <w:b w:val="0"/>
          <w:bCs w:val="0"/>
        </w:rPr>
      </w:r>
    </w:p>
    <w:p>
      <w:pPr>
        <w:pStyle w:val="BodyText"/>
        <w:spacing w:line="300" w:lineRule="auto" w:before="63"/>
        <w:ind w:right="1129" w:firstLine="360"/>
        <w:jc w:val="both"/>
      </w:pPr>
      <w:r>
        <w:rPr>
          <w:rFonts w:ascii="Times New Roman" w:hAnsi="Times New Roman" w:cs="Times New Roman" w:eastAsia="Times New Roman" w:hint="default"/>
          <w:spacing w:val="-1"/>
        </w:rPr>
        <w:t>LED</w:t>
      </w:r>
      <w:r>
        <w:rPr>
          <w:spacing w:val="-1"/>
        </w:rPr>
        <w:t>驱动电源是把电源供应转换为特定的电压电流以驱动</w:t>
      </w:r>
      <w:r>
        <w:rPr>
          <w:rFonts w:ascii="Times New Roman" w:hAnsi="Times New Roman" w:cs="Times New Roman" w:eastAsia="Times New Roman" w:hint="default"/>
          <w:spacing w:val="-1"/>
        </w:rPr>
        <w:t>LED</w:t>
      </w:r>
      <w:r>
        <w:rPr>
          <w:spacing w:val="-1"/>
        </w:rPr>
        <w:t>发光的电力转换器，大功率</w:t>
      </w:r>
      <w:r>
        <w:rPr>
          <w:rFonts w:ascii="Times New Roman" w:hAnsi="Times New Roman" w:cs="Times New Roman" w:eastAsia="Times New Roman" w:hint="default"/>
          <w:spacing w:val="-1"/>
        </w:rPr>
        <w:t>LED</w:t>
      </w:r>
      <w:r>
        <w:rPr>
          <w:spacing w:val="-1"/>
        </w:rPr>
        <w:t>驱动电源主要用于</w:t>
      </w:r>
      <w:r>
        <w:rPr>
          <w:rFonts w:ascii="Times New Roman" w:hAnsi="Times New Roman" w:cs="Times New Roman" w:eastAsia="Times New Roman" w:hint="default"/>
          <w:spacing w:val="-1"/>
        </w:rPr>
        <w:t>LED</w:t>
      </w:r>
      <w:r>
        <w:rPr>
          <w:spacing w:val="-1"/>
        </w:rPr>
        <w:t>路</w:t>
      </w:r>
      <w:r>
        <w:rPr/>
        <w:t> </w:t>
      </w:r>
      <w:r>
        <w:rPr>
          <w:spacing w:val="-2"/>
        </w:rPr>
        <w:t>灯、隧道灯、工矿灯、地铁（轻轨）灯及景观亮化等户外大功率</w:t>
      </w:r>
      <w:r>
        <w:rPr>
          <w:rFonts w:ascii="Times New Roman" w:hAnsi="Times New Roman" w:cs="Times New Roman" w:eastAsia="Times New Roman" w:hint="default"/>
          <w:spacing w:val="-2"/>
        </w:rPr>
        <w:t>LED</w:t>
      </w:r>
      <w:r>
        <w:rPr>
          <w:spacing w:val="-2"/>
        </w:rPr>
        <w:t>照明设备等，其功能是将交流电转换成直流电，同时完</w:t>
      </w:r>
      <w:r>
        <w:rPr>
          <w:spacing w:val="-53"/>
        </w:rPr>
        <w:t> </w:t>
      </w:r>
      <w:r>
        <w:rPr>
          <w:spacing w:val="-53"/>
        </w:rPr>
      </w:r>
      <w:r>
        <w:rPr/>
        <w:t>成与大功率</w:t>
      </w:r>
      <w:r>
        <w:rPr>
          <w:rFonts w:ascii="Times New Roman" w:hAnsi="Times New Roman" w:cs="Times New Roman" w:eastAsia="Times New Roman" w:hint="default"/>
        </w:rPr>
        <w:t>LED</w:t>
      </w:r>
      <w:r>
        <w:rPr/>
        <w:t>电压与电流的匹配。</w:t>
      </w:r>
    </w:p>
    <w:p>
      <w:pPr>
        <w:pStyle w:val="BodyText"/>
        <w:spacing w:line="300" w:lineRule="auto" w:before="13"/>
        <w:ind w:right="1124" w:firstLine="360"/>
        <w:jc w:val="both"/>
      </w:pPr>
      <w:r>
        <w:rPr>
          <w:spacing w:val="-2"/>
        </w:rPr>
        <w:t>公司</w:t>
      </w:r>
      <w:r>
        <w:rPr>
          <w:rFonts w:ascii="Times New Roman" w:hAnsi="Times New Roman" w:cs="Times New Roman" w:eastAsia="Times New Roman" w:hint="default"/>
          <w:spacing w:val="-2"/>
        </w:rPr>
        <w:t>LED</w:t>
      </w:r>
      <w:r>
        <w:rPr>
          <w:spacing w:val="-2"/>
        </w:rPr>
        <w:t>电源板块以大功率驱动电源为主，目前产品涵盖了道路照明驱动、工业照明驱动、景观照明驱动、轨道交通照</w:t>
      </w:r>
      <w:r>
        <w:rPr/>
        <w:t> 明驱动、</w:t>
      </w:r>
      <w:r>
        <w:rPr>
          <w:rFonts w:ascii="Times New Roman" w:hAnsi="Times New Roman" w:cs="Times New Roman" w:eastAsia="Times New Roman" w:hint="default"/>
        </w:rPr>
        <w:t>LED</w:t>
      </w:r>
      <w:r>
        <w:rPr/>
        <w:t>显示屏驱动、大功率应用照明驱动（如植物照明、体育场馆照明、</w:t>
      </w:r>
      <w:r>
        <w:rPr>
          <w:rFonts w:ascii="Times New Roman" w:hAnsi="Times New Roman" w:cs="Times New Roman" w:eastAsia="Times New Roman" w:hint="default"/>
        </w:rPr>
        <w:t>UV LED</w:t>
      </w:r>
      <w:r>
        <w:rPr/>
        <w:t>照明）六大应用领域。报告期内， 公司顺利推出了</w:t>
      </w:r>
      <w:r>
        <w:rPr>
          <w:rFonts w:ascii="Times New Roman" w:hAnsi="Times New Roman" w:cs="Times New Roman" w:eastAsia="Times New Roman" w:hint="default"/>
        </w:rPr>
        <w:t>X6</w:t>
      </w:r>
      <w:r>
        <w:rPr>
          <w:rFonts w:ascii="Times New Roman" w:hAnsi="Times New Roman" w:cs="Times New Roman" w:eastAsia="Times New Roman" w:hint="default"/>
          <w:spacing w:val="26"/>
        </w:rPr>
        <w:t> </w:t>
      </w:r>
      <w:r>
        <w:rPr/>
        <w:t>系列小功率产品</w:t>
      </w:r>
      <w:r>
        <w:rPr>
          <w:rFonts w:ascii="Times New Roman" w:hAnsi="Times New Roman" w:cs="Times New Roman" w:eastAsia="Times New Roman" w:hint="default"/>
        </w:rPr>
        <w:t>/MNC</w:t>
      </w:r>
      <w:r>
        <w:rPr/>
        <w:t>非隔离系列</w:t>
      </w:r>
      <w:r>
        <w:rPr>
          <w:rFonts w:ascii="Times New Roman" w:hAnsi="Times New Roman" w:cs="Times New Roman" w:eastAsia="Times New Roman" w:hint="default"/>
        </w:rPr>
        <w:t>/P1</w:t>
      </w:r>
      <w:r>
        <w:rPr/>
        <w:t>大功率系列，同时，强调要持续保持在道路照明驱动上长期积累的 优势，完善</w:t>
      </w:r>
      <w:r>
        <w:rPr>
          <w:rFonts w:ascii="Times New Roman" w:hAnsi="Times New Roman" w:cs="Times New Roman" w:eastAsia="Times New Roman" w:hint="default"/>
        </w:rPr>
        <w:t>X6</w:t>
      </w:r>
      <w:r>
        <w:rPr/>
        <w:t>全新系列产品线，使其成为在市场上有竞争力的优势产品，同时结合国际品牌客户的需求，开发满足欧洲市</w:t>
      </w:r>
      <w:r>
        <w:rPr>
          <w:spacing w:val="-42"/>
        </w:rPr>
        <w:t> </w:t>
      </w:r>
      <w:r>
        <w:rPr>
          <w:spacing w:val="-42"/>
        </w:rPr>
      </w:r>
      <w:r>
        <w:rPr/>
        <w:t>场的</w:t>
      </w:r>
      <w:r>
        <w:rPr>
          <w:rFonts w:ascii="Times New Roman" w:hAnsi="Times New Roman" w:cs="Times New Roman" w:eastAsia="Times New Roman" w:hint="default"/>
        </w:rPr>
        <w:t>“</w:t>
      </w:r>
      <w:r>
        <w:rPr/>
        <w:t>道路照明</w:t>
      </w:r>
      <w:r>
        <w:rPr>
          <w:rFonts w:ascii="Times New Roman" w:hAnsi="Times New Roman" w:cs="Times New Roman" w:eastAsia="Times New Roman" w:hint="default"/>
        </w:rPr>
        <w:t>”</w:t>
      </w:r>
      <w:r>
        <w:rPr/>
        <w:t>驱动产品。</w:t>
      </w:r>
    </w:p>
    <w:p>
      <w:pPr>
        <w:pStyle w:val="BodyText"/>
        <w:spacing w:line="307" w:lineRule="auto" w:before="13"/>
        <w:ind w:right="1132" w:firstLine="360"/>
        <w:jc w:val="both"/>
      </w:pPr>
      <w:r>
        <w:rPr/>
        <w:t>随着</w:t>
      </w:r>
      <w:r>
        <w:rPr>
          <w:rFonts w:ascii="Times New Roman" w:hAnsi="Times New Roman" w:cs="Times New Roman" w:eastAsia="Times New Roman" w:hint="default"/>
        </w:rPr>
        <w:t>5G</w:t>
      </w:r>
      <w:r>
        <w:rPr/>
        <w:t>技术的兴起，智慧照明已经在基础功能上衍生出更多全新功能，结合</w:t>
      </w:r>
      <w:r>
        <w:rPr>
          <w:rFonts w:ascii="Times New Roman" w:hAnsi="Times New Roman" w:cs="Times New Roman" w:eastAsia="Times New Roman" w:hint="default"/>
        </w:rPr>
        <w:t>5G</w:t>
      </w:r>
      <w:r>
        <w:rPr/>
        <w:t>、</w:t>
      </w:r>
      <w:r>
        <w:rPr>
          <w:rFonts w:ascii="Times New Roman" w:hAnsi="Times New Roman" w:cs="Times New Roman" w:eastAsia="Times New Roman" w:hint="default"/>
        </w:rPr>
        <w:t>AI</w:t>
      </w:r>
      <w:r>
        <w:rPr/>
        <w:t>技术的应用，未来可能会涌现出一 些更富想象力的应用，将会极大改变我们生活方式；随着智慧城市建设的进一步扩大，搭载</w:t>
      </w:r>
      <w:r>
        <w:rPr>
          <w:rFonts w:ascii="Times New Roman" w:hAnsi="Times New Roman" w:cs="Times New Roman" w:eastAsia="Times New Roman" w:hint="default"/>
        </w:rPr>
        <w:t>5G</w:t>
      </w:r>
      <w:r>
        <w:rPr/>
        <w:t>信号基站的智慧灯杆也势必</w:t>
      </w:r>
      <w:r>
        <w:rPr>
          <w:spacing w:val="-38"/>
        </w:rPr>
        <w:t> </w:t>
      </w:r>
      <w:r>
        <w:rPr>
          <w:spacing w:val="-38"/>
        </w:rPr>
      </w:r>
      <w:r>
        <w:rPr>
          <w:spacing w:val="-2"/>
        </w:rPr>
        <w:t>会迎来新一轮应用高潮。茂硕将顺势而为，以智慧灯杆为载体，结合自身的技术优势，开发相应的电源解决方案，助力国家</w:t>
      </w:r>
      <w:r>
        <w:rPr>
          <w:spacing w:val="-66"/>
        </w:rPr>
        <w:t> </w:t>
      </w:r>
      <w:r>
        <w:rPr>
          <w:spacing w:val="-66"/>
        </w:rPr>
      </w:r>
      <w:r>
        <w:rPr/>
        <w:t>智慧城市建设。</w:t>
      </w:r>
    </w:p>
    <w:p>
      <w:pPr>
        <w:spacing w:after="0" w:line="307"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3" w:right="1133"/>
        <w:jc w:val="left"/>
      </w:pPr>
      <w:r>
        <w:rPr/>
        <w:t>报告期内，公司通过内生增长，进一步优化在研发技术、产品质量、品牌管理等方面的核心竞争力。</w:t>
      </w:r>
    </w:p>
    <w:p>
      <w:pPr>
        <w:pStyle w:val="BodyText"/>
        <w:spacing w:line="300" w:lineRule="auto" w:before="76"/>
        <w:ind w:left="513" w:right="1133"/>
        <w:jc w:val="left"/>
      </w:pPr>
      <w:r>
        <w:rPr/>
        <w:t>（</w:t>
      </w:r>
      <w:r>
        <w:rPr>
          <w:rFonts w:ascii="Times New Roman" w:hAnsi="Times New Roman" w:cs="Times New Roman" w:eastAsia="Times New Roman" w:hint="default"/>
        </w:rPr>
        <w:t>1</w:t>
      </w:r>
      <w:r>
        <w:rPr/>
        <w:t>）业内领先的技术研发能力 </w:t>
      </w:r>
      <w:r>
        <w:rPr>
          <w:spacing w:val="-2"/>
        </w:rPr>
        <w:t>茂硕电源及子公司茂硕电子、茂硕电气均是国家级高新技术企业，公司秉承</w:t>
      </w:r>
      <w:r>
        <w:rPr>
          <w:rFonts w:ascii="Times New Roman" w:hAnsi="Times New Roman" w:cs="Times New Roman" w:eastAsia="Times New Roman" w:hint="default"/>
          <w:spacing w:val="-2"/>
        </w:rPr>
        <w:t>“</w:t>
      </w:r>
      <w:r>
        <w:rPr>
          <w:spacing w:val="-2"/>
        </w:rPr>
        <w:t>技术创新、产品为王</w:t>
      </w:r>
      <w:r>
        <w:rPr>
          <w:rFonts w:ascii="Times New Roman" w:hAnsi="Times New Roman" w:cs="Times New Roman" w:eastAsia="Times New Roman" w:hint="default"/>
          <w:spacing w:val="-2"/>
        </w:rPr>
        <w:t>”</w:t>
      </w:r>
      <w:r>
        <w:rPr>
          <w:spacing w:val="-2"/>
        </w:rPr>
        <w:t>的理念，十分重视产</w:t>
      </w:r>
    </w:p>
    <w:p>
      <w:pPr>
        <w:pStyle w:val="BodyText"/>
        <w:spacing w:line="309" w:lineRule="auto" w:before="13"/>
        <w:ind w:right="1129"/>
        <w:jc w:val="both"/>
      </w:pPr>
      <w:r>
        <w:rPr>
          <w:spacing w:val="-2"/>
        </w:rPr>
        <w:t>品的研发及创新，公司聘请了资深电源专家和国内知名大学专家共同主导研发，重点加强产品研发过程中的质量管控与可靠</w:t>
      </w:r>
      <w:r>
        <w:rPr>
          <w:spacing w:val="-64"/>
        </w:rPr>
        <w:t> </w:t>
      </w:r>
      <w:r>
        <w:rPr>
          <w:spacing w:val="-64"/>
        </w:rPr>
      </w:r>
      <w:r>
        <w:rPr>
          <w:spacing w:val="-1"/>
        </w:rPr>
        <w:t>性验证，开发标准化的智能电源产品，结合</w:t>
      </w:r>
      <w:r>
        <w:rPr>
          <w:rFonts w:ascii="Times New Roman" w:hAnsi="Times New Roman" w:cs="Times New Roman" w:eastAsia="Times New Roman" w:hint="default"/>
          <w:spacing w:val="-1"/>
        </w:rPr>
        <w:t>IPD</w:t>
      </w:r>
      <w:r>
        <w:rPr>
          <w:spacing w:val="-1"/>
        </w:rPr>
        <w:t>集成产品设计理念，缩减了产品开发周期和开发成本，进一步提升产品的竞</w:t>
      </w:r>
      <w:r>
        <w:rPr>
          <w:spacing w:val="-49"/>
        </w:rPr>
        <w:t> </w:t>
      </w:r>
      <w:r>
        <w:rPr>
          <w:spacing w:val="-49"/>
        </w:rPr>
      </w:r>
      <w:r>
        <w:rPr/>
        <w:t>争力。</w:t>
      </w:r>
    </w:p>
    <w:p>
      <w:pPr>
        <w:pStyle w:val="BodyText"/>
        <w:spacing w:line="316" w:lineRule="auto" w:before="24"/>
        <w:ind w:left="513" w:right="1136"/>
        <w:jc w:val="left"/>
      </w:pPr>
      <w:r>
        <w:rPr/>
        <w:t>经过多年的技术攻关和生产实践；公司在研发方面取得了长足的进步： 消费电子类电源方面，报告期内，研发技术骨干已经完成开关电源</w:t>
      </w:r>
      <w:r>
        <w:rPr>
          <w:rFonts w:ascii="Times New Roman" w:hAnsi="Times New Roman" w:cs="Times New Roman" w:eastAsia="Times New Roman" w:hint="default"/>
        </w:rPr>
        <w:t>5W~150W</w:t>
      </w:r>
      <w:r>
        <w:rPr/>
        <w:t>等一系列标准型产品，共完成新产品开发</w:t>
      </w:r>
    </w:p>
    <w:p>
      <w:pPr>
        <w:pStyle w:val="BodyText"/>
        <w:spacing w:line="300" w:lineRule="auto" w:before="0"/>
        <w:ind w:right="1131"/>
        <w:jc w:val="both"/>
      </w:pPr>
      <w:r>
        <w:rPr>
          <w:spacing w:val="-1"/>
        </w:rPr>
        <w:t>共</w:t>
      </w:r>
      <w:r>
        <w:rPr>
          <w:rFonts w:ascii="Times New Roman" w:hAnsi="Times New Roman" w:cs="Times New Roman" w:eastAsia="Times New Roman" w:hint="default"/>
          <w:spacing w:val="-1"/>
        </w:rPr>
        <w:t>20</w:t>
      </w:r>
      <w:r>
        <w:rPr>
          <w:spacing w:val="-1"/>
        </w:rPr>
        <w:t>个系列；完成安规认证升级与取证共</w:t>
      </w:r>
      <w:r>
        <w:rPr>
          <w:rFonts w:ascii="Times New Roman" w:hAnsi="Times New Roman" w:cs="Times New Roman" w:eastAsia="Times New Roman" w:hint="default"/>
          <w:spacing w:val="-1"/>
        </w:rPr>
        <w:t>60</w:t>
      </w:r>
      <w:r>
        <w:rPr>
          <w:spacing w:val="-1"/>
        </w:rPr>
        <w:t>个系列，并完成多款</w:t>
      </w:r>
      <w:r>
        <w:rPr>
          <w:rFonts w:ascii="Times New Roman" w:hAnsi="Times New Roman" w:cs="Times New Roman" w:eastAsia="Times New Roman" w:hint="default"/>
          <w:spacing w:val="-1"/>
        </w:rPr>
        <w:t>VIP</w:t>
      </w:r>
      <w:r>
        <w:rPr>
          <w:spacing w:val="-1"/>
        </w:rPr>
        <w:t>客户定制电源的开发设计，同时完成或预研了多款新应</w:t>
      </w:r>
      <w:r>
        <w:rPr>
          <w:spacing w:val="-53"/>
        </w:rPr>
        <w:t> </w:t>
      </w:r>
      <w:r>
        <w:rPr>
          <w:spacing w:val="-53"/>
        </w:rPr>
      </w:r>
      <w:r>
        <w:rPr>
          <w:spacing w:val="-1"/>
        </w:rPr>
        <w:t>用领域的定制产品</w:t>
      </w:r>
      <w:r>
        <w:rPr>
          <w:rFonts w:ascii="Times New Roman" w:hAnsi="Times New Roman" w:cs="Times New Roman" w:eastAsia="Times New Roman" w:hint="default"/>
          <w:spacing w:val="-1"/>
        </w:rPr>
        <w:t>/</w:t>
      </w:r>
      <w:r>
        <w:rPr>
          <w:spacing w:val="-1"/>
        </w:rPr>
        <w:t>基础设计项目：①</w:t>
      </w:r>
      <w:r>
        <w:rPr>
          <w:rFonts w:ascii="Times New Roman" w:hAnsi="Times New Roman" w:cs="Times New Roman" w:eastAsia="Times New Roman" w:hint="default"/>
          <w:spacing w:val="-1"/>
        </w:rPr>
        <w:t>300W</w:t>
      </w:r>
      <w:r>
        <w:rPr>
          <w:spacing w:val="-1"/>
        </w:rPr>
        <w:t>与</w:t>
      </w:r>
      <w:r>
        <w:rPr>
          <w:rFonts w:ascii="Times New Roman" w:hAnsi="Times New Roman" w:cs="Times New Roman" w:eastAsia="Times New Roman" w:hint="default"/>
          <w:spacing w:val="-1"/>
        </w:rPr>
        <w:t>500W</w:t>
      </w:r>
      <w:r>
        <w:rPr>
          <w:spacing w:val="-1"/>
        </w:rPr>
        <w:t>系列户外储能电源项目；②</w:t>
      </w:r>
      <w:r>
        <w:rPr>
          <w:rFonts w:ascii="Times New Roman" w:hAnsi="Times New Roman" w:cs="Times New Roman" w:eastAsia="Times New Roman" w:hint="default"/>
          <w:spacing w:val="-1"/>
        </w:rPr>
        <w:t>2KW</w:t>
      </w:r>
      <w:r>
        <w:rPr>
          <w:spacing w:val="-1"/>
        </w:rPr>
        <w:t>通讯智能充电柜项目</w:t>
      </w:r>
      <w:r>
        <w:rPr>
          <w:rFonts w:ascii="Times New Roman" w:hAnsi="Times New Roman" w:cs="Times New Roman" w:eastAsia="Times New Roman" w:hint="default"/>
          <w:spacing w:val="-1"/>
        </w:rPr>
        <w:t>(</w:t>
      </w:r>
      <w:r>
        <w:rPr>
          <w:spacing w:val="-1"/>
        </w:rPr>
        <w:t>智能低速电动车充</w:t>
      </w:r>
      <w:r>
        <w:rPr>
          <w:spacing w:val="-58"/>
        </w:rPr>
        <w:t> </w:t>
      </w:r>
      <w:r>
        <w:rPr/>
        <w:t>换电电源等</w:t>
      </w:r>
      <w:r>
        <w:rPr>
          <w:rFonts w:ascii="Times New Roman" w:hAnsi="Times New Roman" w:cs="Times New Roman" w:eastAsia="Times New Roman" w:hint="default"/>
        </w:rPr>
        <w:t>)</w:t>
      </w:r>
      <w:r>
        <w:rPr/>
        <w:t>；③</w:t>
      </w:r>
      <w:r>
        <w:rPr>
          <w:rFonts w:ascii="Times New Roman" w:hAnsi="Times New Roman" w:cs="Times New Roman" w:eastAsia="Times New Roman" w:hint="default"/>
        </w:rPr>
        <w:t>60W-600W</w:t>
      </w:r>
      <w:r>
        <w:rPr/>
        <w:t>工控电源</w:t>
      </w:r>
      <w:r>
        <w:rPr>
          <w:rFonts w:ascii="Times New Roman" w:hAnsi="Times New Roman" w:cs="Times New Roman" w:eastAsia="Times New Roman" w:hint="default"/>
        </w:rPr>
        <w:t>(</w:t>
      </w:r>
      <w:r>
        <w:rPr/>
        <w:t>激光打印机等</w:t>
      </w:r>
      <w:r>
        <w:rPr>
          <w:rFonts w:ascii="Times New Roman" w:hAnsi="Times New Roman" w:cs="Times New Roman" w:eastAsia="Times New Roman" w:hint="default"/>
        </w:rPr>
        <w:t>)</w:t>
      </w:r>
      <w:r>
        <w:rPr/>
        <w:t>；④</w:t>
      </w:r>
      <w:r>
        <w:rPr>
          <w:rFonts w:ascii="Times New Roman" w:hAnsi="Times New Roman" w:cs="Times New Roman" w:eastAsia="Times New Roman" w:hint="default"/>
        </w:rPr>
        <w:t>1400W~2200W</w:t>
      </w:r>
      <w:r>
        <w:rPr/>
        <w:t>系列区块链电源、⑤采用新氮化镓技术的</w:t>
      </w:r>
      <w:r>
        <w:rPr>
          <w:rFonts w:ascii="Times New Roman" w:hAnsi="Times New Roman" w:cs="Times New Roman" w:eastAsia="Times New Roman" w:hint="default"/>
        </w:rPr>
        <w:t>PD</w:t>
      </w:r>
      <w:r>
        <w:rPr/>
        <w:t>快速充</w:t>
      </w:r>
      <w:r>
        <w:rPr>
          <w:spacing w:val="-78"/>
        </w:rPr>
        <w:t> </w:t>
      </w:r>
      <w:r>
        <w:rPr/>
        <w:t>电器、⑥服务器电源</w:t>
      </w:r>
      <w:r>
        <w:rPr>
          <w:rFonts w:ascii="Times New Roman" w:hAnsi="Times New Roman" w:cs="Times New Roman" w:eastAsia="Times New Roman" w:hint="default"/>
        </w:rPr>
        <w:t>/</w:t>
      </w:r>
      <w:r>
        <w:rPr/>
        <w:t>冗余电源等，进一步扩展了公司消费类电源的覆盖领域；</w:t>
      </w:r>
    </w:p>
    <w:p>
      <w:pPr>
        <w:spacing w:line="240" w:lineRule="auto" w:before="11"/>
        <w:rPr>
          <w:rFonts w:ascii="宋体" w:hAnsi="宋体" w:cs="宋体" w:eastAsia="宋体" w:hint="default"/>
          <w:sz w:val="24"/>
          <w:szCs w:val="24"/>
        </w:rPr>
      </w:pPr>
    </w:p>
    <w:p>
      <w:pPr>
        <w:pStyle w:val="BodyText"/>
        <w:spacing w:line="304" w:lineRule="auto" w:before="0"/>
        <w:ind w:right="1040" w:firstLine="360"/>
        <w:jc w:val="left"/>
      </w:pPr>
      <w:r>
        <w:rPr>
          <w:rFonts w:ascii="Times New Roman" w:hAnsi="Times New Roman" w:cs="Times New Roman" w:eastAsia="Times New Roman" w:hint="default"/>
        </w:rPr>
        <w:t>LED</w:t>
      </w:r>
      <w:r>
        <w:rPr/>
        <w:t>驱动电源方面，报告期内，产品发展有两个方向，一方面持续扩大现有优势，深耕户外电源市场和区域照明市场， 着重提升性价比的优化，推出了</w:t>
      </w:r>
      <w:r>
        <w:rPr>
          <w:rFonts w:ascii="Times New Roman" w:hAnsi="Times New Roman" w:cs="Times New Roman" w:eastAsia="Times New Roman" w:hint="default"/>
        </w:rPr>
        <w:t>X6</w:t>
      </w:r>
      <w:r>
        <w:rPr/>
        <w:t>系列小功率产品</w:t>
      </w:r>
      <w:r>
        <w:rPr>
          <w:rFonts w:ascii="Times New Roman" w:hAnsi="Times New Roman" w:cs="Times New Roman" w:eastAsia="Times New Roman" w:hint="default"/>
        </w:rPr>
        <w:t>/MNC</w:t>
      </w:r>
      <w:r>
        <w:rPr/>
        <w:t>非隔离系列</w:t>
      </w:r>
      <w:r>
        <w:rPr>
          <w:rFonts w:ascii="Times New Roman" w:hAnsi="Times New Roman" w:cs="Times New Roman" w:eastAsia="Times New Roman" w:hint="default"/>
        </w:rPr>
        <w:t>/P1</w:t>
      </w:r>
      <w:r>
        <w:rPr/>
        <w:t>大功率系列，</w:t>
      </w:r>
      <w:r>
        <w:rPr>
          <w:rFonts w:ascii="Times New Roman" w:hAnsi="Times New Roman" w:cs="Times New Roman" w:eastAsia="Times New Roman" w:hint="default"/>
        </w:rPr>
        <w:t>X6</w:t>
      </w:r>
      <w:r>
        <w:rPr/>
        <w:t>系列小功率驱动可广泛用于道路照</w:t>
      </w:r>
      <w:r>
        <w:rPr>
          <w:spacing w:val="-59"/>
        </w:rPr>
        <w:t> </w:t>
      </w:r>
      <w:r>
        <w:rPr>
          <w:spacing w:val="-59"/>
        </w:rPr>
      </w:r>
      <w:r>
        <w:rPr/>
        <w:t>明、隧道照明、景观照明等领域，以高性能指标、高可靠性为主要特征。</w:t>
      </w:r>
      <w:r>
        <w:rPr>
          <w:rFonts w:ascii="Times New Roman" w:hAnsi="Times New Roman" w:cs="Times New Roman" w:eastAsia="Times New Roman" w:hint="default"/>
        </w:rPr>
        <w:t>MNC</w:t>
      </w:r>
      <w:r>
        <w:rPr/>
        <w:t>系列则重点评估性价比，针对成本非常敏感</w:t>
      </w:r>
      <w:r>
        <w:rPr>
          <w:spacing w:val="-48"/>
        </w:rPr>
        <w:t> </w:t>
      </w:r>
      <w:r>
        <w:rPr>
          <w:spacing w:val="-48"/>
        </w:rPr>
      </w:r>
      <w:r>
        <w:rPr>
          <w:spacing w:val="-3"/>
        </w:rPr>
        <w:t>的客户群体。</w:t>
      </w:r>
      <w:r>
        <w:rPr>
          <w:rFonts w:ascii="Times New Roman" w:hAnsi="Times New Roman" w:cs="Times New Roman" w:eastAsia="Times New Roman" w:hint="default"/>
          <w:spacing w:val="-3"/>
        </w:rPr>
        <w:t>P1</w:t>
      </w:r>
      <w:r>
        <w:rPr>
          <w:spacing w:val="-3"/>
        </w:rPr>
        <w:t>系列则主要是针对植物照明、体育场馆、</w:t>
      </w:r>
      <w:r>
        <w:rPr>
          <w:rFonts w:ascii="Times New Roman" w:hAnsi="Times New Roman" w:cs="Times New Roman" w:eastAsia="Times New Roman" w:hint="default"/>
          <w:spacing w:val="-3"/>
        </w:rPr>
        <w:t>UV-LED</w:t>
      </w:r>
      <w:r>
        <w:rPr>
          <w:spacing w:val="-3"/>
        </w:rPr>
        <w:t>等相对特殊应用领域，功率为</w:t>
      </w:r>
      <w:r>
        <w:rPr>
          <w:rFonts w:ascii="Times New Roman" w:hAnsi="Times New Roman" w:cs="Times New Roman" w:eastAsia="Times New Roman" w:hint="default"/>
          <w:spacing w:val="-3"/>
        </w:rPr>
        <w:t>480W-600W</w:t>
      </w:r>
      <w:r>
        <w:rPr>
          <w:spacing w:val="-3"/>
        </w:rPr>
        <w:t>。针对欧洲市场，</w:t>
      </w:r>
      <w:r>
        <w:rPr>
          <w:spacing w:val="-81"/>
        </w:rPr>
        <w:t> </w:t>
      </w:r>
      <w:r>
        <w:rPr>
          <w:spacing w:val="-81"/>
        </w:rPr>
      </w:r>
      <w:r>
        <w:rPr/>
        <w:t>正在开发一个高品质全新系列产品，该系列除了延续茂硕的特征性功能离线编程外，还满足</w:t>
      </w:r>
      <w:r>
        <w:rPr>
          <w:rFonts w:ascii="Times New Roman" w:hAnsi="Times New Roman" w:cs="Times New Roman" w:eastAsia="Times New Roman" w:hint="default"/>
        </w:rPr>
        <w:t>DALI-2</w:t>
      </w:r>
      <w:r>
        <w:rPr/>
        <w:t>、符合</w:t>
      </w:r>
      <w:r>
        <w:rPr>
          <w:rFonts w:ascii="Times New Roman" w:hAnsi="Times New Roman" w:cs="Times New Roman" w:eastAsia="Times New Roman" w:hint="default"/>
        </w:rPr>
        <w:t>Zhaga Book</w:t>
      </w:r>
      <w:r>
        <w:rPr>
          <w:rFonts w:ascii="Times New Roman" w:hAnsi="Times New Roman" w:cs="Times New Roman" w:eastAsia="Times New Roman" w:hint="default"/>
          <w:spacing w:val="26"/>
        </w:rPr>
        <w:t> </w:t>
      </w:r>
      <w:r>
        <w:rPr>
          <w:rFonts w:ascii="Times New Roman" w:hAnsi="Times New Roman" w:cs="Times New Roman" w:eastAsia="Times New Roman" w:hint="default"/>
        </w:rPr>
        <w:t>18</w:t>
      </w:r>
      <w:r>
        <w:rPr/>
        <w:t>， 同时兼容</w:t>
      </w:r>
      <w:r>
        <w:rPr>
          <w:rFonts w:ascii="Times New Roman" w:hAnsi="Times New Roman" w:cs="Times New Roman" w:eastAsia="Times New Roman" w:hint="default"/>
        </w:rPr>
        <w:t>Class</w:t>
      </w:r>
      <w:r>
        <w:rPr>
          <w:rFonts w:ascii="Times New Roman" w:hAnsi="Times New Roman" w:cs="Times New Roman" w:eastAsia="Times New Roman" w:hint="default"/>
          <w:spacing w:val="-16"/>
        </w:rPr>
        <w:t> </w:t>
      </w:r>
      <w:r>
        <w:rPr>
          <w:rFonts w:ascii="Times New Roman" w:hAnsi="Times New Roman" w:cs="Times New Roman" w:eastAsia="Times New Roman" w:hint="default"/>
        </w:rPr>
        <w:t>I</w:t>
      </w:r>
      <w:r>
        <w:rPr>
          <w:rFonts w:ascii="Times New Roman" w:hAnsi="Times New Roman" w:cs="Times New Roman" w:eastAsia="Times New Roman" w:hint="default"/>
          <w:spacing w:val="-15"/>
        </w:rPr>
        <w:t> </w:t>
      </w:r>
      <w:r>
        <w:rPr>
          <w:rFonts w:ascii="Times New Roman" w:hAnsi="Times New Roman" w:cs="Times New Roman" w:eastAsia="Times New Roman" w:hint="default"/>
        </w:rPr>
        <w:t>&amp;Class</w:t>
      </w:r>
      <w:r>
        <w:rPr>
          <w:rFonts w:ascii="Times New Roman" w:hAnsi="Times New Roman" w:cs="Times New Roman" w:eastAsia="Times New Roman" w:hint="default"/>
          <w:spacing w:val="-14"/>
        </w:rPr>
        <w:t> </w:t>
      </w:r>
      <w:r>
        <w:rPr>
          <w:rFonts w:ascii="Times New Roman" w:hAnsi="Times New Roman" w:cs="Times New Roman" w:eastAsia="Times New Roman" w:hint="default"/>
        </w:rPr>
        <w:t>II</w:t>
      </w:r>
      <w:r>
        <w:rPr/>
        <w:t>二种绝缘系统。这几个系列产品是在对客户、地域需求的深度理解后规划开发出来的产品，可以分 </w:t>
      </w:r>
      <w:r>
        <w:rPr>
          <w:spacing w:val="-2"/>
        </w:rPr>
        <w:t>别满足客户现在和将来产品升级的期望，且满足北美、欧洲及亚太地区不同的产品需求，通过结构及功能的创新大大提升产</w:t>
      </w:r>
      <w:r>
        <w:rPr>
          <w:spacing w:val="-66"/>
        </w:rPr>
        <w:t> </w:t>
      </w:r>
      <w:r>
        <w:rPr>
          <w:spacing w:val="-66"/>
        </w:rPr>
      </w:r>
      <w:r>
        <w:rPr>
          <w:spacing w:val="-2"/>
        </w:rPr>
        <w:t>品的竞争力，同时在行业中首次采用数字编程技术，大大提升产品的标准化程度，给客户在使用上带来极大的便利；另一方</w:t>
      </w:r>
      <w:r>
        <w:rPr>
          <w:spacing w:val="-65"/>
        </w:rPr>
        <w:t> </w:t>
      </w:r>
      <w:r>
        <w:rPr>
          <w:spacing w:val="-65"/>
        </w:rPr>
      </w:r>
      <w:r>
        <w:rPr/>
        <w:t>面深度和智能技术结合，积极参与前沿技术的研究，配合相关行业组织，参与相关标准的制定，助推产业有序发展，</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年下半年，在国家半导体照明工程研发及产业联盟主导下，主持并发布了《景观照明用</w:t>
      </w:r>
      <w:r>
        <w:rPr>
          <w:rFonts w:ascii="Times New Roman" w:hAnsi="Times New Roman" w:cs="Times New Roman" w:eastAsia="Times New Roman" w:hint="default"/>
          <w:spacing w:val="-2"/>
        </w:rPr>
        <w:t>LED</w:t>
      </w:r>
      <w:r>
        <w:rPr>
          <w:spacing w:val="-2"/>
        </w:rPr>
        <w:t>驱动电源通用技术规范》，在中</w:t>
      </w:r>
      <w:r>
        <w:rPr>
          <w:spacing w:val="-56"/>
        </w:rPr>
        <w:t> </w:t>
      </w:r>
      <w:r>
        <w:rPr>
          <w:spacing w:val="-56"/>
        </w:rPr>
      </w:r>
      <w:r>
        <w:rPr/>
        <w:t>华人民共和国住房和城乡建设部统筹下，参与《风光互补路灯装置》的研究与制定工作。</w:t>
      </w:r>
    </w:p>
    <w:p>
      <w:pPr>
        <w:spacing w:after="0" w:line="304"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13" w:right="1133"/>
        <w:jc w:val="left"/>
      </w:pPr>
      <w:r>
        <w:rPr/>
        <w:t>（</w:t>
      </w:r>
      <w:r>
        <w:rPr>
          <w:rFonts w:ascii="Times New Roman" w:hAnsi="Times New Roman" w:cs="Times New Roman" w:eastAsia="Times New Roman" w:hint="default"/>
        </w:rPr>
        <w:t>2</w:t>
      </w:r>
      <w:r>
        <w:rPr/>
        <w:t>）产品质量优势 </w:t>
      </w:r>
      <w:r>
        <w:rPr>
          <w:spacing w:val="-2"/>
        </w:rPr>
        <w:t>公司始终坚持</w:t>
      </w:r>
      <w:r>
        <w:rPr>
          <w:rFonts w:ascii="Times New Roman" w:hAnsi="Times New Roman" w:cs="Times New Roman" w:eastAsia="Times New Roman" w:hint="default"/>
          <w:spacing w:val="-2"/>
        </w:rPr>
        <w:t>“</w:t>
      </w:r>
      <w:r>
        <w:rPr>
          <w:spacing w:val="-2"/>
        </w:rPr>
        <w:t>卓越设计、稳定可靠；持续改进，客户满意</w:t>
      </w:r>
      <w:r>
        <w:rPr>
          <w:rFonts w:ascii="Times New Roman" w:hAnsi="Times New Roman" w:cs="Times New Roman" w:eastAsia="Times New Roman" w:hint="default"/>
          <w:spacing w:val="-2"/>
        </w:rPr>
        <w:t>”</w:t>
      </w:r>
      <w:r>
        <w:rPr>
          <w:spacing w:val="-2"/>
        </w:rPr>
        <w:t>的质量方针，对产品的质量方面严格把关，专业的质量中心</w:t>
      </w:r>
    </w:p>
    <w:p>
      <w:pPr>
        <w:pStyle w:val="BodyText"/>
        <w:spacing w:line="307" w:lineRule="auto" w:before="13"/>
        <w:ind w:right="1040"/>
        <w:jc w:val="left"/>
      </w:pPr>
      <w:r>
        <w:rPr>
          <w:spacing w:val="4"/>
        </w:rPr>
        <w:t>负责实施质量管理体系工作，按照国际质量体系标准，实行涵盖整个公司业务的质量管理控制。公司及子公司先后通过</w:t>
      </w:r>
      <w:r>
        <w:rPr>
          <w:spacing w:val="-53"/>
        </w:rPr>
        <w:t> </w:t>
      </w:r>
      <w:r>
        <w:rPr>
          <w:spacing w:val="-53"/>
        </w:rPr>
      </w:r>
      <w:r>
        <w:rPr>
          <w:rFonts w:ascii="Times New Roman" w:hAnsi="Times New Roman" w:cs="Times New Roman" w:eastAsia="Times New Roman" w:hint="default"/>
        </w:rPr>
        <w:t>ISO9001</w:t>
      </w:r>
      <w:r>
        <w:rPr/>
        <w:t>质量管理体系认证、</w:t>
      </w:r>
      <w:r>
        <w:rPr>
          <w:rFonts w:ascii="Times New Roman" w:hAnsi="Times New Roman" w:cs="Times New Roman" w:eastAsia="Times New Roman" w:hint="default"/>
        </w:rPr>
        <w:t>ISO14001</w:t>
      </w:r>
      <w:r>
        <w:rPr/>
        <w:t>环境管理体系认证</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rFonts w:ascii="Times New Roman" w:hAnsi="Times New Roman" w:cs="Times New Roman" w:eastAsia="Times New Roman" w:hint="default"/>
        </w:rPr>
        <w:t>ISO45001</w:t>
      </w:r>
      <w:r>
        <w:rPr/>
        <w:t>职业健康安全体系认证和</w:t>
      </w:r>
      <w:r>
        <w:rPr>
          <w:rFonts w:ascii="Times New Roman" w:hAnsi="Times New Roman" w:cs="Times New Roman" w:eastAsia="Times New Roman" w:hint="default"/>
        </w:rPr>
        <w:t>CSR</w:t>
      </w:r>
      <w:r>
        <w:rPr/>
        <w:t>企业社会责任认证，同时， 公司已取得世界权威机构颁发的</w:t>
      </w:r>
      <w:r>
        <w:rPr>
          <w:rFonts w:ascii="Times New Roman" w:hAnsi="Times New Roman" w:cs="Times New Roman" w:eastAsia="Times New Roman" w:hint="default"/>
        </w:rPr>
        <w:t>UL</w:t>
      </w:r>
      <w:r>
        <w:rPr/>
        <w:t>、</w:t>
      </w:r>
      <w:r>
        <w:rPr>
          <w:rFonts w:ascii="Times New Roman" w:hAnsi="Times New Roman" w:cs="Times New Roman" w:eastAsia="Times New Roman" w:hint="default"/>
        </w:rPr>
        <w:t>C-UL</w:t>
      </w:r>
      <w:r>
        <w:rPr/>
        <w:t>、</w:t>
      </w:r>
      <w:r>
        <w:rPr>
          <w:rFonts w:ascii="Times New Roman" w:hAnsi="Times New Roman" w:cs="Times New Roman" w:eastAsia="Times New Roman" w:hint="default"/>
        </w:rPr>
        <w:t>GS</w:t>
      </w:r>
      <w:r>
        <w:rPr/>
        <w:t>、</w:t>
      </w:r>
      <w:r>
        <w:rPr>
          <w:rFonts w:ascii="Times New Roman" w:hAnsi="Times New Roman" w:cs="Times New Roman" w:eastAsia="Times New Roman" w:hint="default"/>
        </w:rPr>
        <w:t>BS</w:t>
      </w:r>
      <w:r>
        <w:rPr/>
        <w:t>、</w:t>
      </w:r>
      <w:r>
        <w:rPr>
          <w:rFonts w:ascii="Times New Roman" w:hAnsi="Times New Roman" w:cs="Times New Roman" w:eastAsia="Times New Roman" w:hint="default"/>
        </w:rPr>
        <w:t>CE</w:t>
      </w:r>
      <w:r>
        <w:rPr/>
        <w:t>、</w:t>
      </w:r>
      <w:r>
        <w:rPr>
          <w:rFonts w:ascii="Times New Roman" w:hAnsi="Times New Roman" w:cs="Times New Roman" w:eastAsia="Times New Roman" w:hint="default"/>
        </w:rPr>
        <w:t>CB</w:t>
      </w:r>
      <w:r>
        <w:rPr/>
        <w:t>、</w:t>
      </w:r>
      <w:r>
        <w:rPr>
          <w:rFonts w:ascii="Times New Roman" w:hAnsi="Times New Roman" w:cs="Times New Roman" w:eastAsia="Times New Roman" w:hint="default"/>
        </w:rPr>
        <w:t>CCC</w:t>
      </w:r>
      <w:r>
        <w:rPr/>
        <w:t>、</w:t>
      </w:r>
      <w:r>
        <w:rPr>
          <w:rFonts w:ascii="Times New Roman" w:hAnsi="Times New Roman" w:cs="Times New Roman" w:eastAsia="Times New Roman" w:hint="default"/>
        </w:rPr>
        <w:t>PSE</w:t>
      </w:r>
      <w:r>
        <w:rPr/>
        <w:t>、</w:t>
      </w:r>
      <w:r>
        <w:rPr>
          <w:rFonts w:ascii="Times New Roman" w:hAnsi="Times New Roman" w:cs="Times New Roman" w:eastAsia="Times New Roman" w:hint="default"/>
        </w:rPr>
        <w:t>KC</w:t>
      </w:r>
      <w:r>
        <w:rPr/>
        <w:t>、</w:t>
      </w:r>
      <w:r>
        <w:rPr>
          <w:rFonts w:ascii="Times New Roman" w:hAnsi="Times New Roman" w:cs="Times New Roman" w:eastAsia="Times New Roman" w:hint="default"/>
        </w:rPr>
        <w:t>PSE</w:t>
      </w:r>
      <w:r>
        <w:rPr/>
        <w:t>、</w:t>
      </w:r>
      <w:r>
        <w:rPr>
          <w:rFonts w:ascii="Times New Roman" w:hAnsi="Times New Roman" w:cs="Times New Roman" w:eastAsia="Times New Roman" w:hint="default"/>
        </w:rPr>
        <w:t>ENEC</w:t>
      </w:r>
      <w:r>
        <w:rPr/>
        <w:t>、</w:t>
      </w:r>
      <w:r>
        <w:rPr>
          <w:rFonts w:ascii="Times New Roman" w:hAnsi="Times New Roman" w:cs="Times New Roman" w:eastAsia="Times New Roman" w:hint="default"/>
        </w:rPr>
        <w:t>SAA</w:t>
      </w:r>
      <w:r>
        <w:rPr/>
        <w:t>等多个国家和地区</w:t>
      </w:r>
      <w:r>
        <w:rPr>
          <w:spacing w:val="-56"/>
        </w:rPr>
        <w:t> </w:t>
      </w:r>
      <w:r>
        <w:rPr>
          <w:spacing w:val="-56"/>
        </w:rPr>
      </w:r>
      <w:r>
        <w:rPr/>
        <w:t>的安全认证。公司所有电源产品满足世界最新能效标准和</w:t>
      </w:r>
      <w:r>
        <w:rPr>
          <w:rFonts w:ascii="Times New Roman" w:hAnsi="Times New Roman" w:cs="Times New Roman" w:eastAsia="Times New Roman" w:hint="default"/>
        </w:rPr>
        <w:t>ROHS,REACH</w:t>
      </w:r>
      <w:r>
        <w:rPr/>
        <w:t>等环保要求。</w:t>
      </w:r>
    </w:p>
    <w:p>
      <w:pPr>
        <w:pStyle w:val="BodyText"/>
        <w:spacing w:line="300" w:lineRule="auto" w:before="7"/>
        <w:ind w:right="1128" w:firstLine="360"/>
        <w:jc w:val="both"/>
      </w:pPr>
      <w:r>
        <w:rPr>
          <w:spacing w:val="-2"/>
        </w:rPr>
        <w:t>对于品质近乎苛刻的要求是茂硕人坚持不懈的追求，茂硕拥有总占地面积</w:t>
      </w:r>
      <w:r>
        <w:rPr>
          <w:rFonts w:ascii="Times New Roman" w:hAnsi="Times New Roman" w:cs="Times New Roman" w:eastAsia="Times New Roman" w:hint="default"/>
          <w:spacing w:val="-2"/>
        </w:rPr>
        <w:t>1000</w:t>
      </w:r>
      <w:r>
        <w:rPr>
          <w:spacing w:val="-2"/>
        </w:rPr>
        <w:t>多平方米、投资超过</w:t>
      </w:r>
      <w:r>
        <w:rPr>
          <w:rFonts w:ascii="Times New Roman" w:hAnsi="Times New Roman" w:cs="Times New Roman" w:eastAsia="Times New Roman" w:hint="default"/>
          <w:spacing w:val="-2"/>
        </w:rPr>
        <w:t>3000</w:t>
      </w:r>
      <w:r>
        <w:rPr>
          <w:spacing w:val="-2"/>
        </w:rPr>
        <w:t>万元的国家级第</w:t>
      </w:r>
      <w:r>
        <w:rPr/>
        <w:t> </w:t>
      </w:r>
      <w:r>
        <w:rPr>
          <w:spacing w:val="-1"/>
        </w:rPr>
        <w:t>三方检测中心，全面导入</w:t>
      </w:r>
      <w:r>
        <w:rPr>
          <w:rFonts w:ascii="Times New Roman" w:hAnsi="Times New Roman" w:cs="Times New Roman" w:eastAsia="Times New Roman" w:hint="default"/>
          <w:spacing w:val="-1"/>
        </w:rPr>
        <w:t>CNAS</w:t>
      </w:r>
      <w:r>
        <w:rPr>
          <w:spacing w:val="-1"/>
        </w:rPr>
        <w:t>实验室管理体系。该检测中心被认定为深圳市企业技术中心，承担了多个省市级重大技术攻</w:t>
      </w:r>
      <w:r>
        <w:rPr>
          <w:spacing w:val="-61"/>
        </w:rPr>
        <w:t> </w:t>
      </w:r>
      <w:r>
        <w:rPr>
          <w:spacing w:val="-61"/>
        </w:rPr>
      </w:r>
      <w:r>
        <w:rPr/>
        <w:t>关项目。</w:t>
      </w:r>
    </w:p>
    <w:p>
      <w:pPr>
        <w:spacing w:line="240" w:lineRule="auto" w:before="3"/>
        <w:rPr>
          <w:rFonts w:ascii="宋体" w:hAnsi="宋体" w:cs="宋体" w:eastAsia="宋体" w:hint="default"/>
          <w:sz w:val="26"/>
          <w:szCs w:val="26"/>
        </w:rPr>
      </w:pPr>
    </w:p>
    <w:p>
      <w:pPr>
        <w:pStyle w:val="BodyText"/>
        <w:spacing w:line="300" w:lineRule="auto" w:before="0"/>
        <w:ind w:left="513" w:right="1124"/>
        <w:jc w:val="left"/>
      </w:pPr>
      <w:r>
        <w:rPr/>
        <w:t>（</w:t>
      </w:r>
      <w:r>
        <w:rPr>
          <w:rFonts w:ascii="Times New Roman" w:hAnsi="Times New Roman" w:cs="Times New Roman" w:eastAsia="Times New Roman" w:hint="default"/>
        </w:rPr>
        <w:t>3</w:t>
      </w:r>
      <w:r>
        <w:rPr/>
        <w:t>）品牌影响力 </w:t>
      </w:r>
      <w:r>
        <w:rPr>
          <w:spacing w:val="-2"/>
        </w:rPr>
        <w:t>品牌是企业的软实力，更是企业的核心竞争力。公司一直把建立和完善企业的品牌形象做为长期发展战略的重要组成部</w:t>
      </w:r>
    </w:p>
    <w:p>
      <w:pPr>
        <w:pStyle w:val="BodyText"/>
        <w:spacing w:line="300" w:lineRule="auto" w:before="32"/>
        <w:ind w:right="1133"/>
        <w:jc w:val="left"/>
      </w:pPr>
      <w:r>
        <w:rPr>
          <w:spacing w:val="-2"/>
        </w:rPr>
        <w:t>分，公司以</w:t>
      </w:r>
      <w:r>
        <w:rPr>
          <w:rFonts w:ascii="Times New Roman" w:hAnsi="Times New Roman" w:cs="Times New Roman" w:eastAsia="Times New Roman" w:hint="default"/>
          <w:spacing w:val="-2"/>
        </w:rPr>
        <w:t>“</w:t>
      </w:r>
      <w:r>
        <w:rPr>
          <w:spacing w:val="-2"/>
        </w:rPr>
        <w:t>品牌电源、诚信共赢</w:t>
      </w:r>
      <w:r>
        <w:rPr>
          <w:rFonts w:ascii="Times New Roman" w:hAnsi="Times New Roman" w:cs="Times New Roman" w:eastAsia="Times New Roman" w:hint="default"/>
          <w:spacing w:val="-2"/>
        </w:rPr>
        <w:t>”</w:t>
      </w:r>
      <w:r>
        <w:rPr>
          <w:spacing w:val="-2"/>
        </w:rPr>
        <w:t>为基调，紧紧围绕品牌定位、品牌差异化、品牌可持续、品牌文化等四大方面，整合内外</w:t>
      </w:r>
      <w:r>
        <w:rPr>
          <w:spacing w:val="-46"/>
        </w:rPr>
        <w:t> </w:t>
      </w:r>
      <w:r>
        <w:rPr>
          <w:spacing w:val="-46"/>
        </w:rPr>
      </w:r>
      <w:r>
        <w:rPr/>
        <w:t>资源，加大对公司、产品、客户等多元化宣传的力度，形成了有效的品牌壁垒。</w:t>
      </w:r>
    </w:p>
    <w:p>
      <w:pPr>
        <w:pStyle w:val="BodyText"/>
        <w:spacing w:line="300" w:lineRule="auto" w:before="31"/>
        <w:ind w:right="0" w:firstLine="360"/>
        <w:jc w:val="left"/>
      </w:pPr>
      <w:r>
        <w:rPr/>
        <w:t>公司拥有的</w:t>
      </w:r>
      <w:r>
        <w:rPr>
          <w:rFonts w:ascii="Times New Roman" w:hAnsi="Times New Roman" w:cs="Times New Roman" w:eastAsia="Times New Roman" w:hint="default"/>
        </w:rPr>
        <w:t>“</w:t>
      </w:r>
      <w:r>
        <w:rPr/>
        <w:t>茂硕</w:t>
      </w:r>
      <w:r>
        <w:rPr>
          <w:rFonts w:ascii="Times New Roman" w:hAnsi="Times New Roman" w:cs="Times New Roman" w:eastAsia="Times New Roman" w:hint="default"/>
        </w:rPr>
        <w:t>”</w:t>
      </w:r>
      <w:r>
        <w:rPr/>
        <w:t>及</w:t>
      </w:r>
      <w:r>
        <w:rPr>
          <w:rFonts w:ascii="Times New Roman" w:hAnsi="Times New Roman" w:cs="Times New Roman" w:eastAsia="Times New Roman" w:hint="default"/>
        </w:rPr>
        <w:t>“MOSO”</w:t>
      </w:r>
      <w:r>
        <w:rPr/>
        <w:t>商标被国家工商行政管理总局商标评审委员会认定为『中国驰名商标』，并通过『广东省 著名商标』延续认定，实现自</w:t>
      </w:r>
      <w:r>
        <w:rPr>
          <w:rFonts w:ascii="Times New Roman" w:hAnsi="Times New Roman" w:cs="Times New Roman" w:eastAsia="Times New Roman" w:hint="default"/>
        </w:rPr>
        <w:t>2014</w:t>
      </w:r>
      <w:r>
        <w:rPr/>
        <w:t>年起连续两届获得认定；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w:t>
      </w:r>
      <w:r>
        <w:rPr/>
        <w:t>茂硕</w:t>
      </w:r>
      <w:r>
        <w:rPr>
          <w:rFonts w:ascii="Times New Roman" w:hAnsi="Times New Roman" w:cs="Times New Roman" w:eastAsia="Times New Roman" w:hint="default"/>
        </w:rPr>
        <w:t>”</w:t>
      </w:r>
      <w:r>
        <w:rPr/>
        <w:t>品牌再次通过</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的复审认定，</w:t>
      </w:r>
      <w:r>
        <w:rPr>
          <w:spacing w:val="-49"/>
        </w:rPr>
        <w:t> </w:t>
      </w:r>
      <w:r>
        <w:rPr>
          <w:spacing w:val="-49"/>
        </w:rPr>
      </w:r>
      <w:r>
        <w:rPr/>
        <w:t>实现自</w:t>
      </w:r>
      <w:r>
        <w:rPr>
          <w:rFonts w:ascii="Times New Roman" w:hAnsi="Times New Roman" w:cs="Times New Roman" w:eastAsia="Times New Roman" w:hint="default"/>
        </w:rPr>
        <w:t>2010</w:t>
      </w:r>
      <w:r>
        <w:rPr/>
        <w:t>年首次获得认定以来连续四届被认定为</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月，公司收到深圳市科技创新委员会、深圳市</w:t>
      </w:r>
      <w:r>
        <w:rPr>
          <w:spacing w:val="-65"/>
        </w:rPr>
        <w:t> </w:t>
      </w:r>
      <w:r>
        <w:rPr>
          <w:spacing w:val="-65"/>
        </w:rPr>
      </w:r>
      <w:r>
        <w:rPr>
          <w:spacing w:val="-2"/>
        </w:rPr>
        <w:t>财政委员会、国家税务总局深圳市税务局联合颁发的《高新技术企业证书》，公司再次通过高新技术企业认定，是公司</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4"/>
        </w:rPr>
        <w:t> </w:t>
      </w:r>
      <w:r>
        <w:rPr>
          <w:spacing w:val="-3"/>
        </w:rPr>
        <w:t>年首次通过国家级高新技术企业资质认定之后，连续四届获得该项资质认证。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月，公司以</w:t>
      </w:r>
      <w:r>
        <w:rPr>
          <w:rFonts w:ascii="Times New Roman" w:hAnsi="Times New Roman" w:cs="Times New Roman" w:eastAsia="Times New Roman" w:hint="default"/>
          <w:spacing w:val="-3"/>
        </w:rPr>
        <w:t>“</w:t>
      </w:r>
      <w:r>
        <w:rPr>
          <w:spacing w:val="-3"/>
        </w:rPr>
        <w:t>开关电源</w:t>
      </w:r>
      <w:r>
        <w:rPr>
          <w:rFonts w:ascii="Times New Roman" w:hAnsi="Times New Roman" w:cs="Times New Roman" w:eastAsia="Times New Roman" w:hint="default"/>
          <w:spacing w:val="-3"/>
        </w:rPr>
        <w:t>”</w:t>
      </w:r>
      <w:r>
        <w:rPr>
          <w:spacing w:val="-3"/>
        </w:rPr>
        <w:t>行业领袖企业，</w:t>
      </w:r>
      <w:r>
        <w:rPr>
          <w:spacing w:val="-67"/>
        </w:rPr>
        <w:t> </w:t>
      </w:r>
      <w:r>
        <w:rPr>
          <w:spacing w:val="-67"/>
        </w:rPr>
      </w:r>
      <w:r>
        <w:rPr/>
        <w:t>荣登</w:t>
      </w:r>
      <w:r>
        <w:rPr>
          <w:rFonts w:ascii="Times New Roman" w:hAnsi="Times New Roman" w:cs="Times New Roman" w:eastAsia="Times New Roman" w:hint="default"/>
        </w:rPr>
        <w:t>“2019</w:t>
      </w:r>
      <w:r>
        <w:rPr/>
        <w:t>年度深圳行业领袖百强企业</w:t>
      </w:r>
      <w:r>
        <w:rPr>
          <w:rFonts w:ascii="Times New Roman" w:hAnsi="Times New Roman" w:cs="Times New Roman" w:eastAsia="Times New Roman" w:hint="default"/>
        </w:rPr>
        <w:t>”</w:t>
      </w:r>
      <w:r>
        <w:rPr/>
        <w:t>榜单。《无线可编程恒功率</w:t>
      </w:r>
      <w:r>
        <w:rPr>
          <w:rFonts w:ascii="Times New Roman" w:hAnsi="Times New Roman" w:cs="Times New Roman" w:eastAsia="Times New Roman" w:hint="default"/>
        </w:rPr>
        <w:t>LED</w:t>
      </w:r>
      <w:r>
        <w:rPr/>
        <w:t>电源的研发与产业化》、《基于</w:t>
      </w:r>
      <w:r>
        <w:rPr>
          <w:rFonts w:ascii="Times New Roman" w:hAnsi="Times New Roman" w:cs="Times New Roman" w:eastAsia="Times New Roman" w:hint="default"/>
        </w:rPr>
        <w:t>“</w:t>
      </w:r>
      <w:r>
        <w:rPr/>
        <w:t>归一化</w:t>
      </w:r>
      <w:r>
        <w:rPr>
          <w:rFonts w:ascii="Times New Roman" w:hAnsi="Times New Roman" w:cs="Times New Roman" w:eastAsia="Times New Roman" w:hint="default"/>
        </w:rPr>
        <w:t>”</w:t>
      </w:r>
      <w:r>
        <w:rPr/>
        <w:t>设计理念的 </w:t>
      </w:r>
      <w:r>
        <w:rPr>
          <w:spacing w:val="-2"/>
        </w:rPr>
        <w:t>标准化大功率</w:t>
      </w:r>
      <w:r>
        <w:rPr>
          <w:rFonts w:ascii="Times New Roman" w:hAnsi="Times New Roman" w:cs="Times New Roman" w:eastAsia="Times New Roman" w:hint="default"/>
          <w:spacing w:val="-2"/>
        </w:rPr>
        <w:t>LED</w:t>
      </w:r>
      <w:r>
        <w:rPr>
          <w:spacing w:val="-2"/>
        </w:rPr>
        <w:t>驱动电源的研发与产业化》两大科技攻关课题，继</w:t>
      </w:r>
      <w:r>
        <w:rPr>
          <w:rFonts w:ascii="Times New Roman" w:hAnsi="Times New Roman" w:cs="Times New Roman" w:eastAsia="Times New Roman" w:hint="default"/>
          <w:spacing w:val="-2"/>
        </w:rPr>
        <w:t>2018</w:t>
      </w:r>
      <w:r>
        <w:rPr>
          <w:spacing w:val="-2"/>
        </w:rPr>
        <w:t>年之后，</w:t>
      </w:r>
      <w:r>
        <w:rPr>
          <w:rFonts w:ascii="Times New Roman" w:hAnsi="Times New Roman" w:cs="Times New Roman" w:eastAsia="Times New Roman" w:hint="default"/>
          <w:spacing w:val="-2"/>
        </w:rPr>
        <w:t>2019</w:t>
      </w:r>
      <w:r>
        <w:rPr>
          <w:spacing w:val="-2"/>
        </w:rPr>
        <w:t>年度再次获得深圳市科技进步奖二等</w:t>
      </w:r>
      <w:r>
        <w:rPr>
          <w:spacing w:val="-47"/>
        </w:rPr>
        <w:t> </w:t>
      </w:r>
      <w:r>
        <w:rPr>
          <w:spacing w:val="-47"/>
        </w:rPr>
      </w:r>
      <w:r>
        <w:rPr/>
        <w:t>奖殊荣！</w:t>
      </w:r>
      <w:r>
        <w:rPr>
          <w:rFonts w:ascii="Times New Roman" w:hAnsi="Times New Roman" w:cs="Times New Roman" w:eastAsia="Times New Roman" w:hint="default"/>
        </w:rPr>
        <w:t>2019</w:t>
      </w:r>
      <w:r>
        <w:rPr/>
        <w:t>年度通过广东省科技厅</w:t>
      </w:r>
      <w:r>
        <w:rPr>
          <w:spacing w:val="-23"/>
        </w:rPr>
        <w:t> </w:t>
      </w:r>
      <w:r>
        <w:rPr>
          <w:rFonts w:ascii="Times New Roman" w:hAnsi="Times New Roman" w:cs="Times New Roman" w:eastAsia="Times New Roman" w:hint="default"/>
        </w:rPr>
        <w:t>“</w:t>
      </w:r>
      <w:r>
        <w:rPr/>
        <w:t>广东省标准化大功率</w:t>
      </w:r>
      <w:r>
        <w:rPr>
          <w:rFonts w:ascii="Times New Roman" w:hAnsi="Times New Roman" w:cs="Times New Roman" w:eastAsia="Times New Roman" w:hint="default"/>
        </w:rPr>
        <w:t>LED</w:t>
      </w:r>
      <w:r>
        <w:rPr/>
        <w:t>驱动电源工程技术研究中心</w:t>
      </w:r>
      <w:r>
        <w:rPr>
          <w:rFonts w:ascii="Times New Roman" w:hAnsi="Times New Roman" w:cs="Times New Roman" w:eastAsia="Times New Roman" w:hint="default"/>
        </w:rPr>
        <w:t>”</w:t>
      </w:r>
      <w:r>
        <w:rPr/>
        <w:t>认定。</w:t>
      </w:r>
    </w:p>
    <w:p>
      <w:pPr>
        <w:pStyle w:val="BodyText"/>
        <w:spacing w:line="240" w:lineRule="auto" w:before="13"/>
        <w:ind w:left="513" w:right="1133"/>
        <w:jc w:val="left"/>
      </w:pPr>
      <w:r>
        <w:rPr>
          <w:rFonts w:ascii="Times New Roman" w:hAnsi="Times New Roman" w:cs="Times New Roman" w:eastAsia="Times New Roman" w:hint="default"/>
        </w:rPr>
        <w:t>“</w:t>
      </w:r>
      <w:r>
        <w:rPr/>
        <w:t>茂硕电源</w:t>
      </w:r>
      <w:r>
        <w:rPr>
          <w:rFonts w:ascii="Times New Roman" w:hAnsi="Times New Roman" w:cs="Times New Roman" w:eastAsia="Times New Roman" w:hint="default"/>
        </w:rPr>
        <w:t>”</w:t>
      </w:r>
      <w:r>
        <w:rPr/>
        <w:t>已成为行业知名品牌，已经得到市场和客户的广泛认可，在同行中已经享有较高的知名度和美誉度。</w:t>
      </w:r>
    </w:p>
    <w:p>
      <w:pPr>
        <w:spacing w:line="240" w:lineRule="auto" w:before="0"/>
        <w:rPr>
          <w:rFonts w:ascii="宋体" w:hAnsi="宋体" w:cs="宋体" w:eastAsia="宋体" w:hint="default"/>
          <w:sz w:val="18"/>
          <w:szCs w:val="18"/>
        </w:rPr>
      </w:pPr>
    </w:p>
    <w:p>
      <w:pPr>
        <w:pStyle w:val="BodyText"/>
        <w:spacing w:line="300" w:lineRule="auto" w:before="139"/>
        <w:ind w:left="513" w:right="1124"/>
        <w:jc w:val="left"/>
      </w:pPr>
      <w:r>
        <w:rPr/>
        <w:t>（</w:t>
      </w:r>
      <w:r>
        <w:rPr>
          <w:rFonts w:ascii="Times New Roman" w:hAnsi="Times New Roman" w:cs="Times New Roman" w:eastAsia="Times New Roman" w:hint="default"/>
        </w:rPr>
        <w:t>4</w:t>
      </w:r>
      <w:r>
        <w:rPr/>
        <w:t>）管理团队优势 </w:t>
      </w:r>
      <w:r>
        <w:rPr>
          <w:spacing w:val="-2"/>
        </w:rPr>
        <w:t>首先，公司一直以来重视对内部人才的培养和人才梯队建设，并通过引进行业内的专业顶尖人才，来激发团队成员的潜</w:t>
      </w:r>
    </w:p>
    <w:p>
      <w:pPr>
        <w:pStyle w:val="BodyText"/>
        <w:spacing w:line="316" w:lineRule="auto" w:before="31"/>
        <w:ind w:right="1034"/>
        <w:jc w:val="left"/>
      </w:pPr>
      <w:r>
        <w:rPr>
          <w:spacing w:val="-2"/>
        </w:rPr>
        <w:t>能和核心竞争力；公司核心管理团队成员综合素养高，有着极强的专业能力和丰富的行业经验，为公司在基层人才的培育方</w:t>
      </w:r>
      <w:r>
        <w:rPr>
          <w:spacing w:val="-63"/>
        </w:rPr>
        <w:t> </w:t>
      </w:r>
      <w:r>
        <w:rPr>
          <w:spacing w:val="-63"/>
        </w:rPr>
      </w:r>
      <w:r>
        <w:rPr>
          <w:spacing w:val="-2"/>
        </w:rPr>
        <w:t>面垫定了坚实的基础。其次，团队在发展过程中，经过相互学习、相互包容、实时调整和不断创新，形成了主动、高效、开</w:t>
      </w:r>
      <w:r>
        <w:rPr>
          <w:spacing w:val="-65"/>
        </w:rPr>
        <w:t> </w:t>
      </w:r>
      <w:r>
        <w:rPr>
          <w:spacing w:val="-65"/>
        </w:rPr>
      </w:r>
      <w:r>
        <w:rPr>
          <w:spacing w:val="-2"/>
        </w:rPr>
        <w:t>放、阳光的团体，能快速的解决问题，达到共同的目标。最后，公司在激励机制上作了深入改革，特别是推行的利润分享激</w:t>
      </w:r>
      <w:r>
        <w:rPr>
          <w:spacing w:val="-67"/>
        </w:rPr>
        <w:t> </w:t>
      </w:r>
      <w:r>
        <w:rPr>
          <w:spacing w:val="-67"/>
        </w:rPr>
      </w:r>
      <w:r>
        <w:rPr>
          <w:spacing w:val="-2"/>
        </w:rPr>
        <w:t>励机制后，明确激励目标，让团队和个人的责权利得到统一，更有效地激发管理团队的主观能动性和拼博精神，从而也提升</w:t>
      </w:r>
      <w:r>
        <w:rPr>
          <w:spacing w:val="-64"/>
        </w:rPr>
        <w:t> </w:t>
      </w:r>
      <w:r>
        <w:rPr>
          <w:spacing w:val="-64"/>
        </w:rPr>
      </w:r>
      <w:r>
        <w:rPr/>
        <w:t>了团队所有人员的工作执行力和责任感。相信公司在激励机制方面的改革和有效实施，也将更有利于留住和吸引优秀人才， 提高团队的忠诚度及归属感，为公司创造更多的价值。</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24" w:firstLine="360"/>
        <w:jc w:val="left"/>
      </w:pPr>
      <w:r>
        <w:rPr>
          <w:rFonts w:ascii="Times New Roman" w:hAnsi="Times New Roman" w:cs="Times New Roman" w:eastAsia="Times New Roman" w:hint="default"/>
          <w:spacing w:val="-2"/>
        </w:rPr>
        <w:t>2019</w:t>
      </w:r>
      <w:r>
        <w:rPr>
          <w:spacing w:val="-2"/>
        </w:rPr>
        <w:t>年，世界经济增长持续放缓，仍处在国际金融危机后的深度调整期，世界大变局加速演变的特征更趋明显，全球动</w:t>
      </w:r>
      <w:r>
        <w:rPr/>
        <w:t> 荡源和风险点显著增多。我国正处在转变发展方式、优化经济结构、转换增长动力的攻关期，经济下行压力加大。</w:t>
      </w:r>
    </w:p>
    <w:p>
      <w:pPr>
        <w:pStyle w:val="BodyText"/>
        <w:spacing w:line="307" w:lineRule="auto" w:before="70"/>
        <w:ind w:right="1129" w:firstLine="360"/>
        <w:jc w:val="both"/>
      </w:pPr>
      <w:r>
        <w:rPr>
          <w:spacing w:val="-2"/>
        </w:rPr>
        <w:t>面对国内外风险挑战明显上升的复杂局面，公司继续围绕</w:t>
      </w:r>
      <w:r>
        <w:rPr>
          <w:rFonts w:ascii="Times New Roman" w:hAnsi="Times New Roman" w:cs="Times New Roman" w:eastAsia="Times New Roman" w:hint="default"/>
          <w:spacing w:val="-2"/>
        </w:rPr>
        <w:t>“</w:t>
      </w:r>
      <w:r>
        <w:rPr>
          <w:spacing w:val="-2"/>
        </w:rPr>
        <w:t>专注实业、聚焦主业</w:t>
      </w:r>
      <w:r>
        <w:rPr>
          <w:rFonts w:ascii="Times New Roman" w:hAnsi="Times New Roman" w:cs="Times New Roman" w:eastAsia="Times New Roman" w:hint="default"/>
          <w:spacing w:val="-2"/>
        </w:rPr>
        <w:t>”</w:t>
      </w:r>
      <w:r>
        <w:rPr>
          <w:spacing w:val="-2"/>
        </w:rPr>
        <w:t>的发展战略，深耕主营业务，秉持高质</w:t>
      </w:r>
      <w:r>
        <w:rPr/>
        <w:t> 量健康发展的经营理念，坚持</w:t>
      </w:r>
      <w:r>
        <w:rPr>
          <w:rFonts w:ascii="Times New Roman" w:hAnsi="Times New Roman" w:cs="Times New Roman" w:eastAsia="Times New Roman" w:hint="default"/>
        </w:rPr>
        <w:t>“</w:t>
      </w:r>
      <w:r>
        <w:rPr/>
        <w:t>创新技术、产品为王</w:t>
      </w:r>
      <w:r>
        <w:rPr>
          <w:rFonts w:ascii="Times New Roman" w:hAnsi="Times New Roman" w:cs="Times New Roman" w:eastAsia="Times New Roman" w:hint="default"/>
        </w:rPr>
        <w:t>”</w:t>
      </w:r>
      <w:r>
        <w:rPr/>
        <w:t>的经营策略，始终瞄准全球市场，聚焦</w:t>
      </w:r>
      <w:r>
        <w:rPr>
          <w:rFonts w:ascii="Times New Roman" w:hAnsi="Times New Roman" w:cs="Times New Roman" w:eastAsia="Times New Roman" w:hint="default"/>
        </w:rPr>
        <w:t>“</w:t>
      </w:r>
      <w:r>
        <w:rPr/>
        <w:t>渠道</w:t>
      </w:r>
      <w:r>
        <w:rPr>
          <w:rFonts w:ascii="Times New Roman" w:hAnsi="Times New Roman" w:cs="Times New Roman" w:eastAsia="Times New Roman" w:hint="default"/>
        </w:rPr>
        <w:t>+</w:t>
      </w:r>
      <w:r>
        <w:rPr/>
        <w:t>大客户</w:t>
      </w:r>
      <w:r>
        <w:rPr>
          <w:rFonts w:ascii="Times New Roman" w:hAnsi="Times New Roman" w:cs="Times New Roman" w:eastAsia="Times New Roman" w:hint="default"/>
        </w:rPr>
        <w:t>”</w:t>
      </w:r>
      <w:r>
        <w:rPr/>
        <w:t>的战略布局，同 </w:t>
      </w:r>
      <w:r>
        <w:rPr>
          <w:spacing w:val="-2"/>
        </w:rPr>
        <w:t>时，稳步推动各项降本措施、加强对应收款项、库存的管理落地生效，充分发挥全面预算管理的资源整合功能，提高公司运</w:t>
      </w:r>
      <w:r>
        <w:rPr>
          <w:spacing w:val="-67"/>
        </w:rPr>
        <w:t> </w:t>
      </w:r>
      <w:r>
        <w:rPr>
          <w:spacing w:val="-67"/>
        </w:rPr>
      </w:r>
      <w:r>
        <w:rPr/>
        <w:t>营效率，不断优化客户及产品结构，公司盈利能力实现大幅度提升。</w:t>
      </w:r>
    </w:p>
    <w:p>
      <w:pPr>
        <w:pStyle w:val="BodyText"/>
        <w:spacing w:line="300" w:lineRule="auto" w:before="67"/>
        <w:ind w:right="1133" w:firstLine="360"/>
        <w:jc w:val="left"/>
      </w:pPr>
      <w:r>
        <w:rPr>
          <w:rFonts w:ascii="Times New Roman" w:hAnsi="Times New Roman" w:cs="Times New Roman" w:eastAsia="Times New Roman" w:hint="default"/>
          <w:spacing w:val="-2"/>
        </w:rPr>
        <w:t>2019</w:t>
      </w:r>
      <w:r>
        <w:rPr>
          <w:spacing w:val="-2"/>
        </w:rPr>
        <w:t>年度实现营业总收入</w:t>
      </w:r>
      <w:r>
        <w:rPr>
          <w:rFonts w:ascii="Times New Roman" w:hAnsi="Times New Roman" w:cs="Times New Roman" w:eastAsia="Times New Roman" w:hint="default"/>
          <w:spacing w:val="-2"/>
        </w:rPr>
        <w:t>12.48</w:t>
      </w:r>
      <w:r>
        <w:rPr>
          <w:spacing w:val="-2"/>
        </w:rPr>
        <w:t>亿元，同比下降</w:t>
      </w:r>
      <w:r>
        <w:rPr>
          <w:rFonts w:ascii="Times New Roman" w:hAnsi="Times New Roman" w:cs="Times New Roman" w:eastAsia="Times New Roman" w:hint="default"/>
          <w:spacing w:val="-2"/>
        </w:rPr>
        <w:t>6.72%</w:t>
      </w:r>
      <w:r>
        <w:rPr>
          <w:spacing w:val="-2"/>
        </w:rPr>
        <w:t>；营业利润</w:t>
      </w:r>
      <w:r>
        <w:rPr>
          <w:rFonts w:ascii="Times New Roman" w:hAnsi="Times New Roman" w:cs="Times New Roman" w:eastAsia="Times New Roman" w:hint="default"/>
          <w:spacing w:val="-2"/>
        </w:rPr>
        <w:t>0.66</w:t>
      </w:r>
      <w:r>
        <w:rPr>
          <w:spacing w:val="-2"/>
        </w:rPr>
        <w:t>亿元，同比增长</w:t>
      </w:r>
      <w:r>
        <w:rPr>
          <w:rFonts w:ascii="Times New Roman" w:hAnsi="Times New Roman" w:cs="Times New Roman" w:eastAsia="Times New Roman" w:hint="default"/>
          <w:spacing w:val="-2"/>
        </w:rPr>
        <w:t>124.93%</w:t>
      </w:r>
      <w:r>
        <w:rPr>
          <w:spacing w:val="-2"/>
        </w:rPr>
        <w:t>；利润总额</w:t>
      </w:r>
      <w:r>
        <w:rPr>
          <w:rFonts w:ascii="Times New Roman" w:hAnsi="Times New Roman" w:cs="Times New Roman" w:eastAsia="Times New Roman" w:hint="default"/>
          <w:spacing w:val="-2"/>
        </w:rPr>
        <w:t>0.68</w:t>
      </w:r>
      <w:r>
        <w:rPr>
          <w:spacing w:val="-2"/>
        </w:rPr>
        <w:t>亿元，同比</w:t>
      </w:r>
      <w:r>
        <w:rPr/>
        <w:t> 增长</w:t>
      </w:r>
      <w:r>
        <w:rPr>
          <w:rFonts w:ascii="Times New Roman" w:hAnsi="Times New Roman" w:cs="Times New Roman" w:eastAsia="Times New Roman" w:hint="default"/>
        </w:rPr>
        <w:t>124.91%</w:t>
      </w:r>
      <w:r>
        <w:rPr/>
        <w:t>；归属于上市公司股东的净利润为</w:t>
      </w:r>
      <w:r>
        <w:rPr>
          <w:rFonts w:ascii="Times New Roman" w:hAnsi="Times New Roman" w:cs="Times New Roman" w:eastAsia="Times New Roman" w:hint="default"/>
        </w:rPr>
        <w:t>0.67</w:t>
      </w:r>
      <w:r>
        <w:rPr/>
        <w:t>亿元，同比增长</w:t>
      </w:r>
      <w:r>
        <w:rPr>
          <w:rFonts w:ascii="Times New Roman" w:hAnsi="Times New Roman" w:cs="Times New Roman" w:eastAsia="Times New Roman" w:hint="default"/>
        </w:rPr>
        <w:t>126.01%</w:t>
      </w:r>
      <w:r>
        <w:rPr/>
        <w:t>。</w:t>
      </w:r>
    </w:p>
    <w:p>
      <w:pPr>
        <w:pStyle w:val="Heading5"/>
        <w:spacing w:line="240" w:lineRule="auto" w:before="53"/>
        <w:ind w:left="590" w:right="1133"/>
        <w:jc w:val="left"/>
        <w:rPr>
          <w:b w:val="0"/>
          <w:bCs w:val="0"/>
        </w:rPr>
      </w:pPr>
      <w:r>
        <w:rPr>
          <w:rFonts w:ascii="Times New Roman" w:hAnsi="Times New Roman" w:cs="Times New Roman" w:eastAsia="Times New Roman" w:hint="default"/>
        </w:rPr>
        <w:t>1</w:t>
      </w:r>
      <w:r>
        <w:rPr/>
        <w:t>、坚持聚焦电源主业、做大做强主业</w:t>
      </w:r>
      <w:r>
        <w:rPr>
          <w:b w:val="0"/>
          <w:bCs w:val="0"/>
        </w:rPr>
      </w:r>
    </w:p>
    <w:p>
      <w:pPr>
        <w:pStyle w:val="BodyText"/>
        <w:spacing w:line="340" w:lineRule="auto" w:before="101"/>
        <w:ind w:left="513" w:right="1198"/>
        <w:jc w:val="left"/>
      </w:pPr>
      <w:r>
        <w:rPr>
          <w:rFonts w:ascii="Times New Roman" w:hAnsi="Times New Roman" w:cs="Times New Roman" w:eastAsia="Times New Roman" w:hint="default"/>
        </w:rPr>
        <w:t>(1)</w:t>
      </w:r>
      <w:r>
        <w:rPr/>
        <w:t>、消费电子电源板块：</w:t>
      </w:r>
      <w:r>
        <w:rPr>
          <w:w w:val="99"/>
        </w:rPr>
        <w:t> </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SPS</w:t>
      </w:r>
      <w:r>
        <w:rPr/>
        <w:t>消费电子电源实现销售收入</w:t>
      </w:r>
      <w:r>
        <w:rPr>
          <w:rFonts w:ascii="Times New Roman" w:hAnsi="Times New Roman" w:cs="Times New Roman" w:eastAsia="Times New Roman" w:hint="default"/>
        </w:rPr>
        <w:t>7.76</w:t>
      </w:r>
      <w:r>
        <w:rPr/>
        <w:t>亿，较去年同期下降</w:t>
      </w:r>
      <w:r>
        <w:rPr>
          <w:rFonts w:ascii="Times New Roman" w:hAnsi="Times New Roman" w:cs="Times New Roman" w:eastAsia="Times New Roman" w:hint="default"/>
        </w:rPr>
        <w:t>1.22%</w:t>
      </w:r>
      <w:r>
        <w:rPr/>
        <w:t>；实现产品毛利率</w:t>
      </w:r>
      <w:r>
        <w:rPr>
          <w:rFonts w:ascii="Times New Roman" w:hAnsi="Times New Roman" w:cs="Times New Roman" w:eastAsia="Times New Roman" w:hint="default"/>
        </w:rPr>
        <w:t>19.83%</w:t>
      </w:r>
      <w:r>
        <w:rPr/>
        <w:t>，较去年同期提升</w:t>
      </w:r>
    </w:p>
    <w:p>
      <w:pPr>
        <w:pStyle w:val="BodyText"/>
        <w:spacing w:line="228" w:lineRule="exact" w:before="0"/>
        <w:ind w:right="1133"/>
        <w:jc w:val="left"/>
      </w:pPr>
      <w:r>
        <w:rPr>
          <w:rFonts w:ascii="Times New Roman" w:hAnsi="Times New Roman" w:cs="Times New Roman" w:eastAsia="Times New Roman" w:hint="default"/>
        </w:rPr>
        <w:t>6.38%</w:t>
      </w:r>
      <w:r>
        <w:rPr/>
        <w:t>，盈利能力提升。</w:t>
      </w:r>
    </w:p>
    <w:p>
      <w:pPr>
        <w:pStyle w:val="BodyText"/>
        <w:spacing w:line="314" w:lineRule="auto" w:before="103"/>
        <w:ind w:right="0" w:firstLine="360"/>
        <w:jc w:val="left"/>
      </w:pPr>
      <w:r>
        <w:rPr>
          <w:spacing w:val="-2"/>
        </w:rPr>
        <w:t>报告期内，公司致力于挖掘优质客户订单，以优质的产品质量和快速响应客户需求的能力，聚焦做好高毛利客户产品立</w:t>
      </w:r>
      <w:r>
        <w:rPr/>
        <w:t> </w:t>
      </w:r>
      <w:r>
        <w:rPr>
          <w:spacing w:val="-2"/>
        </w:rPr>
        <w:t>项、开发工作，提升主要客户销售额及毛利贡献，形成稳定优质的大客户群体。产品结构方面，公司研发中心将传统的消费</w:t>
      </w:r>
      <w:r>
        <w:rPr>
          <w:spacing w:val="-67"/>
        </w:rPr>
        <w:t> </w:t>
      </w:r>
      <w:r>
        <w:rPr>
          <w:spacing w:val="-67"/>
        </w:rPr>
      </w:r>
      <w:r>
        <w:rPr>
          <w:spacing w:val="-2"/>
        </w:rPr>
        <w:t>电子类电源产品（适配器、充电器），通过标准化升级改造，完成了能效升级与自动化制造工艺升级，升级后的产品符合当</w:t>
      </w:r>
      <w:r>
        <w:rPr>
          <w:spacing w:val="-68"/>
        </w:rPr>
        <w:t> </w:t>
      </w:r>
      <w:r>
        <w:rPr>
          <w:spacing w:val="-68"/>
        </w:rPr>
      </w:r>
      <w:r>
        <w:rPr/>
        <w:t>前国际最高能效等级要求，同时，大力推广电源标准化</w:t>
      </w:r>
      <w:r>
        <w:rPr>
          <w:rFonts w:ascii="Times New Roman" w:hAnsi="Times New Roman" w:cs="Times New Roman" w:eastAsia="Times New Roman" w:hint="default"/>
        </w:rPr>
        <w:t>/</w:t>
      </w:r>
      <w:r>
        <w:rPr/>
        <w:t>部件标准化</w:t>
      </w:r>
      <w:r>
        <w:rPr>
          <w:rFonts w:ascii="Times New Roman" w:hAnsi="Times New Roman" w:cs="Times New Roman" w:eastAsia="Times New Roman" w:hint="default"/>
        </w:rPr>
        <w:t>/</w:t>
      </w:r>
      <w:r>
        <w:rPr/>
        <w:t>物料通用化，进一步提升产品的兼容性，优化成本及供 </w:t>
      </w:r>
      <w:r>
        <w:rPr>
          <w:spacing w:val="-4"/>
        </w:rPr>
        <w:t>应商的培养，从而提升产品市场竞争能力及盈利能力。随着公司运营管理制度及利润分享机制的推行、落实，内部管理提升，</w:t>
      </w:r>
      <w:r>
        <w:rPr>
          <w:spacing w:val="-46"/>
        </w:rPr>
        <w:t> </w:t>
      </w:r>
      <w:r>
        <w:rPr>
          <w:spacing w:val="-46"/>
        </w:rPr>
      </w:r>
      <w:r>
        <w:rPr/>
        <w:t>特别是工厂端的管理提升，</w:t>
      </w:r>
      <w:r>
        <w:rPr>
          <w:rFonts w:ascii="Times New Roman" w:hAnsi="Times New Roman" w:cs="Times New Roman" w:eastAsia="Times New Roman" w:hint="default"/>
        </w:rPr>
        <w:t>SPS</w:t>
      </w:r>
      <w:r>
        <w:rPr/>
        <w:t>消费电子电源制费率、材料占比均有所下降。</w:t>
      </w:r>
    </w:p>
    <w:p>
      <w:pPr>
        <w:pStyle w:val="BodyText"/>
        <w:spacing w:line="312" w:lineRule="auto" w:before="39"/>
        <w:ind w:right="1034" w:firstLine="360"/>
        <w:jc w:val="left"/>
      </w:pPr>
      <w:r>
        <w:rPr/>
        <w:t>在产品技术上，公司产品从传统的</w:t>
      </w:r>
      <w:r>
        <w:rPr>
          <w:rFonts w:ascii="Times New Roman" w:hAnsi="Times New Roman" w:cs="Times New Roman" w:eastAsia="Times New Roman" w:hint="default"/>
        </w:rPr>
        <w:t>SSR</w:t>
      </w:r>
      <w:r>
        <w:rPr/>
        <w:t>、</w:t>
      </w:r>
      <w:r>
        <w:rPr>
          <w:rFonts w:ascii="Times New Roman" w:hAnsi="Times New Roman" w:cs="Times New Roman" w:eastAsia="Times New Roman" w:hint="default"/>
        </w:rPr>
        <w:t>PSR</w:t>
      </w:r>
      <w:r>
        <w:rPr/>
        <w:t>方案扩展到同步整流技术、</w:t>
      </w:r>
      <w:r>
        <w:rPr>
          <w:rFonts w:ascii="Times New Roman" w:hAnsi="Times New Roman" w:cs="Times New Roman" w:eastAsia="Times New Roman" w:hint="default"/>
        </w:rPr>
        <w:t>PFC+LLC</w:t>
      </w:r>
      <w:r>
        <w:rPr/>
        <w:t>谐振等最新前卫技术。产品应用领域 </w:t>
      </w:r>
      <w:r>
        <w:rPr>
          <w:spacing w:val="-2"/>
        </w:rPr>
        <w:t>也由传统的机顶盒、网通、安防、医疗等领域扩展到电动工具、激光设备、户外储能、工业控制等领域，使得公司产品更多</w:t>
      </w:r>
      <w:r>
        <w:rPr>
          <w:spacing w:val="-73"/>
        </w:rPr>
        <w:t> </w:t>
      </w:r>
      <w:r>
        <w:rPr>
          <w:spacing w:val="-73"/>
        </w:rPr>
      </w:r>
      <w:r>
        <w:rPr/>
        <w:t>元化。公司对产业结构进一步整合并新成立智能显示产品线，在保证产品质量基础上，通过拓展产品应用领域、技术创新、 流程优化、物料招标、智能制造，最大限度地优化整合企业现有资源，提升企业竞争力。</w:t>
      </w:r>
    </w:p>
    <w:p>
      <w:pPr>
        <w:pStyle w:val="BodyText"/>
        <w:spacing w:line="316" w:lineRule="auto" w:before="63"/>
        <w:ind w:right="1034" w:firstLine="360"/>
        <w:jc w:val="left"/>
      </w:pPr>
      <w:r>
        <w:rPr>
          <w:spacing w:val="-2"/>
        </w:rPr>
        <w:t>公司产品凭借技术先进与质量过硬，与国内外众多知名企业建立了战略合作伙伴关系，形成了自己稳定的客户群体，公</w:t>
      </w:r>
      <w:r>
        <w:rPr/>
        <w:t> 司在稳固现有国际大客户的同时，不断提升客户服务质量，报告期内，顺利导入两家世界五百强企业并完成批量订单交付， 进一步提升了</w:t>
      </w:r>
      <w:r>
        <w:rPr>
          <w:rFonts w:ascii="Times New Roman" w:hAnsi="Times New Roman" w:cs="Times New Roman" w:eastAsia="Times New Roman" w:hint="default"/>
        </w:rPr>
        <w:t>“</w:t>
      </w:r>
      <w:r>
        <w:rPr/>
        <w:t>茂硕</w:t>
      </w:r>
      <w:r>
        <w:rPr>
          <w:rFonts w:ascii="Times New Roman" w:hAnsi="Times New Roman" w:cs="Times New Roman" w:eastAsia="Times New Roman" w:hint="default"/>
        </w:rPr>
        <w:t>”</w:t>
      </w:r>
      <w:r>
        <w:rPr/>
        <w:t>品牌的影响力。</w:t>
      </w:r>
    </w:p>
    <w:p>
      <w:pPr>
        <w:pStyle w:val="BodyText"/>
        <w:spacing w:line="300" w:lineRule="auto" w:before="40"/>
        <w:ind w:left="604" w:right="1124" w:firstLine="7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电源板块 </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LED</w:t>
      </w:r>
      <w:r>
        <w:rPr/>
        <w:t>电源实现销售收入</w:t>
      </w:r>
      <w:r>
        <w:rPr>
          <w:rFonts w:ascii="Times New Roman" w:hAnsi="Times New Roman" w:cs="Times New Roman" w:eastAsia="Times New Roman" w:hint="default"/>
        </w:rPr>
        <w:t>4.15</w:t>
      </w:r>
      <w:r>
        <w:rPr/>
        <w:t>亿，较去年同期下降</w:t>
      </w:r>
      <w:r>
        <w:rPr>
          <w:rFonts w:ascii="Times New Roman" w:hAnsi="Times New Roman" w:cs="Times New Roman" w:eastAsia="Times New Roman" w:hint="default"/>
        </w:rPr>
        <w:t>1.72%</w:t>
      </w:r>
      <w:r>
        <w:rPr/>
        <w:t>；实现产品毛利率</w:t>
      </w:r>
      <w:r>
        <w:rPr>
          <w:rFonts w:ascii="Times New Roman" w:hAnsi="Times New Roman" w:cs="Times New Roman" w:eastAsia="Times New Roman" w:hint="default"/>
        </w:rPr>
        <w:t>25.16%</w:t>
      </w:r>
      <w:r>
        <w:rPr/>
        <w:t>，较去年同期提升</w:t>
      </w:r>
      <w:r>
        <w:rPr>
          <w:rFonts w:ascii="Times New Roman" w:hAnsi="Times New Roman" w:cs="Times New Roman" w:eastAsia="Times New Roman" w:hint="default"/>
        </w:rPr>
        <w:t>0.42%</w:t>
      </w:r>
      <w:r>
        <w:rPr/>
        <w:t>。 </w:t>
      </w:r>
      <w:r>
        <w:rPr>
          <w:spacing w:val="-1"/>
        </w:rPr>
        <w:t>公司</w:t>
      </w:r>
      <w:r>
        <w:rPr>
          <w:rFonts w:ascii="Times New Roman" w:hAnsi="Times New Roman" w:cs="Times New Roman" w:eastAsia="Times New Roman" w:hint="default"/>
          <w:spacing w:val="-1"/>
        </w:rPr>
        <w:t>LED</w:t>
      </w:r>
      <w:r>
        <w:rPr>
          <w:spacing w:val="-1"/>
        </w:rPr>
        <w:t>电源板块以大功率驱动电源为主，坚持聚焦</w:t>
      </w:r>
      <w:r>
        <w:rPr>
          <w:rFonts w:ascii="Times New Roman" w:hAnsi="Times New Roman" w:cs="Times New Roman" w:eastAsia="Times New Roman" w:hint="default"/>
          <w:spacing w:val="-1"/>
        </w:rPr>
        <w:t>“</w:t>
      </w:r>
      <w:r>
        <w:rPr>
          <w:spacing w:val="-1"/>
        </w:rPr>
        <w:t>大功率</w:t>
      </w:r>
      <w:r>
        <w:rPr>
          <w:rFonts w:ascii="Times New Roman" w:hAnsi="Times New Roman" w:cs="Times New Roman" w:eastAsia="Times New Roman" w:hint="default"/>
          <w:spacing w:val="-1"/>
        </w:rPr>
        <w:t>LED</w:t>
      </w:r>
      <w:r>
        <w:rPr>
          <w:spacing w:val="-1"/>
        </w:rPr>
        <w:t>户外照明驱动</w:t>
      </w:r>
      <w:r>
        <w:rPr>
          <w:rFonts w:ascii="Times New Roman" w:hAnsi="Times New Roman" w:cs="Times New Roman" w:eastAsia="Times New Roman" w:hint="default"/>
          <w:spacing w:val="-1"/>
        </w:rPr>
        <w:t>”</w:t>
      </w:r>
      <w:r>
        <w:rPr>
          <w:spacing w:val="-1"/>
        </w:rPr>
        <w:t>，深耕</w:t>
      </w:r>
      <w:r>
        <w:rPr>
          <w:rFonts w:ascii="Times New Roman" w:hAnsi="Times New Roman" w:cs="Times New Roman" w:eastAsia="Times New Roman" w:hint="default"/>
          <w:spacing w:val="-1"/>
        </w:rPr>
        <w:t>“</w:t>
      </w:r>
      <w:r>
        <w:rPr>
          <w:spacing w:val="-1"/>
        </w:rPr>
        <w:t>道路照明、工业照明、景观照</w:t>
      </w:r>
    </w:p>
    <w:p>
      <w:pPr>
        <w:pStyle w:val="BodyText"/>
        <w:spacing w:line="300" w:lineRule="auto" w:before="13"/>
        <w:ind w:right="1124"/>
        <w:jc w:val="left"/>
      </w:pPr>
      <w:r>
        <w:rPr/>
        <w:t>明、轨道交通照明、大功率照明和显示屏</w:t>
      </w:r>
      <w:r>
        <w:rPr>
          <w:rFonts w:ascii="Times New Roman" w:hAnsi="Times New Roman" w:cs="Times New Roman" w:eastAsia="Times New Roman" w:hint="default"/>
        </w:rPr>
        <w:t>”</w:t>
      </w:r>
      <w:r>
        <w:rPr/>
        <w:t>驱动细分领域的均衡发展思路，强调通过技术的创新而给用户带来极致体验，以</w:t>
      </w:r>
      <w:r>
        <w:rPr>
          <w:spacing w:val="-75"/>
        </w:rPr>
        <w:t> </w:t>
      </w:r>
      <w:r>
        <w:rPr>
          <w:spacing w:val="-75"/>
        </w:rPr>
      </w:r>
      <w:r>
        <w:rPr/>
        <w:t>此赢得客户与市场。</w:t>
      </w:r>
    </w:p>
    <w:p>
      <w:pPr>
        <w:pStyle w:val="BodyText"/>
        <w:spacing w:line="309" w:lineRule="auto" w:before="31"/>
        <w:ind w:right="0" w:firstLine="451"/>
        <w:jc w:val="left"/>
      </w:pPr>
      <w:r>
        <w:rPr/>
        <w:t>报告期内，重磅推出了重新定义大功率</w:t>
      </w:r>
      <w:r>
        <w:rPr>
          <w:rFonts w:ascii="Times New Roman" w:hAnsi="Times New Roman" w:cs="Times New Roman" w:eastAsia="Times New Roman" w:hint="default"/>
        </w:rPr>
        <w:t>LED</w:t>
      </w:r>
      <w:r>
        <w:rPr/>
        <w:t>驱动设计理论的高性价比</w:t>
      </w:r>
      <w:r>
        <w:rPr>
          <w:rFonts w:ascii="Times New Roman" w:hAnsi="Times New Roman" w:cs="Times New Roman" w:eastAsia="Times New Roman" w:hint="default"/>
        </w:rPr>
        <w:t>X6</w:t>
      </w:r>
      <w:r>
        <w:rPr/>
        <w:t>系列产品，</w:t>
      </w:r>
      <w:r>
        <w:rPr>
          <w:rFonts w:ascii="Times New Roman" w:hAnsi="Times New Roman" w:cs="Times New Roman" w:eastAsia="Times New Roman" w:hint="default"/>
        </w:rPr>
        <w:t>LED</w:t>
      </w:r>
      <w:r>
        <w:rPr/>
        <w:t>应用技术也得到进一步突破， </w:t>
      </w:r>
      <w:r>
        <w:rPr>
          <w:spacing w:val="-4"/>
        </w:rPr>
        <w:t>继首创的红外遥控编程功能、恒功率设计、高等级防雷到离线编程、控制线功能复用（供电、调光、编程三者合一）技术后，</w:t>
      </w:r>
      <w:r>
        <w:rPr>
          <w:spacing w:val="-41"/>
        </w:rPr>
        <w:t> </w:t>
      </w:r>
      <w:r>
        <w:rPr>
          <w:spacing w:val="-41"/>
        </w:rPr>
      </w:r>
      <w:r>
        <w:rPr/>
        <w:t>在行业领域首次应用</w:t>
      </w:r>
      <w:r>
        <w:rPr>
          <w:rFonts w:ascii="Times New Roman" w:hAnsi="Times New Roman" w:cs="Times New Roman" w:eastAsia="Times New Roman" w:hint="default"/>
        </w:rPr>
        <w:t>“</w:t>
      </w:r>
      <w:r>
        <w:rPr/>
        <w:t>黑匣子</w:t>
      </w:r>
      <w:r>
        <w:rPr>
          <w:rFonts w:ascii="Times New Roman" w:hAnsi="Times New Roman" w:cs="Times New Roman" w:eastAsia="Times New Roman" w:hint="default"/>
        </w:rPr>
        <w:t>”</w:t>
      </w:r>
      <w:r>
        <w:rPr/>
        <w:t>功能和离线编程功能，</w:t>
      </w:r>
      <w:r>
        <w:rPr>
          <w:rFonts w:ascii="Times New Roman" w:hAnsi="Times New Roman" w:cs="Times New Roman" w:eastAsia="Times New Roman" w:hint="default"/>
        </w:rPr>
        <w:t>“</w:t>
      </w:r>
      <w:r>
        <w:rPr/>
        <w:t>黑匣子</w:t>
      </w:r>
      <w:r>
        <w:rPr>
          <w:rFonts w:ascii="Times New Roman" w:hAnsi="Times New Roman" w:cs="Times New Roman" w:eastAsia="Times New Roman" w:hint="default"/>
        </w:rPr>
        <w:t>”</w:t>
      </w:r>
      <w:r>
        <w:rPr/>
        <w:t>功能通过设计能够记录工作数据，即使电源失效也能读取其历 </w:t>
      </w:r>
      <w:r>
        <w:rPr>
          <w:spacing w:val="-4"/>
        </w:rPr>
        <w:t>史数据，以便通过记录的数据初步诊断电源失效原因；而离线编程功能让产品定义摆脱了场地的要求，变得简单和随时随地，</w:t>
      </w:r>
      <w:r>
        <w:rPr>
          <w:spacing w:val="-44"/>
        </w:rPr>
        <w:t> </w:t>
      </w:r>
      <w:r>
        <w:rPr>
          <w:spacing w:val="-44"/>
        </w:rPr>
      </w:r>
      <w:r>
        <w:rPr/>
        <w:t>进一步提升了茂硕在行业的影响力。</w:t>
      </w:r>
    </w:p>
    <w:p>
      <w:pPr>
        <w:pStyle w:val="BodyText"/>
        <w:spacing w:line="316" w:lineRule="auto" w:before="24"/>
        <w:ind w:right="1123" w:firstLine="451"/>
        <w:jc w:val="left"/>
      </w:pPr>
      <w:r>
        <w:rPr/>
        <w:t>同时，结合茂硕自身的技术沉淀与优势，积极参与前沿技术的研究，配合相关的行业组织制定相关的标准，助推产业 </w:t>
      </w:r>
      <w:r>
        <w:rPr>
          <w:spacing w:val="-2"/>
        </w:rPr>
        <w:t>发展，</w:t>
      </w:r>
      <w:r>
        <w:rPr>
          <w:rFonts w:ascii="Times New Roman" w:hAnsi="Times New Roman" w:cs="Times New Roman" w:eastAsia="Times New Roman" w:hint="default"/>
          <w:spacing w:val="-2"/>
        </w:rPr>
        <w:t>2019</w:t>
      </w:r>
      <w:r>
        <w:rPr>
          <w:spacing w:val="-2"/>
        </w:rPr>
        <w:t>年下半年，在国家半导体照明工程研发及产业联盟主导下，主持并发布了《景观照明用</w:t>
      </w:r>
      <w:r>
        <w:rPr>
          <w:rFonts w:ascii="Times New Roman" w:hAnsi="Times New Roman" w:cs="Times New Roman" w:eastAsia="Times New Roman" w:hint="default"/>
          <w:spacing w:val="-2"/>
        </w:rPr>
        <w:t>LED</w:t>
      </w:r>
      <w:r>
        <w:rPr>
          <w:spacing w:val="-2"/>
        </w:rPr>
        <w:t>驱动电源通用技术规</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604" w:right="1133" w:hanging="452"/>
        <w:jc w:val="left"/>
      </w:pPr>
      <w:r>
        <w:rPr/>
        <w:t>范》，在中华人民共和国住房和城乡建设部统筹下，参与《风光互补路灯装置》的研究与制定工作。 公司与</w:t>
      </w:r>
      <w:r>
        <w:rPr>
          <w:rFonts w:ascii="Times New Roman" w:hAnsi="Times New Roman" w:cs="Times New Roman" w:eastAsia="Times New Roman" w:hint="default"/>
        </w:rPr>
        <w:t>VIP</w:t>
      </w:r>
      <w:r>
        <w:rPr/>
        <w:t>客户建立长久的战略合作关系，同时积极拓展新客户进行审厂，强化对大客户的服务质量与响应速度，确</w:t>
      </w:r>
    </w:p>
    <w:p>
      <w:pPr>
        <w:pStyle w:val="BodyText"/>
        <w:spacing w:line="300" w:lineRule="auto" w:before="0"/>
        <w:ind w:right="1131"/>
        <w:jc w:val="both"/>
      </w:pPr>
      <w:r>
        <w:rPr>
          <w:spacing w:val="-2"/>
        </w:rPr>
        <w:t>保订单的持续稳定增长，公司是国内最早进入大功率</w:t>
      </w:r>
      <w:r>
        <w:rPr>
          <w:rFonts w:ascii="Times New Roman" w:hAnsi="Times New Roman" w:cs="Times New Roman" w:eastAsia="Times New Roman" w:hint="default"/>
          <w:spacing w:val="-2"/>
        </w:rPr>
        <w:t>LED</w:t>
      </w:r>
      <w:r>
        <w:rPr>
          <w:spacing w:val="-2"/>
        </w:rPr>
        <w:t>驱动电源领域的企业之一，并与众多行业领先的</w:t>
      </w:r>
      <w:r>
        <w:rPr>
          <w:rFonts w:ascii="Times New Roman" w:hAnsi="Times New Roman" w:cs="Times New Roman" w:eastAsia="Times New Roman" w:hint="default"/>
          <w:spacing w:val="-2"/>
        </w:rPr>
        <w:t>LED</w:t>
      </w:r>
      <w:r>
        <w:rPr>
          <w:spacing w:val="-2"/>
        </w:rPr>
        <w:t>照明企业形成</w:t>
      </w:r>
      <w:r>
        <w:rPr>
          <w:spacing w:val="-43"/>
        </w:rPr>
        <w:t> </w:t>
      </w:r>
      <w:r>
        <w:rPr>
          <w:spacing w:val="-43"/>
        </w:rPr>
      </w:r>
      <w:r>
        <w:rPr/>
        <w:t>了长期稳定的战略合作关系。</w:t>
      </w:r>
    </w:p>
    <w:p>
      <w:pPr>
        <w:pStyle w:val="BodyText"/>
        <w:spacing w:line="300" w:lineRule="auto" w:before="31"/>
        <w:ind w:right="1133" w:firstLine="360"/>
        <w:jc w:val="left"/>
      </w:pPr>
      <w:r>
        <w:rPr/>
        <w:t>未来公司将以智慧城市建设为大背景，以</w:t>
      </w:r>
      <w:r>
        <w:rPr>
          <w:rFonts w:ascii="Times New Roman" w:hAnsi="Times New Roman" w:cs="Times New Roman" w:eastAsia="Times New Roman" w:hint="default"/>
        </w:rPr>
        <w:t>5G</w:t>
      </w:r>
      <w:r>
        <w:rPr/>
        <w:t>技术、</w:t>
      </w:r>
      <w:r>
        <w:rPr>
          <w:rFonts w:ascii="Times New Roman" w:hAnsi="Times New Roman" w:cs="Times New Roman" w:eastAsia="Times New Roman" w:hint="default"/>
        </w:rPr>
        <w:t>AI</w:t>
      </w:r>
      <w:r>
        <w:rPr/>
        <w:t>技术的突破与应用为基础，整合内部资源，为智能灯杆提供电源 整体解决方案，在助力智慧城市建设的同时提升产品与服务的附加值，提升企业的竞争能力与盈利能力。</w:t>
      </w:r>
    </w:p>
    <w:p>
      <w:pPr>
        <w:spacing w:line="240" w:lineRule="auto" w:before="3"/>
        <w:rPr>
          <w:rFonts w:ascii="宋体" w:hAnsi="宋体" w:cs="宋体" w:eastAsia="宋体" w:hint="default"/>
          <w:sz w:val="26"/>
          <w:szCs w:val="26"/>
        </w:rPr>
      </w:pPr>
    </w:p>
    <w:p>
      <w:pPr>
        <w:spacing w:line="300" w:lineRule="auto" w:before="0"/>
        <w:ind w:left="513" w:right="11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、坚持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创新技术、产品为王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经营战略</w:t>
      </w:r>
      <w:r>
        <w:rPr>
          <w:rFonts w:ascii="宋体" w:hAnsi="宋体" w:cs="宋体" w:eastAsia="宋体" w:hint="default"/>
          <w:b/>
          <w:bCs/>
          <w:w w:val="99"/>
          <w:sz w:val="18"/>
          <w:szCs w:val="18"/>
        </w:rPr>
        <w:t> </w:t>
      </w:r>
      <w:r>
        <w:rPr>
          <w:rFonts w:ascii="宋体" w:hAnsi="宋体" w:cs="宋体" w:eastAsia="宋体" w:hint="default"/>
          <w:spacing w:val="-2"/>
          <w:sz w:val="18"/>
          <w:szCs w:val="18"/>
        </w:rPr>
        <w:t>公司坚持将技术创新作为企业发展的动力引擎，以产品为载体，以创新为灵魂，强调用户体验的重要性，并强化产品战</w:t>
      </w:r>
    </w:p>
    <w:p>
      <w:pPr>
        <w:pStyle w:val="BodyText"/>
        <w:spacing w:line="312" w:lineRule="auto" w:before="31"/>
        <w:ind w:right="1132"/>
        <w:jc w:val="both"/>
      </w:pPr>
      <w:r>
        <w:rPr>
          <w:spacing w:val="-2"/>
        </w:rPr>
        <w:t>略规划，优化组织架构与团队，形成产品平台模块化、标准化、智能化、品质化、系列化；新产品的立项要有充分的调研数</w:t>
      </w:r>
      <w:r>
        <w:rPr>
          <w:spacing w:val="-71"/>
        </w:rPr>
        <w:t> </w:t>
      </w:r>
      <w:r>
        <w:rPr>
          <w:spacing w:val="-71"/>
        </w:rPr>
      </w:r>
      <w:r>
        <w:rPr>
          <w:spacing w:val="-1"/>
        </w:rPr>
        <w:t>据支撑，以标准化产品销售为主线，同时采用灵活的</w:t>
      </w:r>
      <w:r>
        <w:rPr>
          <w:rFonts w:ascii="Times New Roman" w:hAnsi="Times New Roman" w:cs="Times New Roman" w:eastAsia="Times New Roman" w:hint="default"/>
          <w:spacing w:val="-1"/>
        </w:rPr>
        <w:t>“</w:t>
      </w:r>
      <w:r>
        <w:rPr>
          <w:spacing w:val="-1"/>
        </w:rPr>
        <w:t>价值定制</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战略定制</w:t>
      </w:r>
      <w:r>
        <w:rPr>
          <w:rFonts w:ascii="Times New Roman" w:hAnsi="Times New Roman" w:cs="Times New Roman" w:eastAsia="Times New Roman" w:hint="default"/>
          <w:spacing w:val="-1"/>
        </w:rPr>
        <w:t>”</w:t>
      </w:r>
      <w:r>
        <w:rPr>
          <w:spacing w:val="-1"/>
        </w:rPr>
        <w:t>，对于特定的战略意义项目及能够产生价值的</w:t>
      </w:r>
      <w:r>
        <w:rPr>
          <w:spacing w:val="-78"/>
        </w:rPr>
        <w:t> </w:t>
      </w:r>
      <w:r>
        <w:rPr>
          <w:spacing w:val="-78"/>
        </w:rPr>
      </w:r>
      <w:r>
        <w:rPr>
          <w:spacing w:val="-2"/>
        </w:rPr>
        <w:t>项目进行定向性专属开发，并持续加大研发投入，使产品的技术、品质、性价比成为竞争优势，使产品进入更多电源细分领</w:t>
      </w:r>
      <w:r>
        <w:rPr>
          <w:spacing w:val="-67"/>
        </w:rPr>
        <w:t> </w:t>
      </w:r>
      <w:r>
        <w:rPr>
          <w:spacing w:val="-67"/>
        </w:rPr>
      </w:r>
      <w:r>
        <w:rPr/>
        <w:t>域。</w:t>
      </w:r>
    </w:p>
    <w:p>
      <w:pPr>
        <w:pStyle w:val="BodyText"/>
        <w:spacing w:line="316" w:lineRule="auto" w:before="22"/>
        <w:ind w:right="1129" w:firstLine="360"/>
        <w:jc w:val="both"/>
      </w:pPr>
      <w:r>
        <w:rPr>
          <w:spacing w:val="-2"/>
        </w:rPr>
        <w:t>报告期内，公司已实现一系列高性价比、高毛利的产品上市，提升公司盈利能力、市场竞争力。同时，公司已整合集团</w:t>
      </w:r>
      <w:r>
        <w:rPr/>
        <w:t> </w:t>
      </w:r>
      <w:r>
        <w:rPr>
          <w:spacing w:val="-2"/>
        </w:rPr>
        <w:t>各子公司质量系统和资源，设立集团总部质量中心，统一质量管理标准，确保研发产品质量和直通率；修订产品开发流程管</w:t>
      </w:r>
      <w:r>
        <w:rPr>
          <w:spacing w:val="-65"/>
        </w:rPr>
        <w:t> </w:t>
      </w:r>
      <w:r>
        <w:rPr>
          <w:spacing w:val="-65"/>
        </w:rPr>
      </w:r>
      <w:r>
        <w:rPr>
          <w:spacing w:val="-2"/>
        </w:rPr>
        <w:t>理程序、设计变更管理程序及新产品试产导入流程；规范技术文件标准模板；规范研发过程及过程文件管控；扩建产品检测</w:t>
      </w:r>
      <w:r>
        <w:rPr>
          <w:spacing w:val="-64"/>
        </w:rPr>
        <w:t> </w:t>
      </w:r>
      <w:r>
        <w:rPr>
          <w:spacing w:val="-64"/>
        </w:rPr>
      </w:r>
      <w:r>
        <w:rPr/>
        <w:t>中心、确保新产品测试验证按期完成，不断提升产品质量及快速响应的速度。</w:t>
      </w:r>
    </w:p>
    <w:p>
      <w:pPr>
        <w:pStyle w:val="BodyText"/>
        <w:spacing w:line="316" w:lineRule="auto" w:before="19"/>
        <w:ind w:right="1133" w:firstLine="360"/>
        <w:jc w:val="both"/>
      </w:pPr>
      <w:r>
        <w:rPr>
          <w:spacing w:val="-2"/>
        </w:rPr>
        <w:t>产品的核心是技术，技术的核心是研发人才，公司继续加强研发队伍建设，完善研发体系建设，保障研发队伍的效率及</w:t>
      </w:r>
      <w:r>
        <w:rPr/>
        <w:t> 活力。</w:t>
      </w:r>
    </w:p>
    <w:p>
      <w:pPr>
        <w:spacing w:line="240" w:lineRule="auto" w:before="4"/>
        <w:rPr>
          <w:rFonts w:ascii="宋体" w:hAnsi="宋体" w:cs="宋体" w:eastAsia="宋体" w:hint="default"/>
          <w:sz w:val="25"/>
          <w:szCs w:val="25"/>
        </w:rPr>
      </w:pPr>
    </w:p>
    <w:p>
      <w:pPr>
        <w:spacing w:line="300" w:lineRule="auto" w:before="0"/>
        <w:ind w:left="513" w:right="11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、优化资产结构，全面整合内外部资源</w:t>
      </w:r>
      <w:r>
        <w:rPr>
          <w:rFonts w:ascii="宋体" w:hAnsi="宋体" w:cs="宋体" w:eastAsia="宋体" w:hint="default"/>
          <w:b/>
          <w:bCs/>
          <w:w w:val="99"/>
          <w:sz w:val="18"/>
          <w:szCs w:val="18"/>
        </w:rPr>
        <w:t> </w:t>
      </w:r>
      <w:r>
        <w:rPr>
          <w:rFonts w:ascii="宋体" w:hAnsi="宋体" w:cs="宋体" w:eastAsia="宋体" w:hint="default"/>
          <w:spacing w:val="-2"/>
          <w:sz w:val="18"/>
          <w:szCs w:val="18"/>
        </w:rPr>
        <w:t>公司进一步回收非主业的业务及投资将资源集中到电源主业；在做大做强主业的同时，充分利用茂硕电源平台优势，整</w:t>
      </w:r>
    </w:p>
    <w:p>
      <w:pPr>
        <w:pStyle w:val="BodyText"/>
        <w:spacing w:line="240" w:lineRule="auto" w:before="31"/>
        <w:ind w:right="1133"/>
        <w:jc w:val="left"/>
      </w:pPr>
      <w:r>
        <w:rPr/>
        <w:t>合内外部资源，大力拓展具有市场空间大、高附加值的电源细分领域。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1,247,847,109.57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1,337,775,109.10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pacing w:val="-9"/>
                <w:sz w:val="18"/>
                <w:szCs w:val="18"/>
              </w:rPr>
              <w:t>计算机、通信和其他</w:t>
            </w:r>
            <w:r>
              <w:rPr>
                <w:rFonts w:ascii="宋体" w:hAnsi="宋体" w:cs="宋体" w:eastAsia="宋体" w:hint="default"/>
                <w:sz w:val="18"/>
                <w:szCs w:val="18"/>
              </w:rPr>
              <w:t> 电子设备制造业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1,190,611,669.05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95.41%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1,207,392,842.70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90.25%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光伏电站运营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45,667,680.80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119,580,172.13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11,567,759.72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10,802,094.27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 </w:t>
            </w:r>
            <w:r>
              <w:rPr>
                <w:rFonts w:ascii="宋体" w:hAnsi="宋体" w:cs="宋体" w:eastAsia="宋体" w:hint="default"/>
                <w:sz w:val="18"/>
                <w:szCs w:val="18"/>
              </w:rPr>
              <w:t>开关电源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775,849,100.52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785,391,787.77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414,762,568.53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422,001,054.93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9,331,744.51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75,050,080.22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36,335,936.29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44,530,091.91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11,567,759.72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10,802,094.27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629,258,548.84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685,124,727.15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618,588,560.73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652,650,381.95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1,190,611,669.05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932,414,594.43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 </w:t>
            </w:r>
            <w:r>
              <w:rPr>
                <w:rFonts w:ascii="宋体" w:hAnsi="宋体" w:cs="宋体" w:eastAsia="宋体" w:hint="default"/>
                <w:sz w:val="18"/>
                <w:szCs w:val="18"/>
              </w:rPr>
              <w:t>开关电源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775,849,100.52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622,009,963.27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414,762,568.53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310,404,631.16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629,258,548.84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480,184,267.88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618,588,560.73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482,132,158.38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 </w:t>
            </w:r>
            <w:r>
              <w:rPr>
                <w:rFonts w:ascii="宋体" w:hAnsi="宋体" w:cs="宋体" w:eastAsia="宋体" w:hint="default"/>
                <w:sz w:val="18"/>
                <w:szCs w:val="18"/>
              </w:rPr>
              <w:t>开关电源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45,319,602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46,076,624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47,055,037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3.93%</w:t>
            </w:r>
          </w:p>
        </w:tc>
      </w:tr>
      <w:tr>
        <w:trPr>
          <w:trHeight w:val="401"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-22.01%</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-92.53%</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-93.20%</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-22.82%</w:t>
            </w:r>
          </w:p>
        </w:tc>
      </w:tr>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37,834,746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44,355,694.8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-14.70%</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37,834,746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44,355,694.8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-14.70%</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4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逆变器业务受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“531</w:t>
      </w:r>
      <w:r>
        <w:rPr/>
        <w:t>新政</w:t>
      </w:r>
      <w:r>
        <w:rPr>
          <w:rFonts w:ascii="Times New Roman" w:hAnsi="Times New Roman" w:cs="Times New Roman" w:eastAsia="Times New Roman" w:hint="default"/>
        </w:rPr>
        <w:t>”</w:t>
      </w:r>
      <w:r>
        <w:rPr/>
        <w:t>影响，公司决定子公司茂硕电气</w:t>
      </w:r>
      <w:r>
        <w:rPr>
          <w:rFonts w:ascii="Times New Roman" w:hAnsi="Times New Roman" w:cs="Times New Roman" w:eastAsia="Times New Roman" w:hint="default"/>
        </w:rPr>
        <w:t>2019</w:t>
      </w:r>
      <w:r>
        <w:rPr/>
        <w:t>年业务转型导致。</w:t>
      </w:r>
    </w:p>
    <w:p>
      <w:pPr>
        <w:spacing w:line="240" w:lineRule="auto" w:before="10"/>
        <w:rPr>
          <w:rFonts w:ascii="宋体" w:hAnsi="宋体" w:cs="宋体" w:eastAsia="宋体" w:hint="default"/>
          <w:sz w:val="19"/>
          <w:szCs w:val="19"/>
        </w:rPr>
      </w:pPr>
    </w:p>
    <w:p>
      <w:pPr>
        <w:pStyle w:val="Heading3"/>
        <w:spacing w:line="240" w:lineRule="auto"/>
        <w:ind w:right="113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60" w:lineRule="auto"/>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73" w:space="804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 </w:t>
            </w:r>
            <w:r>
              <w:rPr>
                <w:rFonts w:ascii="宋体" w:hAnsi="宋体" w:cs="宋体" w:eastAsia="宋体" w:hint="default"/>
                <w:sz w:val="18"/>
                <w:szCs w:val="18"/>
              </w:rPr>
              <w:t>开关电源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494,087,334.25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533,766,990.14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260,073,312.33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273,319,639.08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5,548,638.45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50,665,262.75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7,668,202.92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14,998,935.52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-27.83%</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公司主要销售客户情况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355,287,267.16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28.47%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108,424,651.44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8.69%</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64,003,031.12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63,157,984.94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62,349,471.03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57,352,128.63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355,287,267.16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28.47%</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166,070,519.19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63,775,432.50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27,601,108.47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26,384,729.42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25,538,240.11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22,771,008.69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166,070,519.19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19.83%</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72,306,691.55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87,731,963.56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-17.58%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76,295,882.27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70,912,140.81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16,591,401.43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12,535,750.03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主要系汇率变动导致本报告期汇兑 收益较上年同期减少</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50,318,593.18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58,476,084.06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400" w:lineRule="auto" w:before="0"/>
        <w:ind w:left="453" w:right="1124" w:hanging="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公司一直以完善核心技术体系建设为发展动力，高度重视新产品和新技术的开发研究工作。不断加大研发投入力度，以</w:t>
      </w:r>
    </w:p>
    <w:p>
      <w:pPr>
        <w:pStyle w:val="BodyText"/>
        <w:spacing w:line="189" w:lineRule="exact" w:before="0"/>
        <w:ind w:right="0"/>
        <w:jc w:val="left"/>
      </w:pPr>
      <w:r>
        <w:rPr/>
        <w:t>确保技术研究和成果推广应用工作顺利进行。公司依托现有的研发资源和平台，深入整合公司内外部资源，充分利用科研人</w:t>
      </w:r>
    </w:p>
    <w:p>
      <w:pPr>
        <w:pStyle w:val="BodyText"/>
        <w:spacing w:line="319" w:lineRule="auto" w:before="76"/>
        <w:ind w:right="1029"/>
        <w:jc w:val="left"/>
      </w:pPr>
      <w:r>
        <w:rPr>
          <w:spacing w:val="-5"/>
        </w:rPr>
        <w:t>才和硬件设备进行新产品新工艺研发及前瞻性研究，开展了一系列科研项目，以进一步完善技术和专利布局，优化产品体</w:t>
      </w:r>
      <w:r>
        <w:rPr/>
        <w:t> 系，</w:t>
      </w:r>
      <w:r>
        <w:rPr>
          <w:spacing w:val="-88"/>
        </w:rPr>
        <w:t> </w:t>
      </w:r>
      <w:r>
        <w:rPr>
          <w:spacing w:val="-88"/>
        </w:rPr>
      </w:r>
      <w:r>
        <w:rPr/>
        <w:t>提升创新实力，延续在行业中长期保持的技术优势。</w:t>
      </w:r>
    </w:p>
    <w:p>
      <w:pPr>
        <w:pStyle w:val="BodyText"/>
        <w:spacing w:line="240" w:lineRule="auto" w:before="58"/>
        <w:ind w:right="1133"/>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50,318,593.18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58,476,084.06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研发投入资本化率大幅变动的原因及其合理性说明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1,244,732,549.77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1,373,773,327.19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1,202,975,498.87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1,295,929,533.22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41,757,050.90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77,843,793.97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54,001,283.09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70,021,073.24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59,161,843.65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96,752,394.94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-5,160,560.56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-26,731,321.70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551,710,318.67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594,080,040.90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532,474,198.43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721,031,924.66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-26.15%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19,236,120.24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-126,951,883.76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115.15%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54,990,418.98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-75,080,436.06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173.24%</w:t>
            </w:r>
          </w:p>
        </w:tc>
      </w:tr>
    </w:tbl>
    <w:p>
      <w:pPr>
        <w:pStyle w:val="BodyText"/>
        <w:spacing w:line="240" w:lineRule="auto" w:before="49"/>
        <w:ind w:right="1133"/>
        <w:jc w:val="left"/>
      </w:pPr>
      <w:r>
        <w:rPr/>
        <w:t>相关数据同比发生重大变动的主要影响因素说明</w:t>
      </w:r>
    </w:p>
    <w:p>
      <w:pPr>
        <w:pStyle w:val="BodyText"/>
        <w:spacing w:line="319" w:lineRule="auto" w:before="115"/>
        <w:ind w:right="12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报告期内经营活动产生的现金流量净额较去年减少，主要系本报告期有部分供应商结算由原票据支付调整为电汇支付导 致；</w:t>
      </w:r>
    </w:p>
    <w:p>
      <w:pPr>
        <w:pStyle w:val="BodyText"/>
        <w:spacing w:line="309" w:lineRule="auto" w:before="17"/>
        <w:ind w:right="0"/>
        <w:jc w:val="left"/>
      </w:pPr>
      <w:r>
        <w:rPr>
          <w:rFonts w:ascii="Times New Roman" w:hAnsi="Times New Roman" w:cs="Times New Roman" w:eastAsia="Times New Roman" w:hint="default"/>
        </w:rPr>
        <w:t>2)</w:t>
      </w:r>
      <w:r>
        <w:rPr/>
        <w:t>报告期内投资活动产生的现金流量净额较去年同期增加，主要系本报告期支付电站</w:t>
      </w:r>
      <w:r>
        <w:rPr>
          <w:rFonts w:ascii="Times New Roman" w:hAnsi="Times New Roman" w:cs="Times New Roman" w:eastAsia="Times New Roman" w:hint="default"/>
        </w:rPr>
        <w:t>EPC</w:t>
      </w:r>
      <w:r>
        <w:rPr/>
        <w:t>尾款及围绕</w:t>
      </w:r>
      <w:r>
        <w:rPr>
          <w:rFonts w:ascii="Times New Roman" w:hAnsi="Times New Roman" w:cs="Times New Roman" w:eastAsia="Times New Roman" w:hint="default"/>
        </w:rPr>
        <w:t>“</w:t>
      </w:r>
      <w:r>
        <w:rPr/>
        <w:t>聚焦主业</w:t>
      </w:r>
      <w:r>
        <w:rPr>
          <w:rFonts w:ascii="Times New Roman" w:hAnsi="Times New Roman" w:cs="Times New Roman" w:eastAsia="Times New Roman" w:hint="default"/>
        </w:rPr>
        <w:t>”</w:t>
      </w:r>
      <w:r>
        <w:rPr/>
        <w:t>的发展战 略，深耕主营业务，收回前期投资款导致； </w:t>
      </w:r>
      <w:r>
        <w:rPr>
          <w:rFonts w:ascii="Times New Roman" w:hAnsi="Times New Roman" w:cs="Times New Roman" w:eastAsia="Times New Roman" w:hint="default"/>
          <w:spacing w:val="-3"/>
        </w:rPr>
        <w:t>3)</w:t>
      </w:r>
      <w:r>
        <w:rPr>
          <w:spacing w:val="-3"/>
        </w:rPr>
        <w:t>报告期内筹资活动产生的现金流量净额较去年增加，主要系本报告期开具的银行承兑汇票减少，开票承兑保证金减少所致；</w:t>
      </w:r>
    </w:p>
    <w:p>
      <w:pPr>
        <w:pStyle w:val="BodyText"/>
        <w:spacing w:line="340" w:lineRule="auto" w:before="5"/>
        <w:ind w:right="4274"/>
        <w:jc w:val="left"/>
      </w:pPr>
      <w:r>
        <w:rPr>
          <w:rFonts w:ascii="Times New Roman" w:hAnsi="Times New Roman" w:cs="Times New Roman" w:eastAsia="Times New Roman" w:hint="default"/>
        </w:rPr>
        <w:t>4)</w:t>
      </w:r>
      <w:r>
        <w:rPr/>
        <w:t>现金及现金等价物净增加额，变动原因同上。</w:t>
      </w:r>
      <w:r>
        <w:rPr>
          <w:w w:val="99"/>
        </w:rPr>
        <w:t> </w:t>
      </w:r>
      <w:r>
        <w:rPr/>
        <w:t>报告期内公司经营活动产生的现金净流量与本年度净利润存在重大差异的原因说明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2"/>
        <w:gridCol w:w="1928"/>
        <w:gridCol w:w="1622"/>
        <w:gridCol w:w="2595"/>
        <w:gridCol w:w="1913"/>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8,956,080.63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13.22%</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主要系债务重组收益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-5,001,528.34</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-7.38%</w:t>
            </w:r>
          </w:p>
        </w:tc>
        <w:tc>
          <w:tcPr>
            <w:tcW w:w="259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主要系计提的存货跌价准备、长 期股权投资减值准备</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59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59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0" w:right="0"/>
              <w:jc w:val="left"/>
              <w:rPr>
                <w:rFonts w:ascii="Times New Roman" w:hAnsi="Times New Roman" w:cs="Times New Roman" w:eastAsia="Times New Roman" w:hint="default"/>
                <w:sz w:val="18"/>
                <w:szCs w:val="18"/>
              </w:rPr>
            </w:pPr>
            <w:r>
              <w:rPr>
                <w:rFonts w:ascii="Times New Roman"/>
                <w:sz w:val="18"/>
              </w:rPr>
              <w:t>2,119,775.17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w:t>
            </w:r>
          </w:p>
        </w:tc>
        <w:tc>
          <w:tcPr>
            <w:tcW w:w="2595"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主要系接受捐赠、供应商违约赔 偿收入</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59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59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538,485.06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主要系非流动资产毁损报废损失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-14,567,444.08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-21.51%</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主要系计提的应收账款坏账准备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12,140,810.48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17.93%</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主要系收到的各项政府补助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16"/>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526" w:space="395"/>
            <w:col w:w="200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2319"/>
        <w:gridCol w:w="2259"/>
        <w:gridCol w:w="797"/>
        <w:gridCol w:w="2908"/>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3"/>
        <w:gridCol w:w="1267"/>
        <w:gridCol w:w="1064"/>
        <w:gridCol w:w="1195"/>
        <w:gridCol w:w="1064"/>
        <w:gridCol w:w="797"/>
        <w:gridCol w:w="2919"/>
      </w:tblGrid>
      <w:tr>
        <w:trPr>
          <w:trHeight w:val="161"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1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253" w:type="dxa"/>
            <w:vMerge/>
            <w:tcBorders>
              <w:left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right w:val="single" w:sz="4" w:space="0" w:color="000000"/>
            </w:tcBorders>
            <w:shd w:val="clear" w:color="auto" w:fill="D2D2D2"/>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250,188,701.02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282,352,971.21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462,909,161.03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462,082,004.27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120,300,364.92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139,270,809.32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91,887,080.76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122,956,056.21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384,180,534.44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409,077,159.89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157,711,834.30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223,394,354.13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92"/>
        <w:gridCol w:w="1099"/>
        <w:gridCol w:w="1087"/>
        <w:gridCol w:w="1091"/>
        <w:gridCol w:w="1091"/>
        <w:gridCol w:w="1092"/>
        <w:gridCol w:w="1084"/>
        <w:gridCol w:w="971"/>
        <w:gridCol w:w="965"/>
      </w:tblGrid>
      <w:tr>
        <w:trPr>
          <w:trHeight w:val="161" w:hRule="exact"/>
        </w:trPr>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0"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92"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1"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1"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0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092" w:type="dxa"/>
            <w:vMerge w:val="restart"/>
            <w:tcBorders>
              <w:top w:val="nil" w:sz="6" w:space="0" w:color="auto"/>
              <w:left w:val="single" w:sz="4" w:space="0" w:color="000000"/>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92" w:type="dxa"/>
            <w:vMerge/>
            <w:tcBorders>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0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11,000,000.00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11,000,000.00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0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16,265,120.84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5,140,233.45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11,124,887.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r>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27,265,120.84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5,140,233.45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11,000,000.00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11,124,887.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20,063,560.10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17,615,270.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47,328,680.94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5,140,233.45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11,000,000.00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27,615,270.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23,573,176.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2,060,800.00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2,060,800.00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4266"/>
        <w:gridCol w:w="2784"/>
        <w:gridCol w:w="2609"/>
      </w:tblGrid>
      <w:tr>
        <w:trPr>
          <w:trHeight w:val="346"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70,644,775.77</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46"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4,709,927.65</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未决诉讼冻结</w:t>
            </w:r>
          </w:p>
        </w:tc>
      </w:tr>
      <w:tr>
        <w:trPr>
          <w:trHeight w:val="348"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223,377,383.41</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6"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7,854,145.95</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348" w:hRule="exact"/>
        </w:trPr>
        <w:tc>
          <w:tcPr>
            <w:tcW w:w="4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306,586,232.78</w:t>
            </w:r>
          </w:p>
        </w:tc>
        <w:tc>
          <w:tcPr>
            <w:tcW w:w="26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7"/>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76"/>
              <w:jc w:val="right"/>
              <w:rPr>
                <w:rFonts w:ascii="Times New Roman" w:hAnsi="Times New Roman" w:cs="Times New Roman" w:eastAsia="Times New Roman" w:hint="default"/>
                <w:sz w:val="18"/>
                <w:szCs w:val="18"/>
              </w:rPr>
            </w:pPr>
            <w:r>
              <w:rPr>
                <w:rFonts w:ascii="Times New Roman"/>
                <w:sz w:val="18"/>
              </w:rPr>
              <w:t>-97.95%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9"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41,418.55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44,031.92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4,497.57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4,497.57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45,916.12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48,529.49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86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（一）首次公开发行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w:t>
            </w:r>
          </w:p>
          <w:p>
            <w:pPr>
              <w:pStyle w:val="TableParagraph"/>
              <w:spacing w:line="300" w:lineRule="auto" w:before="101"/>
              <w:ind w:left="24" w:right="29" w:firstLine="454"/>
              <w:jc w:val="both"/>
              <w:rPr>
                <w:rFonts w:ascii="宋体" w:hAnsi="宋体" w:cs="宋体" w:eastAsia="宋体" w:hint="default"/>
                <w:sz w:val="18"/>
                <w:szCs w:val="18"/>
              </w:rPr>
            </w:pPr>
            <w:r>
              <w:rPr>
                <w:rFonts w:ascii="宋体" w:hAnsi="宋体" w:cs="宋体" w:eastAsia="宋体" w:hint="default"/>
                <w:sz w:val="18"/>
                <w:szCs w:val="18"/>
              </w:rPr>
              <w:t>茂硕电源科技股份有限公司经中国证券监督管理委员会（证监许可</w:t>
            </w:r>
            <w:r>
              <w:rPr>
                <w:rFonts w:ascii="Times New Roman" w:hAnsi="Times New Roman" w:cs="Times New Roman" w:eastAsia="Times New Roman" w:hint="default"/>
                <w:sz w:val="18"/>
                <w:szCs w:val="18"/>
              </w:rPr>
              <w:t>[2012]186 </w:t>
            </w:r>
            <w:r>
              <w:rPr>
                <w:rFonts w:ascii="宋体" w:hAnsi="宋体" w:cs="宋体" w:eastAsia="宋体" w:hint="default"/>
                <w:sz w:val="18"/>
                <w:szCs w:val="18"/>
              </w:rPr>
              <w:t>号文）核准，由主</w:t>
            </w:r>
            <w:r>
              <w:rPr>
                <w:rFonts w:ascii="宋体" w:hAnsi="宋体" w:cs="宋体" w:eastAsia="宋体" w:hint="default"/>
                <w:spacing w:val="-5"/>
                <w:sz w:val="18"/>
                <w:szCs w:val="18"/>
              </w:rPr>
              <w:t> </w:t>
            </w:r>
            <w:r>
              <w:rPr>
                <w:rFonts w:ascii="宋体" w:hAnsi="宋体" w:cs="宋体" w:eastAsia="宋体" w:hint="default"/>
                <w:sz w:val="18"/>
                <w:szCs w:val="18"/>
              </w:rPr>
              <w:t>承销商民生证券有</w:t>
            </w:r>
            <w:r>
              <w:rPr>
                <w:rFonts w:ascii="宋体" w:hAnsi="宋体" w:cs="宋体" w:eastAsia="宋体" w:hint="default"/>
                <w:sz w:val="18"/>
                <w:szCs w:val="18"/>
              </w:rPr>
              <w:t> 限责任公司采用网下询价配售与网上资金申购定价发行相结合的方式发行人民币普通股（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 </w:t>
            </w:r>
            <w:r>
              <w:rPr>
                <w:rFonts w:ascii="Times New Roman" w:hAnsi="Times New Roman" w:cs="Times New Roman" w:eastAsia="Times New Roman" w:hint="default"/>
                <w:sz w:val="18"/>
                <w:szCs w:val="18"/>
              </w:rPr>
              <w:t>24,280,000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股，发行价 格为每股 </w:t>
            </w:r>
            <w:r>
              <w:rPr>
                <w:rFonts w:ascii="Times New Roman" w:hAnsi="Times New Roman" w:cs="Times New Roman" w:eastAsia="Times New Roman" w:hint="default"/>
                <w:sz w:val="18"/>
                <w:szCs w:val="18"/>
              </w:rPr>
              <w:t>18.50  </w:t>
            </w:r>
            <w:r>
              <w:rPr>
                <w:rFonts w:ascii="宋体" w:hAnsi="宋体" w:cs="宋体" w:eastAsia="宋体" w:hint="default"/>
                <w:sz w:val="18"/>
                <w:szCs w:val="18"/>
              </w:rPr>
              <w:t>元。本次发行募集资金总额 </w:t>
            </w:r>
            <w:r>
              <w:rPr>
                <w:rFonts w:ascii="Times New Roman" w:hAnsi="Times New Roman" w:cs="Times New Roman" w:eastAsia="Times New Roman" w:hint="default"/>
                <w:sz w:val="18"/>
                <w:szCs w:val="18"/>
              </w:rPr>
              <w:t>44,918.00  </w:t>
            </w:r>
            <w:r>
              <w:rPr>
                <w:rFonts w:ascii="宋体" w:hAnsi="宋体" w:cs="宋体" w:eastAsia="宋体" w:hint="default"/>
                <w:sz w:val="18"/>
                <w:szCs w:val="18"/>
              </w:rPr>
              <w:t>万元，减除发行费用人民币 </w:t>
            </w:r>
            <w:r>
              <w:rPr>
                <w:rFonts w:ascii="Times New Roman" w:hAnsi="Times New Roman" w:cs="Times New Roman" w:eastAsia="Times New Roman" w:hint="default"/>
                <w:sz w:val="18"/>
                <w:szCs w:val="18"/>
              </w:rPr>
              <w:t>3,499.45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万元后，公司募集资金净额</w:t>
            </w:r>
          </w:p>
          <w:p>
            <w:pPr>
              <w:pStyle w:val="TableParagraph"/>
              <w:spacing w:line="300" w:lineRule="auto" w:before="13"/>
              <w:ind w:left="24" w:right="14"/>
              <w:jc w:val="both"/>
              <w:rPr>
                <w:rFonts w:ascii="宋体" w:hAnsi="宋体" w:cs="宋体" w:eastAsia="宋体" w:hint="default"/>
                <w:sz w:val="18"/>
                <w:szCs w:val="18"/>
              </w:rPr>
            </w:pPr>
            <w:r>
              <w:rPr>
                <w:rFonts w:ascii="宋体" w:hAnsi="宋体" w:cs="宋体" w:eastAsia="宋体" w:hint="default"/>
                <w:sz w:val="18"/>
                <w:szCs w:val="18"/>
              </w:rPr>
              <w:t>为人民币 </w:t>
            </w:r>
            <w:r>
              <w:rPr>
                <w:rFonts w:ascii="Times New Roman" w:hAnsi="Times New Roman" w:cs="Times New Roman" w:eastAsia="Times New Roman" w:hint="default"/>
                <w:sz w:val="18"/>
                <w:szCs w:val="18"/>
              </w:rPr>
              <w:t>41,418.55 </w:t>
            </w:r>
            <w:r>
              <w:rPr>
                <w:rFonts w:ascii="宋体" w:hAnsi="宋体" w:cs="宋体" w:eastAsia="宋体" w:hint="default"/>
                <w:sz w:val="18"/>
                <w:szCs w:val="18"/>
              </w:rPr>
              <w:t>万元。上述资金到位情况经深圳市鹏城会计师事务所有限公司于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出</w:t>
            </w:r>
            <w:r>
              <w:rPr>
                <w:rFonts w:ascii="宋体" w:hAnsi="宋体" w:cs="宋体" w:eastAsia="宋体" w:hint="default"/>
                <w:spacing w:val="-32"/>
                <w:sz w:val="18"/>
                <w:szCs w:val="18"/>
              </w:rPr>
              <w:t> </w:t>
            </w:r>
            <w:r>
              <w:rPr>
                <w:rFonts w:ascii="宋体" w:hAnsi="宋体" w:cs="宋体" w:eastAsia="宋体" w:hint="default"/>
                <w:sz w:val="18"/>
                <w:szCs w:val="18"/>
              </w:rPr>
              <w:t>具的深鹏所验</w:t>
            </w:r>
            <w:r>
              <w:rPr>
                <w:rFonts w:ascii="宋体" w:hAnsi="宋体" w:cs="宋体" w:eastAsia="宋体" w:hint="default"/>
                <w:sz w:val="18"/>
                <w:szCs w:val="18"/>
              </w:rPr>
              <w:t> 字</w:t>
            </w:r>
            <w:r>
              <w:rPr>
                <w:rFonts w:ascii="Times New Roman" w:hAnsi="Times New Roman" w:cs="Times New Roman" w:eastAsia="Times New Roman" w:hint="default"/>
                <w:sz w:val="18"/>
                <w:szCs w:val="18"/>
              </w:rPr>
              <w:t>[2012]0051 </w:t>
            </w:r>
            <w:r>
              <w:rPr>
                <w:rFonts w:ascii="宋体" w:hAnsi="宋体" w:cs="宋体" w:eastAsia="宋体" w:hint="default"/>
                <w:sz w:val="18"/>
                <w:szCs w:val="18"/>
              </w:rPr>
              <w:t>号验资报告验证确认。根据公司的招股说明书，公司将运用本次募集资金投资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惠州茂硕能源</w:t>
            </w:r>
            <w:r>
              <w:rPr>
                <w:rFonts w:ascii="宋体" w:hAnsi="宋体" w:cs="宋体" w:eastAsia="宋体" w:hint="default"/>
                <w:spacing w:val="-4"/>
                <w:sz w:val="18"/>
                <w:szCs w:val="18"/>
              </w:rPr>
              <w:t> </w:t>
            </w:r>
            <w:r>
              <w:rPr>
                <w:rFonts w:ascii="宋体" w:hAnsi="宋体" w:cs="宋体" w:eastAsia="宋体" w:hint="default"/>
                <w:sz w:val="18"/>
                <w:szCs w:val="18"/>
              </w:rPr>
              <w:t>科技有限公司</w:t>
            </w:r>
            <w:r>
              <w:rPr>
                <w:rFonts w:ascii="宋体" w:hAnsi="宋体" w:cs="宋体" w:eastAsia="宋体" w:hint="default"/>
                <w:sz w:val="18"/>
                <w:szCs w:val="18"/>
              </w:rPr>
              <w:t> </w:t>
            </w:r>
            <w:r>
              <w:rPr>
                <w:rFonts w:ascii="宋体" w:hAnsi="宋体" w:cs="宋体" w:eastAsia="宋体" w:hint="default"/>
                <w:spacing w:val="-4"/>
                <w:w w:val="100"/>
                <w:sz w:val="18"/>
                <w:szCs w:val="18"/>
              </w:rPr>
              <w:t>电源驱动生产项目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惠州茂硕能源科技有限公司研发中心建设项目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惠州茂硕能源科技有限公司信息化</w:t>
            </w:r>
            <w:r>
              <w:rPr>
                <w:rFonts w:ascii="宋体" w:hAnsi="宋体" w:cs="宋体" w:eastAsia="宋体" w:hint="default"/>
                <w:spacing w:val="29"/>
                <w:w w:val="100"/>
                <w:sz w:val="18"/>
                <w:szCs w:val="18"/>
              </w:rPr>
              <w:t> </w:t>
            </w:r>
            <w:r>
              <w:rPr>
                <w:rFonts w:ascii="宋体" w:hAnsi="宋体" w:cs="宋体" w:eastAsia="宋体" w:hint="default"/>
                <w:w w:val="100"/>
                <w:sz w:val="18"/>
                <w:szCs w:val="18"/>
              </w:rPr>
              <w:t>系统建设项目</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40"/>
                <w:w w:val="100"/>
                <w:sz w:val="18"/>
                <w:szCs w:val="18"/>
              </w:rPr>
              <w:t> </w:t>
            </w:r>
            <w:r>
              <w:rPr>
                <w:rFonts w:ascii="宋体" w:hAnsi="宋体" w:cs="宋体" w:eastAsia="宋体" w:hint="default"/>
                <w:sz w:val="18"/>
                <w:szCs w:val="18"/>
              </w:rPr>
              <w:t>三个项目，计划使用募集资金 </w:t>
            </w:r>
            <w:r>
              <w:rPr>
                <w:rFonts w:ascii="Times New Roman" w:hAnsi="Times New Roman" w:cs="Times New Roman" w:eastAsia="Times New Roman" w:hint="default"/>
                <w:sz w:val="18"/>
                <w:szCs w:val="18"/>
              </w:rPr>
              <w:t>27,317.00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万元；扣除上述募投项目资金需求总额外，公司此次超额募集资金</w:t>
            </w:r>
          </w:p>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净额部分为 </w:t>
            </w:r>
            <w:r>
              <w:rPr>
                <w:rFonts w:ascii="Times New Roman" w:hAnsi="Times New Roman" w:cs="Times New Roman" w:eastAsia="Times New Roman" w:hint="default"/>
                <w:sz w:val="18"/>
                <w:szCs w:val="18"/>
              </w:rPr>
              <w:t>14,101.55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p>
            <w:pPr>
              <w:pStyle w:val="TableParagraph"/>
              <w:spacing w:line="240" w:lineRule="auto" w:before="103"/>
              <w:ind w:left="475" w:right="0"/>
              <w:jc w:val="left"/>
              <w:rPr>
                <w:rFonts w:ascii="宋体" w:hAnsi="宋体" w:cs="宋体" w:eastAsia="宋体" w:hint="default"/>
                <w:sz w:val="18"/>
                <w:szCs w:val="18"/>
              </w:rPr>
            </w:pPr>
            <w:r>
              <w:rPr>
                <w:rFonts w:ascii="宋体" w:hAnsi="宋体" w:cs="宋体" w:eastAsia="宋体" w:hint="default"/>
                <w:sz w:val="18"/>
                <w:szCs w:val="18"/>
              </w:rPr>
              <w:t>（二）发行股票购买资产（湖南方正达）项目</w:t>
            </w:r>
          </w:p>
          <w:p>
            <w:pPr>
              <w:pStyle w:val="TableParagraph"/>
              <w:spacing w:line="300" w:lineRule="auto" w:before="115"/>
              <w:ind w:left="24" w:right="-14" w:firstLine="542"/>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[2015]233</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号文件《关于核准茂硕电源科技股份有限公司向方笑求等发行股份 购买资产并募集配套资金的批复》核准：公司向方笑求发行 </w:t>
            </w:r>
            <w:r>
              <w:rPr>
                <w:rFonts w:ascii="Times New Roman" w:hAnsi="Times New Roman" w:cs="Times New Roman" w:eastAsia="Times New Roman" w:hint="default"/>
                <w:sz w:val="18"/>
                <w:szCs w:val="18"/>
              </w:rPr>
              <w:t>935  </w:t>
            </w:r>
            <w:r>
              <w:rPr>
                <w:rFonts w:ascii="宋体" w:hAnsi="宋体" w:cs="宋体" w:eastAsia="宋体" w:hint="default"/>
                <w:sz w:val="18"/>
                <w:szCs w:val="18"/>
              </w:rPr>
              <w:t>万股股份、向蓝顺明发行 </w:t>
            </w:r>
            <w:r>
              <w:rPr>
                <w:rFonts w:ascii="Times New Roman" w:hAnsi="Times New Roman" w:cs="Times New Roman" w:eastAsia="Times New Roman" w:hint="default"/>
                <w:sz w:val="18"/>
                <w:szCs w:val="18"/>
              </w:rPr>
              <w:t>935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万股股份购买相关资产；</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公司非公开发行不超过 </w:t>
            </w:r>
            <w:r>
              <w:rPr>
                <w:rFonts w:ascii="Times New Roman" w:hAnsi="Times New Roman" w:cs="Times New Roman" w:eastAsia="Times New Roman" w:hint="default"/>
                <w:sz w:val="18"/>
                <w:szCs w:val="18"/>
              </w:rPr>
              <w:t>623.33  </w:t>
            </w:r>
            <w:r>
              <w:rPr>
                <w:rFonts w:ascii="宋体" w:hAnsi="宋体" w:cs="宋体" w:eastAsia="宋体" w:hint="default"/>
                <w:sz w:val="18"/>
                <w:szCs w:val="18"/>
              </w:rPr>
              <w:t>万股新股募集本次发行股份购买资产的配套资金。公司非公开发行股份 </w:t>
            </w:r>
            <w:r>
              <w:rPr>
                <w:rFonts w:ascii="Times New Roman" w:hAnsi="Times New Roman" w:cs="Times New Roman" w:eastAsia="Times New Roman" w:hint="default"/>
                <w:sz w:val="18"/>
                <w:szCs w:val="18"/>
              </w:rPr>
              <w:t>623.33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万股，由</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自然人宗佩民、曹国熊各认购 </w:t>
            </w:r>
            <w:r>
              <w:rPr>
                <w:rFonts w:ascii="Times New Roman" w:hAnsi="Times New Roman" w:cs="Times New Roman" w:eastAsia="Times New Roman" w:hint="default"/>
                <w:sz w:val="18"/>
                <w:szCs w:val="18"/>
              </w:rPr>
              <w:t>311.665 </w:t>
            </w:r>
            <w:r>
              <w:rPr>
                <w:rFonts w:ascii="宋体" w:hAnsi="宋体" w:cs="宋体" w:eastAsia="宋体" w:hint="default"/>
                <w:sz w:val="18"/>
                <w:szCs w:val="18"/>
              </w:rPr>
              <w:t>万股，每股面值人民币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元，每股价格人民币 </w:t>
            </w:r>
            <w:r>
              <w:rPr>
                <w:rFonts w:ascii="Times New Roman" w:hAnsi="Times New Roman" w:cs="Times New Roman" w:eastAsia="Times New Roman" w:hint="default"/>
                <w:sz w:val="18"/>
                <w:szCs w:val="18"/>
              </w:rPr>
              <w:t>8.64 </w:t>
            </w:r>
            <w:r>
              <w:rPr>
                <w:rFonts w:ascii="宋体" w:hAnsi="宋体" w:cs="宋体" w:eastAsia="宋体" w:hint="default"/>
                <w:spacing w:val="-3"/>
                <w:sz w:val="18"/>
                <w:szCs w:val="18"/>
              </w:rPr>
              <w:t>元，总价值人民币</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5,385.5712</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万元，扣除发生的券商承销佣金 </w:t>
            </w:r>
            <w:r>
              <w:rPr>
                <w:rFonts w:ascii="Times New Roman" w:hAnsi="Times New Roman" w:cs="Times New Roman" w:eastAsia="Times New Roman" w:hint="default"/>
                <w:sz w:val="18"/>
                <w:szCs w:val="18"/>
              </w:rPr>
              <w:t>438  </w:t>
            </w:r>
            <w:r>
              <w:rPr>
                <w:rFonts w:ascii="宋体" w:hAnsi="宋体" w:cs="宋体" w:eastAsia="宋体" w:hint="default"/>
                <w:sz w:val="18"/>
                <w:szCs w:val="18"/>
              </w:rPr>
              <w:t>万元，实际净筹得募集资金人民币 </w:t>
            </w:r>
            <w:r>
              <w:rPr>
                <w:rFonts w:ascii="Times New Roman" w:hAnsi="Times New Roman" w:cs="Times New Roman" w:eastAsia="Times New Roman" w:hint="default"/>
                <w:sz w:val="18"/>
                <w:szCs w:val="18"/>
              </w:rPr>
              <w:t>4,947.5712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万元。经瑞华会计师事务所（特殊普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通合伙）于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日出具的瑞华验字</w:t>
            </w:r>
            <w:r>
              <w:rPr>
                <w:rFonts w:ascii="Times New Roman" w:hAnsi="Times New Roman" w:cs="Times New Roman" w:eastAsia="Times New Roman" w:hint="default"/>
                <w:sz w:val="18"/>
                <w:szCs w:val="18"/>
              </w:rPr>
              <w:t>[2015]48060005  </w:t>
            </w:r>
            <w:r>
              <w:rPr>
                <w:rFonts w:ascii="宋体" w:hAnsi="宋体" w:cs="宋体" w:eastAsia="宋体" w:hint="default"/>
                <w:sz w:val="18"/>
                <w:szCs w:val="18"/>
              </w:rPr>
              <w:t>号验资报告验证，上述募集资金 </w:t>
            </w:r>
            <w:r>
              <w:rPr>
                <w:rFonts w:ascii="Times New Roman" w:hAnsi="Times New Roman" w:cs="Times New Roman" w:eastAsia="Times New Roman" w:hint="default"/>
                <w:sz w:val="18"/>
                <w:szCs w:val="18"/>
              </w:rPr>
              <w:t>4,497.5712</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万元（扣除</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支付西南证券股份有限公司财务顾问费 </w:t>
            </w:r>
            <w:r>
              <w:rPr>
                <w:rFonts w:ascii="Times New Roman" w:hAnsi="Times New Roman" w:cs="Times New Roman" w:eastAsia="Times New Roman" w:hint="default"/>
                <w:sz w:val="18"/>
                <w:szCs w:val="18"/>
              </w:rPr>
              <w:t>450  </w:t>
            </w:r>
            <w:r>
              <w:rPr>
                <w:rFonts w:ascii="宋体" w:hAnsi="宋体" w:cs="宋体" w:eastAsia="宋体" w:hint="default"/>
                <w:sz w:val="18"/>
                <w:szCs w:val="18"/>
              </w:rPr>
              <w:t>万元）已于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日汇入公司华夏银行深圳高新支行的账户</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10860000000309257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内。</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26,065.68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4,290.24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2"/>
        <w:gridCol w:w="786"/>
        <w:gridCol w:w="780"/>
        <w:gridCol w:w="780"/>
        <w:gridCol w:w="780"/>
        <w:gridCol w:w="786"/>
        <w:gridCol w:w="768"/>
        <w:gridCol w:w="793"/>
        <w:gridCol w:w="774"/>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pacing w:val="-9"/>
                <w:sz w:val="18"/>
                <w:szCs w:val="18"/>
              </w:rPr>
              <w:t>重大资产重组（湖南方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正达）项目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4,497.57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4,497.57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4,497.57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123.9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33,001.36</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4,414.14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3"/>
              <w:ind w:left="-128" w:right="3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7"/>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10,528.13</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15,528.13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15,528.13</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896.73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48,529.49</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4,414.14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2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、惠州茂硕能源科技有限公司电源驱动生产项目：工厂落成投产，产能已经逐步释放，但是由于行</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业竞争加剧，盈利能力未达到预期。</w:t>
            </w:r>
          </w:p>
          <w:p>
            <w:pPr>
              <w:pStyle w:val="TableParagraph"/>
              <w:spacing w:line="240" w:lineRule="auto" w:before="7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、惠州茂硕能源科技有限公司研发中心建设项目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TableParagraph"/>
              <w:spacing w:line="240" w:lineRule="auto" w:before="14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、惠州茂硕能源科技有限公司信息化系统建设项目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22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8"/>
              <w:jc w:val="both"/>
              <w:rPr>
                <w:rFonts w:ascii="宋体" w:hAnsi="宋体" w:cs="宋体" w:eastAsia="宋体" w:hint="default"/>
                <w:sz w:val="18"/>
                <w:szCs w:val="18"/>
              </w:rPr>
            </w:pPr>
            <w:r>
              <w:rPr>
                <w:rFonts w:ascii="宋体" w:hAnsi="宋体" w:cs="宋体" w:eastAsia="宋体" w:hint="default"/>
                <w:sz w:val="18"/>
                <w:szCs w:val="18"/>
              </w:rPr>
              <w:t>超额募集资金部分为</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14,101.55</w:t>
            </w:r>
            <w:r>
              <w:rPr>
                <w:rFonts w:ascii="Times New Roman" w:hAnsi="Times New Roman" w:cs="Times New Roman" w:eastAsia="Times New Roman" w:hint="default"/>
                <w:spacing w:val="-11"/>
                <w:sz w:val="18"/>
                <w:szCs w:val="18"/>
              </w:rPr>
              <w:t> </w:t>
            </w:r>
            <w:r>
              <w:rPr>
                <w:rFonts w:ascii="宋体" w:hAnsi="宋体" w:cs="宋体" w:eastAsia="宋体" w:hint="default"/>
                <w:spacing w:val="-14"/>
                <w:sz w:val="18"/>
                <w:szCs w:val="18"/>
              </w:rPr>
              <w:t>万元：</w:t>
            </w:r>
            <w:r>
              <w:rPr>
                <w:rFonts w:ascii="Times New Roman" w:hAnsi="Times New Roman" w:cs="Times New Roman" w:eastAsia="Times New Roman" w:hint="default"/>
                <w:spacing w:val="-14"/>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年度永久性补充流动资金</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万元和归还银行贷款</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年度永久性补充流动资金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年度永久性补充流动资金</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4,112.96</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1582.65 </w:t>
            </w:r>
            <w:r>
              <w:rPr>
                <w:rFonts w:ascii="宋体" w:hAnsi="宋体" w:cs="宋体" w:eastAsia="宋体" w:hint="default"/>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w:t>
            </w:r>
            <w:r>
              <w:rPr>
                <w:rFonts w:ascii="宋体" w:hAnsi="宋体" w:cs="宋体" w:eastAsia="宋体" w:hint="default"/>
                <w:sz w:val="18"/>
                <w:szCs w:val="18"/>
              </w:rPr>
            </w:r>
          </w:p>
        </w:tc>
      </w:tr>
      <w:tr>
        <w:trPr>
          <w:trHeight w:val="36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8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、惠州茂硕能源科技有限公司电源驱动生产项目：</w:t>
            </w:r>
          </w:p>
          <w:p>
            <w:pPr>
              <w:pStyle w:val="TableParagraph"/>
              <w:spacing w:line="307" w:lineRule="auto" w:before="101"/>
              <w:ind w:left="16" w:right="-2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[2012]0478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专项鉴证报告确认。经公司董事 会审议通过，保荐机构发表明确同意意见后，公司以募集资金置换预先已投入募集资金投资项目的 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、惠州茂硕能源科技有限公司研发中心建设项目：</w:t>
            </w:r>
          </w:p>
          <w:p>
            <w:pPr>
              <w:pStyle w:val="TableParagraph"/>
              <w:spacing w:line="307" w:lineRule="auto" w:before="103"/>
              <w:ind w:left="16" w:right="-2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[2012]0478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专项鉴证报告确认。经公司董事 会审议通过，保荐机构发表明确同意意见后，公司以募集资金置换预先已投入募集资金投资项目的 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45"/>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、重大资产重组（湖南方正达）项目</w:t>
            </w:r>
            <w:r>
              <w:rPr>
                <w:rFonts w:ascii="Times New Roman" w:hAnsi="Times New Roman" w:cs="Times New Roman" w:eastAsia="Times New Roman" w:hint="default"/>
                <w:sz w:val="18"/>
                <w:szCs w:val="18"/>
              </w:rPr>
              <w:t>:</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169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8"/>
              <w:ind w:left="24" w:right="-2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日，公司以自筹资金预先投入募集资金投资项目的实际投资额为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经瑞华会计师事务所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瑞华专审字【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48060007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确认。经公司董事会审议通 过，保荐机构发表明确同意意见后，公司以募集资金置换预先已投入募集资金投资项目的自筹资金</w:t>
            </w:r>
          </w:p>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498.42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89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惠州茂硕能 源科技有限 公司研发中 心建设项目</w:t>
            </w:r>
          </w:p>
          <w:p>
            <w:pPr>
              <w:pStyle w:val="TableParagraph"/>
              <w:spacing w:line="314" w:lineRule="auto" w:before="1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 能源科技有 限公司信息 化系统建设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020"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惠州茂硕能源科技有限公司研发中心建设项目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鉴于</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周期时间长，受宏观经济政策、相关行业环境的影响，在产 品技术更新换代升级加快的情况下，公司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年根据市场发展、技术制订的研发产</w:t>
            </w: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pacing w:val="-1"/>
                <w:sz w:val="18"/>
                <w:szCs w:val="18"/>
              </w:rPr>
              <w:t>品路线已不适用于公司目前发展需求，公司结合当前市场、技术重新制订新的产品线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研发规划，并进行研发产品结构性调整，原建设的研发中心设备、系统不能满足新的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研发规划需求，原研发中心项目不再增加投入，已投入资金继续用于公司原有产品线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的持续开发。</w:t>
            </w:r>
          </w:p>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惠州茂硕能源科技有限公司信息化系统建设项目</w:t>
            </w:r>
            <w:r>
              <w:rPr>
                <w:rFonts w:ascii="Times New Roman" w:hAnsi="Times New Roman" w:cs="Times New Roman" w:eastAsia="Times New Roman" w:hint="default"/>
                <w:sz w:val="18"/>
                <w:szCs w:val="18"/>
              </w:rPr>
              <w:t>:</w:t>
            </w: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信息化系统建设项目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中的</w:t>
            </w:r>
            <w:r>
              <w:rPr>
                <w:rFonts w:ascii="宋体" w:hAnsi="宋体" w:cs="宋体" w:eastAsia="宋体" w:hint="default"/>
                <w:spacing w:val="2"/>
                <w:sz w:val="18"/>
                <w:szCs w:val="18"/>
              </w:rPr>
              <w:t>企</w:t>
            </w:r>
            <w:r>
              <w:rPr>
                <w:rFonts w:ascii="宋体" w:hAnsi="宋体" w:cs="宋体" w:eastAsia="宋体" w:hint="default"/>
                <w:sz w:val="18"/>
                <w:szCs w:val="18"/>
              </w:rPr>
              <w:t>业资源管理系统（</w:t>
            </w:r>
            <w:r>
              <w:rPr>
                <w:rFonts w:ascii="Times New Roman" w:hAnsi="Times New Roman" w:cs="Times New Roman" w:eastAsia="Times New Roman" w:hint="default"/>
                <w:sz w:val="18"/>
                <w:szCs w:val="18"/>
              </w:rPr>
              <w:t>ER</w:t>
            </w:r>
            <w:r>
              <w:rPr>
                <w:rFonts w:ascii="Times New Roman" w:hAnsi="Times New Roman" w:cs="Times New Roman" w:eastAsia="Times New Roman" w:hint="default"/>
                <w:spacing w:val="3"/>
                <w:sz w:val="18"/>
                <w:szCs w:val="18"/>
              </w:rPr>
              <w:t>P</w:t>
            </w:r>
            <w:r>
              <w:rPr>
                <w:rFonts w:ascii="宋体" w:hAnsi="宋体" w:cs="宋体" w:eastAsia="宋体" w:hint="default"/>
                <w:spacing w:val="-92"/>
                <w:sz w:val="18"/>
                <w:szCs w:val="18"/>
              </w:rPr>
              <w:t>）</w:t>
            </w:r>
            <w:r>
              <w:rPr>
                <w:rFonts w:ascii="宋体" w:hAnsi="宋体" w:cs="宋体" w:eastAsia="宋体" w:hint="default"/>
                <w:sz w:val="18"/>
                <w:szCs w:val="18"/>
              </w:rPr>
              <w:t>，生</w:t>
            </w:r>
            <w:r>
              <w:rPr>
                <w:rFonts w:ascii="宋体" w:hAnsi="宋体" w:cs="宋体" w:eastAsia="宋体" w:hint="default"/>
                <w:spacing w:val="-3"/>
                <w:sz w:val="18"/>
                <w:szCs w:val="18"/>
              </w:rPr>
              <w:t>产</w:t>
            </w:r>
            <w:r>
              <w:rPr>
                <w:rFonts w:ascii="宋体" w:hAnsi="宋体" w:cs="宋体" w:eastAsia="宋体" w:hint="default"/>
                <w:sz w:val="18"/>
                <w:szCs w:val="18"/>
              </w:rPr>
              <w:t>制造执行系统（</w:t>
            </w:r>
            <w:r>
              <w:rPr>
                <w:rFonts w:ascii="Times New Roman" w:hAnsi="Times New Roman" w:cs="Times New Roman" w:eastAsia="Times New Roman" w:hint="default"/>
                <w:w w:val="99"/>
                <w:sz w:val="18"/>
                <w:szCs w:val="18"/>
              </w:rPr>
              <w:t>ME</w:t>
            </w:r>
            <w:r>
              <w:rPr>
                <w:rFonts w:ascii="Times New Roman" w:hAnsi="Times New Roman" w:cs="Times New Roman" w:eastAsia="Times New Roman" w:hint="default"/>
                <w:spacing w:val="1"/>
                <w:w w:val="99"/>
                <w:sz w:val="18"/>
                <w:szCs w:val="18"/>
              </w:rPr>
              <w:t>S</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299"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both"/>
              <w:rPr>
                <w:rFonts w:ascii="宋体" w:hAnsi="宋体" w:cs="宋体" w:eastAsia="宋体" w:hint="default"/>
                <w:sz w:val="18"/>
                <w:szCs w:val="18"/>
              </w:rPr>
            </w:pPr>
            <w:r>
              <w:rPr>
                <w:rFonts w:ascii="宋体" w:hAnsi="宋体" w:cs="宋体" w:eastAsia="宋体" w:hint="default"/>
                <w:spacing w:val="-3"/>
                <w:sz w:val="18"/>
                <w:szCs w:val="18"/>
              </w:rPr>
              <w:t>协同办公系统（</w:t>
            </w:r>
            <w:r>
              <w:rPr>
                <w:rFonts w:ascii="Times New Roman" w:hAnsi="Times New Roman" w:cs="Times New Roman" w:eastAsia="Times New Roman" w:hint="default"/>
                <w:spacing w:val="-3"/>
                <w:sz w:val="18"/>
                <w:szCs w:val="18"/>
              </w:rPr>
              <w:t>OA</w:t>
            </w:r>
            <w:r>
              <w:rPr>
                <w:rFonts w:ascii="宋体" w:hAnsi="宋体" w:cs="宋体" w:eastAsia="宋体" w:hint="default"/>
                <w:spacing w:val="-3"/>
                <w:sz w:val="18"/>
                <w:szCs w:val="18"/>
              </w:rPr>
              <w:t>）等主要系统已经投入运行，能够为公司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电源驱动生产项目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提供</w:t>
            </w:r>
            <w:r>
              <w:rPr>
                <w:rFonts w:ascii="宋体" w:hAnsi="宋体" w:cs="宋体" w:eastAsia="宋体" w:hint="default"/>
                <w:spacing w:val="-53"/>
                <w:sz w:val="18"/>
                <w:szCs w:val="18"/>
              </w:rPr>
              <w:t> </w:t>
            </w:r>
            <w:r>
              <w:rPr>
                <w:rFonts w:ascii="宋体" w:hAnsi="宋体" w:cs="宋体" w:eastAsia="宋体" w:hint="default"/>
                <w:spacing w:val="-1"/>
                <w:sz w:val="18"/>
                <w:szCs w:val="18"/>
              </w:rPr>
              <w:t>更准确的系统数据，可以满足惠州茂硕能源科技有限公司智能制造、智慧工厂信息的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需求，已经达成工厂智能自动化目标；在未来的项目建设、完善、升级不需要再专项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投入，只需要维护升级，所以公司决定终止此项目。</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深圳茂硕电 子科技有限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计算机软件 开发、系统 集成、技术 服务和销 售；经营进 出口业务</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（法律、行 政法规、</w:t>
            </w:r>
            <w:r>
              <w:rPr>
                <w:rFonts w:ascii="宋体" w:hAnsi="宋体" w:cs="宋体" w:eastAsia="宋体" w:hint="default"/>
                <w:spacing w:val="1"/>
                <w:sz w:val="18"/>
                <w:szCs w:val="18"/>
              </w:rPr>
              <w:t> </w:t>
            </w:r>
            <w:r>
              <w:rPr>
                <w:rFonts w:ascii="宋体" w:hAnsi="宋体" w:cs="宋体" w:eastAsia="宋体" w:hint="default"/>
                <w:sz w:val="18"/>
                <w:szCs w:val="18"/>
              </w:rPr>
              <w:t>国</w:t>
            </w:r>
            <w:r>
              <w:rPr>
                <w:rFonts w:ascii="宋体" w:hAnsi="宋体" w:cs="宋体" w:eastAsia="宋体" w:hint="default"/>
                <w:sz w:val="18"/>
                <w:szCs w:val="18"/>
              </w:rPr>
              <w:t> 务院决定禁 止的项目除 外，限制的 项目须取得 许可后方可 </w:t>
            </w:r>
            <w:r>
              <w:rPr>
                <w:rFonts w:ascii="宋体" w:hAnsi="宋体" w:cs="宋体" w:eastAsia="宋体" w:hint="default"/>
                <w:spacing w:val="-16"/>
                <w:sz w:val="18"/>
                <w:szCs w:val="18"/>
              </w:rPr>
              <w:t>经营）。开关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电源、变压 器、电感的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408,174,991.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60,362,737.7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415,204,575.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5,113,152.93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7,850,329.71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121.819984pt;width:102.9pt;height:117pt;mso-position-horizontal-relative:page;mso-position-vertical-relative:page;z-index:-1243216" type="#_x0000_t202" filled="false" stroked="false">
            <v:textbox inset="0,0,0,0">
              <w:txbxContent>
                <w:p>
                  <w:pPr>
                    <w:pStyle w:val="BodyText"/>
                    <w:spacing w:line="240" w:lineRule="auto" w:before="49"/>
                    <w:ind w:left="0" w:right="0"/>
                    <w:jc w:val="left"/>
                  </w:pPr>
                  <w:r>
                    <w:rPr/>
                    <w:t>生产、销售：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98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设计、技术 开发、生产 和销售。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惠州茂硕能 源科技有限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大功率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路灯电源、 隧道灯电 源、汽车充 电器、光伏 并网逆变 器、开关电 源、变压器 电子元器 件、五金塑 胶配件；货 物进出口</w:t>
            </w:r>
          </w:p>
          <w:p>
            <w:pPr>
              <w:pStyle w:val="TableParagraph"/>
              <w:spacing w:line="316" w:lineRule="auto" w:before="19"/>
              <w:ind w:left="24" w:right="20"/>
              <w:jc w:val="both"/>
              <w:rPr>
                <w:rFonts w:ascii="宋体" w:hAnsi="宋体" w:cs="宋体" w:eastAsia="宋体" w:hint="default"/>
                <w:sz w:val="18"/>
                <w:szCs w:val="18"/>
              </w:rPr>
            </w:pPr>
            <w:r>
              <w:rPr>
                <w:rFonts w:ascii="宋体" w:hAnsi="宋体" w:cs="宋体" w:eastAsia="宋体" w:hint="default"/>
                <w:sz w:val="18"/>
                <w:szCs w:val="18"/>
              </w:rPr>
              <w:t>（法律、行 政法规禁止 的、限制的 </w:t>
            </w:r>
            <w:r>
              <w:rPr>
                <w:rFonts w:ascii="宋体" w:hAnsi="宋体" w:cs="宋体" w:eastAsia="宋体" w:hint="default"/>
                <w:spacing w:val="-16"/>
                <w:sz w:val="18"/>
                <w:szCs w:val="18"/>
              </w:rPr>
              <w:t>项目除外）。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0" w:lineRule="exact" w:before="154"/>
              <w:ind w:left="23" w:right="0"/>
              <w:jc w:val="left"/>
              <w:rPr>
                <w:rFonts w:ascii="Times New Roman" w:hAnsi="Times New Roman" w:cs="Times New Roman" w:eastAsia="Times New Roman" w:hint="default"/>
                <w:sz w:val="18"/>
                <w:szCs w:val="18"/>
              </w:rPr>
            </w:pPr>
            <w:r>
              <w:rPr>
                <w:rFonts w:ascii="Times New Roman"/>
                <w:spacing w:val="-4"/>
                <w:sz w:val="18"/>
              </w:rPr>
              <w:t>111,111,111.</w:t>
            </w:r>
          </w:p>
          <w:p>
            <w:pPr>
              <w:pStyle w:val="TableParagraph"/>
              <w:spacing w:line="171"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9" w:lineRule="exact"/>
              <w:ind w:left="2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3055" w:lineRule="exact"/>
              <w:ind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0"/>
                <w:sz w:val="20"/>
                <w:szCs w:val="20"/>
              </w:rPr>
              <w:pict>
                <v:group style="width:51.85pt;height:152.8pt;mso-position-horizontal-relative:char;mso-position-vertical-relative:line" coordorigin="0,0" coordsize="1037,3056">
                  <v:group style="position:absolute;left:0;top:0;width:1037;height:2340" coordorigin="0,0" coordsize="1037,2340">
                    <v:shape style="position:absolute;left:0;top:0;width:1037;height:2340" coordorigin="0,0" coordsize="1037,2340" path="m0,2340l1037,2340,1037,0,0,0,0,2340xe" filled="true" fillcolor="#ffffff" stroked="false">
                      <v:path arrowok="t"/>
                      <v:fill type="solid"/>
                    </v:shape>
                  </v:group>
                  <v:group style="position:absolute;left:12;top:2340;width:2;height:704" coordorigin="12,2340" coordsize="2,704">
                    <v:shape style="position:absolute;left:12;top:2340;width:2;height:704" coordorigin="12,2340" coordsize="0,704" path="m12,2340l12,3044e" filled="false" stroked="true" strokeweight="1.2pt" strokecolor="#ffffff">
                      <v:path arrowok="t"/>
                    </v:shape>
                  </v:group>
                  <v:group style="position:absolute;left:24;top:2340;width:989;height:353" coordorigin="24,2340" coordsize="989,353">
                    <v:shape style="position:absolute;left:24;top:2340;width:989;height:353" coordorigin="24,2340" coordsize="989,353" path="m24,2693l1013,2693,1013,2340,24,2340,24,2693xe" filled="true" fillcolor="#ffffff" stroked="false">
                      <v:path arrowok="t"/>
                      <v:fill type="solid"/>
                    </v:shape>
                  </v:group>
                  <v:group style="position:absolute;left:24;top:2693;width:989;height:351" coordorigin="24,2693" coordsize="989,351">
                    <v:shape style="position:absolute;left:24;top:2693;width:989;height:351" coordorigin="24,2693" coordsize="989,351" path="m24,3044l1013,3044,1013,2693,24,2693,24,3044xe" filled="true" fillcolor="#ffffff" stroked="false">
                      <v:path arrowok="t"/>
                      <v:fill type="solid"/>
                    </v:shape>
                  </v:group>
                </v:group>
              </w:pict>
            </w:r>
            <w:r>
              <w:rPr>
                <w:rFonts w:ascii="Times New Roman" w:hAnsi="Times New Roman" w:cs="Times New Roman" w:eastAsia="Times New Roman" w:hint="default"/>
                <w:position w:val="-6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788,527,427.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322,263,387.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Times New Roman" w:hAnsi="Times New Roman" w:cs="Times New Roman" w:eastAsia="Times New Roman" w:hint="default"/>
                <w:sz w:val="18"/>
                <w:szCs w:val="18"/>
              </w:rPr>
            </w:pPr>
            <w:r>
              <w:rPr>
                <w:rFonts w:ascii="Times New Roman"/>
                <w:spacing w:val="-1"/>
                <w:sz w:val="18"/>
              </w:rPr>
              <w:t>699,826,736.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41,985,557.2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42,902,403.3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72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加码技术有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一般经营项 目是：新能 源技术开 发、技术咨 询、技术转 让；</w:t>
            </w:r>
            <w:r>
              <w:rPr>
                <w:rFonts w:ascii="Times New Roman" w:hAnsi="Times New Roman" w:cs="Times New Roman" w:eastAsia="Times New Roman" w:hint="default"/>
                <w:sz w:val="18"/>
                <w:szCs w:val="18"/>
              </w:rPr>
              <w:t>DC/DC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高效、高密 度模块电 源、医疗电 源、通信电 源、开关电 源、高频变 压器的研发 和销售；经 营进出口业 务（以上法 律、行政法 规、国务院 决定禁止的 项目除外， 限制的项目 须取得许可 后方可经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248,289,227.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47,592,598.7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421,797,435.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16,658,872.3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13,693,956.6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672.096008pt;width:102.9pt;height:84.85pt;mso-position-horizontal-relative:page;mso-position-vertical-relative:page;z-index:-1243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施工、监理。</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海宁茂硕诺 华能源有限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太阳能电站 信息咨询、 工程施工</w:t>
            </w:r>
          </w:p>
          <w:p>
            <w:pPr>
              <w:pStyle w:val="TableParagraph"/>
              <w:spacing w:line="316" w:lineRule="auto" w:before="19"/>
              <w:ind w:left="24" w:right="110"/>
              <w:jc w:val="both"/>
              <w:rPr>
                <w:rFonts w:ascii="宋体" w:hAnsi="宋体" w:cs="宋体" w:eastAsia="宋体" w:hint="default"/>
                <w:sz w:val="18"/>
                <w:szCs w:val="18"/>
              </w:rPr>
            </w:pPr>
            <w:r>
              <w:rPr>
                <w:rFonts w:ascii="宋体" w:hAnsi="宋体" w:cs="宋体" w:eastAsia="宋体" w:hint="default"/>
                <w:sz w:val="18"/>
                <w:szCs w:val="18"/>
              </w:rPr>
              <w:t>（涉及资质 的，凭有效 资质证书经 营）及实业 投资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60,303,241.5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34,237,803.1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12,985,867.5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2" w:right="0"/>
              <w:jc w:val="center"/>
              <w:rPr>
                <w:rFonts w:ascii="Times New Roman" w:hAnsi="Times New Roman" w:cs="Times New Roman" w:eastAsia="Times New Roman" w:hint="default"/>
                <w:sz w:val="18"/>
                <w:szCs w:val="18"/>
              </w:rPr>
            </w:pPr>
            <w:r>
              <w:rPr>
                <w:rFonts w:ascii="Times New Roman"/>
                <w:sz w:val="18"/>
              </w:rPr>
              <w:t>3,911,361.49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2" w:right="0"/>
              <w:jc w:val="center"/>
              <w:rPr>
                <w:rFonts w:ascii="Times New Roman" w:hAnsi="Times New Roman" w:cs="Times New Roman" w:eastAsia="Times New Roman" w:hint="default"/>
                <w:sz w:val="18"/>
                <w:szCs w:val="18"/>
              </w:rPr>
            </w:pPr>
            <w:r>
              <w:rPr>
                <w:rFonts w:ascii="Times New Roman"/>
                <w:sz w:val="18"/>
              </w:rPr>
              <w:t>3,532,002.01</w:t>
            </w:r>
          </w:p>
        </w:tc>
      </w:tr>
      <w:tr>
        <w:trPr>
          <w:trHeight w:val="664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新余茂硕新 能源科技有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电子电力 器材的销售</w:t>
            </w:r>
            <w:r>
              <w:rPr>
                <w:rFonts w:ascii="Times New Roman" w:hAnsi="Times New Roman" w:cs="Times New Roman" w:eastAsia="Times New Roman" w:hint="default"/>
                <w:sz w:val="18"/>
                <w:szCs w:val="18"/>
              </w:rPr>
              <w:t>; </w:t>
            </w:r>
            <w:r>
              <w:rPr>
                <w:rFonts w:ascii="宋体" w:hAnsi="宋体" w:cs="宋体" w:eastAsia="宋体" w:hint="default"/>
                <w:sz w:val="18"/>
                <w:szCs w:val="18"/>
              </w:rPr>
              <w:t>太阳能发电 和能源发电 系统的设 计、开发、 施工、监理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 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 相关部门批 准后</w:t>
            </w:r>
            <w:r>
              <w:rPr>
                <w:rFonts w:ascii="Times New Roman" w:hAnsi="Times New Roman" w:cs="Times New Roman" w:eastAsia="Times New Roman" w:hint="default"/>
                <w:sz w:val="18"/>
                <w:szCs w:val="18"/>
              </w:rPr>
              <w:t>,</w:t>
            </w:r>
            <w:r>
              <w:rPr>
                <w:rFonts w:ascii="宋体" w:hAnsi="宋体" w:cs="宋体" w:eastAsia="宋体" w:hint="default"/>
                <w:sz w:val="18"/>
                <w:szCs w:val="18"/>
              </w:rPr>
              <w:t>方可开 展经营活动</w:t>
            </w:r>
            <w:r>
              <w:rPr>
                <w:rFonts w:ascii="Times New Roman" w:hAnsi="Times New Roman" w:cs="Times New Roman" w:eastAsia="Times New Roman" w:hint="default"/>
                <w:sz w:val="18"/>
                <w:szCs w:val="18"/>
              </w:rPr>
              <w:t>, </w:t>
            </w:r>
            <w:r>
              <w:rPr>
                <w:rFonts w:ascii="宋体" w:hAnsi="宋体" w:cs="宋体" w:eastAsia="宋体" w:hint="default"/>
                <w:sz w:val="18"/>
                <w:szCs w:val="18"/>
              </w:rPr>
              <w:t>涉及资质证 的、凭资质 证经营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10,010,000.0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109,648,931.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-39,498,300.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12,646,983.4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45" w:right="0"/>
              <w:jc w:val="center"/>
              <w:rPr>
                <w:rFonts w:ascii="Times New Roman" w:hAnsi="Times New Roman" w:cs="Times New Roman" w:eastAsia="Times New Roman" w:hint="default"/>
                <w:sz w:val="18"/>
                <w:szCs w:val="18"/>
              </w:rPr>
            </w:pPr>
            <w:r>
              <w:rPr>
                <w:rFonts w:ascii="Times New Roman"/>
                <w:sz w:val="18"/>
              </w:rPr>
              <w:t>4,302,567.33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52" w:right="0"/>
              <w:jc w:val="center"/>
              <w:rPr>
                <w:rFonts w:ascii="Times New Roman" w:hAnsi="Times New Roman" w:cs="Times New Roman" w:eastAsia="Times New Roman" w:hint="default"/>
                <w:sz w:val="18"/>
                <w:szCs w:val="18"/>
              </w:rPr>
            </w:pPr>
            <w:r>
              <w:rPr>
                <w:rFonts w:ascii="Times New Roman"/>
                <w:sz w:val="18"/>
              </w:rPr>
              <w:t>3,961,269.89</w:t>
            </w:r>
          </w:p>
        </w:tc>
      </w:tr>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18"/>
              <w:jc w:val="both"/>
              <w:rPr>
                <w:rFonts w:ascii="宋体" w:hAnsi="宋体" w:cs="宋体" w:eastAsia="宋体" w:hint="default"/>
                <w:sz w:val="18"/>
                <w:szCs w:val="18"/>
              </w:rPr>
            </w:pPr>
            <w:r>
              <w:rPr>
                <w:rFonts w:ascii="宋体" w:hAnsi="宋体" w:cs="宋体" w:eastAsia="宋体" w:hint="default"/>
                <w:sz w:val="18"/>
                <w:szCs w:val="18"/>
              </w:rPr>
              <w:t>萍乡茂硕新 能源科技有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工业控制设 备、工业自 动化软件、 太阳能光伏 逆变器的技 术开发与销 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电子电力 器材的销售</w:t>
            </w:r>
            <w:r>
              <w:rPr>
                <w:rFonts w:ascii="Times New Roman" w:hAnsi="Times New Roman" w:cs="Times New Roman" w:eastAsia="Times New Roman" w:hint="default"/>
                <w:sz w:val="18"/>
                <w:szCs w:val="18"/>
              </w:rPr>
              <w:t>, </w:t>
            </w:r>
            <w:r>
              <w:rPr>
                <w:rFonts w:ascii="宋体" w:hAnsi="宋体" w:cs="宋体" w:eastAsia="宋体" w:hint="default"/>
                <w:sz w:val="18"/>
                <w:szCs w:val="18"/>
              </w:rPr>
              <w:t>太阳能发电 和能源发电 系统的设 计、开发、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169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51.85pt;height:84.85pt;mso-position-horizontal-relative:char;mso-position-vertical-relative:line" coordorigin="0,0" coordsize="1037,1697">
                  <v:group style="position:absolute;left:0;top:0;width:1037;height:1697" coordorigin="0,0" coordsize="1037,1697">
                    <v:shape style="position:absolute;left:0;top:0;width:1037;height:1697" coordorigin="0,0" coordsize="1037,1697" path="m0,1697l1037,1697,1037,0,0,0,0,1697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62,437,721.5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-26,767,894.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8,283,477.15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2,417,247.81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2,416,792.13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168.62999pt;width:102.9pt;height:171.65pt;mso-position-horizontal-relative:page;mso-position-vertical-relative:page;z-index:-1243120" type="#_x0000_t202" filled="false" stroked="false">
            <v:textbox inset="0,0,0,0">
              <w:txbxContent>
                <w:p>
                  <w:pPr>
                    <w:pStyle w:val="BodyText"/>
                    <w:spacing w:line="240" w:lineRule="auto" w:before="48"/>
                    <w:ind w:left="0" w:right="0"/>
                    <w:jc w:val="left"/>
                  </w:pPr>
                  <w:r>
                    <w:rPr/>
                    <w:t>研发、生产、</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w:t>
            </w:r>
            <w:r>
              <w:rPr>
                <w:rFonts w:ascii="宋体" w:hAnsi="宋体" w:cs="宋体" w:eastAsia="宋体" w:hint="default"/>
                <w:w w:val="99"/>
                <w:sz w:val="18"/>
                <w:szCs w:val="18"/>
              </w:rPr>
              <w:t> </w:t>
            </w:r>
            <w:r>
              <w:rPr>
                <w:rFonts w:ascii="宋体" w:hAnsi="宋体" w:cs="宋体" w:eastAsia="宋体" w:hint="default"/>
                <w:sz w:val="18"/>
                <w:szCs w:val="18"/>
              </w:rPr>
              <w:t>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w:t>
            </w:r>
            <w:r>
              <w:rPr>
                <w:rFonts w:ascii="宋体" w:hAnsi="宋体" w:cs="宋体" w:eastAsia="宋体" w:hint="default"/>
                <w:w w:val="99"/>
                <w:sz w:val="18"/>
                <w:szCs w:val="18"/>
              </w:rPr>
              <w:t> </w:t>
            </w:r>
            <w:r>
              <w:rPr>
                <w:rFonts w:ascii="宋体" w:hAnsi="宋体" w:cs="宋体" w:eastAsia="宋体" w:hint="default"/>
                <w:sz w:val="18"/>
                <w:szCs w:val="18"/>
              </w:rPr>
              <w:t>相关部门批</w:t>
            </w:r>
            <w:r>
              <w:rPr>
                <w:rFonts w:ascii="宋体" w:hAnsi="宋体" w:cs="宋体" w:eastAsia="宋体" w:hint="default"/>
                <w:w w:val="99"/>
                <w:sz w:val="18"/>
                <w:szCs w:val="18"/>
              </w:rPr>
              <w:t> </w:t>
            </w:r>
            <w:r>
              <w:rPr>
                <w:rFonts w:ascii="宋体" w:hAnsi="宋体" w:cs="宋体" w:eastAsia="宋体" w:hint="default"/>
                <w:sz w:val="18"/>
                <w:szCs w:val="18"/>
              </w:rPr>
              <w:t>准后方可开</w:t>
            </w:r>
            <w:r>
              <w:rPr>
                <w:rFonts w:ascii="宋体" w:hAnsi="宋体" w:cs="宋体" w:eastAsia="宋体" w:hint="default"/>
                <w:w w:val="99"/>
                <w:sz w:val="18"/>
                <w:szCs w:val="18"/>
              </w:rPr>
              <w:t> </w:t>
            </w:r>
            <w:r>
              <w:rPr>
                <w:rFonts w:ascii="宋体" w:hAnsi="宋体" w:cs="宋体" w:eastAsia="宋体" w:hint="default"/>
                <w:sz w:val="18"/>
                <w:szCs w:val="18"/>
              </w:rPr>
              <w:t>展经营活</w:t>
            </w:r>
            <w:r>
              <w:rPr>
                <w:rFonts w:ascii="宋体" w:hAnsi="宋体" w:cs="宋体" w:eastAsia="宋体" w:hint="default"/>
                <w:w w:val="99"/>
                <w:sz w:val="18"/>
                <w:szCs w:val="18"/>
              </w:rPr>
              <w:t> </w:t>
            </w:r>
            <w:r>
              <w:rPr>
                <w:rFonts w:ascii="宋体" w:hAnsi="宋体" w:cs="宋体" w:eastAsia="宋体" w:hint="default"/>
                <w:sz w:val="18"/>
                <w:szCs w:val="18"/>
              </w:rPr>
              <w:t>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湖南省方正 达电子科技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
              <w:jc w:val="left"/>
              <w:rPr>
                <w:rFonts w:ascii="宋体" w:hAnsi="宋体" w:cs="宋体" w:eastAsia="宋体" w:hint="default"/>
                <w:sz w:val="18"/>
                <w:szCs w:val="18"/>
              </w:rPr>
            </w:pPr>
            <w:r>
              <w:rPr>
                <w:rFonts w:ascii="宋体" w:hAnsi="宋体" w:cs="宋体" w:eastAsia="宋体" w:hint="default"/>
                <w:sz w:val="18"/>
                <w:szCs w:val="18"/>
              </w:rPr>
              <w:t>销售电子用 挠性材料、 绝缘材料、 覆铜板材 料、铜箔， 电子产品及 线路板的技 术开发、生 产、销售， 货物及技术 进出口（不 含法律、行 政法规，国 务院规定禁 止及决定需 前置审批的 </w:t>
            </w:r>
            <w:r>
              <w:rPr>
                <w:rFonts w:ascii="宋体" w:hAnsi="宋体" w:cs="宋体" w:eastAsia="宋体" w:hint="default"/>
                <w:spacing w:val="-16"/>
                <w:sz w:val="18"/>
                <w:szCs w:val="18"/>
              </w:rPr>
              <w:t>项目），普通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货运。（依法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经营活动）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51.85pt;height:171.65pt;mso-position-horizontal-relative:char;mso-position-vertical-relative:line" coordorigin="0,0" coordsize="1037,3433">
                  <v:group style="position:absolute;left:0;top:0;width:1037;height:3433" coordorigin="0,0" coordsize="1037,3433">
                    <v:shape style="position:absolute;left:0;top:0;width:1037;height:3433" coordorigin="0,0" coordsize="1037,3433" path="m0,3432l1037,3432,1037,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30,851,885.0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358,916,721.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197,586,887.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372,662,906.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23,776,951.9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5,994,696.39</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pStyle w:val="BodyText"/>
        <w:spacing w:line="240" w:lineRule="auto" w:before="0"/>
        <w:ind w:right="1133"/>
        <w:jc w:val="left"/>
      </w:pPr>
      <w:r>
        <w:rPr/>
        <w:t>报告期内取得和处置子公司的情况</w:t>
      </w:r>
    </w:p>
    <w:p>
      <w:pPr>
        <w:pStyle w:val="BodyText"/>
        <w:spacing w:line="340" w:lineRule="auto" w:before="115"/>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before="0"/>
        <w:ind w:right="1133"/>
        <w:jc w:val="left"/>
        <w:rPr>
          <w:b w:val="0"/>
          <w:bCs w:val="0"/>
        </w:rPr>
      </w:pPr>
      <w:r>
        <w:rPr/>
        <w:t>（一）行业竞争格局</w:t>
      </w:r>
      <w:r>
        <w:rPr>
          <w:b w:val="0"/>
          <w:bCs w:val="0"/>
        </w:rPr>
      </w:r>
    </w:p>
    <w:p>
      <w:pPr>
        <w:spacing w:line="300" w:lineRule="auto" w:before="76"/>
        <w:ind w:left="513" w:right="112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）、消费电子类电源市场现状</w:t>
      </w:r>
      <w:r>
        <w:rPr>
          <w:rFonts w:ascii="宋体" w:hAnsi="宋体" w:cs="宋体" w:eastAsia="宋体" w:hint="default"/>
          <w:b/>
          <w:bCs/>
          <w:w w:val="99"/>
          <w:sz w:val="18"/>
          <w:szCs w:val="18"/>
        </w:rPr>
        <w:t> </w:t>
      </w:r>
      <w:r>
        <w:rPr>
          <w:rFonts w:ascii="宋体" w:hAnsi="宋体" w:cs="宋体" w:eastAsia="宋体" w:hint="default"/>
          <w:spacing w:val="-2"/>
          <w:sz w:val="18"/>
          <w:szCs w:val="18"/>
        </w:rPr>
        <w:t>消费电子类电源是指围绕着消费者应用而产生的与生活、工作、娱乐息息相关的电子类产品，是电子产品中技术发展最</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ind w:right="1024"/>
        <w:jc w:val="left"/>
      </w:pPr>
      <w:r>
        <w:rPr/>
        <w:t>快、技术应用最广的领域，譬如通讯终端、网络终端、高清电视、人工智能、智能音响、激光投影仪、</w:t>
      </w:r>
      <w:r>
        <w:rPr>
          <w:rFonts w:ascii="Times New Roman" w:hAnsi="Times New Roman" w:cs="Times New Roman" w:eastAsia="Times New Roman" w:hint="default"/>
        </w:rPr>
        <w:t>3D</w:t>
      </w:r>
      <w:r>
        <w:rPr/>
        <w:t>打印机、</w:t>
      </w:r>
      <w:r>
        <w:rPr>
          <w:rFonts w:ascii="Times New Roman" w:hAnsi="Times New Roman" w:cs="Times New Roman" w:eastAsia="Times New Roman" w:hint="default"/>
        </w:rPr>
        <w:t>POS</w:t>
      </w:r>
      <w:r>
        <w:rPr/>
        <w:t>机、 电动工具等。消费电子产业在国内外近年来一直保持高速增长。在新技术的推动下，消费电子产品的深度与广度持续扩展， </w:t>
      </w:r>
      <w:r>
        <w:rPr>
          <w:spacing w:val="-2"/>
        </w:rPr>
        <w:t>产品也不断升级与创新，用以满足人们工作、健康、休闲娱乐等方面的需求，随着人们生活水平的提高，各种消费电子产品</w:t>
      </w:r>
      <w:r>
        <w:rPr>
          <w:spacing w:val="-67"/>
        </w:rPr>
        <w:t> </w:t>
      </w:r>
      <w:r>
        <w:rPr>
          <w:spacing w:val="-67"/>
        </w:rPr>
      </w:r>
      <w:r>
        <w:rPr/>
        <w:t>进入千家万户，成为居民工作与生活的刚需品。</w:t>
      </w:r>
    </w:p>
    <w:p>
      <w:pPr>
        <w:pStyle w:val="Heading5"/>
        <w:spacing w:line="240" w:lineRule="auto" w:before="22"/>
        <w:ind w:right="1133"/>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LED</w:t>
      </w:r>
      <w:r>
        <w:rPr/>
        <w:t>电源行业市场现状</w:t>
      </w:r>
      <w:r>
        <w:rPr>
          <w:b w:val="0"/>
          <w:bCs w:val="0"/>
        </w:rPr>
      </w:r>
    </w:p>
    <w:p>
      <w:pPr>
        <w:pStyle w:val="BodyText"/>
        <w:spacing w:line="307" w:lineRule="auto" w:before="63"/>
        <w:ind w:right="1124" w:firstLine="360"/>
        <w:jc w:val="both"/>
      </w:pPr>
      <w:r>
        <w:rPr/>
        <w:t>根据集邦咨询</w:t>
      </w:r>
      <w:r>
        <w:rPr>
          <w:rFonts w:ascii="Times New Roman" w:hAnsi="Times New Roman" w:cs="Times New Roman" w:eastAsia="Times New Roman" w:hint="default"/>
        </w:rPr>
        <w:t>LED</w:t>
      </w:r>
      <w:r>
        <w:rPr/>
        <w:t>研究中心（</w:t>
      </w:r>
      <w:r>
        <w:rPr>
          <w:rFonts w:ascii="Times New Roman" w:hAnsi="Times New Roman" w:cs="Times New Roman" w:eastAsia="Times New Roman" w:hint="default"/>
        </w:rPr>
        <w:t>LEDinside</w:t>
      </w:r>
      <w:r>
        <w:rPr/>
        <w:t>）最新研究报告， </w:t>
      </w:r>
      <w:r>
        <w:rPr>
          <w:rFonts w:ascii="Times New Roman" w:hAnsi="Times New Roman" w:cs="Times New Roman" w:eastAsia="Times New Roman" w:hint="default"/>
        </w:rPr>
        <w:t>2019 </w:t>
      </w:r>
      <w:r>
        <w:rPr/>
        <w:t>照明级封装与</w:t>
      </w:r>
      <w:r>
        <w:rPr>
          <w:rFonts w:ascii="Times New Roman" w:hAnsi="Times New Roman" w:cs="Times New Roman" w:eastAsia="Times New Roman" w:hint="default"/>
        </w:rPr>
        <w:t>LED</w:t>
      </w:r>
      <w:r>
        <w:rPr/>
        <w:t>照明市场展望显示，</w:t>
      </w:r>
      <w:r>
        <w:rPr>
          <w:rFonts w:ascii="Times New Roman" w:hAnsi="Times New Roman" w:cs="Times New Roman" w:eastAsia="Times New Roman" w:hint="default"/>
        </w:rPr>
        <w:t>2018~2023</w:t>
      </w:r>
      <w:r>
        <w:rPr>
          <w:rFonts w:ascii="Times New Roman" w:hAnsi="Times New Roman" w:cs="Times New Roman" w:eastAsia="Times New Roman" w:hint="default"/>
          <w:spacing w:val="-34"/>
        </w:rPr>
        <w:t> </w:t>
      </w:r>
      <w:r>
        <w:rPr>
          <w:rFonts w:ascii="Times New Roman" w:hAnsi="Times New Roman" w:cs="Times New Roman" w:eastAsia="Times New Roman" w:hint="default"/>
        </w:rPr>
        <w:t>LED</w:t>
      </w:r>
      <w:r>
        <w:rPr>
          <w:rFonts w:ascii="Times New Roman" w:hAnsi="Times New Roman" w:cs="Times New Roman" w:eastAsia="Times New Roman" w:hint="default"/>
          <w:w w:val="99"/>
        </w:rPr>
        <w:t> </w:t>
      </w:r>
      <w:r>
        <w:rPr/>
        <w:t>照明市场规模逐步提升，</w:t>
      </w:r>
      <w:r>
        <w:rPr>
          <w:rFonts w:ascii="Times New Roman" w:hAnsi="Times New Roman" w:cs="Times New Roman" w:eastAsia="Times New Roman" w:hint="default"/>
        </w:rPr>
        <w:t>LED</w:t>
      </w:r>
      <w:r>
        <w:rPr/>
        <w:t>照明市场规模</w:t>
      </w:r>
      <w:r>
        <w:rPr>
          <w:rFonts w:ascii="Times New Roman" w:hAnsi="Times New Roman" w:cs="Times New Roman" w:eastAsia="Times New Roman" w:hint="default"/>
        </w:rPr>
        <w:t>2023</w:t>
      </w:r>
      <w:r>
        <w:rPr/>
        <w:t>年预计达到</w:t>
      </w:r>
      <w:r>
        <w:rPr>
          <w:rFonts w:ascii="Times New Roman" w:hAnsi="Times New Roman" w:cs="Times New Roman" w:eastAsia="Times New Roman" w:hint="default"/>
        </w:rPr>
        <w:t>566</w:t>
      </w:r>
      <w:r>
        <w:rPr/>
        <w:t>亿美金，预估</w:t>
      </w:r>
      <w:r>
        <w:rPr>
          <w:rFonts w:ascii="Times New Roman" w:hAnsi="Times New Roman" w:cs="Times New Roman" w:eastAsia="Times New Roman" w:hint="default"/>
        </w:rPr>
        <w:t>2018~2023</w:t>
      </w:r>
      <w:r>
        <w:rPr/>
        <w:t>年</w:t>
      </w:r>
      <w:r>
        <w:rPr>
          <w:rFonts w:ascii="Times New Roman" w:hAnsi="Times New Roman" w:cs="Times New Roman" w:eastAsia="Times New Roman" w:hint="default"/>
        </w:rPr>
        <w:t>CAGR</w:t>
      </w:r>
      <w:r>
        <w:rPr/>
        <w:t>为</w:t>
      </w:r>
      <w:r>
        <w:rPr>
          <w:rFonts w:ascii="Times New Roman" w:hAnsi="Times New Roman" w:cs="Times New Roman" w:eastAsia="Times New Roman" w:hint="default"/>
        </w:rPr>
        <w:t>9%</w:t>
      </w:r>
      <w:r>
        <w:rPr/>
        <w:t>。传统的替换式照明</w:t>
      </w:r>
      <w:r>
        <w:rPr>
          <w:spacing w:val="-22"/>
        </w:rPr>
        <w:t> </w:t>
      </w:r>
      <w:r>
        <w:rPr/>
        <w:t>市场增速下降，工业、景观户外、植物、显示屏、体育及轨道交通领域则发展提速，同时在特殊的商业照明领域如捕鱼、</w:t>
      </w:r>
      <w:r>
        <w:rPr>
          <w:spacing w:val="-11"/>
        </w:rPr>
        <w:t> </w:t>
      </w:r>
      <w:r>
        <w:rPr>
          <w:spacing w:val="-11"/>
        </w:rPr>
      </w:r>
      <w:r>
        <w:rPr>
          <w:rFonts w:ascii="Times New Roman" w:hAnsi="Times New Roman" w:cs="Times New Roman" w:eastAsia="Times New Roman" w:hint="default"/>
        </w:rPr>
        <w:t>UV-LED</w:t>
      </w:r>
      <w:r>
        <w:rPr/>
        <w:t>、海运、医疗、高端商照与轨道灯、防爆灯等领域也得到快速渗透。</w:t>
      </w:r>
    </w:p>
    <w:p>
      <w:pPr>
        <w:pStyle w:val="BodyText"/>
        <w:spacing w:line="307" w:lineRule="auto" w:before="7"/>
        <w:ind w:right="1060" w:firstLine="360"/>
        <w:jc w:val="left"/>
      </w:pPr>
      <w:r>
        <w:rPr>
          <w:rFonts w:ascii="Times New Roman" w:hAnsi="Times New Roman" w:cs="Times New Roman" w:eastAsia="Times New Roman" w:hint="default"/>
        </w:rPr>
        <w:t>LED</w:t>
      </w:r>
      <w:r>
        <w:rPr/>
        <w:t>照明应用己渗透到我们所能相像的任何应用领域，大功率照明方面呈稳步增长趋势。国内道路照明市场稳中有升， </w:t>
      </w:r>
      <w:r>
        <w:rPr>
          <w:spacing w:val="-2"/>
        </w:rPr>
        <w:t>除了新的基建需求之外，替换市场虽然增速下降，但需求仍有巨大空间。以政府工程为主的景观照明工程项目近期表现会相</w:t>
      </w:r>
      <w:r>
        <w:rPr>
          <w:spacing w:val="-63"/>
        </w:rPr>
        <w:t> </w:t>
      </w:r>
      <w:r>
        <w:rPr>
          <w:spacing w:val="-63"/>
        </w:rPr>
      </w:r>
      <w:r>
        <w:rPr>
          <w:spacing w:val="-2"/>
        </w:rPr>
        <w:t>对现低迷，但夜游经济会表现抢眼，尤其是全国遍地开花的特色小镇及文化创意灯光秀，将带来新一轮的发展潮。工业照明</w:t>
      </w:r>
      <w:r>
        <w:rPr>
          <w:spacing w:val="-64"/>
        </w:rPr>
        <w:t> </w:t>
      </w:r>
      <w:r>
        <w:rPr>
          <w:spacing w:val="-64"/>
        </w:rPr>
      </w:r>
      <w:r>
        <w:rPr/>
        <w:t>市场也呈稳步增长趋势，而随着国内大力发展以</w:t>
      </w:r>
      <w:r>
        <w:rPr>
          <w:rFonts w:ascii="Times New Roman" w:hAnsi="Times New Roman" w:cs="Times New Roman" w:eastAsia="Times New Roman" w:hint="default"/>
        </w:rPr>
        <w:t>5G</w:t>
      </w:r>
      <w:r>
        <w:rPr/>
        <w:t>网络建设为首的七大领域新基建建设，城市轨道建设相关照明将迎来新</w:t>
      </w:r>
      <w:r>
        <w:rPr>
          <w:spacing w:val="-40"/>
        </w:rPr>
        <w:t> </w:t>
      </w:r>
      <w:r>
        <w:rPr>
          <w:spacing w:val="-40"/>
        </w:rPr>
      </w:r>
      <w:r>
        <w:rPr/>
        <w:t>的爆发点，预计将有非常大的增长需求。另外，大功率照明应用已开始起步，尤其是体育照明、</w:t>
      </w:r>
      <w:r>
        <w:rPr>
          <w:rFonts w:ascii="Times New Roman" w:hAnsi="Times New Roman" w:cs="Times New Roman" w:eastAsia="Times New Roman" w:hint="default"/>
        </w:rPr>
        <w:t>UV-LED</w:t>
      </w:r>
      <w:r>
        <w:rPr/>
        <w:t>与植物照明等特殊</w:t>
      </w:r>
      <w:r>
        <w:rPr>
          <w:w w:val="99"/>
        </w:rPr>
        <w:t> </w:t>
      </w:r>
      <w:r>
        <w:rPr/>
        <w:t>应用领域。</w:t>
      </w:r>
    </w:p>
    <w:p>
      <w:pPr>
        <w:pStyle w:val="BodyText"/>
        <w:spacing w:line="309" w:lineRule="auto" w:before="26"/>
        <w:ind w:right="1129" w:firstLine="360"/>
        <w:jc w:val="both"/>
      </w:pPr>
      <w:r>
        <w:rPr>
          <w:spacing w:val="-2"/>
        </w:rPr>
        <w:t>同时，由于国内市场的竞争趋于白热化，企业纷纷拓展海外市场。</w:t>
      </w:r>
      <w:r>
        <w:rPr>
          <w:rFonts w:ascii="Times New Roman" w:hAnsi="Times New Roman" w:cs="Times New Roman" w:eastAsia="Times New Roman" w:hint="default"/>
          <w:spacing w:val="-2"/>
        </w:rPr>
        <w:t>LED</w:t>
      </w:r>
      <w:r>
        <w:rPr>
          <w:spacing w:val="-2"/>
        </w:rPr>
        <w:t>驱动经过多年的发展其技术己经非常成熟，通用</w:t>
      </w:r>
      <w:r>
        <w:rPr/>
        <w:t> </w:t>
      </w:r>
      <w:r>
        <w:rPr>
          <w:spacing w:val="-2"/>
        </w:rPr>
        <w:t>型照明驱动的利润己进入薄利，为谋求新的发展，企业必须要走差异化竞争、走细分领域、提供增值服务（如智能照明）才</w:t>
      </w:r>
      <w:r>
        <w:rPr>
          <w:spacing w:val="-68"/>
        </w:rPr>
        <w:t> </w:t>
      </w:r>
      <w:r>
        <w:rPr>
          <w:spacing w:val="-68"/>
        </w:rPr>
      </w:r>
      <w:r>
        <w:rPr/>
        <w:t>能可持续发展</w:t>
      </w:r>
      <w:r>
        <w:rPr>
          <w:rFonts w:ascii="Times New Roman" w:hAnsi="Times New Roman" w:cs="Times New Roman" w:eastAsia="Times New Roman" w:hint="default"/>
        </w:rPr>
        <w:t>,</w:t>
      </w:r>
      <w:r>
        <w:rPr/>
        <w:t>国内市场则以智慧城市的建设为契机，大力发展智慧照明。</w:t>
      </w:r>
    </w:p>
    <w:p>
      <w:pPr>
        <w:pStyle w:val="Heading5"/>
        <w:spacing w:line="240" w:lineRule="auto" w:before="5"/>
        <w:ind w:right="1133"/>
        <w:jc w:val="left"/>
        <w:rPr>
          <w:b w:val="0"/>
          <w:bCs w:val="0"/>
        </w:rPr>
      </w:pPr>
      <w:r>
        <w:rPr/>
        <w:t>（二）行业发展趋势</w:t>
      </w:r>
      <w:r>
        <w:rPr>
          <w:b w:val="0"/>
          <w:bCs w:val="0"/>
        </w:rPr>
      </w:r>
    </w:p>
    <w:p>
      <w:pPr>
        <w:pStyle w:val="Heading5"/>
        <w:spacing w:line="240" w:lineRule="auto" w:before="76"/>
        <w:ind w:right="1133"/>
        <w:jc w:val="left"/>
        <w:rPr>
          <w:b w:val="0"/>
          <w:bCs w:val="0"/>
        </w:rPr>
      </w:pPr>
      <w:r>
        <w:rPr/>
        <w:t>（</w:t>
      </w:r>
      <w:r>
        <w:rPr>
          <w:rFonts w:ascii="Times New Roman" w:hAnsi="Times New Roman" w:cs="Times New Roman" w:eastAsia="Times New Roman" w:hint="default"/>
        </w:rPr>
        <w:t>1</w:t>
      </w:r>
      <w:r>
        <w:rPr/>
        <w:t>）、消费电子类电源行业发展趋势</w:t>
      </w:r>
      <w:r>
        <w:rPr>
          <w:b w:val="0"/>
          <w:bCs w:val="0"/>
        </w:rPr>
      </w:r>
    </w:p>
    <w:p>
      <w:pPr>
        <w:pStyle w:val="BodyText"/>
        <w:spacing w:line="316" w:lineRule="auto" w:before="63"/>
        <w:ind w:left="513" w:right="0"/>
        <w:jc w:val="left"/>
      </w:pPr>
      <w:r>
        <w:rPr/>
        <w:t>①产业与利润集中于头部企业 </w:t>
      </w:r>
      <w:r>
        <w:rPr>
          <w:spacing w:val="-4"/>
        </w:rPr>
        <w:t>全球消费电子行业领军企业，不仅通过强大的研发资源、优质广链的售后服务，来确保产品的不断推陈出新与客户满意，</w:t>
      </w:r>
    </w:p>
    <w:p>
      <w:pPr>
        <w:pStyle w:val="BodyText"/>
        <w:spacing w:line="319" w:lineRule="auto" w:before="19"/>
        <w:ind w:right="1129"/>
        <w:jc w:val="both"/>
      </w:pPr>
      <w:r>
        <w:rPr>
          <w:spacing w:val="-2"/>
        </w:rPr>
        <w:t>维持企业的市场竞争力，还通过投资与并购优质细微企业，进一步做强做大，使得企业逐渐拥有一个强大的产业体系链。产</w:t>
      </w:r>
      <w:r>
        <w:rPr>
          <w:spacing w:val="-64"/>
        </w:rPr>
        <w:t> </w:t>
      </w:r>
      <w:r>
        <w:rPr>
          <w:spacing w:val="-64"/>
        </w:rPr>
      </w:r>
      <w:r>
        <w:rPr>
          <w:spacing w:val="-2"/>
        </w:rPr>
        <w:t>品的市场议价权随之提升，产业利润也逐步集中于这些头部企业。因此，品牌整合、投资并购成为大公司保持行业领先地位</w:t>
      </w:r>
      <w:r>
        <w:rPr>
          <w:spacing w:val="-66"/>
        </w:rPr>
        <w:t> </w:t>
      </w:r>
      <w:r>
        <w:rPr>
          <w:spacing w:val="-66"/>
        </w:rPr>
      </w:r>
      <w:r>
        <w:rPr>
          <w:spacing w:val="-2"/>
        </w:rPr>
        <w:t>的重要手段。随着客户资源的不断整合，消费电子类电源产品销售将逐步向行业巨头集中，综合配套产品制造业将会是行业</w:t>
      </w:r>
      <w:r>
        <w:rPr>
          <w:spacing w:val="-62"/>
        </w:rPr>
        <w:t> </w:t>
      </w:r>
      <w:r>
        <w:rPr>
          <w:spacing w:val="-62"/>
        </w:rPr>
      </w:r>
      <w:r>
        <w:rPr/>
        <w:t>的发展趋势。</w:t>
      </w:r>
    </w:p>
    <w:p>
      <w:pPr>
        <w:pStyle w:val="BodyText"/>
        <w:spacing w:line="316" w:lineRule="auto" w:before="17"/>
        <w:ind w:left="513" w:right="1124"/>
        <w:jc w:val="left"/>
      </w:pPr>
      <w:r>
        <w:rPr/>
        <w:t>②产品品质、管理效率、创新将更加重要 </w:t>
      </w:r>
      <w:r>
        <w:rPr>
          <w:spacing w:val="-2"/>
        </w:rPr>
        <w:t>随着市场竞争激烈，传统同质化产品盈利空间下降，只有保持良好的性价比，不断优化管理效率，能够为客户提适配的</w:t>
      </w:r>
    </w:p>
    <w:p>
      <w:pPr>
        <w:pStyle w:val="BodyText"/>
        <w:spacing w:line="300" w:lineRule="auto" w:before="19"/>
        <w:ind w:right="1133"/>
        <w:jc w:val="left"/>
      </w:pPr>
      <w:r>
        <w:rPr/>
        <w:t>电源解决方案，才能够保持客户份额；对于创新的产品，譬如微波电源大功率段产品、激光设备电源、服务器电源、</w:t>
      </w:r>
      <w:r>
        <w:rPr>
          <w:rFonts w:ascii="Times New Roman" w:hAnsi="Times New Roman" w:cs="Times New Roman" w:eastAsia="Times New Roman" w:hint="default"/>
        </w:rPr>
        <w:t>5G</w:t>
      </w:r>
      <w:r>
        <w:rPr/>
        <w:t>通</w:t>
      </w:r>
      <w:r>
        <w:rPr>
          <w:spacing w:val="-36"/>
        </w:rPr>
        <w:t> </w:t>
      </w:r>
      <w:r>
        <w:rPr/>
        <w:t>讯终端设备电源等，需要做到引领市场需求，才可实现盈利并逐步增长。</w:t>
      </w:r>
    </w:p>
    <w:p>
      <w:pPr>
        <w:pStyle w:val="BodyText"/>
        <w:spacing w:line="316" w:lineRule="auto" w:before="31"/>
        <w:ind w:left="513" w:right="1124"/>
        <w:jc w:val="left"/>
      </w:pPr>
      <w:r>
        <w:rPr/>
        <w:t>③节能环保、绿色低碳成为主流 </w:t>
      </w:r>
      <w:r>
        <w:rPr>
          <w:spacing w:val="-2"/>
        </w:rPr>
        <w:t>近年来，节能环保和绿色低碳经济成为具有社会责任的消费电子企业的共识，节能、低碳技术和产品为这些企业带来了</w:t>
      </w:r>
    </w:p>
    <w:p>
      <w:pPr>
        <w:pStyle w:val="BodyText"/>
        <w:spacing w:line="300" w:lineRule="auto" w:before="19"/>
        <w:ind w:right="0"/>
        <w:jc w:val="left"/>
      </w:pPr>
      <w:r>
        <w:rPr/>
        <w:t>新的增长点。特斯拉、苹果、三星、丰田、</w:t>
      </w:r>
      <w:r>
        <w:rPr>
          <w:rFonts w:ascii="Times New Roman" w:hAnsi="Times New Roman" w:cs="Times New Roman" w:eastAsia="Times New Roman" w:hint="default"/>
        </w:rPr>
        <w:t>LG</w:t>
      </w:r>
      <w:r>
        <w:rPr/>
        <w:t>等知名企业是推动节能与低碳技术的典型。这些大公司纷纷提早布局，培育</w:t>
      </w:r>
      <w:r>
        <w:rPr>
          <w:spacing w:val="-59"/>
        </w:rPr>
        <w:t> </w:t>
      </w:r>
      <w:r>
        <w:rPr>
          <w:spacing w:val="-59"/>
        </w:rPr>
      </w:r>
      <w:r>
        <w:rPr>
          <w:spacing w:val="-4"/>
        </w:rPr>
        <w:t>市场，将技术创新与品牌建设融合，为可持续增长奠定基础。消费电子类电源作为配套产品，也必将向节能、低碳方向发展。</w:t>
      </w:r>
    </w:p>
    <w:p>
      <w:pPr>
        <w:pStyle w:val="Heading5"/>
        <w:spacing w:line="240" w:lineRule="auto" w:before="31"/>
        <w:ind w:right="1133"/>
        <w:jc w:val="left"/>
        <w:rPr>
          <w:b w:val="0"/>
          <w:bCs w:val="0"/>
        </w:rPr>
      </w:pPr>
      <w:r>
        <w:rPr/>
        <w:t>（</w:t>
      </w:r>
      <w:r>
        <w:rPr>
          <w:rFonts w:ascii="Times New Roman" w:hAnsi="Times New Roman" w:cs="Times New Roman" w:eastAsia="Times New Roman" w:hint="default"/>
        </w:rPr>
        <w:t>2</w:t>
      </w:r>
      <w:r>
        <w:rPr/>
        <w:t>）、大功率</w:t>
      </w:r>
      <w:r>
        <w:rPr>
          <w:rFonts w:ascii="Times New Roman" w:hAnsi="Times New Roman" w:cs="Times New Roman" w:eastAsia="Times New Roman" w:hint="default"/>
        </w:rPr>
        <w:t>LED</w:t>
      </w:r>
      <w:r>
        <w:rPr/>
        <w:t>驱动电源行业发展趋势</w:t>
      </w:r>
      <w:r>
        <w:rPr>
          <w:b w:val="0"/>
          <w:bCs w:val="0"/>
        </w:rPr>
      </w:r>
    </w:p>
    <w:p>
      <w:pPr>
        <w:pStyle w:val="BodyText"/>
        <w:spacing w:line="309" w:lineRule="auto" w:before="63"/>
        <w:ind w:right="1131" w:firstLine="360"/>
        <w:jc w:val="both"/>
      </w:pPr>
      <w:r>
        <w:rPr>
          <w:rFonts w:ascii="Times New Roman" w:hAnsi="Times New Roman" w:cs="Times New Roman" w:eastAsia="Times New Roman" w:hint="default"/>
          <w:spacing w:val="-2"/>
        </w:rPr>
        <w:t>LED</w:t>
      </w:r>
      <w:r>
        <w:rPr>
          <w:spacing w:val="-2"/>
        </w:rPr>
        <w:t>在经过几年的高速成长以后，</w:t>
      </w:r>
      <w:r>
        <w:rPr>
          <w:rFonts w:ascii="Times New Roman" w:hAnsi="Times New Roman" w:cs="Times New Roman" w:eastAsia="Times New Roman" w:hint="default"/>
          <w:spacing w:val="-2"/>
        </w:rPr>
        <w:t>LED</w:t>
      </w:r>
      <w:r>
        <w:rPr>
          <w:spacing w:val="-2"/>
        </w:rPr>
        <w:t>行业已经步入成熟期，进入低价时代，企业的优势竞争力也从产品和技术能力转</w:t>
      </w:r>
      <w:r>
        <w:rPr/>
        <w:t> </w:t>
      </w:r>
      <w:r>
        <w:rPr>
          <w:spacing w:val="-2"/>
        </w:rPr>
        <w:t>变企业规模和产品成本。为谋取新的发展，厂商纷纷寻求新业务，其中最受瞩目的领域之一就是更高阶的智慧照明，因为智</w:t>
      </w:r>
      <w:r>
        <w:rPr>
          <w:spacing w:val="-65"/>
        </w:rPr>
        <w:t> </w:t>
      </w:r>
      <w:r>
        <w:rPr>
          <w:spacing w:val="-65"/>
        </w:rPr>
      </w:r>
      <w:r>
        <w:rPr/>
        <w:t>慧照明不仅可获得更高的利润率，也是智慧家居和智慧城市的极佳接入点，可以将</w:t>
      </w:r>
      <w:r>
        <w:rPr>
          <w:rFonts w:ascii="Times New Roman" w:hAnsi="Times New Roman" w:cs="Times New Roman" w:eastAsia="Times New Roman" w:hint="default"/>
        </w:rPr>
        <w:t>LED</w:t>
      </w:r>
      <w:r>
        <w:rPr/>
        <w:t>照明带入更广阔的发展空间。</w:t>
      </w:r>
    </w:p>
    <w:p>
      <w:pPr>
        <w:pStyle w:val="BodyText"/>
        <w:spacing w:line="300" w:lineRule="auto" w:before="5"/>
        <w:ind w:right="0" w:firstLine="360"/>
        <w:jc w:val="left"/>
      </w:pPr>
      <w:r>
        <w:rPr>
          <w:rFonts w:ascii="Times New Roman" w:hAnsi="Times New Roman" w:cs="Times New Roman" w:eastAsia="Times New Roman" w:hint="default"/>
          <w:spacing w:val="-2"/>
        </w:rPr>
        <w:t>2020</w:t>
      </w:r>
      <w:r>
        <w:rPr>
          <w:spacing w:val="-2"/>
        </w:rPr>
        <w:t>年，我国智能照明市场规模预计达到</w:t>
      </w:r>
      <w:r>
        <w:rPr>
          <w:rFonts w:ascii="Times New Roman" w:hAnsi="Times New Roman" w:cs="Times New Roman" w:eastAsia="Times New Roman" w:hint="default"/>
          <w:spacing w:val="-2"/>
        </w:rPr>
        <w:t>278</w:t>
      </w:r>
      <w:r>
        <w:rPr>
          <w:spacing w:val="-2"/>
        </w:rPr>
        <w:t>亿元，增长率为</w:t>
      </w:r>
      <w:r>
        <w:rPr>
          <w:rFonts w:ascii="Times New Roman" w:hAnsi="Times New Roman" w:cs="Times New Roman" w:eastAsia="Times New Roman" w:hint="default"/>
          <w:spacing w:val="-2"/>
        </w:rPr>
        <w:t>24.11%</w:t>
      </w:r>
      <w:r>
        <w:rPr>
          <w:spacing w:val="-2"/>
        </w:rPr>
        <w:t>。未来随着物联网、大数据、云计算等技术的发展，</w:t>
      </w:r>
      <w:r>
        <w:rPr/>
        <w:t> </w:t>
      </w:r>
      <w:r>
        <w:rPr>
          <w:rFonts w:ascii="Times New Roman" w:hAnsi="Times New Roman" w:cs="Times New Roman" w:eastAsia="Times New Roman" w:hint="default"/>
        </w:rPr>
        <w:t>“</w:t>
      </w:r>
      <w:r>
        <w:rPr/>
        <w:t>智慧家庭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等生态圈的建立，智能照明应用场景的不断拓展，智能照明行业将不断吸引厂商投入，从而得到持 续成长。随着</w:t>
      </w:r>
      <w:r>
        <w:rPr>
          <w:rFonts w:ascii="Times New Roman" w:hAnsi="Times New Roman" w:cs="Times New Roman" w:eastAsia="Times New Roman" w:hint="default"/>
        </w:rPr>
        <w:t>5G</w:t>
      </w:r>
      <w:r>
        <w:rPr/>
        <w:t>技术的兴起，智慧照明已经在基础功能上衍生出更多全新功能，结合</w:t>
      </w:r>
      <w:r>
        <w:rPr>
          <w:rFonts w:ascii="Times New Roman" w:hAnsi="Times New Roman" w:cs="Times New Roman" w:eastAsia="Times New Roman" w:hint="default"/>
        </w:rPr>
        <w:t>5G</w:t>
      </w:r>
      <w:r>
        <w:rPr/>
        <w:t>、</w:t>
      </w:r>
      <w:r>
        <w:rPr>
          <w:rFonts w:ascii="Times New Roman" w:hAnsi="Times New Roman" w:cs="Times New Roman" w:eastAsia="Times New Roman" w:hint="default"/>
        </w:rPr>
        <w:t>AI</w:t>
      </w:r>
      <w:r>
        <w:rPr/>
        <w:t>技术的应用，未来可能会涌现</w:t>
      </w:r>
      <w:r>
        <w:rPr>
          <w:spacing w:val="-83"/>
        </w:rPr>
        <w:t> </w:t>
      </w:r>
      <w:r>
        <w:rPr>
          <w:spacing w:val="-83"/>
        </w:rPr>
      </w:r>
      <w:r>
        <w:rPr/>
        <w:t>出一些更富想象力的应用，将会极大改变我们生活方式。在众多先进技术的加持下，</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的建设也成为国家战略，随 着智慧城市建设的进一步扩大，搭载</w:t>
      </w:r>
      <w:r>
        <w:rPr>
          <w:rFonts w:ascii="Times New Roman" w:hAnsi="Times New Roman" w:cs="Times New Roman" w:eastAsia="Times New Roman" w:hint="default"/>
        </w:rPr>
        <w:t>5G</w:t>
      </w:r>
      <w:r>
        <w:rPr/>
        <w:t>信号基站的智慧灯杆也势必会迎来新一轮应用高潮。茂硕将顺势而为，以智慧灯杆</w:t>
      </w:r>
      <w:r>
        <w:rPr>
          <w:spacing w:val="-41"/>
        </w:rPr>
        <w:t> </w:t>
      </w:r>
      <w:r>
        <w:rPr>
          <w:spacing w:val="-41"/>
        </w:rPr>
      </w:r>
      <w:r>
        <w:rPr/>
        <w:t>为载体，结合自身的技术优势，开发相应的电源解决方案，助力国家智慧城市建设。</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Heading5"/>
        <w:spacing w:line="240" w:lineRule="auto"/>
        <w:ind w:left="453" w:right="1133"/>
        <w:jc w:val="left"/>
        <w:rPr>
          <w:b w:val="0"/>
          <w:bCs w:val="0"/>
        </w:rPr>
      </w:pPr>
      <w:r>
        <w:rPr/>
        <w:t>（三）发展战略</w:t>
      </w:r>
      <w:r>
        <w:rPr>
          <w:b w:val="0"/>
          <w:bCs w:val="0"/>
        </w:rPr>
      </w:r>
    </w:p>
    <w:p>
      <w:pPr>
        <w:pStyle w:val="BodyText"/>
        <w:spacing w:line="307" w:lineRule="auto" w:before="77"/>
        <w:ind w:right="1131" w:firstLine="360"/>
        <w:jc w:val="both"/>
      </w:pPr>
      <w:r>
        <w:rPr>
          <w:rFonts w:ascii="Times New Roman" w:hAnsi="Times New Roman" w:cs="Times New Roman" w:eastAsia="Times New Roman" w:hint="default"/>
        </w:rPr>
        <w:t>2020</w:t>
      </w:r>
      <w:r>
        <w:rPr/>
        <w:t>年，公司继续围绕</w:t>
      </w:r>
      <w:r>
        <w:rPr>
          <w:rFonts w:ascii="Times New Roman" w:hAnsi="Times New Roman" w:cs="Times New Roman" w:eastAsia="Times New Roman" w:hint="default"/>
        </w:rPr>
        <w:t>“</w:t>
      </w:r>
      <w:r>
        <w:rPr/>
        <w:t>专注实业、聚焦主业</w:t>
      </w:r>
      <w:r>
        <w:rPr>
          <w:rFonts w:ascii="Times New Roman" w:hAnsi="Times New Roman" w:cs="Times New Roman" w:eastAsia="Times New Roman" w:hint="default"/>
        </w:rPr>
        <w:t>”</w:t>
      </w:r>
      <w:r>
        <w:rPr/>
        <w:t>的发展战略，深耕主营业务，秉持高质量健康发展的经营理念，坚持</w:t>
      </w:r>
      <w:r>
        <w:rPr>
          <w:rFonts w:ascii="Times New Roman" w:hAnsi="Times New Roman" w:cs="Times New Roman" w:eastAsia="Times New Roman" w:hint="default"/>
        </w:rPr>
        <w:t>“</w:t>
      </w:r>
      <w:r>
        <w:rPr/>
        <w:t>创 </w:t>
      </w:r>
      <w:r>
        <w:rPr>
          <w:spacing w:val="-2"/>
        </w:rPr>
        <w:t>新技术、产品为王</w:t>
      </w:r>
      <w:r>
        <w:rPr>
          <w:rFonts w:ascii="Times New Roman" w:hAnsi="Times New Roman" w:cs="Times New Roman" w:eastAsia="Times New Roman" w:hint="default"/>
          <w:spacing w:val="-2"/>
        </w:rPr>
        <w:t>”</w:t>
      </w:r>
      <w:r>
        <w:rPr>
          <w:spacing w:val="-2"/>
        </w:rPr>
        <w:t>的经营策略，始终瞄准全球市场，聚焦</w:t>
      </w:r>
      <w:r>
        <w:rPr>
          <w:rFonts w:ascii="Times New Roman" w:hAnsi="Times New Roman" w:cs="Times New Roman" w:eastAsia="Times New Roman" w:hint="default"/>
          <w:spacing w:val="-2"/>
        </w:rPr>
        <w:t>“</w:t>
      </w:r>
      <w:r>
        <w:rPr>
          <w:spacing w:val="-2"/>
        </w:rPr>
        <w:t>渠道</w:t>
      </w:r>
      <w:r>
        <w:rPr>
          <w:rFonts w:ascii="Times New Roman" w:hAnsi="Times New Roman" w:cs="Times New Roman" w:eastAsia="Times New Roman" w:hint="default"/>
          <w:spacing w:val="-2"/>
        </w:rPr>
        <w:t>+</w:t>
      </w:r>
      <w:r>
        <w:rPr>
          <w:spacing w:val="-2"/>
        </w:rPr>
        <w:t>大客户</w:t>
      </w:r>
      <w:r>
        <w:rPr>
          <w:rFonts w:ascii="Times New Roman" w:hAnsi="Times New Roman" w:cs="Times New Roman" w:eastAsia="Times New Roman" w:hint="default"/>
          <w:spacing w:val="-2"/>
        </w:rPr>
        <w:t>”</w:t>
      </w:r>
      <w:r>
        <w:rPr>
          <w:spacing w:val="-2"/>
        </w:rPr>
        <w:t>的战略布局，积极布局创新产品线，深挖更多有潜</w:t>
      </w:r>
      <w:r>
        <w:rPr>
          <w:spacing w:val="-47"/>
        </w:rPr>
        <w:t> </w:t>
      </w:r>
      <w:r>
        <w:rPr>
          <w:spacing w:val="-47"/>
        </w:rPr>
      </w:r>
      <w:r>
        <w:rPr>
          <w:spacing w:val="-2"/>
        </w:rPr>
        <w:t>力的新兴细分市场；同时公司将继续注重财务指标健康、注重研发能力建设、注重产品品质、注重客户服务，有助于公司做</w:t>
      </w:r>
      <w:r>
        <w:rPr>
          <w:spacing w:val="-66"/>
        </w:rPr>
        <w:t> </w:t>
      </w:r>
      <w:r>
        <w:rPr>
          <w:spacing w:val="-66"/>
        </w:rPr>
      </w:r>
      <w:r>
        <w:rPr/>
        <w:t>大做强主业，确保公司的持续健康发展。</w:t>
      </w:r>
    </w:p>
    <w:p>
      <w:pPr>
        <w:pStyle w:val="Heading5"/>
        <w:spacing w:line="240" w:lineRule="auto" w:before="26"/>
        <w:ind w:left="453" w:right="1133"/>
        <w:jc w:val="left"/>
        <w:rPr>
          <w:b w:val="0"/>
          <w:bCs w:val="0"/>
        </w:rPr>
      </w:pPr>
      <w:r>
        <w:rPr/>
        <w:t>（四）</w:t>
      </w:r>
      <w:r>
        <w:rPr>
          <w:rFonts w:ascii="Times New Roman" w:hAnsi="Times New Roman" w:cs="Times New Roman" w:eastAsia="Times New Roman" w:hint="default"/>
        </w:rPr>
        <w:t>2020</w:t>
      </w:r>
      <w:r>
        <w:rPr/>
        <w:t>年年度经营计划</w:t>
      </w:r>
      <w:r>
        <w:rPr>
          <w:b w:val="0"/>
          <w:bCs w:val="0"/>
        </w:rPr>
      </w:r>
    </w:p>
    <w:p>
      <w:pPr>
        <w:spacing w:line="300" w:lineRule="auto" w:before="63"/>
        <w:ind w:left="513" w:right="11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、继续坚持专注实业，聚焦电源主业、做强做大主业战略：</w:t>
      </w:r>
      <w:r>
        <w:rPr>
          <w:rFonts w:ascii="宋体" w:hAnsi="宋体" w:cs="宋体" w:eastAsia="宋体" w:hint="default"/>
          <w:b/>
          <w:bCs/>
          <w:w w:val="99"/>
          <w:sz w:val="18"/>
          <w:szCs w:val="18"/>
        </w:rPr>
        <w:t> </w:t>
      </w:r>
      <w:r>
        <w:rPr>
          <w:rFonts w:ascii="宋体" w:hAnsi="宋体" w:cs="宋体" w:eastAsia="宋体" w:hint="default"/>
          <w:spacing w:val="-2"/>
          <w:sz w:val="18"/>
          <w:szCs w:val="18"/>
        </w:rPr>
        <w:t>进一步回收非主业的业务及投资，将资源集中到电源主业上来；充分利用茂硕电源优势，整合外部资源，大力拓展具有</w:t>
      </w:r>
    </w:p>
    <w:p>
      <w:pPr>
        <w:pStyle w:val="BodyText"/>
        <w:spacing w:line="300" w:lineRule="auto" w:before="31"/>
        <w:ind w:right="1133"/>
        <w:jc w:val="left"/>
      </w:pPr>
      <w:r>
        <w:rPr/>
        <w:t>市场空间大、高附加值的行业领域，积极开拓</w:t>
      </w:r>
      <w:r>
        <w:rPr>
          <w:rFonts w:ascii="Times New Roman" w:hAnsi="Times New Roman" w:cs="Times New Roman" w:eastAsia="Times New Roman" w:hint="default"/>
        </w:rPr>
        <w:t>5G</w:t>
      </w:r>
      <w:r>
        <w:rPr/>
        <w:t>智能灯杆电源产品线、服务器电源产品线及中低速二、三轮电动车智能车</w:t>
      </w:r>
      <w:r>
        <w:rPr>
          <w:spacing w:val="-41"/>
        </w:rPr>
        <w:t> </w:t>
      </w:r>
      <w:r>
        <w:rPr>
          <w:spacing w:val="-41"/>
        </w:rPr>
      </w:r>
      <w:r>
        <w:rPr/>
        <w:t>联网控制等细分领域，持续提高公司盈利能力。</w:t>
      </w:r>
    </w:p>
    <w:p>
      <w:pPr>
        <w:spacing w:line="300" w:lineRule="auto" w:before="31"/>
        <w:ind w:left="513" w:right="22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、继续坚持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创新技术、产品为王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经营战略：</w:t>
      </w:r>
      <w:r>
        <w:rPr>
          <w:rFonts w:ascii="宋体" w:hAnsi="宋体" w:cs="宋体" w:eastAsia="宋体" w:hint="default"/>
          <w:b/>
          <w:bCs/>
          <w:w w:val="99"/>
          <w:sz w:val="18"/>
          <w:szCs w:val="18"/>
        </w:rPr>
        <w:t> </w:t>
      </w:r>
      <w:r>
        <w:rPr>
          <w:rFonts w:ascii="宋体" w:hAnsi="宋体" w:cs="宋体" w:eastAsia="宋体" w:hint="default"/>
          <w:sz w:val="18"/>
          <w:szCs w:val="18"/>
        </w:rPr>
        <w:t>公司持续加大研发投入，使产品的技术、品质、性价比成为竞争优势，使产品进入更多电源细分领域；</w:t>
      </w:r>
    </w:p>
    <w:p>
      <w:pPr>
        <w:pStyle w:val="BodyText"/>
        <w:spacing w:line="309" w:lineRule="auto" w:before="32"/>
        <w:ind w:right="1134"/>
        <w:jc w:val="both"/>
      </w:pPr>
      <w:r>
        <w:rPr>
          <w:spacing w:val="-2"/>
        </w:rPr>
        <w:t>产品的核心是技术，技术的核心是研发人才，</w:t>
      </w:r>
      <w:r>
        <w:rPr>
          <w:rFonts w:ascii="Times New Roman" w:hAnsi="Times New Roman" w:cs="Times New Roman" w:eastAsia="Times New Roman" w:hint="default"/>
          <w:spacing w:val="-2"/>
        </w:rPr>
        <w:t>2020</w:t>
      </w:r>
      <w:r>
        <w:rPr>
          <w:spacing w:val="-2"/>
        </w:rPr>
        <w:t>年，公司将继续加强研发队伍建设，完善研发体系建设，保障研发队伍的</w:t>
      </w:r>
      <w:r>
        <w:rPr>
          <w:spacing w:val="-64"/>
        </w:rPr>
        <w:t> </w:t>
      </w:r>
      <w:r>
        <w:rPr>
          <w:spacing w:val="-64"/>
        </w:rPr>
      </w:r>
      <w:r>
        <w:rPr>
          <w:spacing w:val="-2"/>
        </w:rPr>
        <w:t>效率及活力；同时，公司在自主创新的基础上，加强与外部研发机构、外部团队的合作，包括整合外部具有技术领先的产品</w:t>
      </w:r>
      <w:r>
        <w:rPr>
          <w:spacing w:val="-67"/>
        </w:rPr>
        <w:t> </w:t>
      </w:r>
      <w:r>
        <w:rPr>
          <w:spacing w:val="-67"/>
        </w:rPr>
      </w:r>
      <w:r>
        <w:rPr/>
        <w:t>线，以裂变式项目合作，全面巩固和加强茂硕在电源行业的竞争优势。</w:t>
      </w:r>
    </w:p>
    <w:p>
      <w:pPr>
        <w:pStyle w:val="Heading5"/>
        <w:spacing w:line="240" w:lineRule="auto" w:before="24"/>
        <w:ind w:right="1133"/>
        <w:jc w:val="left"/>
        <w:rPr>
          <w:b w:val="0"/>
          <w:bCs w:val="0"/>
        </w:rPr>
      </w:pPr>
      <w:r>
        <w:rPr>
          <w:rFonts w:ascii="Times New Roman" w:hAnsi="Times New Roman" w:cs="Times New Roman" w:eastAsia="Times New Roman" w:hint="default"/>
        </w:rPr>
        <w:t>3</w:t>
      </w:r>
      <w:r>
        <w:rPr/>
        <w:t>、进一步整合公司内部资源，改革组织架构，提升效率：</w:t>
      </w:r>
      <w:r>
        <w:rPr>
          <w:b w:val="0"/>
          <w:bCs w:val="0"/>
        </w:rPr>
      </w:r>
    </w:p>
    <w:p>
      <w:pPr>
        <w:pStyle w:val="BodyText"/>
        <w:spacing w:line="300" w:lineRule="auto" w:before="63"/>
        <w:ind w:right="1114" w:firstLine="360"/>
        <w:jc w:val="left"/>
      </w:pPr>
      <w:r>
        <w:rPr/>
        <w:t>（</w:t>
      </w:r>
      <w:r>
        <w:rPr>
          <w:rFonts w:ascii="Times New Roman" w:hAnsi="Times New Roman" w:cs="Times New Roman" w:eastAsia="Times New Roman" w:hint="default"/>
        </w:rPr>
        <w:t>1</w:t>
      </w:r>
      <w:r>
        <w:rPr/>
        <w:t>）整合设立集团层面的质量中心，特别是</w:t>
      </w:r>
      <w:r>
        <w:rPr>
          <w:rFonts w:ascii="Times New Roman" w:hAnsi="Times New Roman" w:cs="Times New Roman" w:eastAsia="Times New Roman" w:hint="default"/>
        </w:rPr>
        <w:t>SQE</w:t>
      </w:r>
      <w:r>
        <w:rPr/>
        <w:t>、</w:t>
      </w:r>
      <w:r>
        <w:rPr>
          <w:rFonts w:ascii="Times New Roman" w:hAnsi="Times New Roman" w:cs="Times New Roman" w:eastAsia="Times New Roman" w:hint="default"/>
        </w:rPr>
        <w:t>OQA</w:t>
      </w:r>
      <w:r>
        <w:rPr/>
        <w:t>部门，加强供应商品质管理，对各交付工厂的出货进行严格把 关，确保出货产品质量符合客户要求，改变裁判员和运动员一家的局面；</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）整合设立集团层面的采购中心，对供应商进行统一管理，统一竞价，从而进一步降低成本；</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）整合设立研发公共平台中心，减少机构重复设置；</w:t>
      </w:r>
    </w:p>
    <w:p>
      <w:pPr>
        <w:pStyle w:val="BodyText"/>
        <w:spacing w:line="300" w:lineRule="auto" w:before="63"/>
        <w:ind w:right="1124" w:firstLine="360"/>
        <w:jc w:val="left"/>
      </w:pPr>
      <w:r>
        <w:rPr/>
        <w:t>（</w:t>
      </w:r>
      <w:r>
        <w:rPr>
          <w:rFonts w:ascii="Times New Roman" w:hAnsi="Times New Roman" w:cs="Times New Roman" w:eastAsia="Times New Roman" w:hint="default"/>
        </w:rPr>
        <w:t>4</w:t>
      </w:r>
      <w:r>
        <w:rPr/>
        <w:t>）整合制造中心，构建集团各事业部或子公司以产品、技术、营销为核心价值，类似苹果公司；制造中心以成本、 品质、效率为核心价值的代工厂，打造电源界的富士康，持续提升智能制造水平。</w:t>
      </w:r>
    </w:p>
    <w:p>
      <w:pPr>
        <w:pStyle w:val="BodyText"/>
        <w:spacing w:line="300" w:lineRule="auto" w:before="31"/>
        <w:ind w:left="513" w:right="1133"/>
        <w:jc w:val="left"/>
      </w:pPr>
      <w:r>
        <w:rPr>
          <w:rFonts w:ascii="Times New Roman" w:hAnsi="Times New Roman" w:cs="Times New Roman" w:eastAsia="Times New Roman" w:hint="default"/>
          <w:b/>
          <w:bCs/>
        </w:rPr>
        <w:t>4</w:t>
      </w:r>
      <w:r>
        <w:rPr>
          <w:rFonts w:ascii="宋体" w:hAnsi="宋体" w:cs="宋体" w:eastAsia="宋体" w:hint="default"/>
          <w:b/>
          <w:bCs/>
        </w:rPr>
        <w:t>、加强行业资源的整合：</w:t>
      </w:r>
      <w:r>
        <w:rPr>
          <w:rFonts w:ascii="宋体" w:hAnsi="宋体" w:cs="宋体" w:eastAsia="宋体" w:hint="default"/>
          <w:b/>
          <w:bCs/>
          <w:w w:val="99"/>
        </w:rPr>
        <w:t> </w:t>
      </w:r>
      <w:r>
        <w:rPr>
          <w:spacing w:val="-2"/>
        </w:rPr>
        <w:t>公司将加强主要原材料、代工厂等供应商资源整合，并顺应趋势在海外设立工厂、办事处等机构，以达到降低成本、提</w:t>
      </w:r>
    </w:p>
    <w:p>
      <w:pPr>
        <w:pStyle w:val="BodyText"/>
        <w:spacing w:line="240" w:lineRule="auto" w:before="32"/>
        <w:ind w:right="1133"/>
        <w:jc w:val="left"/>
      </w:pPr>
      <w:r>
        <w:rPr/>
        <w:t>升服务效率、扩大市场的目的，制造中心顺应趋势将考虑在印度、越南等地投资设厂。</w:t>
      </w:r>
    </w:p>
    <w:p>
      <w:pPr>
        <w:pStyle w:val="BodyText"/>
        <w:spacing w:line="300" w:lineRule="auto" w:before="76"/>
        <w:ind w:left="513" w:right="1124"/>
        <w:jc w:val="left"/>
      </w:pPr>
      <w:r>
        <w:rPr>
          <w:rFonts w:ascii="Times New Roman" w:hAnsi="Times New Roman" w:cs="Times New Roman" w:eastAsia="Times New Roman" w:hint="default"/>
          <w:b/>
          <w:bCs/>
        </w:rPr>
        <w:t>5</w:t>
      </w:r>
      <w:r>
        <w:rPr>
          <w:rFonts w:ascii="宋体" w:hAnsi="宋体" w:cs="宋体" w:eastAsia="宋体" w:hint="default"/>
          <w:b/>
          <w:bCs/>
        </w:rPr>
        <w:t>、继续推行薪酬结构改革</w:t>
      </w:r>
      <w:r>
        <w:rPr>
          <w:rFonts w:ascii="宋体" w:hAnsi="宋体" w:cs="宋体" w:eastAsia="宋体" w:hint="default"/>
          <w:b/>
          <w:bCs/>
          <w:w w:val="99"/>
        </w:rPr>
        <w:t> </w:t>
      </w:r>
      <w:r>
        <w:rPr>
          <w:spacing w:val="-2"/>
        </w:rPr>
        <w:t>进一步推行薪酬结构改革，继续施行固定工资＋绩效工资＋利润分享的薪酬结构，使得团队、个人责权利统一，充分调</w:t>
      </w:r>
    </w:p>
    <w:p>
      <w:pPr>
        <w:pStyle w:val="BodyText"/>
        <w:spacing w:line="240" w:lineRule="auto" w:before="31"/>
        <w:ind w:right="1133"/>
        <w:jc w:val="left"/>
      </w:pPr>
      <w:r>
        <w:rPr/>
        <w:t>动全员主观能动性，实现</w:t>
      </w:r>
      <w:r>
        <w:rPr>
          <w:rFonts w:ascii="Times New Roman" w:hAnsi="Times New Roman" w:cs="Times New Roman" w:eastAsia="Times New Roman" w:hint="default"/>
        </w:rPr>
        <w:t>“</w:t>
      </w:r>
      <w:r>
        <w:rPr/>
        <w:t>千斤重担人人挑、人人身上有指标</w:t>
      </w:r>
      <w:r>
        <w:rPr>
          <w:rFonts w:ascii="Times New Roman" w:hAnsi="Times New Roman" w:cs="Times New Roman" w:eastAsia="Times New Roman" w:hint="default"/>
        </w:rPr>
        <w:t>”</w:t>
      </w:r>
      <w:r>
        <w:rPr/>
        <w:t>的管理格局。</w:t>
      </w:r>
    </w:p>
    <w:p>
      <w:pPr>
        <w:spacing w:line="300" w:lineRule="auto" w:before="63"/>
        <w:ind w:left="513" w:right="286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、提升风险管控能力</w:t>
      </w:r>
      <w:r>
        <w:rPr>
          <w:rFonts w:ascii="宋体" w:hAnsi="宋体" w:cs="宋体" w:eastAsia="宋体" w:hint="default"/>
          <w:b/>
          <w:bCs/>
          <w:w w:val="99"/>
          <w:sz w:val="18"/>
          <w:szCs w:val="18"/>
        </w:rPr>
        <w:t> </w:t>
      </w:r>
      <w:r>
        <w:rPr>
          <w:rFonts w:ascii="宋体" w:hAnsi="宋体" w:cs="宋体" w:eastAsia="宋体" w:hint="default"/>
          <w:sz w:val="18"/>
          <w:szCs w:val="18"/>
        </w:rPr>
        <w:t>目前受新冠肺炎疫情影响，全球经济金融受到冲击，公司</w:t>
      </w:r>
      <w:r>
        <w:rPr>
          <w:rFonts w:ascii="Times New Roman" w:hAnsi="Times New Roman" w:cs="Times New Roman" w:eastAsia="Times New Roman" w:hint="default"/>
          <w:sz w:val="18"/>
          <w:szCs w:val="18"/>
        </w:rPr>
        <w:t>50%</w:t>
      </w:r>
      <w:r>
        <w:rPr>
          <w:rFonts w:ascii="宋体" w:hAnsi="宋体" w:cs="宋体" w:eastAsia="宋体" w:hint="default"/>
          <w:sz w:val="18"/>
          <w:szCs w:val="18"/>
        </w:rPr>
        <w:t>的业务出口，外销业务将受影响：</w:t>
      </w:r>
    </w:p>
    <w:p>
      <w:pPr>
        <w:pStyle w:val="BodyText"/>
        <w:spacing w:line="240" w:lineRule="auto" w:before="13"/>
        <w:ind w:left="513" w:right="1133"/>
        <w:jc w:val="left"/>
      </w:pPr>
      <w:r>
        <w:rPr/>
        <w:t>（</w:t>
      </w:r>
      <w:r>
        <w:rPr>
          <w:rFonts w:ascii="Times New Roman" w:hAnsi="Times New Roman" w:cs="Times New Roman" w:eastAsia="Times New Roman" w:hint="default"/>
        </w:rPr>
        <w:t>1</w:t>
      </w:r>
      <w:r>
        <w:rPr/>
        <w:t>）</w:t>
      </w:r>
      <w:r>
        <w:rPr>
          <w:spacing w:val="-61"/>
        </w:rPr>
        <w:t> </w:t>
      </w:r>
      <w:r>
        <w:rPr/>
        <w:t>加强客户沟通，进一步提升服务水平和响应速度，将影响降到最低水平；</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w:t>
      </w:r>
      <w:r>
        <w:rPr>
          <w:spacing w:val="-61"/>
        </w:rPr>
        <w:t> </w:t>
      </w:r>
      <w:r>
        <w:rPr/>
        <w:t>加大国内业务开拓力度，以弥补海外出口业务可能产生的不利影响；</w:t>
      </w:r>
    </w:p>
    <w:p>
      <w:pPr>
        <w:pStyle w:val="BodyText"/>
        <w:spacing w:line="300" w:lineRule="auto" w:before="63"/>
        <w:ind w:left="513" w:right="1573"/>
        <w:jc w:val="left"/>
      </w:pPr>
      <w:r>
        <w:rPr/>
        <w:t>（</w:t>
      </w:r>
      <w:r>
        <w:rPr>
          <w:rFonts w:ascii="Times New Roman" w:hAnsi="Times New Roman" w:cs="Times New Roman" w:eastAsia="Times New Roman" w:hint="default"/>
        </w:rPr>
        <w:t>3</w:t>
      </w:r>
      <w:r>
        <w:rPr/>
        <w:t>）</w:t>
      </w:r>
      <w:r>
        <w:rPr>
          <w:spacing w:val="-62"/>
        </w:rPr>
        <w:t> </w:t>
      </w:r>
      <w:r>
        <w:rPr/>
        <w:t>密切关注客户经营情况变化，严格控制应收账款坏账风险及库存风险。</w:t>
      </w:r>
      <w:r>
        <w:rPr/>
        <w:t> 公司时刻警惕关注风险变化对公司业务的影响，及时调整策略，不断提升公司抗风险能力、保障公司健康发展。</w:t>
      </w:r>
    </w:p>
    <w:p>
      <w:pPr>
        <w:pStyle w:val="Heading5"/>
        <w:spacing w:line="240" w:lineRule="auto" w:before="31"/>
        <w:ind w:right="1133"/>
        <w:jc w:val="left"/>
        <w:rPr>
          <w:b w:val="0"/>
          <w:bCs w:val="0"/>
        </w:rPr>
      </w:pPr>
      <w:r>
        <w:rPr/>
        <w:t>（五）未来可能面临的风险提示</w:t>
      </w:r>
      <w:r>
        <w:rPr>
          <w:b w:val="0"/>
          <w:bCs w:val="0"/>
        </w:rPr>
      </w:r>
    </w:p>
    <w:p>
      <w:pPr>
        <w:pStyle w:val="BodyText"/>
        <w:spacing w:line="300" w:lineRule="auto" w:before="77"/>
        <w:ind w:left="513" w:right="1124"/>
        <w:jc w:val="left"/>
      </w:pPr>
      <w:r>
        <w:rPr>
          <w:rFonts w:ascii="Times New Roman" w:hAnsi="Times New Roman" w:cs="Times New Roman" w:eastAsia="Times New Roman" w:hint="default"/>
        </w:rPr>
        <w:t>1</w:t>
      </w:r>
      <w:r>
        <w:rPr/>
        <w:t>、市场竞争加剧及毛利率下降的风险 </w:t>
      </w:r>
      <w:r>
        <w:rPr>
          <w:spacing w:val="-2"/>
        </w:rPr>
        <w:t>经过多年的快速发展，中国已成为全球最大的消费类开关电源制造基地。普通开关电源行业是一个充分竞争的行业，作</w:t>
      </w:r>
    </w:p>
    <w:p>
      <w:pPr>
        <w:pStyle w:val="BodyText"/>
        <w:spacing w:line="314" w:lineRule="auto" w:before="31"/>
        <w:ind w:right="1034"/>
        <w:jc w:val="left"/>
      </w:pPr>
      <w:r>
        <w:rPr>
          <w:spacing w:val="-2"/>
        </w:rPr>
        <w:t>为传统产业，行业进入门槛相对较低，其竞争主要体现在产品质量、营销渠道、研发设计、客户服务等方面。普通开关电源</w:t>
      </w:r>
      <w:r>
        <w:rPr>
          <w:spacing w:val="-68"/>
        </w:rPr>
        <w:t> </w:t>
      </w:r>
      <w:r>
        <w:rPr>
          <w:spacing w:val="-68"/>
        </w:rPr>
      </w:r>
      <w:r>
        <w:rPr>
          <w:spacing w:val="-2"/>
        </w:rPr>
        <w:t>各品牌的市场集中度相对较低，各品牌之间的竞争较为激烈；</w:t>
      </w:r>
      <w:r>
        <w:rPr>
          <w:rFonts w:ascii="Times New Roman" w:hAnsi="Times New Roman" w:cs="Times New Roman" w:eastAsia="Times New Roman" w:hint="default"/>
          <w:spacing w:val="-2"/>
        </w:rPr>
        <w:t>LED</w:t>
      </w:r>
      <w:r>
        <w:rPr>
          <w:spacing w:val="-2"/>
        </w:rPr>
        <w:t>驱动电源虽然为开关电源行业中的新兴细分产业，但新进</w:t>
      </w:r>
      <w:r>
        <w:rPr>
          <w:spacing w:val="-52"/>
        </w:rPr>
        <w:t> </w:t>
      </w:r>
      <w:r>
        <w:rPr>
          <w:spacing w:val="-52"/>
        </w:rPr>
      </w:r>
      <w:r>
        <w:rPr>
          <w:spacing w:val="-2"/>
        </w:rPr>
        <w:t>制造商的不断增加也使其竞争日趋激烈，来自国内外的竞争压力仍将持续甚至加大。此外，电子产品普遍呈现同款产品价格</w:t>
      </w:r>
      <w:r>
        <w:rPr>
          <w:spacing w:val="-63"/>
        </w:rPr>
        <w:t> </w:t>
      </w:r>
      <w:r>
        <w:rPr>
          <w:spacing w:val="-63"/>
        </w:rPr>
      </w:r>
      <w:r>
        <w:rPr/>
        <w:t>逐年下降的趋势，长期来看，随着市场竞争的加剧、供求关系的影响、生产效率的提高，各类电源产品价格存在下降趋势。 </w:t>
      </w:r>
      <w:r>
        <w:rPr>
          <w:spacing w:val="-2"/>
        </w:rPr>
        <w:t>公司将在做大做强主业的同时充分利用茂硕电源平台优势，整合内外部资源，大力拓展具有市场空间大、高附加值的细分电</w:t>
      </w:r>
      <w:r>
        <w:rPr>
          <w:spacing w:val="-63"/>
        </w:rPr>
        <w:t> </w:t>
      </w:r>
      <w:r>
        <w:rPr>
          <w:spacing w:val="-63"/>
        </w:rPr>
      </w:r>
      <w:r>
        <w:rPr/>
        <w:t>源领域，并稳步推动各项降本措施、加强对应收款项、库存的管理落地生效，不断优化客户及产品结构。</w:t>
      </w:r>
    </w:p>
    <w:p>
      <w:pPr>
        <w:pStyle w:val="BodyText"/>
        <w:spacing w:line="240" w:lineRule="auto" w:before="20"/>
        <w:ind w:left="513" w:right="1133"/>
        <w:jc w:val="left"/>
      </w:pPr>
      <w:r>
        <w:rPr>
          <w:rFonts w:ascii="Times New Roman" w:hAnsi="Times New Roman" w:cs="Times New Roman" w:eastAsia="Times New Roman" w:hint="default"/>
        </w:rPr>
        <w:t>2</w:t>
      </w:r>
      <w:r>
        <w:rPr/>
        <w:t>、技术及产品研发风险</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ind w:right="1124" w:firstLine="360"/>
        <w:jc w:val="left"/>
      </w:pPr>
      <w:r>
        <w:rPr>
          <w:rFonts w:ascii="Times New Roman" w:hAnsi="Times New Roman" w:cs="Times New Roman" w:eastAsia="Times New Roman" w:hint="default"/>
          <w:spacing w:val="-1"/>
        </w:rPr>
        <w:t>SPS</w:t>
      </w:r>
      <w:r>
        <w:rPr>
          <w:spacing w:val="-1"/>
        </w:rPr>
        <w:t>开关电源及</w:t>
      </w:r>
      <w:r>
        <w:rPr>
          <w:rFonts w:ascii="Times New Roman" w:hAnsi="Times New Roman" w:cs="Times New Roman" w:eastAsia="Times New Roman" w:hint="default"/>
          <w:spacing w:val="-1"/>
        </w:rPr>
        <w:t>LED</w:t>
      </w:r>
      <w:r>
        <w:rPr>
          <w:spacing w:val="-1"/>
        </w:rPr>
        <w:t>驱动电源等电源产品是公司的传统优势领域。公司十分重视电源技术及产品的研发，逐步增强自身</w:t>
      </w:r>
      <w:r>
        <w:rPr/>
        <w:t> </w:t>
      </w:r>
      <w:r>
        <w:rPr>
          <w:spacing w:val="-2"/>
        </w:rPr>
        <w:t>的研发实力。随着电源产品向高频、高功率、高效率、高可靠、智能化方向发展，电源的研发技术要求，尤其是大功率</w:t>
      </w:r>
      <w:r>
        <w:rPr>
          <w:rFonts w:ascii="Times New Roman" w:hAnsi="Times New Roman" w:cs="Times New Roman" w:eastAsia="Times New Roman" w:hint="default"/>
          <w:spacing w:val="-2"/>
        </w:rPr>
        <w:t>LED</w:t>
      </w:r>
      <w:r>
        <w:rPr>
          <w:rFonts w:ascii="Times New Roman" w:hAnsi="Times New Roman" w:cs="Times New Roman" w:eastAsia="Times New Roman" w:hint="default"/>
          <w:spacing w:val="-7"/>
        </w:rPr>
        <w:t> </w:t>
      </w:r>
      <w:r>
        <w:rPr>
          <w:spacing w:val="-2"/>
        </w:rPr>
        <w:t>驱动电源的技术要求显著提高，工艺技术和行业经验也非常重要，需要长时间的行业积累。虽然公司对电源的技术研发一直</w:t>
      </w:r>
      <w:r>
        <w:rPr>
          <w:spacing w:val="-63"/>
        </w:rPr>
        <w:t> </w:t>
      </w:r>
      <w:r>
        <w:rPr>
          <w:spacing w:val="-63"/>
        </w:rPr>
      </w:r>
      <w:r>
        <w:rPr>
          <w:spacing w:val="-2"/>
        </w:rPr>
        <w:t>处于行业领先水平，但是如果公司技术不能持续进步、保持行业领先，或是研发方向决策错误，开发的新产品不能很好的适</w:t>
      </w:r>
      <w:r>
        <w:rPr>
          <w:spacing w:val="-65"/>
        </w:rPr>
        <w:t> </w:t>
      </w:r>
      <w:r>
        <w:rPr>
          <w:spacing w:val="-65"/>
        </w:rPr>
      </w:r>
      <w:r>
        <w:rPr/>
        <w:t>应市场需求，公司的竞争能力将被削弱。 </w:t>
      </w:r>
      <w:r>
        <w:rPr>
          <w:spacing w:val="-2"/>
        </w:rPr>
        <w:t>公司将进一步加强研发投入及力度，并安排专职研发</w:t>
      </w:r>
      <w:r>
        <w:rPr>
          <w:rFonts w:ascii="Times New Roman" w:hAnsi="Times New Roman" w:cs="Times New Roman" w:eastAsia="Times New Roman" w:hint="default"/>
          <w:spacing w:val="-2"/>
        </w:rPr>
        <w:t>FAE</w:t>
      </w:r>
      <w:r>
        <w:rPr>
          <w:spacing w:val="-2"/>
        </w:rPr>
        <w:t>人员随同销售人员调研市场，把握行业发展趋势，为公司制定产品</w:t>
      </w:r>
      <w:r>
        <w:rPr>
          <w:spacing w:val="-47"/>
        </w:rPr>
        <w:t> </w:t>
      </w:r>
      <w:r>
        <w:rPr>
          <w:spacing w:val="-47"/>
        </w:rPr>
      </w:r>
      <w:r>
        <w:rPr/>
        <w:t>开发路线图提供决策与技术支持，保持公司行业领先地位。</w:t>
      </w:r>
    </w:p>
    <w:p>
      <w:pPr>
        <w:pStyle w:val="BodyText"/>
        <w:spacing w:line="300" w:lineRule="auto" w:before="24"/>
        <w:ind w:left="513" w:right="1124"/>
        <w:jc w:val="left"/>
      </w:pPr>
      <w:r>
        <w:rPr>
          <w:rFonts w:ascii="Times New Roman" w:hAnsi="Times New Roman" w:cs="Times New Roman" w:eastAsia="Times New Roman" w:hint="default"/>
        </w:rPr>
        <w:t>3</w:t>
      </w:r>
      <w:r>
        <w:rPr/>
        <w:t>、汇率波动的风险 </w:t>
      </w:r>
      <w:r>
        <w:rPr>
          <w:spacing w:val="-2"/>
        </w:rPr>
        <w:t>随着公司海外市场业务的不断拓展，外贸销售业务占比持续攀升，公司日常经营涉及大量的外汇收支，在此期间，如果</w:t>
      </w:r>
    </w:p>
    <w:p>
      <w:pPr>
        <w:pStyle w:val="BodyText"/>
        <w:spacing w:line="316" w:lineRule="auto" w:before="31"/>
        <w:ind w:right="1124"/>
        <w:jc w:val="left"/>
      </w:pPr>
      <w:r>
        <w:rPr>
          <w:spacing w:val="-2"/>
        </w:rPr>
        <w:t>国际外汇市场出现剧烈波动，将给公司的经营带来较大波动。针对上述风险，公司通过开展外汇套期保值业务来规避外汇市</w:t>
      </w:r>
      <w:r>
        <w:rPr>
          <w:spacing w:val="-66"/>
        </w:rPr>
        <w:t> </w:t>
      </w:r>
      <w:r>
        <w:rPr>
          <w:spacing w:val="-66"/>
        </w:rPr>
      </w:r>
      <w:r>
        <w:rPr/>
        <w:t>场的风险，防范汇率大幅波动对公司造成的不良影响，锁定汇兑成本；完善经营管理。</w:t>
      </w:r>
    </w:p>
    <w:p>
      <w:pPr>
        <w:pStyle w:val="BodyText"/>
        <w:spacing w:line="300" w:lineRule="auto" w:before="19"/>
        <w:ind w:left="513" w:right="1124"/>
        <w:jc w:val="left"/>
      </w:pPr>
      <w:r>
        <w:rPr>
          <w:rFonts w:ascii="Times New Roman" w:hAnsi="Times New Roman" w:cs="Times New Roman" w:eastAsia="Times New Roman" w:hint="default"/>
        </w:rPr>
        <w:t>4</w:t>
      </w:r>
      <w:r>
        <w:rPr/>
        <w:t>、应收账款的坏账风险 </w:t>
      </w:r>
      <w:r>
        <w:rPr>
          <w:spacing w:val="-2"/>
        </w:rPr>
        <w:t>随着公司业务规模扩大，应收账款规模也会相应增长，存在因客户自身财务问题导致公司产生坏账风险，公司将不断完</w:t>
      </w:r>
    </w:p>
    <w:p>
      <w:pPr>
        <w:pStyle w:val="BodyText"/>
        <w:spacing w:line="316" w:lineRule="auto" w:before="31"/>
        <w:ind w:right="1124"/>
        <w:jc w:val="left"/>
      </w:pPr>
      <w:r>
        <w:rPr>
          <w:spacing w:val="-2"/>
        </w:rPr>
        <w:t>善应收账款风险管理体系，客户账期调整提高防范坏账风险意识，加强客户的风险评估，并加强应收账款的催收，以降低回</w:t>
      </w:r>
      <w:r>
        <w:rPr>
          <w:spacing w:val="-64"/>
        </w:rPr>
        <w:t> </w:t>
      </w:r>
      <w:r>
        <w:rPr>
          <w:spacing w:val="-64"/>
        </w:rPr>
      </w:r>
      <w:r>
        <w:rPr/>
        <w:t>款风险。</w:t>
      </w:r>
    </w:p>
    <w:p>
      <w:pPr>
        <w:pStyle w:val="BodyText"/>
        <w:spacing w:line="338" w:lineRule="auto" w:before="59"/>
        <w:ind w:left="513" w:right="1124"/>
        <w:jc w:val="left"/>
      </w:pPr>
      <w:r>
        <w:rPr>
          <w:rFonts w:ascii="Times New Roman" w:hAnsi="Times New Roman" w:cs="Times New Roman" w:eastAsia="Times New Roman" w:hint="default"/>
        </w:rPr>
        <w:t>5</w:t>
      </w:r>
      <w:r>
        <w:rPr/>
        <w:t>、国内外宏观经济受疫情影响的风险 </w:t>
      </w:r>
      <w:r>
        <w:rPr>
          <w:spacing w:val="-2"/>
        </w:rPr>
        <w:t>目前，受新冠肺炎疫情影响，国内外市场的生产、消费等领域受到冲击，贸易活动减少，全球经济下行压力加大。若后</w:t>
      </w:r>
    </w:p>
    <w:p>
      <w:pPr>
        <w:pStyle w:val="BodyText"/>
        <w:spacing w:line="316" w:lineRule="auto" w:before="2"/>
        <w:ind w:right="1034"/>
        <w:jc w:val="left"/>
      </w:pPr>
      <w:r>
        <w:rPr/>
        <w:t>续疫情无法得到尽快遏制，物流不畅及市场需求萎缩等将会对公司的订单及交付产生影响，从而影响公司经营业绩。因此， 公司时刻警惕关注风险变化对公司业务的影响，及时调整策略，不断提升公司抗风险能力。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30"/>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3"/>
        <w:ind w:right="1133"/>
        <w:jc w:val="left"/>
      </w:pPr>
      <w:r>
        <w:rPr>
          <w:rFonts w:ascii="Times New Roman" w:hAnsi="Times New Roman" w:cs="Times New Roman" w:eastAsia="Times New Roman" w:hint="default"/>
        </w:rPr>
        <w:t>2017</w:t>
      </w:r>
      <w:r>
        <w:rPr/>
        <w:t>年，公司不派发现金红利，不送红股，不以公积金转增股本。</w:t>
      </w:r>
    </w:p>
    <w:p>
      <w:pPr>
        <w:pStyle w:val="BodyText"/>
        <w:spacing w:line="240" w:lineRule="auto" w:before="63"/>
        <w:ind w:right="1133"/>
        <w:jc w:val="left"/>
      </w:pPr>
      <w:r>
        <w:rPr>
          <w:rFonts w:ascii="Times New Roman" w:hAnsi="Times New Roman" w:cs="Times New Roman" w:eastAsia="Times New Roman" w:hint="default"/>
        </w:rPr>
        <w:t>2018</w:t>
      </w:r>
      <w:r>
        <w:rPr/>
        <w:t>年，公司不派发现金红利，不送红股，不以公积金转增股本。</w:t>
      </w:r>
    </w:p>
    <w:p>
      <w:pPr>
        <w:pStyle w:val="BodyText"/>
        <w:spacing w:line="240" w:lineRule="auto" w:before="63"/>
        <w:ind w:right="1133"/>
        <w:jc w:val="left"/>
      </w:pPr>
      <w:r>
        <w:rPr>
          <w:rFonts w:ascii="Times New Roman" w:hAnsi="Times New Roman" w:cs="Times New Roman" w:eastAsia="Times New Roman" w:hint="default"/>
        </w:rPr>
        <w:t>2019</w:t>
      </w:r>
      <w:r>
        <w:rPr/>
        <w:t>年，公司不派发现金红利，不送红股，不以公积金转增股本。</w:t>
      </w:r>
    </w:p>
    <w:p>
      <w:pPr>
        <w:spacing w:line="240" w:lineRule="auto" w:before="5"/>
        <w:rPr>
          <w:rFonts w:ascii="宋体" w:hAnsi="宋体" w:cs="宋体" w:eastAsia="宋体" w:hint="default"/>
          <w:sz w:val="28"/>
          <w:szCs w:val="28"/>
        </w:rPr>
      </w:pPr>
    </w:p>
    <w:p>
      <w:pPr>
        <w:pStyle w:val="BodyText"/>
        <w:spacing w:line="240" w:lineRule="auto"/>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070"/>
        <w:gridCol w:w="1321"/>
        <w:gridCol w:w="1196"/>
        <w:gridCol w:w="1197"/>
        <w:gridCol w:w="1195"/>
        <w:gridCol w:w="119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132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070"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132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070" w:type="dxa"/>
            <w:vMerge/>
            <w:tcBorders>
              <w:left w:val="single" w:sz="4" w:space="0" w:color="000000"/>
              <w:right w:val="single" w:sz="4" w:space="0" w:color="000000"/>
            </w:tcBorders>
            <w:shd w:val="clear" w:color="auto" w:fill="D2D2D2"/>
          </w:tcPr>
          <w:p>
            <w:pPr/>
          </w:p>
        </w:tc>
        <w:tc>
          <w:tcPr>
            <w:tcW w:w="132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66,527,398.75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-255,760,999.17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13,065,004.57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4"/>
        <w:gridCol w:w="4607"/>
      </w:tblGrid>
      <w:tr>
        <w:trPr>
          <w:trHeight w:val="715"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17" w:right="47" w:hanging="1172"/>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 普通股现金红利分配预案的原因</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8"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626"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年度虽实现母公司净利润</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1,442.31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万元及归属于母公</w:t>
            </w:r>
          </w:p>
          <w:p>
            <w:pPr>
              <w:pStyle w:val="TableParagraph"/>
              <w:spacing w:line="319" w:lineRule="auto" w:before="63"/>
              <w:ind w:left="24" w:right="68"/>
              <w:jc w:val="left"/>
              <w:rPr>
                <w:rFonts w:ascii="宋体" w:hAnsi="宋体" w:cs="宋体" w:eastAsia="宋体" w:hint="default"/>
                <w:sz w:val="18"/>
                <w:szCs w:val="18"/>
              </w:rPr>
            </w:pPr>
            <w:r>
              <w:rPr>
                <w:rFonts w:ascii="宋体" w:hAnsi="宋体" w:cs="宋体" w:eastAsia="宋体" w:hint="default"/>
                <w:sz w:val="18"/>
                <w:szCs w:val="18"/>
              </w:rPr>
              <w:t>司所有者的净利润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6,652.74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万元，但合并层面未分配利润累计 仍为</w:t>
            </w:r>
            <w:r>
              <w:rPr>
                <w:rFonts w:ascii="Times New Roman" w:hAnsi="Times New Roman" w:cs="Times New Roman" w:eastAsia="Times New Roman" w:hint="default"/>
                <w:sz w:val="18"/>
                <w:szCs w:val="18"/>
              </w:rPr>
              <w:t>-5,679.67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深圳证券交易所上市公司规范运作指引及公司章程明确规定： 公司制定利润分配方案时，应当以母公司报表中可供分配利润 为依据。同时，为避免出现超分配的情况，公司应当以合并报 表、母公司报表中可供分配利润孰低的原则来确定具体的利润 分配比例。故本年度公司不做利润分配安排。</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2"/>
              <w:ind w:left="23" w:right="70"/>
              <w:jc w:val="both"/>
              <w:rPr>
                <w:rFonts w:ascii="宋体" w:hAnsi="宋体" w:cs="宋体" w:eastAsia="宋体" w:hint="default"/>
                <w:sz w:val="18"/>
                <w:szCs w:val="18"/>
              </w:rPr>
            </w:pPr>
            <w:r>
              <w:rPr>
                <w:rFonts w:ascii="宋体" w:hAnsi="宋体" w:cs="宋体" w:eastAsia="宋体" w:hint="default"/>
                <w:sz w:val="18"/>
                <w:szCs w:val="18"/>
              </w:rPr>
              <w:t>公司未分配利润转入下一年度，主要用于生产经营等相关 资金支出安排，通过未分配利润合理有效的再投入，公司 将获得更稳定的发展，从而更好的回报全体股东。</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公司计划年度不派发现金红利，不送红股，不以公积金转增股本。</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2"/>
        <w:gridCol w:w="1136"/>
        <w:gridCol w:w="991"/>
        <w:gridCol w:w="1985"/>
        <w:gridCol w:w="994"/>
        <w:gridCol w:w="992"/>
        <w:gridCol w:w="919"/>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6" w:type="dxa"/>
            <w:tcBorders>
              <w:top w:val="single" w:sz="4" w:space="0" w:color="000000"/>
              <w:left w:val="single" w:sz="10"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136" w:type="dxa"/>
            <w:tcBorders>
              <w:top w:val="single" w:sz="4" w:space="0" w:color="000000"/>
              <w:left w:val="single" w:sz="10"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666"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97" w:lineRule="auto"/>
              <w:ind w:left="16" w:right="149"/>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985" w:type="dxa"/>
            <w:vMerge w:val="restart"/>
            <w:tcBorders>
              <w:top w:val="single" w:sz="4" w:space="0" w:color="000000"/>
              <w:left w:val="single" w:sz="4" w:space="0" w:color="000000"/>
              <w:right w:val="single" w:sz="9" w:space="0" w:color="FFFFFF"/>
            </w:tcBorders>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5"/>
                <w:sz w:val="18"/>
                <w:szCs w:val="18"/>
              </w:rPr>
              <w:t>方笑求、蓝顺明已经分别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出具《关于避免同业竞争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的承诺函》，承诺如下：</w:t>
            </w:r>
          </w:p>
          <w:p>
            <w:pPr>
              <w:pStyle w:val="TableParagraph"/>
              <w:spacing w:line="316" w:lineRule="auto" w:before="19"/>
              <w:ind w:left="23" w:right="-35"/>
              <w:jc w:val="left"/>
              <w:rPr>
                <w:rFonts w:ascii="宋体" w:hAnsi="宋体" w:cs="宋体" w:eastAsia="宋体" w:hint="default"/>
                <w:sz w:val="18"/>
                <w:szCs w:val="18"/>
              </w:rPr>
            </w:pPr>
            <w:r>
              <w:rPr>
                <w:rFonts w:ascii="宋体" w:hAnsi="宋体" w:cs="宋体" w:eastAsia="宋体" w:hint="default"/>
                <w:sz w:val="18"/>
                <w:szCs w:val="18"/>
              </w:rPr>
              <w:t>①截至该承诺函签署日， </w:t>
            </w:r>
            <w:r>
              <w:rPr>
                <w:rFonts w:ascii="宋体" w:hAnsi="宋体" w:cs="宋体" w:eastAsia="宋体" w:hint="default"/>
                <w:spacing w:val="-5"/>
                <w:sz w:val="18"/>
                <w:szCs w:val="18"/>
              </w:rPr>
              <w:t>方笑求、蓝顺明及其控制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的其他公司、企业或者其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他经济组织未从事与茂 </w:t>
            </w:r>
            <w:r>
              <w:rPr>
                <w:rFonts w:ascii="宋体" w:hAnsi="宋体" w:cs="宋体" w:eastAsia="宋体" w:hint="default"/>
                <w:spacing w:val="-5"/>
                <w:sz w:val="18"/>
                <w:szCs w:val="18"/>
              </w:rPr>
              <w:t>硕电源、湖南方正达及其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控制的其他公司、企业或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者其他经济组织存在同 </w:t>
            </w:r>
            <w:r>
              <w:rPr>
                <w:rFonts w:ascii="宋体" w:hAnsi="宋体" w:cs="宋体" w:eastAsia="宋体" w:hint="default"/>
                <w:spacing w:val="-5"/>
                <w:sz w:val="18"/>
                <w:szCs w:val="18"/>
              </w:rPr>
              <w:t>业竞争关系的业务。②在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方笑求、蓝顺明持有茂硕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电源股份期间及全部减 持茂硕电源股份后五年 内或担任茂硕电源董事、 监事及高级管理人员期 间及离任茂硕电源董事、 监事及高级管理人员后 </w:t>
            </w:r>
            <w:r>
              <w:rPr>
                <w:rFonts w:ascii="宋体" w:hAnsi="宋体" w:cs="宋体" w:eastAsia="宋体" w:hint="default"/>
                <w:spacing w:val="-5"/>
                <w:sz w:val="18"/>
                <w:szCs w:val="18"/>
              </w:rPr>
              <w:t>两年内，方笑求、蓝顺明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及其控制的其他公司、企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业或者其他经济组织将 </w:t>
            </w:r>
            <w:r>
              <w:rPr>
                <w:rFonts w:ascii="宋体" w:hAnsi="宋体" w:cs="宋体" w:eastAsia="宋体" w:hint="default"/>
                <w:spacing w:val="-5"/>
                <w:sz w:val="18"/>
                <w:szCs w:val="18"/>
              </w:rPr>
              <w:t>避免与茂硕电源、湖南方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正达及其控制的其他公 </w:t>
            </w:r>
            <w:r>
              <w:rPr>
                <w:rFonts w:ascii="宋体" w:hAnsi="宋体" w:cs="宋体" w:eastAsia="宋体" w:hint="default"/>
                <w:spacing w:val="-5"/>
                <w:sz w:val="18"/>
                <w:szCs w:val="18"/>
              </w:rPr>
              <w:t>司、企业或者其他经济组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织从事任何相同或相似 且构成或可能构成竞争 </w:t>
            </w:r>
            <w:r>
              <w:rPr>
                <w:rFonts w:ascii="宋体" w:hAnsi="宋体" w:cs="宋体" w:eastAsia="宋体" w:hint="default"/>
                <w:spacing w:val="-5"/>
                <w:sz w:val="18"/>
                <w:szCs w:val="18"/>
              </w:rPr>
              <w:t>关系的业务，亦不从事任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何可能损害茂硕电源、湖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南方正达及其控制的其 </w:t>
            </w:r>
            <w:r>
              <w:rPr>
                <w:rFonts w:ascii="宋体" w:hAnsi="宋体" w:cs="宋体" w:eastAsia="宋体" w:hint="default"/>
                <w:spacing w:val="-5"/>
                <w:sz w:val="18"/>
                <w:szCs w:val="18"/>
              </w:rPr>
              <w:t>他公司、企业或者其他经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济组织利益的活动。如方</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6" w:type="dxa"/>
            <w:vMerge/>
            <w:tcBorders>
              <w:left w:val="single" w:sz="10"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1985" w:type="dxa"/>
            <w:vMerge/>
            <w:tcBorders>
              <w:left w:val="single" w:sz="4" w:space="0" w:color="000000"/>
              <w:right w:val="single" w:sz="9" w:space="0" w:color="FFFFFF"/>
            </w:tcBorders>
          </w:tcPr>
          <w:p>
            <w:pPr/>
          </w:p>
        </w:tc>
        <w:tc>
          <w:tcPr>
            <w:tcW w:w="994" w:type="dxa"/>
            <w:vMerge/>
            <w:tcBorders>
              <w:left w:val="single" w:sz="9" w:space="0" w:color="FFFFFF"/>
              <w:right w:val="single" w:sz="4" w:space="0" w:color="000000"/>
            </w:tcBorders>
          </w:tcPr>
          <w:p>
            <w:pPr/>
          </w:p>
        </w:tc>
        <w:tc>
          <w:tcPr>
            <w:tcW w:w="992"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4666"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10"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991"/>
        <w:gridCol w:w="1985"/>
        <w:gridCol w:w="994"/>
        <w:gridCol w:w="992"/>
        <w:gridCol w:w="922"/>
      </w:tblGrid>
      <w:tr>
        <w:trPr>
          <w:trHeight w:val="5979" w:hRule="exact"/>
        </w:trPr>
        <w:tc>
          <w:tcPr>
            <w:tcW w:w="2550"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9"/>
              <w:jc w:val="left"/>
              <w:rPr>
                <w:rFonts w:ascii="宋体" w:hAnsi="宋体" w:cs="宋体" w:eastAsia="宋体" w:hint="default"/>
                <w:sz w:val="18"/>
                <w:szCs w:val="18"/>
              </w:rPr>
            </w:pPr>
            <w:r>
              <w:rPr>
                <w:rFonts w:ascii="宋体" w:hAnsi="宋体" w:cs="宋体" w:eastAsia="宋体" w:hint="default"/>
                <w:spacing w:val="-5"/>
                <w:sz w:val="18"/>
                <w:szCs w:val="18"/>
              </w:rPr>
              <w:t>笑求、蓝顺明及其控制的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其他公司、企业或者其他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经济组织遇到茂硕电源、 湖南方正达及其控制的 </w:t>
            </w:r>
            <w:r>
              <w:rPr>
                <w:rFonts w:ascii="宋体" w:hAnsi="宋体" w:cs="宋体" w:eastAsia="宋体" w:hint="default"/>
                <w:spacing w:val="-5"/>
                <w:sz w:val="18"/>
                <w:szCs w:val="18"/>
              </w:rPr>
              <w:t>其他公司、企业或者其他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经济组织主营业务范围 内的业务机会，方笑求、 蓝顺明及其控制的其他 </w:t>
            </w:r>
            <w:r>
              <w:rPr>
                <w:rFonts w:ascii="宋体" w:hAnsi="宋体" w:cs="宋体" w:eastAsia="宋体" w:hint="default"/>
                <w:spacing w:val="-5"/>
                <w:sz w:val="18"/>
                <w:szCs w:val="18"/>
              </w:rPr>
              <w:t>公司、企业或者其他经济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组织将该等合作机会让 </w:t>
            </w:r>
            <w:r>
              <w:rPr>
                <w:rFonts w:ascii="宋体" w:hAnsi="宋体" w:cs="宋体" w:eastAsia="宋体" w:hint="default"/>
                <w:spacing w:val="-5"/>
                <w:sz w:val="18"/>
                <w:szCs w:val="18"/>
              </w:rPr>
              <w:t>予茂硕电源、湖南方正达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及其控制的其他公司、企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业或者其他经济组织。方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笑求、蓝顺明若违反上述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承诺，将承担因此而给茂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硕电源、湖南方正达及其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控制的其他公司、企业或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者其他经济组织造成的 一切损失。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97" w:lineRule="auto"/>
              <w:ind w:left="24" w:right="149"/>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pacing w:val="-5"/>
                <w:sz w:val="18"/>
                <w:szCs w:val="18"/>
              </w:rPr>
              <w:t>方笑求、蓝顺明已经分别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出具《关于减少和规范关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联交易的承诺函》，承诺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如下：方笑求、蓝顺明在</w:t>
            </w:r>
            <w:r>
              <w:rPr>
                <w:rFonts w:ascii="宋体" w:hAnsi="宋体" w:cs="宋体" w:eastAsia="宋体" w:hint="default"/>
                <w:sz w:val="18"/>
                <w:szCs w:val="18"/>
              </w:rPr>
              <w:t> 持有茂硕电源股份期间 </w:t>
            </w:r>
            <w:r>
              <w:rPr>
                <w:rFonts w:ascii="宋体" w:hAnsi="宋体" w:cs="宋体" w:eastAsia="宋体" w:hint="default"/>
                <w:spacing w:val="-5"/>
                <w:sz w:val="18"/>
                <w:szCs w:val="18"/>
              </w:rPr>
              <w:t>或担任茂硕电源董事、监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事及高级管理人员期间， </w:t>
            </w:r>
            <w:r>
              <w:rPr>
                <w:rFonts w:ascii="宋体" w:hAnsi="宋体" w:cs="宋体" w:eastAsia="宋体" w:hint="default"/>
                <w:spacing w:val="-5"/>
                <w:sz w:val="18"/>
                <w:szCs w:val="18"/>
              </w:rPr>
              <w:t>方笑求、蓝顺明及其控制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的其他公司、企业或者其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他经济组织将尽量减少 </w:t>
            </w:r>
            <w:r>
              <w:rPr>
                <w:rFonts w:ascii="宋体" w:hAnsi="宋体" w:cs="宋体" w:eastAsia="宋体" w:hint="default"/>
                <w:spacing w:val="-5"/>
                <w:sz w:val="18"/>
                <w:szCs w:val="18"/>
              </w:rPr>
              <w:t>并规范与茂硕电源、湖南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方正达及其控制的其他 </w:t>
            </w:r>
            <w:r>
              <w:rPr>
                <w:rFonts w:ascii="宋体" w:hAnsi="宋体" w:cs="宋体" w:eastAsia="宋体" w:hint="default"/>
                <w:spacing w:val="-5"/>
                <w:sz w:val="18"/>
                <w:szCs w:val="18"/>
              </w:rPr>
              <w:t>公司、企业或者其他经济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组织之间的关联交易。对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于无法避免或有合理原 </w:t>
            </w:r>
            <w:r>
              <w:rPr>
                <w:rFonts w:ascii="宋体" w:hAnsi="宋体" w:cs="宋体" w:eastAsia="宋体" w:hint="default"/>
                <w:spacing w:val="-5"/>
                <w:sz w:val="18"/>
                <w:szCs w:val="18"/>
              </w:rPr>
              <w:t>因而发生的关联交易，方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笑求、蓝顺明及其控制的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其他公司、企业或者其他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经济组织将遵循市场原 </w:t>
            </w:r>
            <w:r>
              <w:rPr>
                <w:rFonts w:ascii="宋体" w:hAnsi="宋体" w:cs="宋体" w:eastAsia="宋体" w:hint="default"/>
                <w:spacing w:val="-5"/>
                <w:sz w:val="18"/>
                <w:szCs w:val="18"/>
              </w:rPr>
              <w:t>则以公允、合理的市场价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格进行，根据有关法律、 法规及规范性文件的规 定履行关联交易决策程 </w:t>
            </w:r>
            <w:r>
              <w:rPr>
                <w:rFonts w:ascii="宋体" w:hAnsi="宋体" w:cs="宋体" w:eastAsia="宋体" w:hint="default"/>
                <w:spacing w:val="-5"/>
                <w:sz w:val="18"/>
                <w:szCs w:val="18"/>
              </w:rPr>
              <w:t>序，依法履行信息披露义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务和办理有关报批程序，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991"/>
        <w:gridCol w:w="1985"/>
        <w:gridCol w:w="994"/>
        <w:gridCol w:w="992"/>
        <w:gridCol w:w="922"/>
      </w:tblGrid>
      <w:tr>
        <w:trPr>
          <w:trHeight w:val="2547" w:hRule="exact"/>
        </w:trPr>
        <w:tc>
          <w:tcPr>
            <w:tcW w:w="2550"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不损害茂硕电源及其他 股东的合法权益。方笑 </w:t>
            </w:r>
            <w:r>
              <w:rPr>
                <w:rFonts w:ascii="宋体" w:hAnsi="宋体" w:cs="宋体" w:eastAsia="宋体" w:hint="default"/>
                <w:spacing w:val="-5"/>
                <w:sz w:val="18"/>
                <w:szCs w:val="18"/>
              </w:rPr>
              <w:t>求、蓝顺明若违反上述承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诺，将承担因此而给茂硕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电源、湖南方正达及其控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制的其他公司、企业或者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其他经济组织造成的一 切损失。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55"/>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本公司实际控制人顾永 德先生已经出具承诺函， </w:t>
            </w:r>
            <w:r>
              <w:rPr>
                <w:rFonts w:ascii="宋体" w:hAnsi="宋体" w:cs="宋体" w:eastAsia="宋体" w:hint="default"/>
                <w:spacing w:val="-5"/>
                <w:sz w:val="18"/>
                <w:szCs w:val="18"/>
              </w:rPr>
              <w:t>承诺如下：①截至该承诺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函签署日，顾永德及其控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制的其他公司、企业或者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其他经济组织未从事与 </w:t>
            </w:r>
            <w:r>
              <w:rPr>
                <w:rFonts w:ascii="宋体" w:hAnsi="宋体" w:cs="宋体" w:eastAsia="宋体" w:hint="default"/>
                <w:spacing w:val="-5"/>
                <w:sz w:val="18"/>
                <w:szCs w:val="18"/>
              </w:rPr>
              <w:t>茂硕电源、湖南方正达及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其控制的其他公司、企业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或者其他经济组织存在 </w:t>
            </w:r>
            <w:r>
              <w:rPr>
                <w:rFonts w:ascii="宋体" w:hAnsi="宋体" w:cs="宋体" w:eastAsia="宋体" w:hint="default"/>
                <w:spacing w:val="-5"/>
                <w:sz w:val="18"/>
                <w:szCs w:val="18"/>
              </w:rPr>
              <w:t>同业竞争关系的业务。②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在作为茂硕电源的实际 </w:t>
            </w:r>
            <w:r>
              <w:rPr>
                <w:rFonts w:ascii="宋体" w:hAnsi="宋体" w:cs="宋体" w:eastAsia="宋体" w:hint="default"/>
                <w:spacing w:val="-5"/>
                <w:sz w:val="18"/>
                <w:szCs w:val="18"/>
              </w:rPr>
              <w:t>控制人期间，顾永德及其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控制的其他公司、企业或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者其他经济组织将避免 </w:t>
            </w:r>
            <w:r>
              <w:rPr>
                <w:rFonts w:ascii="宋体" w:hAnsi="宋体" w:cs="宋体" w:eastAsia="宋体" w:hint="default"/>
                <w:spacing w:val="-5"/>
                <w:sz w:val="18"/>
                <w:szCs w:val="18"/>
              </w:rPr>
              <w:t>从事任何与茂硕电源、湖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南方正达及其控制的其 </w:t>
            </w:r>
            <w:r>
              <w:rPr>
                <w:rFonts w:ascii="宋体" w:hAnsi="宋体" w:cs="宋体" w:eastAsia="宋体" w:hint="default"/>
                <w:spacing w:val="-5"/>
                <w:sz w:val="18"/>
                <w:szCs w:val="18"/>
              </w:rPr>
              <w:t>他公司、企业或者其他经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济组织相同或相似且构 成或可能构成竞争关系 </w:t>
            </w:r>
            <w:r>
              <w:rPr>
                <w:rFonts w:ascii="宋体" w:hAnsi="宋体" w:cs="宋体" w:eastAsia="宋体" w:hint="default"/>
                <w:spacing w:val="-5"/>
                <w:sz w:val="18"/>
                <w:szCs w:val="18"/>
              </w:rPr>
              <w:t>的业务，亦不从事任何可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能损害茂硕电源、湖南方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正达及其控制的其他公 </w:t>
            </w:r>
            <w:r>
              <w:rPr>
                <w:rFonts w:ascii="宋体" w:hAnsi="宋体" w:cs="宋体" w:eastAsia="宋体" w:hint="default"/>
                <w:spacing w:val="-5"/>
                <w:sz w:val="18"/>
                <w:szCs w:val="18"/>
              </w:rPr>
              <w:t>司、企业或者其他经济组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织利益的活动。如顾永德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及其控制的其他公司、企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业或者其他经济组织遇</w:t>
            </w:r>
            <w:r>
              <w:rPr>
                <w:rFonts w:ascii="宋体" w:hAnsi="宋体" w:cs="宋体" w:eastAsia="宋体" w:hint="default"/>
                <w:sz w:val="18"/>
                <w:szCs w:val="18"/>
              </w:rPr>
              <w:t> </w:t>
            </w:r>
            <w:r>
              <w:rPr>
                <w:rFonts w:ascii="宋体" w:hAnsi="宋体" w:cs="宋体" w:eastAsia="宋体" w:hint="default"/>
                <w:spacing w:val="-5"/>
                <w:sz w:val="18"/>
                <w:szCs w:val="18"/>
              </w:rPr>
              <w:t>到茂硕电源、湖南方正达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及其控制的其他公司、企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业或者其他经济组织主 营业务范围内的业务机 </w:t>
            </w:r>
            <w:r>
              <w:rPr>
                <w:rFonts w:ascii="宋体" w:hAnsi="宋体" w:cs="宋体" w:eastAsia="宋体" w:hint="default"/>
                <w:spacing w:val="-5"/>
                <w:sz w:val="18"/>
                <w:szCs w:val="18"/>
              </w:rPr>
              <w:t>会，顾永德及其控制的其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他公司、企业或者其他经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济组织将该等合作机会 </w:t>
            </w:r>
            <w:r>
              <w:rPr>
                <w:rFonts w:ascii="宋体" w:hAnsi="宋体" w:cs="宋体" w:eastAsia="宋体" w:hint="default"/>
                <w:spacing w:val="-5"/>
                <w:sz w:val="18"/>
                <w:szCs w:val="18"/>
              </w:rPr>
              <w:t>让予茂硕电源、湖南方正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达及其控制的其他公司、 企业或者其他经济组织。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991"/>
        <w:gridCol w:w="1985"/>
        <w:gridCol w:w="994"/>
        <w:gridCol w:w="992"/>
        <w:gridCol w:w="922"/>
      </w:tblGrid>
      <w:tr>
        <w:trPr>
          <w:trHeight w:val="1611" w:hRule="exact"/>
        </w:trPr>
        <w:tc>
          <w:tcPr>
            <w:tcW w:w="2550"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9"/>
              <w:jc w:val="left"/>
              <w:rPr>
                <w:rFonts w:ascii="宋体" w:hAnsi="宋体" w:cs="宋体" w:eastAsia="宋体" w:hint="default"/>
                <w:sz w:val="18"/>
                <w:szCs w:val="18"/>
              </w:rPr>
            </w:pPr>
            <w:r>
              <w:rPr>
                <w:rFonts w:ascii="宋体" w:hAnsi="宋体" w:cs="宋体" w:eastAsia="宋体" w:hint="default"/>
                <w:sz w:val="18"/>
                <w:szCs w:val="18"/>
              </w:rPr>
              <w:t>顾永德若违反上述承诺， 将承担因此而给茂硕电 </w:t>
            </w:r>
            <w:r>
              <w:rPr>
                <w:rFonts w:ascii="宋体" w:hAnsi="宋体" w:cs="宋体" w:eastAsia="宋体" w:hint="default"/>
                <w:spacing w:val="-5"/>
                <w:sz w:val="18"/>
                <w:szCs w:val="18"/>
              </w:rPr>
              <w:t>源、湖南方正达及其控制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的其他公司、企业或者其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他经济组织造成的损失。</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2550" w:type="dxa"/>
            <w:vMerge/>
            <w:tcBorders>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9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本公司实际控制人顾永 德先生已经出具承诺函， </w:t>
            </w:r>
            <w:r>
              <w:rPr>
                <w:rFonts w:ascii="宋体" w:hAnsi="宋体" w:cs="宋体" w:eastAsia="宋体" w:hint="default"/>
                <w:spacing w:val="-5"/>
                <w:sz w:val="18"/>
                <w:szCs w:val="18"/>
              </w:rPr>
              <w:t>承诺如下：顾永德在作为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茂硕电源的实际控制人 </w:t>
            </w:r>
            <w:r>
              <w:rPr>
                <w:rFonts w:ascii="宋体" w:hAnsi="宋体" w:cs="宋体" w:eastAsia="宋体" w:hint="default"/>
                <w:spacing w:val="-5"/>
                <w:sz w:val="18"/>
                <w:szCs w:val="18"/>
              </w:rPr>
              <w:t>期间，顾永德及其控制的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其他公司、企业或者其他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经济组织将尽量减少并 </w:t>
            </w:r>
            <w:r>
              <w:rPr>
                <w:rFonts w:ascii="宋体" w:hAnsi="宋体" w:cs="宋体" w:eastAsia="宋体" w:hint="default"/>
                <w:spacing w:val="-5"/>
                <w:sz w:val="18"/>
                <w:szCs w:val="18"/>
              </w:rPr>
              <w:t>规范与茂硕电源、湖南方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正达及其控制的其他公 </w:t>
            </w:r>
            <w:r>
              <w:rPr>
                <w:rFonts w:ascii="宋体" w:hAnsi="宋体" w:cs="宋体" w:eastAsia="宋体" w:hint="default"/>
                <w:spacing w:val="-5"/>
                <w:sz w:val="18"/>
                <w:szCs w:val="18"/>
              </w:rPr>
              <w:t>司、企业或者其他经济组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织之间的关联交易。对于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无法避免或有合理原因 </w:t>
            </w:r>
            <w:r>
              <w:rPr>
                <w:rFonts w:ascii="宋体" w:hAnsi="宋体" w:cs="宋体" w:eastAsia="宋体" w:hint="default"/>
                <w:spacing w:val="-5"/>
                <w:sz w:val="18"/>
                <w:szCs w:val="18"/>
              </w:rPr>
              <w:t>而发生的关联交易，顾永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德及其控制的其他公司、 企业或者其他经济组织 将遵循市场原则以公允、 </w:t>
            </w:r>
            <w:r>
              <w:rPr>
                <w:rFonts w:ascii="宋体" w:hAnsi="宋体" w:cs="宋体" w:eastAsia="宋体" w:hint="default"/>
                <w:spacing w:val="-5"/>
                <w:sz w:val="18"/>
                <w:szCs w:val="18"/>
              </w:rPr>
              <w:t>合理的市场价格进行，根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据有关法律、法规及规范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性文件的规定履行关联 </w:t>
            </w:r>
            <w:r>
              <w:rPr>
                <w:rFonts w:ascii="宋体" w:hAnsi="宋体" w:cs="宋体" w:eastAsia="宋体" w:hint="default"/>
                <w:spacing w:val="-5"/>
                <w:sz w:val="18"/>
                <w:szCs w:val="18"/>
              </w:rPr>
              <w:t>交易决策程序，依法履行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信息披露义务和办理有 </w:t>
            </w:r>
            <w:r>
              <w:rPr>
                <w:rFonts w:ascii="宋体" w:hAnsi="宋体" w:cs="宋体" w:eastAsia="宋体" w:hint="default"/>
                <w:spacing w:val="-5"/>
                <w:sz w:val="18"/>
                <w:szCs w:val="18"/>
              </w:rPr>
              <w:t>关报批程序，不利用实际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控制人地位损害茂硕电 源及其他股东的合法权 </w:t>
            </w:r>
            <w:r>
              <w:rPr>
                <w:rFonts w:ascii="宋体" w:hAnsi="宋体" w:cs="宋体" w:eastAsia="宋体" w:hint="default"/>
                <w:spacing w:val="-5"/>
                <w:sz w:val="18"/>
                <w:szCs w:val="18"/>
              </w:rPr>
              <w:t>益。顾永德若违反上述承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诺，将承担因此而给茂硕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电源、湖南方正达及其控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制的其他公司、企业或者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其他经济组织造成的损 失。</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858"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0" w:lineRule="auto"/>
              <w:ind w:left="24" w:right="149"/>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9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为了保证公司及标的资 </w:t>
            </w:r>
            <w:r>
              <w:rPr>
                <w:rFonts w:ascii="宋体" w:hAnsi="宋体" w:cs="宋体" w:eastAsia="宋体" w:hint="default"/>
                <w:spacing w:val="-5"/>
                <w:sz w:val="18"/>
                <w:szCs w:val="18"/>
              </w:rPr>
              <w:t>产的独立性，方笑求、蓝</w:t>
            </w:r>
            <w:r>
              <w:rPr>
                <w:rFonts w:ascii="宋体" w:hAnsi="宋体" w:cs="宋体" w:eastAsia="宋体" w:hint="default"/>
                <w:sz w:val="18"/>
                <w:szCs w:val="18"/>
              </w:rPr>
              <w:t> </w:t>
            </w:r>
            <w:r>
              <w:rPr>
                <w:rFonts w:ascii="宋体" w:hAnsi="宋体" w:cs="宋体" w:eastAsia="宋体" w:hint="default"/>
                <w:spacing w:val="-5"/>
                <w:sz w:val="18"/>
                <w:szCs w:val="18"/>
              </w:rPr>
              <w:t>顺明已经分别出具《关于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保证独立性的承诺函》，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承诺在本次交易完成后， 保持公司和湖南方正达 </w:t>
            </w:r>
            <w:r>
              <w:rPr>
                <w:rFonts w:ascii="宋体" w:hAnsi="宋体" w:cs="宋体" w:eastAsia="宋体" w:hint="default"/>
                <w:spacing w:val="-5"/>
                <w:sz w:val="18"/>
                <w:szCs w:val="18"/>
              </w:rPr>
              <w:t>的人员、机构、资产、业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务、财务的独立性。本公</w:t>
            </w:r>
            <w:r>
              <w:rPr>
                <w:rFonts w:ascii="宋体" w:hAnsi="宋体" w:cs="宋体" w:eastAsia="宋体" w:hint="default"/>
                <w:sz w:val="18"/>
                <w:szCs w:val="18"/>
              </w:rPr>
              <w:t> 司实际控制人顾永德先</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7.044006pt;margin-top:489.189972pt;width:82.25pt;height:78pt;mso-position-horizontal-relative:page;mso-position-vertical-relative:page;z-index:-1243072" type="#_x0000_t202" filled="false" stroked="false">
            <v:textbox inset="0,0,0,0">
              <w:txbxContent>
                <w:p>
                  <w:pPr>
                    <w:pStyle w:val="BodyText"/>
                    <w:spacing w:line="203" w:lineRule="exact" w:before="0"/>
                    <w:ind w:left="0" w:right="0"/>
                    <w:jc w:val="left"/>
                  </w:pPr>
                  <w:r>
                    <w:rPr/>
                    <w:t>方笑求、</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991"/>
        <w:gridCol w:w="1985"/>
        <w:gridCol w:w="994"/>
        <w:gridCol w:w="992"/>
        <w:gridCol w:w="919"/>
      </w:tblGrid>
      <w:tr>
        <w:trPr>
          <w:trHeight w:val="1611" w:hRule="exact"/>
        </w:trPr>
        <w:tc>
          <w:tcPr>
            <w:tcW w:w="2550"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9"/>
              <w:jc w:val="left"/>
              <w:rPr>
                <w:rFonts w:ascii="宋体" w:hAnsi="宋体" w:cs="宋体" w:eastAsia="宋体" w:hint="default"/>
                <w:sz w:val="18"/>
                <w:szCs w:val="18"/>
              </w:rPr>
            </w:pPr>
            <w:r>
              <w:rPr>
                <w:rFonts w:ascii="宋体" w:hAnsi="宋体" w:cs="宋体" w:eastAsia="宋体" w:hint="default"/>
                <w:spacing w:val="-5"/>
                <w:sz w:val="18"/>
                <w:szCs w:val="18"/>
              </w:rPr>
              <w:t>生已经出具承诺函，承诺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在本次交易完成后，保持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公司和湖南方正达的人 员、机构、资产、业务、 财务的独立性。</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2550" w:type="dxa"/>
            <w:vMerge/>
            <w:tcBorders>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4" w:right="149"/>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pacing w:val="-5"/>
                <w:sz w:val="18"/>
                <w:szCs w:val="18"/>
              </w:rPr>
              <w:t>方笑求、蓝顺明已经分别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出具《关于社会保险、住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房公积金补缴的承诺</w:t>
            </w:r>
            <w:r>
              <w:rPr>
                <w:rFonts w:ascii="宋体" w:hAnsi="宋体" w:cs="宋体" w:eastAsia="宋体" w:hint="default"/>
                <w:sz w:val="18"/>
                <w:szCs w:val="18"/>
              </w:rPr>
              <w:t> </w:t>
            </w:r>
            <w:r>
              <w:rPr>
                <w:rFonts w:ascii="宋体" w:hAnsi="宋体" w:cs="宋体" w:eastAsia="宋体" w:hint="default"/>
                <w:spacing w:val="-9"/>
                <w:sz w:val="18"/>
                <w:szCs w:val="18"/>
              </w:rPr>
              <w:t>函》，承诺如下：若湖南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方正达及其子公司因未 为其员工足额缴纳社会 </w:t>
            </w:r>
            <w:r>
              <w:rPr>
                <w:rFonts w:ascii="宋体" w:hAnsi="宋体" w:cs="宋体" w:eastAsia="宋体" w:hint="default"/>
                <w:spacing w:val="-5"/>
                <w:sz w:val="18"/>
                <w:szCs w:val="18"/>
              </w:rPr>
              <w:t>保险、住房公积金而被政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府部门要求补缴社会保 </w:t>
            </w:r>
            <w:r>
              <w:rPr>
                <w:rFonts w:ascii="宋体" w:hAnsi="宋体" w:cs="宋体" w:eastAsia="宋体" w:hint="default"/>
                <w:spacing w:val="-5"/>
                <w:sz w:val="18"/>
                <w:szCs w:val="18"/>
              </w:rPr>
              <w:t>险、住房公积金或被政府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部门处以罚款，方笑求、 蓝顺明将全额补偿湖南 方正达及其子公司补缴 </w:t>
            </w:r>
            <w:r>
              <w:rPr>
                <w:rFonts w:ascii="宋体" w:hAnsi="宋体" w:cs="宋体" w:eastAsia="宋体" w:hint="default"/>
                <w:spacing w:val="-5"/>
                <w:sz w:val="18"/>
                <w:szCs w:val="18"/>
              </w:rPr>
              <w:t>的社会保险、住房公积金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及缴纳的罚款。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836"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4" w:right="149"/>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方笑求、蓝顺明已经分别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出具《关于税收追缴补偿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的承诺函》，承诺如下：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若湖南方正达因不符合 高新技术企业资质条件 而被税务部门追缴所享 受的税收优惠或处以罚 </w:t>
            </w:r>
            <w:r>
              <w:rPr>
                <w:rFonts w:ascii="宋体" w:hAnsi="宋体" w:cs="宋体" w:eastAsia="宋体" w:hint="default"/>
                <w:spacing w:val="-9"/>
                <w:sz w:val="18"/>
                <w:szCs w:val="18"/>
              </w:rPr>
              <w:t>款、缴纳滞纳金，</w:t>
            </w:r>
            <w:r>
              <w:rPr>
                <w:rFonts w:ascii="宋体" w:hAnsi="宋体" w:cs="宋体" w:eastAsia="宋体" w:hint="default"/>
                <w:sz w:val="18"/>
                <w:szCs w:val="18"/>
              </w:rPr>
              <w:t> 蓝顺明将全额补偿湖南 方正达被追缴的企业所 </w:t>
            </w:r>
            <w:r>
              <w:rPr>
                <w:rFonts w:ascii="宋体" w:hAnsi="宋体" w:cs="宋体" w:eastAsia="宋体" w:hint="default"/>
                <w:spacing w:val="-5"/>
                <w:sz w:val="18"/>
                <w:szCs w:val="18"/>
              </w:rPr>
              <w:t>得税款或缴纳的罚款、滞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纳金。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156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1pt;height:78pt;mso-position-horizontal-relative:char;mso-position-vertical-relative:line" coordorigin="0,0" coordsize="982,1560">
                  <v:group style="position:absolute;left:0;top:0;width:982;height:1560" coordorigin="0,0" coordsize="982,1560">
                    <v:shape style="position:absolute;left:0;top:0;width:982;height:1560" coordorigin="0,0" coordsize="982,1560" path="m0,1560l982,1560,982,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897" w:hRule="exact"/>
        </w:trPr>
        <w:tc>
          <w:tcPr>
            <w:tcW w:w="2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5"/>
                <w:sz w:val="18"/>
                <w:szCs w:val="18"/>
              </w:rPr>
              <w:t>作为公司的董事，本人所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持公司股份在上述锁定 </w:t>
            </w:r>
            <w:r>
              <w:rPr>
                <w:rFonts w:ascii="宋体" w:hAnsi="宋体" w:cs="宋体" w:eastAsia="宋体" w:hint="default"/>
                <w:spacing w:val="-5"/>
                <w:sz w:val="18"/>
                <w:szCs w:val="18"/>
              </w:rPr>
              <w:t>期限届满后，在任职期间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每年转让公司股份的比 例不超过所持公司股份 总数的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；公司上市后</w:t>
            </w:r>
            <w:r>
              <w:rPr>
                <w:rFonts w:ascii="宋体" w:hAnsi="宋体" w:cs="宋体" w:eastAsia="宋体" w:hint="default"/>
                <w:sz w:val="18"/>
                <w:szCs w:val="18"/>
              </w:rPr>
              <w:t> 如离任，离任后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5"/>
                <w:sz w:val="18"/>
                <w:szCs w:val="18"/>
              </w:rPr>
              <w:t>内，不转让本人所持有的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986"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both"/>
              <w:rPr>
                <w:rFonts w:ascii="宋体" w:hAnsi="宋体" w:cs="宋体" w:eastAsia="宋体" w:hint="default"/>
                <w:sz w:val="18"/>
                <w:szCs w:val="18"/>
              </w:rPr>
            </w:pPr>
            <w:r>
              <w:rPr>
                <w:rFonts w:ascii="宋体" w:hAnsi="宋体" w:cs="宋体" w:eastAsia="宋体" w:hint="default"/>
                <w:spacing w:val="-5"/>
                <w:sz w:val="18"/>
                <w:szCs w:val="18"/>
              </w:rPr>
              <w:t>公司上市后如离任，在申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报离任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月内通过交易所挂牌交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已豁免</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991"/>
        <w:gridCol w:w="1985"/>
        <w:gridCol w:w="994"/>
        <w:gridCol w:w="992"/>
        <w:gridCol w:w="919"/>
      </w:tblGrid>
      <w:tr>
        <w:trPr>
          <w:trHeight w:val="1299" w:hRule="exact"/>
        </w:trPr>
        <w:tc>
          <w:tcPr>
            <w:tcW w:w="2550" w:type="dxa"/>
            <w:vMerge w:val="restart"/>
            <w:tcBorders>
              <w:top w:val="single" w:sz="4" w:space="0" w:color="000000"/>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9"/>
              <w:jc w:val="left"/>
              <w:rPr>
                <w:rFonts w:ascii="宋体" w:hAnsi="宋体" w:cs="宋体" w:eastAsia="宋体" w:hint="default"/>
                <w:sz w:val="18"/>
                <w:szCs w:val="18"/>
              </w:rPr>
            </w:pPr>
            <w:r>
              <w:rPr>
                <w:rFonts w:ascii="宋体" w:hAnsi="宋体" w:cs="宋体" w:eastAsia="宋体" w:hint="default"/>
                <w:sz w:val="18"/>
                <w:szCs w:val="18"/>
              </w:rPr>
              <w:t>易出售本公司股票数量 占其所持有本公司股票 总数的比例不得超过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50" w:type="dxa"/>
            <w:vMerge/>
            <w:tcBorders>
              <w:left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茂硕电源科 技股份有限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现金分红的承诺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964" w:hRule="exact"/>
        </w:trPr>
        <w:tc>
          <w:tcPr>
            <w:tcW w:w="255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49"/>
              <w:jc w:val="both"/>
              <w:rPr>
                <w:rFonts w:ascii="宋体" w:hAnsi="宋体" w:cs="宋体" w:eastAsia="宋体" w:hint="default"/>
                <w:sz w:val="18"/>
                <w:szCs w:val="18"/>
              </w:rPr>
            </w:pPr>
            <w:r>
              <w:rPr>
                <w:rFonts w:ascii="宋体" w:hAnsi="宋体" w:cs="宋体" w:eastAsia="宋体" w:hint="default"/>
                <w:sz w:val="18"/>
                <w:szCs w:val="18"/>
              </w:rPr>
              <w:t>深圳德旺投 资发展有限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为避免未来可能存在的 </w:t>
            </w:r>
            <w:r>
              <w:rPr>
                <w:rFonts w:ascii="宋体" w:hAnsi="宋体" w:cs="宋体" w:eastAsia="宋体" w:hint="default"/>
                <w:spacing w:val="-5"/>
                <w:sz w:val="18"/>
                <w:szCs w:val="18"/>
              </w:rPr>
              <w:t>同业竞争，公司控股股东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德旺投资、实际控制人顾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永德先生向本公司出具 了《避免同业竞争承诺 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如承诺超期未履行完毕的，应当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详细说明未完成履行的具体原 因及下一步的工作计划</w:t>
            </w:r>
          </w:p>
        </w:tc>
        <w:tc>
          <w:tcPr>
            <w:tcW w:w="70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5"/>
        <w:spacing w:line="240" w:lineRule="auto" w:before="103"/>
        <w:ind w:left="575" w:right="1133"/>
        <w:jc w:val="left"/>
        <w:rPr>
          <w:b w:val="0"/>
          <w:bCs w:val="0"/>
        </w:rPr>
      </w:pPr>
      <w:r>
        <w:rPr>
          <w:rFonts w:ascii="宋体" w:hAnsi="宋体" w:cs="宋体" w:eastAsia="宋体" w:hint="default"/>
        </w:rPr>
        <w:t>1.</w:t>
      </w:r>
      <w:r>
        <w:rPr>
          <w:rFonts w:ascii="宋体" w:hAnsi="宋体" w:cs="宋体" w:eastAsia="宋体" w:hint="default"/>
          <w:spacing w:val="87"/>
        </w:rPr>
        <w:t> </w:t>
      </w:r>
      <w:r>
        <w:rPr/>
        <w:t>会计政策变更</w:t>
      </w:r>
      <w:r>
        <w:rPr>
          <w:b w:val="0"/>
          <w:bCs w:val="0"/>
        </w:rPr>
      </w:r>
    </w:p>
    <w:p>
      <w:pPr>
        <w:spacing w:line="240" w:lineRule="auto" w:before="3"/>
        <w:rPr>
          <w:rFonts w:ascii="宋体" w:hAnsi="宋体" w:cs="宋体" w:eastAsia="宋体" w:hint="default"/>
          <w:b/>
          <w:bCs/>
          <w:sz w:val="5"/>
          <w:szCs w:val="5"/>
        </w:rPr>
      </w:pPr>
    </w:p>
    <w:tbl>
      <w:tblPr>
        <w:tblW w:w="0" w:type="auto"/>
        <w:jc w:val="left"/>
        <w:tblInd w:w="136" w:type="dxa"/>
        <w:tblLayout w:type="fixed"/>
        <w:tblCellMar>
          <w:top w:w="0" w:type="dxa"/>
          <w:left w:w="0" w:type="dxa"/>
          <w:bottom w:w="0" w:type="dxa"/>
          <w:right w:w="0" w:type="dxa"/>
        </w:tblCellMar>
        <w:tblLook w:val="01E0"/>
      </w:tblPr>
      <w:tblGrid>
        <w:gridCol w:w="7247"/>
        <w:gridCol w:w="1649"/>
        <w:gridCol w:w="763"/>
      </w:tblGrid>
      <w:tr>
        <w:trPr>
          <w:trHeight w:val="348" w:hRule="exact"/>
        </w:trPr>
        <w:tc>
          <w:tcPr>
            <w:tcW w:w="7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970" w:hRule="exact"/>
        </w:trPr>
        <w:tc>
          <w:tcPr>
            <w:tcW w:w="72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9" w:right="14"/>
              <w:jc w:val="both"/>
              <w:rPr>
                <w:rFonts w:ascii="宋体" w:hAnsi="宋体" w:cs="宋体" w:eastAsia="宋体" w:hint="default"/>
                <w:sz w:val="18"/>
                <w:szCs w:val="18"/>
              </w:rPr>
            </w:pPr>
            <w:r>
              <w:rPr>
                <w:rFonts w:ascii="宋体" w:hAnsi="宋体" w:cs="宋体" w:eastAsia="宋体" w:hint="default"/>
                <w:spacing w:val="-2"/>
                <w:sz w:val="18"/>
                <w:szCs w:val="18"/>
              </w:rPr>
              <w:t>本公司自</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日起执行财政部</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年修订的《企业会计准则第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w:t>
            </w:r>
            <w:r>
              <w:rPr>
                <w:rFonts w:ascii="宋体" w:hAnsi="宋体" w:cs="宋体" w:eastAsia="宋体" w:hint="default"/>
                <w:spacing w:val="-67"/>
                <w:sz w:val="18"/>
                <w:szCs w:val="18"/>
              </w:rPr>
              <w:t> </w:t>
            </w:r>
            <w:r>
              <w:rPr>
                <w:rFonts w:ascii="宋体" w:hAnsi="宋体" w:cs="宋体" w:eastAsia="宋体" w:hint="default"/>
                <w:sz w:val="18"/>
                <w:szCs w:val="18"/>
              </w:rPr>
              <w:t>量》、《企业会计准则第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金融资产转移》和《企业会计准则第</w:t>
            </w:r>
            <w:r>
              <w:rPr>
                <w:rFonts w:ascii="Times New Roman" w:hAnsi="Times New Roman" w:cs="Times New Roman" w:eastAsia="Times New Roman" w:hint="default"/>
                <w:sz w:val="18"/>
                <w:szCs w:val="18"/>
              </w:rPr>
              <w:t>24</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套期会计》、《企 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董事会审批通过</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2" w:type="dxa"/>
        <w:tblLayout w:type="fixed"/>
        <w:tblCellMar>
          <w:top w:w="0" w:type="dxa"/>
          <w:left w:w="0" w:type="dxa"/>
          <w:bottom w:w="0" w:type="dxa"/>
          <w:right w:w="0" w:type="dxa"/>
        </w:tblCellMar>
        <w:tblLook w:val="01E0"/>
      </w:tblPr>
      <w:tblGrid>
        <w:gridCol w:w="7251"/>
        <w:gridCol w:w="1649"/>
        <w:gridCol w:w="763"/>
      </w:tblGrid>
      <w:tr>
        <w:trPr>
          <w:trHeight w:val="972" w:hRule="exact"/>
        </w:trPr>
        <w:tc>
          <w:tcPr>
            <w:tcW w:w="725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9" w:right="18"/>
              <w:jc w:val="left"/>
              <w:rPr>
                <w:rFonts w:ascii="宋体" w:hAnsi="宋体" w:cs="宋体" w:eastAsia="宋体" w:hint="default"/>
                <w:sz w:val="18"/>
                <w:szCs w:val="18"/>
              </w:rPr>
            </w:pPr>
            <w:r>
              <w:rPr>
                <w:rFonts w:ascii="宋体" w:hAnsi="宋体" w:cs="宋体" w:eastAsia="宋体" w:hint="default"/>
                <w:sz w:val="18"/>
                <w:szCs w:val="18"/>
              </w:rPr>
              <w:t>本公司自</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日起执行财政部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年修订的《企业会计准则第</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 资产交换》，自</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日起执行财政部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年修订的《企业会计准则第</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 务重组》</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董事会审批通过</w:t>
            </w:r>
          </w:p>
        </w:tc>
        <w:tc>
          <w:tcPr>
            <w:tcW w:w="7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6"/>
          <w:szCs w:val="6"/>
        </w:rPr>
      </w:pPr>
    </w:p>
    <w:p>
      <w:pPr>
        <w:pStyle w:val="Heading5"/>
        <w:spacing w:line="240" w:lineRule="auto"/>
        <w:ind w:left="484" w:right="1133"/>
        <w:jc w:val="left"/>
        <w:rPr>
          <w:b w:val="0"/>
          <w:bCs w:val="0"/>
        </w:rPr>
      </w:pPr>
      <w:r>
        <w:rPr>
          <w:rFonts w:ascii="Times New Roman" w:hAnsi="Times New Roman" w:cs="Times New Roman" w:eastAsia="Times New Roman" w:hint="default"/>
        </w:rPr>
        <w:t>(1)</w:t>
      </w:r>
      <w:r>
        <w:rPr/>
        <w:t>执行新金融工具准则对本公司的影响</w:t>
      </w:r>
      <w:r>
        <w:rPr>
          <w:b w:val="0"/>
          <w:bCs w:val="0"/>
        </w:rPr>
      </w:r>
    </w:p>
    <w:p>
      <w:pPr>
        <w:pStyle w:val="BodyText"/>
        <w:spacing w:line="300" w:lineRule="auto" w:before="63"/>
        <w:ind w:right="1128" w:firstLine="420"/>
        <w:jc w:val="both"/>
      </w:pPr>
      <w:r>
        <w:rPr>
          <w:spacing w:val="-1"/>
        </w:rPr>
        <w:t>本公司自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日起执行财政部</w:t>
      </w:r>
      <w:r>
        <w:rPr>
          <w:rFonts w:ascii="Times New Roman" w:hAnsi="Times New Roman" w:cs="Times New Roman" w:eastAsia="Times New Roman" w:hint="default"/>
          <w:spacing w:val="-1"/>
        </w:rPr>
        <w:t>2017</w:t>
      </w:r>
      <w:r>
        <w:rPr>
          <w:spacing w:val="-1"/>
        </w:rPr>
        <w:t>年修订的《企业会计准则第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金融工具确认和计量》、《企业会计准则第</w:t>
      </w:r>
      <w:r>
        <w:rPr/>
        <w:t>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），变更后的会计政策详见本报告第十二节、五、重要会计政策及会计估计。</w:t>
      </w:r>
    </w:p>
    <w:p>
      <w:pPr>
        <w:pStyle w:val="BodyText"/>
        <w:spacing w:line="309" w:lineRule="auto" w:before="13"/>
        <w:ind w:right="1130" w:firstLine="42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日之前的金融工具确认和计量与新金融工具准则要求不一致的，本公司按照新金融工具准则的要求进行 </w:t>
      </w:r>
      <w:r>
        <w:rPr>
          <w:spacing w:val="-2"/>
        </w:rPr>
        <w:t>衔接调整。涉及前期比较财务报表数据与新金融工具准则要求不一致的，本公司未调整可比期间信息。金融工具原账面价值</w:t>
      </w:r>
      <w:r>
        <w:rPr>
          <w:spacing w:val="-63"/>
        </w:rPr>
        <w:t> </w:t>
      </w:r>
      <w:r>
        <w:rPr>
          <w:spacing w:val="-63"/>
        </w:rPr>
      </w:r>
      <w:r>
        <w:rPr/>
        <w:t>和新金融工具准则施行日的新账面价值之间的差额，计入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5"/>
        <w:ind w:left="573" w:right="1133"/>
        <w:jc w:val="left"/>
      </w:pPr>
      <w:r>
        <w:rPr/>
        <w:t>执行新金融工具准则对本期期初资产负债表相关项目的影响列示如下：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644"/>
        <w:gridCol w:w="1654"/>
        <w:gridCol w:w="1450"/>
        <w:gridCol w:w="1644"/>
        <w:gridCol w:w="1613"/>
        <w:gridCol w:w="1654"/>
      </w:tblGrid>
      <w:tr>
        <w:trPr>
          <w:trHeight w:val="346" w:hRule="exact"/>
        </w:trPr>
        <w:tc>
          <w:tcPr>
            <w:tcW w:w="16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6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9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c>
        <w:tc>
          <w:tcPr>
            <w:tcW w:w="47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59" w:right="0"/>
              <w:jc w:val="center"/>
              <w:rPr>
                <w:rFonts w:ascii="宋体" w:hAnsi="宋体" w:cs="宋体" w:eastAsia="宋体" w:hint="default"/>
                <w:sz w:val="15"/>
                <w:szCs w:val="15"/>
              </w:rPr>
            </w:pPr>
            <w:r>
              <w:rPr>
                <w:rFonts w:ascii="宋体" w:hAnsi="宋体" w:cs="宋体" w:eastAsia="宋体" w:hint="default"/>
                <w:sz w:val="15"/>
                <w:szCs w:val="15"/>
              </w:rPr>
              <w:t>累积影响金额</w:t>
            </w:r>
          </w:p>
        </w:tc>
        <w:tc>
          <w:tcPr>
            <w:tcW w:w="16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w:t>
            </w:r>
            <w:r>
              <w:rPr>
                <w:rFonts w:ascii="宋体" w:hAnsi="宋体" w:cs="宋体" w:eastAsia="宋体" w:hint="default"/>
                <w:sz w:val="15"/>
                <w:szCs w:val="15"/>
              </w:rPr>
              <w:t>月</w:t>
            </w:r>
            <w:r>
              <w:rPr>
                <w:rFonts w:ascii="Times New Roman" w:hAnsi="Times New Roman" w:cs="Times New Roman" w:eastAsia="Times New Roman" w:hint="default"/>
                <w:sz w:val="15"/>
                <w:szCs w:val="15"/>
              </w:rPr>
              <w:t>1</w:t>
            </w:r>
            <w:r>
              <w:rPr>
                <w:rFonts w:ascii="宋体" w:hAnsi="宋体" w:cs="宋体" w:eastAsia="宋体" w:hint="default"/>
                <w:sz w:val="15"/>
                <w:szCs w:val="15"/>
              </w:rPr>
              <w:t>日</w:t>
            </w:r>
          </w:p>
        </w:tc>
      </w:tr>
      <w:tr>
        <w:trPr>
          <w:trHeight w:val="348" w:hRule="exact"/>
        </w:trPr>
        <w:tc>
          <w:tcPr>
            <w:tcW w:w="1644" w:type="dxa"/>
            <w:vMerge/>
            <w:tcBorders>
              <w:left w:val="single" w:sz="6" w:space="0" w:color="000000"/>
              <w:bottom w:val="single" w:sz="6" w:space="0" w:color="000000"/>
              <w:right w:val="single" w:sz="6" w:space="0" w:color="000000"/>
            </w:tcBorders>
          </w:tcPr>
          <w:p>
            <w:pPr/>
          </w:p>
        </w:tc>
        <w:tc>
          <w:tcPr>
            <w:tcW w:w="1654" w:type="dxa"/>
            <w:vMerge/>
            <w:tcBorders>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0" w:right="0"/>
              <w:jc w:val="left"/>
              <w:rPr>
                <w:rFonts w:ascii="宋体" w:hAnsi="宋体" w:cs="宋体" w:eastAsia="宋体" w:hint="default"/>
                <w:sz w:val="15"/>
                <w:szCs w:val="15"/>
              </w:rPr>
            </w:pPr>
            <w:r>
              <w:rPr>
                <w:rFonts w:ascii="宋体" w:hAnsi="宋体" w:cs="宋体" w:eastAsia="宋体" w:hint="default"/>
                <w:sz w:val="15"/>
                <w:szCs w:val="15"/>
              </w:rPr>
              <w:t>分类和计量影响</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4" w:right="0"/>
              <w:jc w:val="left"/>
              <w:rPr>
                <w:rFonts w:ascii="宋体" w:hAnsi="宋体" w:cs="宋体" w:eastAsia="宋体" w:hint="default"/>
                <w:sz w:val="15"/>
                <w:szCs w:val="15"/>
              </w:rPr>
            </w:pPr>
            <w:r>
              <w:rPr>
                <w:rFonts w:ascii="宋体" w:hAnsi="宋体" w:cs="宋体" w:eastAsia="宋体" w:hint="default"/>
                <w:sz w:val="15"/>
                <w:szCs w:val="15"/>
              </w:rPr>
              <w:t>金融资产减值影响</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654" w:type="dxa"/>
            <w:vMerge/>
            <w:tcBorders>
              <w:left w:val="single" w:sz="6" w:space="0" w:color="000000"/>
              <w:bottom w:val="single" w:sz="6" w:space="0" w:color="000000"/>
              <w:right w:val="single" w:sz="6" w:space="0" w:color="000000"/>
            </w:tcBorders>
          </w:tcPr>
          <w:p>
            <w:pP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z w:val="15"/>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11,000,000.00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11,000,000.00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11,000,000.00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88,839,760.38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-20,063,560.10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-687,762.01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-20,751,322.11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68,088,438.27</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
              <w:jc w:val="right"/>
              <w:rPr>
                <w:rFonts w:ascii="Times New Roman" w:hAnsi="Times New Roman" w:cs="Times New Roman" w:eastAsia="Times New Roman" w:hint="default"/>
                <w:sz w:val="15"/>
                <w:szCs w:val="15"/>
              </w:rPr>
            </w:pPr>
            <w:r>
              <w:rPr>
                <w:rFonts w:ascii="Times New Roman"/>
                <w:spacing w:val="-1"/>
                <w:sz w:val="15"/>
              </w:rPr>
              <w:t>462,779,717.69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pacing w:val="-1"/>
                <w:sz w:val="15"/>
              </w:rPr>
              <w:t>-697,713.42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-697,713.42</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462,082,004.27</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应收款项融资</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z w:val="15"/>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20,063,560.10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20,063,560.10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20,063,560.10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
              <w:jc w:val="right"/>
              <w:rPr>
                <w:rFonts w:ascii="Times New Roman" w:hAnsi="Times New Roman" w:cs="Times New Roman" w:eastAsia="Times New Roman" w:hint="default"/>
                <w:sz w:val="15"/>
                <w:szCs w:val="15"/>
              </w:rPr>
            </w:pPr>
            <w:r>
              <w:rPr>
                <w:rFonts w:ascii="Times New Roman"/>
                <w:spacing w:val="-1"/>
                <w:sz w:val="15"/>
              </w:rPr>
              <w:t>24,750,182.74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pacing w:val="-1"/>
                <w:sz w:val="15"/>
              </w:rPr>
              <w:t>-8,204.44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-8,204.44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24,741,978.30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27,265,120.84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-27,265,120.84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-27,265,120.84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其他权益工具投资</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z w:val="15"/>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16,265,120.84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z w:val="15"/>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16,265,120.84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16,265,120.84</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31,680,898.42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284,171.60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284,171.60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31,965,070.02</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4" w:right="0"/>
              <w:jc w:val="left"/>
              <w:rPr>
                <w:rFonts w:ascii="宋体" w:hAnsi="宋体" w:cs="宋体" w:eastAsia="宋体" w:hint="default"/>
                <w:sz w:val="15"/>
                <w:szCs w:val="15"/>
              </w:rPr>
            </w:pPr>
            <w:r>
              <w:rPr>
                <w:rFonts w:ascii="宋体" w:hAnsi="宋体" w:cs="宋体" w:eastAsia="宋体" w:hint="default"/>
                <w:b/>
                <w:bCs/>
                <w:sz w:val="15"/>
                <w:szCs w:val="15"/>
              </w:rPr>
              <w:t>资产合计</w:t>
            </w:r>
            <w:r>
              <w:rPr>
                <w:rFonts w:ascii="宋体" w:hAnsi="宋体" w:cs="宋体" w:eastAsia="宋体" w:hint="default"/>
                <w:sz w:val="15"/>
                <w:szCs w:val="15"/>
              </w:rPr>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635,315,680.07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-1,109,508.27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-1,109,508.27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634,206,171.80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5"/>
              <w:jc w:val="right"/>
              <w:rPr>
                <w:rFonts w:ascii="Times New Roman" w:hAnsi="Times New Roman" w:cs="Times New Roman" w:eastAsia="Times New Roman" w:hint="default"/>
                <w:sz w:val="15"/>
                <w:szCs w:val="15"/>
              </w:rPr>
            </w:pPr>
            <w:r>
              <w:rPr>
                <w:rFonts w:ascii="Times New Roman"/>
                <w:spacing w:val="-1"/>
                <w:sz w:val="15"/>
              </w:rPr>
              <w:t>-156,055,794.34</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
              <w:jc w:val="right"/>
              <w:rPr>
                <w:rFonts w:ascii="Times New Roman" w:hAnsi="Times New Roman" w:cs="Times New Roman" w:eastAsia="Times New Roman" w:hint="default"/>
                <w:sz w:val="15"/>
                <w:szCs w:val="15"/>
              </w:rPr>
            </w:pPr>
            <w:r>
              <w:rPr>
                <w:rFonts w:ascii="Times New Roman"/>
                <w:spacing w:val="-1"/>
                <w:sz w:val="15"/>
              </w:rPr>
              <w:t>34,008,022.37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right"/>
              <w:rPr>
                <w:rFonts w:ascii="Times New Roman" w:hAnsi="Times New Roman" w:cs="Times New Roman" w:eastAsia="Times New Roman" w:hint="default"/>
                <w:sz w:val="15"/>
                <w:szCs w:val="15"/>
              </w:rPr>
            </w:pPr>
            <w:r>
              <w:rPr>
                <w:rFonts w:ascii="Times New Roman"/>
                <w:spacing w:val="-1"/>
                <w:sz w:val="15"/>
              </w:rPr>
              <w:t>-1,132,745.03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right"/>
              <w:rPr>
                <w:rFonts w:ascii="Times New Roman" w:hAnsi="Times New Roman" w:cs="Times New Roman" w:eastAsia="Times New Roman" w:hint="default"/>
                <w:sz w:val="15"/>
                <w:szCs w:val="15"/>
              </w:rPr>
            </w:pPr>
            <w:r>
              <w:rPr>
                <w:rFonts w:ascii="Times New Roman"/>
                <w:spacing w:val="-1"/>
                <w:sz w:val="15"/>
              </w:rPr>
              <w:t>32,875,277.34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
              <w:jc w:val="right"/>
              <w:rPr>
                <w:rFonts w:ascii="Times New Roman" w:hAnsi="Times New Roman" w:cs="Times New Roman" w:eastAsia="Times New Roman" w:hint="default"/>
                <w:sz w:val="15"/>
                <w:szCs w:val="15"/>
              </w:rPr>
            </w:pPr>
            <w:r>
              <w:rPr>
                <w:rFonts w:ascii="Times New Roman"/>
                <w:spacing w:val="-1"/>
                <w:sz w:val="15"/>
              </w:rPr>
              <w:t>-123,180,517.00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z w:val="15"/>
              </w:rPr>
              <w:t>--</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-34,008,022.37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-34,008,022.37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-34,008,022.37</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5"/>
              <w:jc w:val="right"/>
              <w:rPr>
                <w:rFonts w:ascii="Times New Roman" w:hAnsi="Times New Roman" w:cs="Times New Roman" w:eastAsia="Times New Roman" w:hint="default"/>
                <w:sz w:val="15"/>
                <w:szCs w:val="15"/>
              </w:rPr>
            </w:pPr>
            <w:r>
              <w:rPr>
                <w:rFonts w:ascii="Times New Roman"/>
                <w:spacing w:val="-1"/>
                <w:sz w:val="15"/>
              </w:rPr>
              <w:t>1,373,644.98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pacing w:val="-1"/>
                <w:sz w:val="15"/>
              </w:rPr>
              <w:t>23,236.76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15"/>
                <w:szCs w:val="15"/>
              </w:rPr>
            </w:pPr>
            <w:r>
              <w:rPr>
                <w:rFonts w:ascii="Times New Roman"/>
                <w:spacing w:val="-1"/>
                <w:sz w:val="15"/>
              </w:rPr>
              <w:t>23,236.76</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1,396,881.74</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4"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-154,682,149.36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-1,109,508.27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-1,109,508.27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-155,791,657.63</w:t>
            </w:r>
          </w:p>
        </w:tc>
      </w:tr>
    </w:tbl>
    <w:p>
      <w:pPr>
        <w:spacing w:line="240" w:lineRule="auto" w:before="5"/>
        <w:rPr>
          <w:rFonts w:ascii="宋体" w:hAnsi="宋体" w:cs="宋体" w:eastAsia="宋体" w:hint="default"/>
          <w:sz w:val="6"/>
          <w:szCs w:val="6"/>
        </w:rPr>
      </w:pPr>
    </w:p>
    <w:p>
      <w:pPr>
        <w:pStyle w:val="BodyText"/>
        <w:spacing w:line="316" w:lineRule="auto"/>
        <w:ind w:right="1124" w:firstLine="360"/>
        <w:jc w:val="left"/>
      </w:pPr>
      <w:r>
        <w:rPr>
          <w:spacing w:val="-2"/>
        </w:rPr>
        <w:t>注：上表仅呈列受影响的财务报表项目，不受影响的财务报表项目不包括在内，因此所披露的小计和合计无法根据上表</w:t>
      </w:r>
      <w:r>
        <w:rPr/>
        <w:t> 中呈列的数字重新计算得出。</w:t>
      </w:r>
    </w:p>
    <w:p>
      <w:pPr>
        <w:spacing w:line="300" w:lineRule="auto" w:before="19"/>
        <w:ind w:left="573" w:right="7453"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会计估计变更</w:t>
      </w:r>
      <w:r>
        <w:rPr>
          <w:rFonts w:ascii="宋体" w:hAnsi="宋体" w:cs="宋体" w:eastAsia="宋体" w:hint="default"/>
          <w:b/>
          <w:bCs/>
          <w:w w:val="99"/>
          <w:sz w:val="18"/>
          <w:szCs w:val="18"/>
        </w:rPr>
        <w:t> </w:t>
      </w:r>
      <w:r>
        <w:rPr>
          <w:rFonts w:ascii="宋体" w:hAnsi="宋体" w:cs="宋体" w:eastAsia="宋体" w:hint="default"/>
          <w:sz w:val="18"/>
          <w:szCs w:val="18"/>
        </w:rPr>
        <w:t>本报告期主要会计估计未发生变更。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7"/>
        <w:ind w:right="1133"/>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after="0" w:line="33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王建华、刘国军</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464"/>
        <w:gridCol w:w="848"/>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55" w:right="36"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公司起诉深圳中景 科创光电科技有限 公司拖延付款。广 东广晟光电科技有 限公司对所欠货款 承担连带责任。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执行完毕</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公司起诉福建省能 宝光电集团有限公 司拖延付款。</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8"/>
              <w:jc w:val="left"/>
              <w:rPr>
                <w:rFonts w:ascii="宋体" w:hAnsi="宋体" w:cs="宋体" w:eastAsia="宋体" w:hint="default"/>
                <w:sz w:val="18"/>
                <w:szCs w:val="18"/>
              </w:rPr>
            </w:pPr>
            <w:r>
              <w:rPr>
                <w:rFonts w:ascii="宋体" w:hAnsi="宋体" w:cs="宋体" w:eastAsia="宋体" w:hint="default"/>
                <w:sz w:val="18"/>
                <w:szCs w:val="18"/>
              </w:rPr>
              <w:t>被告无可供执行 财产，已结案</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公司与美国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公司合作开发新式 整合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驱动器， 后因合作未果，根 据合同约定，公司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USD100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已仲裁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97" w:lineRule="auto"/>
              <w:ind w:left="23" w:right="122"/>
              <w:jc w:val="left"/>
              <w:rPr>
                <w:rFonts w:ascii="宋体" w:hAnsi="宋体" w:cs="宋体" w:eastAsia="宋体" w:hint="default"/>
                <w:sz w:val="18"/>
                <w:szCs w:val="18"/>
              </w:rPr>
            </w:pPr>
            <w:r>
              <w:rPr>
                <w:rFonts w:ascii="宋体" w:hAnsi="宋体" w:cs="宋体" w:eastAsia="宋体" w:hint="default"/>
                <w:sz w:val="18"/>
                <w:szCs w:val="18"/>
              </w:rPr>
              <w:t>被告申请破产</w:t>
            </w:r>
            <w:r>
              <w:rPr>
                <w:rFonts w:ascii="Times New Roman" w:hAnsi="Times New Roman" w:cs="Times New Roman" w:eastAsia="Times New Roman" w:hint="default"/>
                <w:sz w:val="18"/>
                <w:szCs w:val="18"/>
              </w:rPr>
              <w:t>,</w:t>
            </w:r>
            <w:r>
              <w:rPr>
                <w:rFonts w:ascii="宋体" w:hAnsi="宋体" w:cs="宋体" w:eastAsia="宋体" w:hint="default"/>
                <w:sz w:val="18"/>
                <w:szCs w:val="18"/>
              </w:rPr>
              <w:t>已 结案</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日刊 </w:t>
            </w:r>
            <w:r>
              <w:rPr>
                <w:rFonts w:ascii="宋体" w:hAnsi="宋体" w:cs="宋体" w:eastAsia="宋体" w:hint="default"/>
                <w:spacing w:val="-12"/>
                <w:sz w:val="18"/>
                <w:szCs w:val="18"/>
              </w:rPr>
              <w:t>登的：茂硕电</w:t>
            </w:r>
            <w:r>
              <w:rPr>
                <w:rFonts w:ascii="宋体" w:hAnsi="宋体" w:cs="宋体" w:eastAsia="宋体" w:hint="default"/>
                <w:sz w:val="18"/>
                <w:szCs w:val="18"/>
              </w:rPr>
              <w:t> 源关于诉讼 事项的进展</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464"/>
        <w:gridCol w:w="848"/>
        <w:gridCol w:w="1066"/>
      </w:tblGrid>
      <w:tr>
        <w:trPr>
          <w:trHeight w:val="161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84"/>
              <w:jc w:val="both"/>
              <w:rPr>
                <w:rFonts w:ascii="宋体" w:hAnsi="宋体" w:cs="宋体" w:eastAsia="宋体" w:hint="default"/>
                <w:sz w:val="18"/>
                <w:szCs w:val="18"/>
              </w:rPr>
            </w:pPr>
            <w:r>
              <w:rPr>
                <w:rFonts w:ascii="宋体" w:hAnsi="宋体" w:cs="宋体" w:eastAsia="宋体" w:hint="default"/>
                <w:sz w:val="18"/>
                <w:szCs w:val="18"/>
              </w:rPr>
              <w:t>起诉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公司返 还预付的开发款和 年息成本。</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3"/>
              <w:jc w:val="left"/>
              <w:rPr>
                <w:rFonts w:ascii="宋体" w:hAnsi="宋体" w:cs="宋体" w:eastAsia="宋体" w:hint="default"/>
                <w:sz w:val="18"/>
                <w:szCs w:val="18"/>
              </w:rPr>
            </w:pPr>
            <w:r>
              <w:rPr>
                <w:rFonts w:ascii="宋体" w:hAnsi="宋体" w:cs="宋体" w:eastAsia="宋体" w:hint="default"/>
                <w:spacing w:val="-12"/>
                <w:sz w:val="18"/>
                <w:szCs w:val="18"/>
              </w:rPr>
              <w:t>公告。巨潮资</w:t>
            </w:r>
            <w:r>
              <w:rPr>
                <w:rFonts w:ascii="宋体" w:hAnsi="宋体" w:cs="宋体" w:eastAsia="宋体" w:hint="default"/>
                <w:sz w:val="18"/>
                <w:szCs w:val="18"/>
              </w:rPr>
              <w:t> 讯网</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12" w:lineRule="auto" w:before="105"/>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1"/>
              <w:jc w:val="left"/>
              <w:rPr>
                <w:rFonts w:ascii="宋体" w:hAnsi="宋体" w:cs="宋体" w:eastAsia="宋体" w:hint="default"/>
                <w:sz w:val="18"/>
                <w:szCs w:val="18"/>
              </w:rPr>
            </w:pPr>
            <w:r>
              <w:rPr>
                <w:rFonts w:ascii="宋体" w:hAnsi="宋体" w:cs="宋体" w:eastAsia="宋体" w:hint="default"/>
                <w:sz w:val="18"/>
                <w:szCs w:val="18"/>
              </w:rPr>
              <w:t>公司申请仲裁 </w:t>
            </w:r>
            <w:r>
              <w:rPr>
                <w:rFonts w:ascii="Times New Roman" w:hAnsi="Times New Roman" w:cs="Times New Roman" w:eastAsia="Times New Roman" w:hint="default"/>
                <w:sz w:val="18"/>
                <w:szCs w:val="18"/>
              </w:rPr>
              <w:t>BRILLIANT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CORPORATION</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公</w:t>
            </w:r>
          </w:p>
          <w:p>
            <w:pPr>
              <w:pStyle w:val="TableParagraph"/>
              <w:spacing w:line="316" w:lineRule="auto" w:before="39"/>
              <w:ind w:left="24" w:right="84"/>
              <w:jc w:val="left"/>
              <w:rPr>
                <w:rFonts w:ascii="宋体" w:hAnsi="宋体" w:cs="宋体" w:eastAsia="宋体" w:hint="default"/>
                <w:sz w:val="18"/>
                <w:szCs w:val="18"/>
              </w:rPr>
            </w:pPr>
            <w:r>
              <w:rPr>
                <w:rFonts w:ascii="宋体" w:hAnsi="宋体" w:cs="宋体" w:eastAsia="宋体" w:hint="default"/>
                <w:sz w:val="18"/>
                <w:szCs w:val="18"/>
              </w:rPr>
              <w:t>司未支付货款的行 为</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USD86.95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已裁决，执行阶 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执行完毕</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深圳茂硕新能源科 技有限公司申请仲 裁，要求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Energy Solar Pty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支付 货款本金及相关费 用，并申请由 </w:t>
            </w:r>
            <w:r>
              <w:rPr>
                <w:rFonts w:ascii="Times New Roman" w:hAnsi="Times New Roman" w:cs="Times New Roman" w:eastAsia="Times New Roman" w:hint="default"/>
                <w:sz w:val="18"/>
                <w:szCs w:val="18"/>
              </w:rPr>
              <w:t>Conrad Stath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承担 连带清偿责任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USD103.92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胜诉，执行阶段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
              <w:jc w:val="left"/>
              <w:rPr>
                <w:rFonts w:ascii="宋体" w:hAnsi="宋体" w:cs="宋体" w:eastAsia="宋体" w:hint="default"/>
                <w:sz w:val="18"/>
                <w:szCs w:val="18"/>
              </w:rPr>
            </w:pPr>
            <w:r>
              <w:rPr>
                <w:rFonts w:ascii="宋体" w:hAnsi="宋体" w:cs="宋体" w:eastAsia="宋体" w:hint="default"/>
                <w:sz w:val="18"/>
                <w:szCs w:val="18"/>
              </w:rPr>
              <w:t>跨国申请执行期 限已过，已结案。</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深圳茂硕新能源科 技有限公司诉陕西 易兆通新能源科技 有限公司拖延付款</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2"/>
                <w:w w:val="95"/>
                <w:sz w:val="18"/>
              </w:rPr>
              <w:t>111.65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已调解</w:t>
            </w:r>
            <w:r>
              <w:rPr>
                <w:rFonts w:ascii="Times New Roman" w:hAnsi="Times New Roman" w:cs="Times New Roman" w:eastAsia="Times New Roman" w:hint="default"/>
                <w:sz w:val="18"/>
                <w:szCs w:val="18"/>
              </w:rPr>
              <w:t>,</w:t>
            </w:r>
            <w:r>
              <w:rPr>
                <w:rFonts w:ascii="宋体" w:hAnsi="宋体" w:cs="宋体" w:eastAsia="宋体" w:hint="default"/>
                <w:sz w:val="18"/>
                <w:szCs w:val="18"/>
              </w:rPr>
              <w:t>执行阶段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8"/>
              <w:jc w:val="left"/>
              <w:rPr>
                <w:rFonts w:ascii="Times New Roman" w:hAnsi="Times New Roman" w:cs="Times New Roman" w:eastAsia="Times New Roman" w:hint="default"/>
                <w:sz w:val="18"/>
                <w:szCs w:val="18"/>
              </w:rPr>
            </w:pPr>
            <w:r>
              <w:rPr>
                <w:rFonts w:ascii="宋体" w:hAnsi="宋体" w:cs="宋体" w:eastAsia="宋体" w:hint="default"/>
                <w:sz w:val="18"/>
                <w:szCs w:val="18"/>
              </w:rPr>
              <w:t>被告已无财产可 供支付</w:t>
            </w:r>
            <w:r>
              <w:rPr>
                <w:rFonts w:ascii="Times New Roman" w:hAnsi="Times New Roman" w:cs="Times New Roman" w:eastAsia="Times New Roman" w:hint="default"/>
                <w:sz w:val="18"/>
                <w:szCs w:val="18"/>
              </w:rPr>
              <w:t>,</w:t>
            </w:r>
            <w:r>
              <w:rPr>
                <w:rFonts w:ascii="宋体" w:hAnsi="宋体" w:cs="宋体" w:eastAsia="宋体" w:hint="default"/>
                <w:sz w:val="18"/>
                <w:szCs w:val="18"/>
              </w:rPr>
              <w:t>已结案</w:t>
            </w:r>
            <w:r>
              <w:rPr>
                <w:rFonts w:ascii="Times New Roman" w:hAnsi="Times New Roman" w:cs="Times New Roman" w:eastAsia="Times New Roman"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惠州茂硕能源科技 有限公司诉海宁茂 硕诺华能源有限公 司，要求其支付委 托贷款本金及逾期 利息，并申请由海 宁市诺耶科华太阳 能电力工程有限公 司承担连带责任</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6,144.38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登的：关于诉</w:t>
            </w:r>
            <w:r>
              <w:rPr>
                <w:rFonts w:ascii="宋体" w:hAnsi="宋体" w:cs="宋体" w:eastAsia="宋体" w:hint="default"/>
                <w:sz w:val="18"/>
                <w:szCs w:val="18"/>
              </w:rPr>
              <w:t> 讼事项的进 </w:t>
            </w:r>
            <w:r>
              <w:rPr>
                <w:rFonts w:ascii="宋体" w:hAnsi="宋体" w:cs="宋体" w:eastAsia="宋体" w:hint="default"/>
                <w:spacing w:val="-12"/>
                <w:sz w:val="18"/>
                <w:szCs w:val="18"/>
              </w:rPr>
              <w:t>展公告。巨潮</w:t>
            </w:r>
            <w:r>
              <w:rPr>
                <w:rFonts w:ascii="宋体" w:hAnsi="宋体" w:cs="宋体" w:eastAsia="宋体" w:hint="default"/>
                <w:sz w:val="18"/>
                <w:szCs w:val="18"/>
              </w:rPr>
              <w:t> 资讯网</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12" w:lineRule="auto" w:before="105"/>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公司起诉斐翔供应 链管理（上海）有 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1,232.22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等待再次开庭</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公司起诉重庆瑞耕 达网络科技有限公 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1,314.29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等待再次开庭</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公司起诉贵州瑞凯 科技有限公司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等待再次开庭</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露标准的其他诉讼 的涉案总金额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2,389.58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4"/>
                <w:sz w:val="18"/>
                <w:szCs w:val="18"/>
              </w:rPr>
              <w:t>立案、审理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或执行阶 段</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77"/>
              <w:jc w:val="both"/>
              <w:rPr>
                <w:rFonts w:ascii="宋体" w:hAnsi="宋体" w:cs="宋体" w:eastAsia="宋体" w:hint="default"/>
                <w:sz w:val="18"/>
                <w:szCs w:val="18"/>
              </w:rPr>
            </w:pPr>
            <w:r>
              <w:rPr>
                <w:rFonts w:ascii="宋体" w:hAnsi="宋体" w:cs="宋体" w:eastAsia="宋体" w:hint="default"/>
                <w:sz w:val="18"/>
                <w:szCs w:val="18"/>
              </w:rPr>
              <w:t>部分诉讼处于立 案阶段、部分诉 讼处于审理阶</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464"/>
        <w:gridCol w:w="848"/>
        <w:gridCol w:w="1066"/>
      </w:tblGrid>
      <w:tr>
        <w:trPr>
          <w:trHeight w:val="1611"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7"/>
              <w:jc w:val="left"/>
              <w:rPr>
                <w:rFonts w:ascii="宋体" w:hAnsi="宋体" w:cs="宋体" w:eastAsia="宋体" w:hint="default"/>
                <w:sz w:val="18"/>
                <w:szCs w:val="18"/>
              </w:rPr>
            </w:pPr>
            <w:r>
              <w:rPr>
                <w:rFonts w:ascii="宋体" w:hAnsi="宋体" w:cs="宋体" w:eastAsia="宋体" w:hint="default"/>
                <w:sz w:val="18"/>
                <w:szCs w:val="18"/>
              </w:rPr>
              <w:t>段、部分诉讼已 作出判决执行 中。以上诉讼对 公司无重大影 响。</w:t>
            </w:r>
          </w:p>
        </w:tc>
        <w:tc>
          <w:tcPr>
            <w:tcW w:w="146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露标准的其他诉讼 产生的预计负债</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96.95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管辖权异议上诉 阶段</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2"/>
        <w:ind w:right="1128"/>
        <w:jc w:val="left"/>
      </w:pPr>
      <w:r>
        <w:rPr>
          <w:rFonts w:ascii="Times New Roman" w:hAnsi="Times New Roman" w:cs="Times New Roman" w:eastAsia="Times New Roman" w:hint="default"/>
          <w:spacing w:val="-1"/>
        </w:rPr>
        <w:t>1)</w:t>
      </w:r>
      <w:r>
        <w:rPr>
          <w:spacing w:val="-1"/>
        </w:rPr>
        <w:t>茂硕电源与深圳市桑泰实业发展有限公司签订房屋租赁合同，租赁房屋地址为深圳市南山区西丽桑泰工业园厂房、</w:t>
      </w:r>
      <w:r>
        <w:rPr>
          <w:rFonts w:ascii="Times New Roman" w:hAnsi="Times New Roman" w:cs="Times New Roman" w:eastAsia="Times New Roman" w:hint="default"/>
          <w:spacing w:val="-1"/>
        </w:rPr>
        <w:t>1#2#3#</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宿舍楼，租期从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w:t>
      </w:r>
      <w:r>
        <w:rPr>
          <w:w w:val="99"/>
        </w:rPr>
        <w:t> </w:t>
      </w:r>
      <w:r>
        <w:rPr>
          <w:rFonts w:ascii="Times New Roman" w:hAnsi="Times New Roman" w:cs="Times New Roman" w:eastAsia="Times New Roman" w:hint="default"/>
          <w:spacing w:val="-1"/>
        </w:rPr>
        <w:t>2)</w:t>
      </w:r>
      <w:r>
        <w:rPr>
          <w:spacing w:val="-1"/>
        </w:rPr>
        <w:t>茂硕电子与深圳市桑泰实业发展有限公司签订房屋租赁合同，租赁房屋地址为深圳市南山区西丽街道阳光社区松白路桑泰</w:t>
      </w:r>
      <w:r>
        <w:rPr>
          <w:spacing w:val="-88"/>
        </w:rPr>
        <w:t> </w:t>
      </w:r>
      <w:r>
        <w:rPr>
          <w:spacing w:val="-88"/>
        </w:rPr>
      </w:r>
      <w:r>
        <w:rPr/>
        <w:t>工业园</w:t>
      </w:r>
      <w:r>
        <w:rPr>
          <w:rFonts w:ascii="Times New Roman" w:hAnsi="Times New Roman" w:cs="Times New Roman" w:eastAsia="Times New Roman" w:hint="default"/>
        </w:rPr>
        <w:t>1</w:t>
      </w:r>
      <w:r>
        <w:rPr/>
        <w:t>栋宿舍楼一层</w:t>
      </w:r>
      <w:r>
        <w:rPr>
          <w:rFonts w:ascii="Times New Roman" w:hAnsi="Times New Roman" w:cs="Times New Roman" w:eastAsia="Times New Roman" w:hint="default"/>
        </w:rPr>
        <w:t>1-3</w:t>
      </w:r>
      <w:r>
        <w:rPr/>
        <w:t>号铺、</w:t>
      </w:r>
      <w:r>
        <w:rPr>
          <w:rFonts w:ascii="Times New Roman" w:hAnsi="Times New Roman" w:cs="Times New Roman" w:eastAsia="Times New Roman" w:hint="default"/>
        </w:rPr>
        <w:t>5-13</w:t>
      </w:r>
      <w:r>
        <w:rPr/>
        <w:t>号铺，</w:t>
      </w:r>
      <w:r>
        <w:rPr>
          <w:rFonts w:ascii="Times New Roman" w:hAnsi="Times New Roman" w:cs="Times New Roman" w:eastAsia="Times New Roman" w:hint="default"/>
        </w:rPr>
        <w:t>2</w:t>
      </w:r>
      <w:r>
        <w:rPr/>
        <w:t>栋宿舍楼一层</w:t>
      </w:r>
      <w:r>
        <w:rPr>
          <w:rFonts w:ascii="Times New Roman" w:hAnsi="Times New Roman" w:cs="Times New Roman" w:eastAsia="Times New Roman" w:hint="default"/>
        </w:rPr>
        <w:t>1</w:t>
      </w:r>
      <w:r>
        <w:rPr/>
        <w:t>号铺，租期从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12"/>
        <w:gridCol w:w="924"/>
        <w:gridCol w:w="1312"/>
        <w:gridCol w:w="1041"/>
        <w:gridCol w:w="1046"/>
        <w:gridCol w:w="1057"/>
        <w:gridCol w:w="784"/>
        <w:gridCol w:w="784"/>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9"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29" w:right="60"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2018.06.01-2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021.06.01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2019.04.29-2</w:t>
            </w:r>
          </w:p>
          <w:p>
            <w:pPr>
              <w:pStyle w:val="TableParagraph"/>
              <w:spacing w:line="240" w:lineRule="auto" w:before="102"/>
              <w:ind w:left="27" w:right="0"/>
              <w:jc w:val="left"/>
              <w:rPr>
                <w:rFonts w:ascii="Times New Roman" w:hAnsi="Times New Roman" w:cs="Times New Roman" w:eastAsia="Times New Roman" w:hint="default"/>
                <w:sz w:val="18"/>
                <w:szCs w:val="18"/>
              </w:rPr>
            </w:pPr>
            <w:r>
              <w:rPr>
                <w:rFonts w:ascii="Times New Roman"/>
                <w:sz w:val="18"/>
              </w:rPr>
              <w:t>022.05.21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7"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19"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6"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407" w:hRule="exact"/>
        </w:trPr>
        <w:tc>
          <w:tcPr>
            <w:tcW w:w="48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17.04%</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0"/>
        <w:ind w:right="1133"/>
        <w:jc w:val="left"/>
      </w:pPr>
      <w:r>
        <w:rPr/>
        <w:t>采用复合方式担保的具体情况说明</w:t>
      </w:r>
    </w:p>
    <w:p>
      <w:pPr>
        <w:pStyle w:val="BodyText"/>
        <w:spacing w:line="240" w:lineRule="auto" w:before="115"/>
        <w:ind w:right="1133"/>
        <w:jc w:val="left"/>
      </w:pPr>
      <w:r>
        <w:rPr>
          <w:rFonts w:ascii="Times New Roman" w:hAnsi="Times New Roman" w:cs="Times New Roman" w:eastAsia="Times New Roman" w:hint="default"/>
        </w:rPr>
        <w:t>*</w:t>
      </w:r>
      <w:r>
        <w:rPr/>
        <w:t>本公司与茂硕电子共同为惠州茂硕提供担保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7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4" w:firstLine="360"/>
        <w:jc w:val="left"/>
      </w:pPr>
      <w:r>
        <w:rPr>
          <w:spacing w:val="-2"/>
        </w:rPr>
        <w:t>茂硕电源是国家级高新技术企业，是国家鼓励发展的节能减碳新能源企业，公司注重环境保护、节能减排和可持续性发</w:t>
      </w:r>
      <w:r>
        <w:rPr/>
        <w:t> 展等问题，注重社会公共关系和社会公益事业，积极履行社会责任，实现利益相关方共赢和效益共享。</w:t>
      </w:r>
    </w:p>
    <w:p>
      <w:pPr>
        <w:pStyle w:val="BodyText"/>
        <w:spacing w:line="316" w:lineRule="auto" w:before="19"/>
        <w:ind w:right="1134" w:firstLine="360"/>
        <w:jc w:val="both"/>
      </w:pPr>
      <w:r>
        <w:rPr>
          <w:spacing w:val="-2"/>
        </w:rPr>
        <w:t>股东权益保护方面：公司严格按照《深圳证券交易所股票上市规则》、《公司章程》、《信息披露管理制度》等有关法</w:t>
      </w:r>
      <w:r>
        <w:rPr/>
        <w:t> </w:t>
      </w:r>
      <w:r>
        <w:rPr>
          <w:spacing w:val="-2"/>
        </w:rPr>
        <w:t>律法规以及公司内控制度，建立完善的治理结构，通过健全内部管理和控制制度体系，规范股东大会、董事会、监事会三会</w:t>
      </w:r>
      <w:r>
        <w:rPr>
          <w:spacing w:val="-67"/>
        </w:rPr>
        <w:t> </w:t>
      </w:r>
      <w:r>
        <w:rPr>
          <w:spacing w:val="-67"/>
        </w:rPr>
      </w:r>
      <w:r>
        <w:rPr>
          <w:spacing w:val="-2"/>
        </w:rPr>
        <w:t>运作，公司认真履行信息披露义务，保证信息披露真实、准确、及时和完整，并通过业绩说明会、投资者关系互动平台、专</w:t>
      </w:r>
      <w:r>
        <w:rPr>
          <w:spacing w:val="-73"/>
        </w:rPr>
        <w:t> </w:t>
      </w:r>
      <w:r>
        <w:rPr>
          <w:spacing w:val="-73"/>
        </w:rPr>
      </w:r>
      <w:r>
        <w:rPr/>
        <w:t>线电话等保持与股东联系，维护股东合法权益。</w:t>
      </w:r>
    </w:p>
    <w:p>
      <w:pPr>
        <w:pStyle w:val="BodyText"/>
        <w:spacing w:line="316" w:lineRule="auto" w:before="19"/>
        <w:ind w:right="0" w:firstLine="360"/>
        <w:jc w:val="left"/>
      </w:pPr>
      <w:r>
        <w:rPr>
          <w:spacing w:val="-2"/>
        </w:rPr>
        <w:t>职工权益保护方面：公司严格遵守《劳动法》、《劳动合同法》、《妇女权益保护法》等相关法律法规，尊重和维护员</w:t>
      </w:r>
      <w:r>
        <w:rPr/>
        <w:t> </w:t>
      </w:r>
      <w:r>
        <w:rPr>
          <w:spacing w:val="-2"/>
        </w:rPr>
        <w:t>工的合法权益，定期开展员工体检、组织参加工会活动、发放员工生日礼物等，关注员工身心健康；同时，公司注重员工队</w:t>
      </w:r>
      <w:r>
        <w:rPr>
          <w:spacing w:val="-67"/>
        </w:rPr>
        <w:t> </w:t>
      </w:r>
      <w:r>
        <w:rPr>
          <w:spacing w:val="-67"/>
        </w:rPr>
      </w:r>
      <w:r>
        <w:rPr>
          <w:spacing w:val="-4"/>
        </w:rPr>
        <w:t>伍建设，建立有效的人才选拔、培养和激励机制，帮助员工有更好的职业生涯发展，提升个人竞争力，让员工过上美好生活，</w:t>
      </w:r>
      <w:r>
        <w:rPr>
          <w:spacing w:val="-42"/>
        </w:rPr>
        <w:t> </w:t>
      </w:r>
      <w:r>
        <w:rPr>
          <w:spacing w:val="-42"/>
        </w:rPr>
      </w:r>
      <w:r>
        <w:rPr/>
        <w:t>营造员工与企业间和谐、共赢、长久发展的氛围。</w:t>
      </w:r>
    </w:p>
    <w:p>
      <w:pPr>
        <w:pStyle w:val="BodyText"/>
        <w:spacing w:line="307" w:lineRule="auto" w:before="19"/>
        <w:ind w:right="1034" w:firstLine="360"/>
        <w:jc w:val="left"/>
      </w:pPr>
      <w:r>
        <w:rPr>
          <w:spacing w:val="-2"/>
        </w:rPr>
        <w:t>消费者与供应商权益保护：公司秉承</w:t>
      </w:r>
      <w:r>
        <w:rPr>
          <w:rFonts w:ascii="Times New Roman" w:hAnsi="Times New Roman" w:cs="Times New Roman" w:eastAsia="Times New Roman" w:hint="default"/>
          <w:spacing w:val="-2"/>
        </w:rPr>
        <w:t>“</w:t>
      </w:r>
      <w:r>
        <w:rPr>
          <w:spacing w:val="-2"/>
        </w:rPr>
        <w:t>诚信、合作、共赢</w:t>
      </w:r>
      <w:r>
        <w:rPr>
          <w:rFonts w:ascii="Times New Roman" w:hAnsi="Times New Roman" w:cs="Times New Roman" w:eastAsia="Times New Roman" w:hint="default"/>
          <w:spacing w:val="-2"/>
        </w:rPr>
        <w:t>”</w:t>
      </w:r>
      <w:r>
        <w:rPr>
          <w:spacing w:val="-2"/>
        </w:rPr>
        <w:t>的商业理念，积极建立与供应商和客户长期、稳定的友好合作</w:t>
      </w:r>
      <w:r>
        <w:rPr/>
        <w:t> </w:t>
      </w:r>
      <w:r>
        <w:rPr>
          <w:spacing w:val="-2"/>
        </w:rPr>
        <w:t>关系，实现各方互利共赢和利益共享。同时，公司始终坚持</w:t>
      </w:r>
      <w:r>
        <w:rPr>
          <w:rFonts w:ascii="Times New Roman" w:hAnsi="Times New Roman" w:cs="Times New Roman" w:eastAsia="Times New Roman" w:hint="default"/>
          <w:spacing w:val="-2"/>
        </w:rPr>
        <w:t>“</w:t>
      </w:r>
      <w:r>
        <w:rPr>
          <w:spacing w:val="-2"/>
        </w:rPr>
        <w:t>卓越设计、稳定可靠；持续改进，客户满意</w:t>
      </w:r>
      <w:r>
        <w:rPr>
          <w:rFonts w:ascii="Times New Roman" w:hAnsi="Times New Roman" w:cs="Times New Roman" w:eastAsia="Times New Roman" w:hint="default"/>
          <w:spacing w:val="-2"/>
        </w:rPr>
        <w:t>”</w:t>
      </w:r>
      <w:r>
        <w:rPr>
          <w:spacing w:val="-2"/>
        </w:rPr>
        <w:t>的质量方针，对产</w:t>
      </w:r>
      <w:r>
        <w:rPr>
          <w:spacing w:val="-45"/>
        </w:rPr>
        <w:t> </w:t>
      </w:r>
      <w:r>
        <w:rPr>
          <w:spacing w:val="-45"/>
        </w:rPr>
      </w:r>
      <w:r>
        <w:rPr/>
        <w:t>品的质量方面严加把关，报告期内，公司成立集团总部的质量中心，负责实施质量管理体系工作，按照国际质量体系标准， 实行涵盖整个公司业务的质量管理控制，稳定生产出高质量、可信赖的产品，保护消费者的合法权益。</w:t>
      </w:r>
    </w:p>
    <w:p>
      <w:pPr>
        <w:pStyle w:val="BodyText"/>
        <w:spacing w:line="309" w:lineRule="auto" w:before="26"/>
        <w:ind w:right="1034" w:firstLine="360"/>
        <w:jc w:val="left"/>
      </w:pPr>
      <w:r>
        <w:rPr>
          <w:spacing w:val="-2"/>
        </w:rPr>
        <w:t>公司是全球先进的电源解决方案供应商和国内电源行业的标志性企业，始终坚持</w:t>
      </w:r>
      <w:r>
        <w:rPr>
          <w:rFonts w:ascii="Times New Roman" w:hAnsi="Times New Roman" w:cs="Times New Roman" w:eastAsia="Times New Roman" w:hint="default"/>
          <w:spacing w:val="-2"/>
        </w:rPr>
        <w:t>“</w:t>
      </w:r>
      <w:r>
        <w:rPr>
          <w:spacing w:val="-2"/>
        </w:rPr>
        <w:t>绿色创新，高效节能</w:t>
      </w:r>
      <w:r>
        <w:rPr>
          <w:rFonts w:ascii="Times New Roman" w:hAnsi="Times New Roman" w:cs="Times New Roman" w:eastAsia="Times New Roman" w:hint="default"/>
          <w:spacing w:val="-2"/>
        </w:rPr>
        <w:t>”</w:t>
      </w:r>
      <w:r>
        <w:rPr>
          <w:spacing w:val="-2"/>
        </w:rPr>
        <w:t>的环保理念，自</w:t>
      </w:r>
      <w:r>
        <w:rPr/>
        <w:t> 觉积极履行社会责任，致力于为全球节能减碳贡献力量，同时，加强对环境保护的宣传工作，提高了全体员工的环保意识， 促进企业的长期可持续发展。</w:t>
      </w: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不适用</w:t>
      </w:r>
    </w:p>
    <w:p>
      <w:pPr>
        <w:pStyle w:val="BodyText"/>
        <w:spacing w:line="300" w:lineRule="auto" w:before="29"/>
        <w:ind w:left="513" w:right="1133"/>
        <w:jc w:val="left"/>
      </w:pPr>
      <w:r>
        <w:rPr/>
        <w:t>经核查</w:t>
      </w:r>
      <w:r>
        <w:rPr>
          <w:rFonts w:ascii="Times New Roman" w:hAnsi="Times New Roman" w:cs="Times New Roman" w:eastAsia="Times New Roman" w:hint="default"/>
        </w:rPr>
        <w:t>,</w:t>
      </w:r>
      <w:r>
        <w:rPr/>
        <w:t>公司及子公司不属于环境保护部门公布的重点排污单位。 </w:t>
      </w:r>
      <w:r>
        <w:rPr>
          <w:spacing w:val="-2"/>
        </w:rPr>
        <w:t>公司及子公司在日常生产经营中认真执行《中华人民共和国环境保护法》、《中华人民共和国水污染防治法》、《中华</w:t>
      </w:r>
    </w:p>
    <w:p>
      <w:pPr>
        <w:pStyle w:val="BodyText"/>
        <w:spacing w:line="316" w:lineRule="auto" w:before="31"/>
        <w:ind w:right="1133"/>
        <w:jc w:val="left"/>
      </w:pPr>
      <w:r>
        <w:rPr>
          <w:spacing w:val="-2"/>
        </w:rPr>
        <w:t>人民共和国大气污染防治法》、《中华人民共和国固体废物污染防治法》等环保方面的法律法规，报告期内未出现因违法违</w:t>
      </w:r>
      <w:r>
        <w:rPr>
          <w:spacing w:val="-67"/>
        </w:rPr>
        <w:t> </w:t>
      </w:r>
      <w:r>
        <w:rPr>
          <w:spacing w:val="-67"/>
        </w:rPr>
      </w:r>
      <w:r>
        <w:rPr/>
        <w:t>规而受到处罚的情况。</w:t>
      </w:r>
    </w:p>
    <w:p>
      <w:pPr>
        <w:spacing w:after="0" w:line="316"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037" w:firstLine="36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日，方笑求及蓝顺明减持计划实施完成</w:t>
      </w:r>
      <w:r>
        <w:rPr>
          <w:rFonts w:ascii="Times New Roman" w:hAnsi="Times New Roman" w:cs="Times New Roman" w:eastAsia="Times New Roman" w:hint="default"/>
          <w:spacing w:val="-3"/>
        </w:rPr>
        <w:t>,</w:t>
      </w:r>
      <w:r>
        <w:rPr>
          <w:spacing w:val="-3"/>
        </w:rPr>
        <w:t>减持完成后方笑求及蓝顺明合计持有上市公司股份</w:t>
      </w:r>
      <w:r>
        <w:rPr>
          <w:rFonts w:ascii="Times New Roman" w:hAnsi="Times New Roman" w:cs="Times New Roman" w:eastAsia="Times New Roman" w:hint="default"/>
          <w:spacing w:val="-3"/>
        </w:rPr>
        <w:t>13,716,307</w:t>
      </w:r>
      <w:r>
        <w:rPr>
          <w:spacing w:val="-3"/>
        </w:rPr>
        <w:t>股，</w:t>
      </w:r>
      <w:r>
        <w:rPr/>
        <w:t> </w:t>
      </w:r>
      <w:r>
        <w:rPr>
          <w:spacing w:val="21"/>
        </w:rPr>
        <w:t>占公司目前总股本</w:t>
      </w:r>
      <w:r>
        <w:rPr>
          <w:spacing w:val="-68"/>
        </w:rPr>
        <w:t> </w:t>
      </w:r>
      <w:r>
        <w:rPr>
          <w:rFonts w:ascii="Times New Roman" w:hAnsi="Times New Roman" w:cs="Times New Roman" w:eastAsia="Times New Roman" w:hint="default"/>
        </w:rPr>
        <w:t>4.99997%</w:t>
      </w:r>
      <w:r>
        <w:rPr>
          <w:rFonts w:ascii="Times New Roman" w:hAnsi="Times New Roman" w:cs="Times New Roman" w:eastAsia="Times New Roman" w:hint="default"/>
          <w:spacing w:val="-22"/>
        </w:rPr>
        <w:t> </w:t>
      </w:r>
      <w:r>
        <w:rPr>
          <w:spacing w:val="21"/>
        </w:rPr>
        <w:t>，不再是公司持股</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以</w:t>
      </w:r>
      <w:r>
        <w:rPr>
          <w:spacing w:val="-67"/>
        </w:rPr>
        <w:t> </w:t>
      </w:r>
      <w:r>
        <w:rPr>
          <w:spacing w:val="10"/>
        </w:rPr>
        <w:t>上的</w:t>
      </w:r>
      <w:r>
        <w:rPr>
          <w:spacing w:val="-67"/>
        </w:rPr>
        <w:t> </w:t>
      </w:r>
      <w:r>
        <w:rPr/>
        <w:t>股</w:t>
      </w:r>
      <w:r>
        <w:rPr>
          <w:spacing w:val="-67"/>
        </w:rPr>
        <w:t> </w:t>
      </w:r>
      <w:r>
        <w:rPr/>
        <w:t>东</w:t>
      </w:r>
      <w:r>
        <w:rPr>
          <w:spacing w:val="-67"/>
        </w:rPr>
        <w:t> </w:t>
      </w:r>
      <w:r>
        <w:rPr/>
        <w:t>。</w:t>
      </w:r>
      <w:r>
        <w:rPr>
          <w:spacing w:val="-67"/>
        </w:rPr>
        <w:t> </w:t>
      </w:r>
      <w:r>
        <w:rPr/>
        <w:t>具</w:t>
      </w:r>
      <w:r>
        <w:rPr>
          <w:spacing w:val="-67"/>
        </w:rPr>
        <w:t> </w:t>
      </w:r>
      <w:r>
        <w:rPr/>
        <w:t>体</w:t>
      </w:r>
      <w:r>
        <w:rPr>
          <w:spacing w:val="-67"/>
        </w:rPr>
        <w:t> </w:t>
      </w:r>
      <w:r>
        <w:rPr/>
        <w:t>详</w:t>
      </w:r>
      <w:r>
        <w:rPr>
          <w:spacing w:val="-67"/>
        </w:rPr>
        <w:t> </w:t>
      </w:r>
      <w:r>
        <w:rPr>
          <w:spacing w:val="10"/>
        </w:rPr>
        <w:t>情请</w:t>
      </w:r>
      <w:r>
        <w:rPr>
          <w:spacing w:val="-67"/>
        </w:rPr>
        <w:t> </w:t>
      </w:r>
      <w:r>
        <w:rPr/>
        <w:t>见</w:t>
      </w:r>
      <w:r>
        <w:rPr>
          <w:spacing w:val="-67"/>
        </w:rPr>
        <w:t> </w:t>
      </w:r>
      <w:r>
        <w:rPr/>
        <w:t>刊</w:t>
      </w:r>
      <w:r>
        <w:rPr>
          <w:spacing w:val="-67"/>
        </w:rPr>
        <w:t> </w:t>
      </w:r>
      <w:r>
        <w:rPr>
          <w:spacing w:val="10"/>
        </w:rPr>
        <w:t>登于</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w:t>
      </w:r>
      <w:r>
        <w:rPr>
          <w:spacing w:val="-67"/>
        </w:rPr>
        <w:t> </w:t>
      </w:r>
      <w:r>
        <w:rPr/>
        <w:t>巨</w:t>
      </w:r>
      <w:r>
        <w:rPr>
          <w:spacing w:val="-67"/>
        </w:rPr>
        <w:t> </w:t>
      </w:r>
      <w:r>
        <w:rPr/>
        <w:t>潮</w:t>
      </w:r>
      <w:r>
        <w:rPr>
          <w:spacing w:val="-67"/>
        </w:rPr>
        <w:t> </w:t>
      </w:r>
      <w:r>
        <w:rPr/>
        <w:t>资</w:t>
      </w:r>
      <w:r>
        <w:rPr>
          <w:spacing w:val="-67"/>
        </w:rPr>
        <w:t> </w:t>
      </w:r>
      <w:r>
        <w:rPr>
          <w:spacing w:val="10"/>
        </w:rPr>
        <w:t>讯网</w:t>
      </w:r>
    </w:p>
    <w:p>
      <w:pPr>
        <w:pStyle w:val="BodyText"/>
        <w:spacing w:line="240" w:lineRule="auto" w:before="13"/>
        <w:ind w:right="1133"/>
        <w:jc w:val="left"/>
      </w:pPr>
      <w:r>
        <w:rPr/>
        <w:t>（</w:t>
      </w:r>
      <w:r>
        <w:rPr>
          <w:rFonts w:ascii="Times New Roman" w:hAnsi="Times New Roman" w:cs="Times New Roman" w:eastAsia="Times New Roman" w:hint="default"/>
        </w:rPr>
        <w:t>http://www.cninfo.com.cn)</w:t>
      </w:r>
      <w:r>
        <w:rPr/>
        <w:t>《关于</w:t>
      </w:r>
      <w:r>
        <w:rPr>
          <w:rFonts w:ascii="Times New Roman" w:hAnsi="Times New Roman" w:cs="Times New Roman" w:eastAsia="Times New Roman" w:hint="default"/>
        </w:rPr>
        <w:t>5%</w:t>
      </w:r>
      <w:r>
        <w:rPr/>
        <w:t>以上股东完成减持计划的公告》。</w:t>
      </w:r>
    </w:p>
    <w:p>
      <w:pPr>
        <w:pStyle w:val="BodyText"/>
        <w:spacing w:line="240" w:lineRule="auto" w:before="63"/>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w:t>
      </w:r>
      <w:r>
        <w:rPr>
          <w:spacing w:val="-55"/>
        </w:rPr>
        <w:t> </w:t>
      </w:r>
      <w:r>
        <w:rPr/>
        <w:t>公</w:t>
      </w:r>
      <w:r>
        <w:rPr>
          <w:spacing w:val="-55"/>
        </w:rPr>
        <w:t> </w:t>
      </w:r>
      <w:r>
        <w:rPr/>
        <w:t>司</w:t>
      </w:r>
      <w:r>
        <w:rPr>
          <w:spacing w:val="-55"/>
        </w:rPr>
        <w:t> </w:t>
      </w:r>
      <w:r>
        <w:rPr/>
        <w:t>根</w:t>
      </w:r>
      <w:r>
        <w:rPr>
          <w:spacing w:val="-55"/>
        </w:rPr>
        <w:t> </w:t>
      </w:r>
      <w:r>
        <w:rPr/>
        <w:t>据</w:t>
      </w:r>
      <w:r>
        <w:rPr>
          <w:spacing w:val="-55"/>
        </w:rPr>
        <w:t> </w:t>
      </w:r>
      <w:r>
        <w:rPr/>
        <w:t>财</w:t>
      </w:r>
      <w:r>
        <w:rPr>
          <w:spacing w:val="-52"/>
        </w:rPr>
        <w:t> </w:t>
      </w:r>
      <w:r>
        <w:rPr/>
        <w:t>政</w:t>
      </w:r>
      <w:r>
        <w:rPr>
          <w:spacing w:val="-55"/>
        </w:rPr>
        <w:t> </w:t>
      </w:r>
      <w:r>
        <w:rPr/>
        <w:t>部</w:t>
      </w:r>
      <w:r>
        <w:rPr>
          <w:spacing w:val="-55"/>
        </w:rPr>
        <w:t> </w:t>
      </w:r>
      <w:r>
        <w:rPr/>
        <w:t>颁</w:t>
      </w:r>
      <w:r>
        <w:rPr>
          <w:spacing w:val="-55"/>
        </w:rPr>
        <w:t> </w:t>
      </w:r>
      <w:r>
        <w:rPr/>
        <w:t>布</w:t>
      </w:r>
      <w:r>
        <w:rPr>
          <w:spacing w:val="-52"/>
        </w:rPr>
        <w:t> </w:t>
      </w:r>
      <w:r>
        <w:rPr/>
        <w:t>的</w:t>
      </w:r>
      <w:r>
        <w:rPr>
          <w:spacing w:val="-55"/>
        </w:rPr>
        <w:t> </w:t>
      </w:r>
      <w:r>
        <w:rPr/>
        <w:t>最</w:t>
      </w:r>
      <w:r>
        <w:rPr>
          <w:spacing w:val="-55"/>
        </w:rPr>
        <w:t> </w:t>
      </w:r>
      <w:r>
        <w:rPr/>
        <w:t>新</w:t>
      </w:r>
      <w:r>
        <w:rPr>
          <w:spacing w:val="-55"/>
        </w:rPr>
        <w:t> </w:t>
      </w:r>
      <w:r>
        <w:rPr/>
        <w:t>规</w:t>
      </w:r>
      <w:r>
        <w:rPr>
          <w:spacing w:val="-55"/>
        </w:rPr>
        <w:t> </w:t>
      </w:r>
      <w:r>
        <w:rPr/>
        <w:t>定</w:t>
      </w:r>
      <w:r>
        <w:rPr>
          <w:spacing w:val="-52"/>
        </w:rPr>
        <w:t> </w:t>
      </w:r>
      <w:r>
        <w:rPr/>
        <w:t>变</w:t>
      </w:r>
      <w:r>
        <w:rPr>
          <w:spacing w:val="-55"/>
        </w:rPr>
        <w:t> </w:t>
      </w:r>
      <w:r>
        <w:rPr/>
        <w:t>更</w:t>
      </w:r>
      <w:r>
        <w:rPr>
          <w:spacing w:val="-55"/>
        </w:rPr>
        <w:t> </w:t>
      </w:r>
      <w:r>
        <w:rPr/>
        <w:t>会</w:t>
      </w:r>
      <w:r>
        <w:rPr>
          <w:spacing w:val="-55"/>
        </w:rPr>
        <w:t> </w:t>
      </w:r>
      <w:r>
        <w:rPr/>
        <w:t>计</w:t>
      </w:r>
      <w:r>
        <w:rPr>
          <w:spacing w:val="-52"/>
        </w:rPr>
        <w:t> </w:t>
      </w:r>
      <w:r>
        <w:rPr/>
        <w:t>政</w:t>
      </w:r>
      <w:r>
        <w:rPr>
          <w:spacing w:val="-55"/>
        </w:rPr>
        <w:t> </w:t>
      </w:r>
      <w:r>
        <w:rPr/>
        <w:t>策</w:t>
      </w:r>
      <w:r>
        <w:rPr>
          <w:spacing w:val="-52"/>
        </w:rPr>
        <w:t> </w:t>
      </w:r>
      <w:r>
        <w:rPr/>
        <w:t>，</w:t>
      </w:r>
      <w:r>
        <w:rPr>
          <w:spacing w:val="-55"/>
        </w:rPr>
        <w:t> </w:t>
      </w:r>
      <w:r>
        <w:rPr/>
        <w:t>具</w:t>
      </w:r>
      <w:r>
        <w:rPr>
          <w:spacing w:val="-55"/>
        </w:rPr>
        <w:t> </w:t>
      </w:r>
      <w:r>
        <w:rPr/>
        <w:t>体</w:t>
      </w:r>
      <w:r>
        <w:rPr>
          <w:spacing w:val="-55"/>
        </w:rPr>
        <w:t> </w:t>
      </w:r>
      <w:r>
        <w:rPr/>
        <w:t>详</w:t>
      </w:r>
      <w:r>
        <w:rPr>
          <w:spacing w:val="-55"/>
        </w:rPr>
        <w:t> </w:t>
      </w:r>
      <w:r>
        <w:rPr/>
        <w:t>情</w:t>
      </w:r>
      <w:r>
        <w:rPr>
          <w:spacing w:val="-52"/>
        </w:rPr>
        <w:t> </w:t>
      </w:r>
      <w:r>
        <w:rPr/>
        <w:t>请</w:t>
      </w:r>
      <w:r>
        <w:rPr>
          <w:spacing w:val="-55"/>
        </w:rPr>
        <w:t> </w:t>
      </w:r>
      <w:r>
        <w:rPr/>
        <w:t>见</w:t>
      </w:r>
      <w:r>
        <w:rPr>
          <w:spacing w:val="-55"/>
        </w:rPr>
        <w:t> </w:t>
      </w:r>
      <w:r>
        <w:rPr/>
        <w:t>刊</w:t>
      </w:r>
      <w:r>
        <w:rPr>
          <w:spacing w:val="-55"/>
        </w:rPr>
        <w:t> </w:t>
      </w:r>
      <w:r>
        <w:rPr/>
        <w:t>登</w:t>
      </w:r>
      <w:r>
        <w:rPr>
          <w:spacing w:val="-52"/>
        </w:rPr>
        <w:t> </w:t>
      </w:r>
      <w:r>
        <w:rPr/>
        <w:t>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spacing w:val="30"/>
        </w:rPr>
        <w:t>日巨潮资讯网</w:t>
      </w:r>
      <w:r>
        <w:rPr>
          <w:spacing w:val="-54"/>
        </w:rPr>
        <w:t> </w:t>
      </w:r>
      <w:r>
        <w:rPr/>
      </w:r>
    </w:p>
    <w:p>
      <w:pPr>
        <w:pStyle w:val="BodyText"/>
        <w:spacing w:line="300" w:lineRule="auto" w:before="63"/>
        <w:ind w:right="1126"/>
        <w:jc w:val="left"/>
      </w:pPr>
      <w:r>
        <w:rPr/>
        <w:t>（</w:t>
      </w:r>
      <w:r>
        <w:rPr>
          <w:rFonts w:ascii="Times New Roman" w:hAnsi="Times New Roman" w:cs="Times New Roman" w:eastAsia="Times New Roman" w:hint="default"/>
        </w:rPr>
        <w:t>http://www.cninfo.com.cn)</w:t>
      </w:r>
      <w:r>
        <w:rPr/>
        <w:t>《关于会计政策变更的公告》，</w:t>
      </w:r>
      <w:r>
        <w:rPr>
          <w:spacing w:val="-4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日巨潮资讯网（</w:t>
      </w:r>
      <w:r>
        <w:rPr>
          <w:rFonts w:ascii="Times New Roman" w:hAnsi="Times New Roman" w:cs="Times New Roman" w:eastAsia="Times New Roman" w:hint="default"/>
        </w:rPr>
        <w:t>http://www.cninfo.com.cn)</w:t>
      </w:r>
      <w:r>
        <w:rPr/>
        <w:t>《关于会 计政策变更的公告》。</w:t>
      </w:r>
    </w:p>
    <w:p>
      <w:pPr>
        <w:pStyle w:val="BodyText"/>
        <w:spacing w:line="300" w:lineRule="auto" w:before="31"/>
        <w:ind w:right="1128" w:firstLine="288"/>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月，由于金融市场环境变化、融资渠道受限等客观原因，导致增持计划的实施遇到困难，经审慎研究，公司</w:t>
      </w:r>
      <w:r>
        <w:rPr/>
        <w:t> 部分董事、高级管理人员及核心管理人员决定终止履行未实施部分的增持计划。本事项已经公司第四届董事会</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5</w:t>
      </w:r>
      <w:r>
        <w:rPr/>
        <w:t>次</w:t>
      </w:r>
      <w:r>
        <w:rPr>
          <w:spacing w:val="-84"/>
        </w:rPr>
        <w:t> </w:t>
      </w:r>
      <w:r>
        <w:rPr/>
        <w:t>临时会议</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w:t>
      </w:r>
      <w:r>
        <w:rPr/>
        <w:t>次临时股东大会审议通过</w:t>
      </w:r>
      <w:r>
        <w:rPr>
          <w:rFonts w:ascii="Times New Roman" w:hAnsi="Times New Roman" w:cs="Times New Roman" w:eastAsia="Times New Roman" w:hint="default"/>
        </w:rPr>
        <w:t>,</w:t>
      </w:r>
      <w:r>
        <w:rPr/>
        <w:t>具体详情请见刊登于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日巨潮资讯网（</w:t>
      </w:r>
      <w:hyperlink r:id="rId11">
        <w:r>
          <w:rPr>
            <w:rFonts w:ascii="Times New Roman" w:hAnsi="Times New Roman" w:cs="Times New Roman" w:eastAsia="Times New Roman" w:hint="default"/>
          </w:rPr>
          <w:t>http://www.cninfo.com.cn</w:t>
        </w:r>
      </w:hyperlink>
      <w:r>
        <w:rPr/>
        <w:t>）上</w:t>
      </w:r>
      <w:r>
        <w:rPr>
          <w:spacing w:val="2"/>
        </w:rPr>
        <w:t> </w:t>
      </w:r>
      <w:r>
        <w:rPr/>
        <w:t>的《关于公司部分董事、高级管理人员及核心管理人员增持计划终止的公告》。</w:t>
      </w:r>
    </w:p>
    <w:p>
      <w:pPr>
        <w:pStyle w:val="BodyText"/>
        <w:spacing w:line="300" w:lineRule="auto" w:before="31"/>
        <w:ind w:right="1129" w:firstLine="288"/>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月，公司召开第四届董事会</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4</w:t>
      </w:r>
      <w:r>
        <w:rPr/>
        <w:t>次临时会议，审议通过了《关于终止部分募集资金投资项目并将剩余 募集资金永久补充流动资金的议案》，同意终止</w:t>
      </w:r>
      <w:r>
        <w:rPr>
          <w:rFonts w:ascii="Times New Roman" w:hAnsi="Times New Roman" w:cs="Times New Roman" w:eastAsia="Times New Roman" w:hint="default"/>
        </w:rPr>
        <w:t>“</w:t>
      </w:r>
      <w:r>
        <w:rPr/>
        <w:t>惠州茂硕能源科技有限公司研发中心建设项目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惠州茂硕能源科技有限</w:t>
      </w:r>
      <w:r>
        <w:rPr>
          <w:spacing w:val="-53"/>
        </w:rPr>
        <w:t> </w:t>
      </w:r>
      <w:r>
        <w:rPr>
          <w:spacing w:val="-53"/>
        </w:rPr>
      </w:r>
      <w:r>
        <w:rPr/>
        <w:t>公司信息化系统建设项目</w:t>
      </w:r>
      <w:r>
        <w:rPr>
          <w:rFonts w:ascii="Times New Roman" w:hAnsi="Times New Roman" w:cs="Times New Roman" w:eastAsia="Times New Roman" w:hint="default"/>
        </w:rPr>
        <w:t>”</w:t>
      </w:r>
      <w:r>
        <w:rPr/>
        <w:t>，并将募集资金投资项目剩余募集资金及利息收入合计</w:t>
      </w:r>
      <w:r>
        <w:rPr>
          <w:rFonts w:ascii="Times New Roman" w:hAnsi="Times New Roman" w:cs="Times New Roman" w:eastAsia="Times New Roman" w:hint="default"/>
        </w:rPr>
        <w:t>831.79</w:t>
      </w:r>
      <w:r>
        <w:rPr/>
        <w:t>万元（具体金额以实际转出募集资</w:t>
      </w:r>
      <w:r>
        <w:rPr>
          <w:spacing w:val="-33"/>
        </w:rPr>
        <w:t> </w:t>
      </w:r>
      <w:r>
        <w:rPr>
          <w:spacing w:val="-33"/>
        </w:rPr>
      </w:r>
      <w:r>
        <w:rPr/>
        <w:t>金专户时的金额为准）永久补充流动资金。本事项已经</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t>次临时股东大会审议通过，具体详情请见刊登于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22</w:t>
      </w:r>
      <w:r>
        <w:rPr/>
        <w:t>日巨潮资讯网（</w:t>
      </w:r>
      <w:hyperlink r:id="rId11">
        <w:r>
          <w:rPr>
            <w:rFonts w:ascii="Times New Roman" w:hAnsi="Times New Roman" w:cs="Times New Roman" w:eastAsia="Times New Roman" w:hint="default"/>
          </w:rPr>
          <w:t>http://www.cninfo.com.cn</w:t>
        </w:r>
      </w:hyperlink>
      <w:r>
        <w:rPr/>
        <w:t>）上的《关于终止部分募集资金投资项目并将剩余募集资金永久补充流动资金 的公告》。截至目前</w:t>
      </w:r>
      <w:r>
        <w:rPr>
          <w:rFonts w:ascii="Times New Roman" w:hAnsi="Times New Roman" w:cs="Times New Roman" w:eastAsia="Times New Roman" w:hint="default"/>
        </w:rPr>
        <w:t>,</w:t>
      </w:r>
      <w:r>
        <w:rPr/>
        <w:t>相关募集资金专户已经完成销户手续。</w:t>
      </w:r>
    </w:p>
    <w:p>
      <w:pPr>
        <w:pStyle w:val="BodyText"/>
        <w:spacing w:line="300" w:lineRule="auto" w:before="13"/>
        <w:ind w:right="1133"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月，公司与义乌市亚杰网络科技有限公司（以下简称</w:t>
      </w:r>
      <w:r>
        <w:rPr>
          <w:spacing w:val="15"/>
        </w:rPr>
        <w:t> </w:t>
      </w:r>
      <w:r>
        <w:rPr>
          <w:rFonts w:ascii="Times New Roman" w:hAnsi="Times New Roman" w:cs="Times New Roman" w:eastAsia="Times New Roman" w:hint="default"/>
        </w:rPr>
        <w:t>“</w:t>
      </w:r>
      <w:r>
        <w:rPr/>
        <w:t>亚杰网络</w:t>
      </w:r>
      <w:r>
        <w:rPr>
          <w:rFonts w:ascii="Times New Roman" w:hAnsi="Times New Roman" w:cs="Times New Roman" w:eastAsia="Times New Roman" w:hint="default"/>
        </w:rPr>
        <w:t>”</w:t>
      </w:r>
      <w:r>
        <w:rPr/>
        <w:t>）及其股东签订了《投资协议》；公司拟 以合计</w:t>
      </w:r>
      <w:r>
        <w:rPr>
          <w:rFonts w:ascii="Times New Roman" w:hAnsi="Times New Roman" w:cs="Times New Roman" w:eastAsia="Times New Roman" w:hint="default"/>
        </w:rPr>
        <w:t>2842.1052</w:t>
      </w:r>
      <w:r>
        <w:rPr/>
        <w:t>万元用增资和受让股权的形式投资亚杰网络；增资和受让股权完成后，公司将持有亚杰网络</w:t>
      </w:r>
      <w:r>
        <w:rPr>
          <w:rFonts w:ascii="Times New Roman" w:hAnsi="Times New Roman" w:cs="Times New Roman" w:eastAsia="Times New Roman" w:hint="default"/>
        </w:rPr>
        <w:t>10%</w:t>
      </w:r>
      <w:r>
        <w:rPr/>
        <w:t>股权。具</w:t>
      </w:r>
      <w:r>
        <w:rPr>
          <w:spacing w:val="-19"/>
        </w:rPr>
        <w:t> </w:t>
      </w:r>
      <w:r>
        <w:rPr>
          <w:spacing w:val="-19"/>
        </w:rPr>
      </w:r>
      <w:r>
        <w:rPr/>
        <w:t>体详情请见刊登于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日巨潮资讯网（</w:t>
      </w:r>
      <w:hyperlink r:id="rId11">
        <w:r>
          <w:rPr>
            <w:rFonts w:ascii="Times New Roman" w:hAnsi="Times New Roman" w:cs="Times New Roman" w:eastAsia="Times New Roman" w:hint="default"/>
          </w:rPr>
          <w:t>http://www.cninfo.com.cn</w:t>
        </w:r>
      </w:hyperlink>
      <w:r>
        <w:rPr/>
        <w:t>）上的《关于对外投资的公告》。</w:t>
      </w:r>
    </w:p>
    <w:p>
      <w:pPr>
        <w:pStyle w:val="BodyText"/>
        <w:spacing w:line="300" w:lineRule="auto" w:before="53"/>
        <w:ind w:right="1129"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月，为集中资源聚焦主业，公司与亚杰网络及其股东签订了《减资协议》，公司以减资方式退出亚杰网络，本</w:t>
      </w:r>
      <w:r>
        <w:rPr/>
        <w:t> 次减资退出的交易对价为</w:t>
      </w:r>
      <w:r>
        <w:rPr>
          <w:rFonts w:ascii="Times New Roman" w:hAnsi="Times New Roman" w:cs="Times New Roman" w:eastAsia="Times New Roman" w:hint="default"/>
        </w:rPr>
        <w:t>1300</w:t>
      </w:r>
      <w:r>
        <w:rPr/>
        <w:t>万元，减资完成后，亚杰网络注册资本由人民币</w:t>
      </w:r>
      <w:r>
        <w:rPr>
          <w:rFonts w:ascii="Times New Roman" w:hAnsi="Times New Roman" w:cs="Times New Roman" w:eastAsia="Times New Roman" w:hint="default"/>
        </w:rPr>
        <w:t>315.7895</w:t>
      </w:r>
      <w:r>
        <w:rPr/>
        <w:t>万元减资至人民币</w:t>
      </w:r>
      <w:r>
        <w:rPr>
          <w:rFonts w:ascii="Times New Roman" w:hAnsi="Times New Roman" w:cs="Times New Roman" w:eastAsia="Times New Roman" w:hint="default"/>
        </w:rPr>
        <w:t>300</w:t>
      </w:r>
      <w:r>
        <w:rPr/>
        <w:t>万元，公司不</w:t>
      </w:r>
      <w:r>
        <w:rPr>
          <w:spacing w:val="-41"/>
        </w:rPr>
        <w:t> </w:t>
      </w:r>
      <w:r>
        <w:rPr>
          <w:spacing w:val="-41"/>
        </w:rPr>
      </w:r>
      <w:r>
        <w:rPr>
          <w:spacing w:val="-2"/>
        </w:rPr>
        <w:t>再持有其股权。具体详情请见刊登于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日巨潮资讯网（</w:t>
      </w:r>
      <w:hyperlink r:id="rId11">
        <w:r>
          <w:rPr>
            <w:rFonts w:ascii="Times New Roman" w:hAnsi="Times New Roman" w:cs="Times New Roman" w:eastAsia="Times New Roman" w:hint="default"/>
            <w:spacing w:val="-2"/>
          </w:rPr>
          <w:t>http://www.cninfo.com.cn</w:t>
        </w:r>
      </w:hyperlink>
      <w:r>
        <w:rPr>
          <w:spacing w:val="-2"/>
        </w:rPr>
        <w:t>）上的《关于参股公司减资暨关联</w:t>
      </w:r>
      <w:r>
        <w:rPr>
          <w:spacing w:val="-46"/>
        </w:rPr>
        <w:t> </w:t>
      </w:r>
      <w:r>
        <w:rPr>
          <w:spacing w:val="-46"/>
        </w:rPr>
      </w:r>
      <w:r>
        <w:rPr/>
        <w:t>交易的公告》。</w:t>
      </w:r>
    </w:p>
    <w:p>
      <w:pPr>
        <w:pStyle w:val="BodyText"/>
        <w:spacing w:line="300" w:lineRule="auto" w:before="72"/>
        <w:ind w:right="1129" w:firstLine="42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spacing w:val="-1"/>
        </w:rPr>
        <w:t>日，公司控股股东、实际控制人顾永德先生及其一致行动人深圳德旺投资发展有限公司与江西省省属</w:t>
      </w:r>
      <w:r>
        <w:rPr/>
        <w:t> </w:t>
      </w:r>
      <w:r>
        <w:rPr>
          <w:spacing w:val="-1"/>
        </w:rPr>
        <w:t>国有企业资产经营</w:t>
      </w:r>
      <w:r>
        <w:rPr>
          <w:rFonts w:ascii="Times New Roman" w:hAnsi="Times New Roman" w:cs="Times New Roman" w:eastAsia="Times New Roman" w:hint="default"/>
          <w:spacing w:val="-1"/>
        </w:rPr>
        <w:t>(</w:t>
      </w:r>
      <w:r>
        <w:rPr>
          <w:spacing w:val="-1"/>
        </w:rPr>
        <w:t>控股</w:t>
      </w:r>
      <w:r>
        <w:rPr>
          <w:rFonts w:ascii="Times New Roman" w:hAnsi="Times New Roman" w:cs="Times New Roman" w:eastAsia="Times New Roman" w:hint="default"/>
          <w:spacing w:val="-1"/>
        </w:rPr>
        <w:t>)</w:t>
      </w:r>
      <w:r>
        <w:rPr>
          <w:spacing w:val="-1"/>
        </w:rPr>
        <w:t>有限公司签署了《股份转让意向协议》，顾永德先生及其一致行动人拟向江西省省属国有企业资产</w:t>
      </w:r>
      <w:r>
        <w:rPr>
          <w:spacing w:val="-59"/>
        </w:rPr>
        <w:t> </w:t>
      </w:r>
      <w:r>
        <w:rPr>
          <w:spacing w:val="-59"/>
        </w:rPr>
      </w:r>
      <w:r>
        <w:rPr>
          <w:spacing w:val="-2"/>
        </w:rPr>
        <w:t>经营</w:t>
      </w:r>
      <w:r>
        <w:rPr>
          <w:rFonts w:ascii="Times New Roman" w:hAnsi="Times New Roman" w:cs="Times New Roman" w:eastAsia="Times New Roman" w:hint="default"/>
          <w:spacing w:val="-2"/>
        </w:rPr>
        <w:t>(</w:t>
      </w:r>
      <w:r>
        <w:rPr>
          <w:spacing w:val="-2"/>
        </w:rPr>
        <w:t>控股</w:t>
      </w:r>
      <w:r>
        <w:rPr>
          <w:rFonts w:ascii="Times New Roman" w:hAnsi="Times New Roman" w:cs="Times New Roman" w:eastAsia="Times New Roman" w:hint="default"/>
          <w:spacing w:val="-2"/>
        </w:rPr>
        <w:t>)</w:t>
      </w:r>
      <w:r>
        <w:rPr>
          <w:spacing w:val="-2"/>
        </w:rPr>
        <w:t>有限公司或其指定主体转让合计不低于</w:t>
      </w:r>
      <w:r>
        <w:rPr>
          <w:rFonts w:ascii="Times New Roman" w:hAnsi="Times New Roman" w:cs="Times New Roman" w:eastAsia="Times New Roman" w:hint="default"/>
          <w:spacing w:val="-2"/>
        </w:rPr>
        <w:t>68,500,000</w:t>
      </w:r>
      <w:r>
        <w:rPr>
          <w:spacing w:val="-2"/>
        </w:rPr>
        <w:t>股股票，占公司总股本不低于</w:t>
      </w:r>
      <w:r>
        <w:rPr>
          <w:rFonts w:ascii="Times New Roman" w:hAnsi="Times New Roman" w:cs="Times New Roman" w:eastAsia="Times New Roman" w:hint="default"/>
          <w:spacing w:val="-2"/>
        </w:rPr>
        <w:t>25%</w:t>
      </w:r>
      <w:r>
        <w:rPr>
          <w:spacing w:val="-2"/>
        </w:rPr>
        <w:t>，但其最终持有的上市公司股</w:t>
      </w:r>
      <w:r>
        <w:rPr>
          <w:spacing w:val="-50"/>
        </w:rPr>
        <w:t> </w:t>
      </w:r>
      <w:r>
        <w:rPr>
          <w:spacing w:val="-50"/>
        </w:rPr>
      </w:r>
      <w:r>
        <w:rPr/>
        <w:t>票不超过上市公司总股本的</w:t>
      </w:r>
      <w:r>
        <w:rPr>
          <w:rFonts w:ascii="Times New Roman" w:hAnsi="Times New Roman" w:cs="Times New Roman" w:eastAsia="Times New Roman" w:hint="default"/>
        </w:rPr>
        <w:t>30%</w:t>
      </w:r>
      <w:r>
        <w:rPr/>
        <w:t>，收购完成后，江西省省属国有企业资产经营</w:t>
      </w:r>
      <w:r>
        <w:rPr>
          <w:rFonts w:ascii="Times New Roman" w:hAnsi="Times New Roman" w:cs="Times New Roman" w:eastAsia="Times New Roman" w:hint="default"/>
        </w:rPr>
        <w:t>(</w:t>
      </w:r>
      <w:r>
        <w:rPr/>
        <w:t>控股</w:t>
      </w:r>
      <w:r>
        <w:rPr>
          <w:rFonts w:ascii="Times New Roman" w:hAnsi="Times New Roman" w:cs="Times New Roman" w:eastAsia="Times New Roman" w:hint="default"/>
        </w:rPr>
        <w:t>)</w:t>
      </w:r>
      <w:r>
        <w:rPr/>
        <w:t>有限公司或其指定主体将取得上市公司</w:t>
      </w:r>
      <w:r>
        <w:rPr>
          <w:spacing w:val="-84"/>
        </w:rPr>
        <w:t> </w:t>
      </w:r>
      <w:r>
        <w:rPr>
          <w:spacing w:val="-84"/>
        </w:rPr>
      </w:r>
      <w:r>
        <w:rPr/>
        <w:t>实际控制权。具体详情请见刊登于巨潮资讯网（</w:t>
      </w:r>
      <w:hyperlink r:id="rId11">
        <w:r>
          <w:rPr>
            <w:rFonts w:ascii="Times New Roman" w:hAnsi="Times New Roman" w:cs="Times New Roman" w:eastAsia="Times New Roman" w:hint="default"/>
          </w:rPr>
          <w:t>http://www.cninfo.com.cn</w:t>
        </w:r>
      </w:hyperlink>
      <w:r>
        <w:rPr/>
        <w:t>）上的《关于控股股东、实际控制人签署〈股份转 让意向协议〉暨公司控制权拟变更的提示性公告》。</w:t>
      </w:r>
    </w:p>
    <w:p>
      <w:pPr>
        <w:pStyle w:val="BodyText"/>
        <w:spacing w:line="300" w:lineRule="auto" w:before="70"/>
        <w:ind w:right="0" w:firstLine="420"/>
        <w:jc w:val="left"/>
      </w:pP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23</w:t>
      </w:r>
      <w:r>
        <w:rPr>
          <w:spacing w:val="-8"/>
        </w:rPr>
        <w:t>日，双方根据实际情况就《股份转让意向协议》第三条诚意金条款签署了《股份转让意向补充协议（一）》，</w:t>
      </w:r>
      <w:r>
        <w:rPr/>
        <w:t> 具体详情请见刊登于巨潮资讯网（</w:t>
      </w:r>
      <w:hyperlink r:id="rId11">
        <w:r>
          <w:rPr>
            <w:rFonts w:ascii="Times New Roman" w:hAnsi="Times New Roman" w:cs="Times New Roman" w:eastAsia="Times New Roman" w:hint="default"/>
          </w:rPr>
          <w:t>http://www.cninfo.com.cn</w:t>
        </w:r>
      </w:hyperlink>
      <w:r>
        <w:rPr/>
        <w:t>）上的《关于控股股东、实际控制人签署</w:t>
      </w:r>
      <w:r>
        <w:rPr>
          <w:rFonts w:ascii="Times New Roman" w:hAnsi="Times New Roman" w:cs="Times New Roman" w:eastAsia="Times New Roman" w:hint="default"/>
        </w:rPr>
        <w:t>&lt;</w:t>
      </w:r>
      <w:r>
        <w:rPr/>
        <w:t>股份转让意向补充协</w:t>
      </w:r>
      <w:r>
        <w:rPr>
          <w:spacing w:val="-27"/>
        </w:rPr>
        <w:t> </w:t>
      </w:r>
      <w:r>
        <w:rPr>
          <w:spacing w:val="-27"/>
        </w:rPr>
      </w:r>
      <w:r>
        <w:rPr/>
        <w:t>议（一）</w:t>
      </w:r>
      <w:r>
        <w:rPr>
          <w:rFonts w:ascii="Times New Roman" w:hAnsi="Times New Roman" w:cs="Times New Roman" w:eastAsia="Times New Roman" w:hint="default"/>
        </w:rPr>
        <w:t>&gt;</w:t>
      </w:r>
      <w:r>
        <w:rPr/>
        <w:t>暨公司控制权拟变更的进展公告》。</w:t>
      </w:r>
    </w:p>
    <w:p>
      <w:pPr>
        <w:pStyle w:val="BodyText"/>
        <w:spacing w:line="300" w:lineRule="auto" w:before="54"/>
        <w:ind w:right="1134" w:firstLine="42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日，因疫情影响，双方根据实际情况就《股份转让意向协议》第九条第</w:t>
      </w:r>
      <w:r>
        <w:rPr>
          <w:rFonts w:ascii="Times New Roman" w:hAnsi="Times New Roman" w:cs="Times New Roman" w:eastAsia="Times New Roman" w:hint="default"/>
        </w:rPr>
        <w:t>2</w:t>
      </w:r>
      <w:r>
        <w:rPr/>
        <w:t>款第</w:t>
      </w:r>
      <w:r>
        <w:rPr>
          <w:rFonts w:ascii="Times New Roman" w:hAnsi="Times New Roman" w:cs="Times New Roman" w:eastAsia="Times New Roman" w:hint="default"/>
        </w:rPr>
        <w:t>(5)</w:t>
      </w:r>
      <w:r>
        <w:rPr/>
        <w:t>项延限事项签署了《股份 转让意向补充协议（二）》，具体详情请见刊登于巨潮资讯网（</w:t>
      </w:r>
      <w:hyperlink r:id="rId11">
        <w:r>
          <w:rPr>
            <w:rFonts w:ascii="Times New Roman" w:hAnsi="Times New Roman" w:cs="Times New Roman" w:eastAsia="Times New Roman" w:hint="default"/>
          </w:rPr>
          <w:t>http://www.cninfo.com.cn</w:t>
        </w:r>
      </w:hyperlink>
      <w:r>
        <w:rPr/>
        <w:t>）上的《关于控股股东、实际控制 人签署</w:t>
      </w:r>
      <w:r>
        <w:rPr>
          <w:rFonts w:ascii="Times New Roman" w:hAnsi="Times New Roman" w:cs="Times New Roman" w:eastAsia="Times New Roman" w:hint="default"/>
        </w:rPr>
        <w:t>&lt;</w:t>
      </w:r>
      <w:r>
        <w:rPr/>
        <w:t>股份转让意向补充协议（二）</w:t>
      </w:r>
      <w:r>
        <w:rPr>
          <w:rFonts w:ascii="Times New Roman" w:hAnsi="Times New Roman" w:cs="Times New Roman" w:eastAsia="Times New Roman" w:hint="default"/>
        </w:rPr>
        <w:t>&gt;</w:t>
      </w:r>
      <w:r>
        <w:rPr/>
        <w:t>暨公司控制权拟变更的进展公告》。</w:t>
      </w:r>
    </w:p>
    <w:p>
      <w:pPr>
        <w:pStyle w:val="BodyText"/>
        <w:spacing w:line="300" w:lineRule="auto" w:before="51"/>
        <w:ind w:right="1122" w:firstLine="360"/>
        <w:jc w:val="both"/>
      </w:pPr>
      <w:r>
        <w:rPr>
          <w:rFonts w:ascii="Times New Roman" w:hAnsi="Times New Roman" w:cs="Times New Roman" w:eastAsia="Times New Roman" w:hint="default"/>
        </w:rPr>
        <w:t>7</w:t>
      </w:r>
      <w:r>
        <w:rPr/>
        <w:t>、经公司于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日召开的第四届董事会</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10</w:t>
      </w:r>
      <w:r>
        <w:rPr/>
        <w:t>次临时会议，</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2020</w:t>
      </w:r>
      <w:r>
        <w:rPr/>
        <w:t>年第</w:t>
      </w:r>
      <w:r>
        <w:rPr>
          <w:rFonts w:ascii="Times New Roman" w:hAnsi="Times New Roman" w:cs="Times New Roman" w:eastAsia="Times New Roman" w:hint="default"/>
        </w:rPr>
        <w:t>1</w:t>
      </w:r>
      <w:r>
        <w:rPr/>
        <w:t>次临时股东 </w:t>
      </w:r>
      <w:r>
        <w:rPr>
          <w:spacing w:val="-2"/>
        </w:rPr>
        <w:t>大会审议通过，豁免了公司控股股东、实际控制人顾永德作出的</w:t>
      </w:r>
      <w:r>
        <w:rPr>
          <w:rFonts w:ascii="Times New Roman" w:hAnsi="Times New Roman" w:cs="Times New Roman" w:eastAsia="Times New Roman" w:hint="default"/>
          <w:spacing w:val="-2"/>
        </w:rPr>
        <w:t>“</w:t>
      </w:r>
      <w:r>
        <w:rPr>
          <w:spacing w:val="-2"/>
        </w:rPr>
        <w:t>在申报离任</w:t>
      </w:r>
      <w:r>
        <w:rPr>
          <w:rFonts w:ascii="Times New Roman" w:hAnsi="Times New Roman" w:cs="Times New Roman" w:eastAsia="Times New Roman" w:hint="default"/>
          <w:spacing w:val="-2"/>
        </w:rPr>
        <w:t>6</w:t>
      </w:r>
      <w:r>
        <w:rPr>
          <w:spacing w:val="-2"/>
        </w:rPr>
        <w:t>个月后的</w:t>
      </w:r>
      <w:r>
        <w:rPr>
          <w:rFonts w:ascii="Times New Roman" w:hAnsi="Times New Roman" w:cs="Times New Roman" w:eastAsia="Times New Roman" w:hint="default"/>
          <w:spacing w:val="-2"/>
        </w:rPr>
        <w:t>12</w:t>
      </w:r>
      <w:r>
        <w:rPr>
          <w:spacing w:val="-2"/>
        </w:rPr>
        <w:t>个月内通过交易所挂牌交易出售本</w:t>
      </w:r>
      <w:r>
        <w:rPr>
          <w:spacing w:val="-50"/>
        </w:rPr>
        <w:t> </w:t>
      </w:r>
      <w:r>
        <w:rPr>
          <w:spacing w:val="11"/>
        </w:rPr>
        <w:t>公司股票数量占其所持有本公司股票总数的比例不得超过</w:t>
      </w:r>
      <w:r>
        <w:rPr>
          <w:rFonts w:ascii="Times New Roman" w:hAnsi="Times New Roman" w:cs="Times New Roman" w:eastAsia="Times New Roman" w:hint="default"/>
          <w:spacing w:val="11"/>
        </w:rPr>
        <w:t>50%”</w:t>
      </w:r>
      <w:r>
        <w:rPr>
          <w:spacing w:val="11"/>
        </w:rPr>
        <w:t>股份锁定承诺事项，具体详情请见刊登于巨潮资讯网</w:t>
      </w:r>
      <w:r>
        <w:rPr/>
      </w:r>
    </w:p>
    <w:p>
      <w:pPr>
        <w:pStyle w:val="BodyText"/>
        <w:spacing w:line="240" w:lineRule="auto" w:before="13"/>
        <w:ind w:right="1133"/>
        <w:jc w:val="left"/>
      </w:pPr>
      <w:r>
        <w:rPr/>
        <w:t>（</w:t>
      </w:r>
      <w:hyperlink r:id="rId11">
        <w:r>
          <w:rPr>
            <w:rFonts w:ascii="Times New Roman" w:hAnsi="Times New Roman" w:cs="Times New Roman" w:eastAsia="Times New Roman" w:hint="default"/>
          </w:rPr>
          <w:t>http://www.cninfo.com.cn</w:t>
        </w:r>
      </w:hyperlink>
      <w:r>
        <w:rPr/>
        <w:t>）上的《关于豁免公司控股股东、实际控制人股份锁定承诺的公告》。</w:t>
      </w:r>
    </w:p>
    <w:p>
      <w:pPr>
        <w:pStyle w:val="BodyText"/>
        <w:spacing w:line="300" w:lineRule="auto" w:before="103"/>
        <w:ind w:right="1131"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1"/>
        </w:rPr>
        <w:t>8</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月与深圳市前海九派资本管理合伙企业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及其他投资人共同出资设立完成了长兴九派兴硕股</w:t>
      </w:r>
      <w:r>
        <w:rPr/>
        <w:t> </w:t>
      </w:r>
      <w:r>
        <w:rPr>
          <w:spacing w:val="-1"/>
        </w:rPr>
        <w:t>权投资基金合伙企业（有限合伙），基金于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月完成私募基金备案，目前公司持有其</w:t>
      </w:r>
      <w:r>
        <w:rPr>
          <w:rFonts w:ascii="Times New Roman" w:hAnsi="Times New Roman" w:cs="Times New Roman" w:eastAsia="Times New Roman" w:hint="default"/>
          <w:spacing w:val="-1"/>
        </w:rPr>
        <w:t>12.50%</w:t>
      </w:r>
      <w:r>
        <w:rPr>
          <w:spacing w:val="-1"/>
        </w:rPr>
        <w:t>份额。截至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r>
    </w:p>
    <w:p>
      <w:pPr>
        <w:spacing w:after="0" w:line="300"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2889" w:val="left" w:leader="none"/>
        </w:tabs>
        <w:spacing w:line="348" w:lineRule="auto"/>
        <w:ind w:left="513" w:right="7208" w:hanging="361"/>
        <w:jc w:val="left"/>
        <w:rPr>
          <w:rFonts w:ascii="Times New Roman" w:hAnsi="Times New Roman" w:cs="Times New Roman" w:eastAsia="Times New Roman" w:hint="default"/>
        </w:rPr>
      </w:pPr>
      <w:r>
        <w:rPr/>
        <w:t>日已完成投资如下： 上海司顺电子商务有限公司</w:t>
        <w:tab/>
        <w:t>占比</w:t>
      </w:r>
      <w:r>
        <w:rPr>
          <w:rFonts w:ascii="Times New Roman" w:hAnsi="Times New Roman" w:cs="Times New Roman" w:eastAsia="Times New Roman" w:hint="default"/>
        </w:rPr>
        <w:t>0.95% </w:t>
      </w:r>
      <w:r>
        <w:rPr/>
        <w:t>西安澳鹏网络科技有限公司</w:t>
        <w:tab/>
        <w:t>占比</w:t>
      </w:r>
      <w:r>
        <w:rPr>
          <w:rFonts w:ascii="Times New Roman" w:hAnsi="Times New Roman" w:cs="Times New Roman" w:eastAsia="Times New Roman" w:hint="default"/>
        </w:rPr>
        <w:t>1.75%</w:t>
      </w:r>
    </w:p>
    <w:p>
      <w:pPr>
        <w:pStyle w:val="BodyText"/>
        <w:spacing w:line="300" w:lineRule="auto" w:before="14"/>
        <w:ind w:right="1076" w:firstLine="360"/>
        <w:jc w:val="both"/>
      </w:pPr>
      <w:r>
        <w:rPr>
          <w:rFonts w:ascii="Times New Roman" w:hAnsi="Times New Roman" w:cs="Times New Roman" w:eastAsia="Times New Roman" w:hint="default"/>
        </w:rPr>
        <w:t>9</w:t>
      </w:r>
      <w:r>
        <w:rPr/>
        <w:t>、并网发电的光伏电站情况：（</w:t>
      </w:r>
      <w:r>
        <w:rPr>
          <w:rFonts w:ascii="Times New Roman" w:hAnsi="Times New Roman" w:cs="Times New Roman" w:eastAsia="Times New Roman" w:hint="default"/>
        </w:rPr>
        <w:t>1</w:t>
      </w:r>
      <w:r>
        <w:rPr/>
        <w:t>）浙江海宁茂硕诺华能源有限公司</w:t>
      </w:r>
      <w:r>
        <w:rPr>
          <w:rFonts w:ascii="Times New Roman" w:hAnsi="Times New Roman" w:cs="Times New Roman" w:eastAsia="Times New Roman" w:hint="default"/>
        </w:rPr>
        <w:t>,</w:t>
      </w:r>
      <w:r>
        <w:rPr/>
        <w:t>我司占比</w:t>
      </w:r>
      <w:r>
        <w:rPr>
          <w:rFonts w:ascii="Times New Roman" w:hAnsi="Times New Roman" w:cs="Times New Roman" w:eastAsia="Times New Roman" w:hint="default"/>
        </w:rPr>
        <w:t>70.6%,</w:t>
      </w:r>
      <w:r>
        <w:rPr/>
        <w:t>投资建设</w:t>
      </w:r>
      <w:r>
        <w:rPr>
          <w:rFonts w:ascii="Times New Roman" w:hAnsi="Times New Roman" w:cs="Times New Roman" w:eastAsia="Times New Roman" w:hint="default"/>
        </w:rPr>
        <w:t>15MW</w:t>
      </w:r>
      <w:r>
        <w:rPr/>
        <w:t>光伏项目</w:t>
      </w:r>
      <w:r>
        <w:rPr>
          <w:rFonts w:ascii="Times New Roman" w:hAnsi="Times New Roman" w:cs="Times New Roman" w:eastAsia="Times New Roman" w:hint="default"/>
        </w:rPr>
        <w:t>,2014</w:t>
      </w:r>
      <w:r>
        <w:rPr/>
        <w:t>年 底已正常并网发电。（</w:t>
      </w:r>
      <w:r>
        <w:rPr>
          <w:rFonts w:ascii="Times New Roman" w:hAnsi="Times New Roman" w:cs="Times New Roman" w:eastAsia="Times New Roman" w:hint="default"/>
        </w:rPr>
        <w:t>2</w:t>
      </w:r>
      <w:r>
        <w:rPr/>
        <w:t>）萍乡安源区光伏发电项目，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拟投资</w:t>
      </w:r>
      <w:r>
        <w:rPr>
          <w:rFonts w:ascii="Times New Roman" w:hAnsi="Times New Roman" w:cs="Times New Roman" w:eastAsia="Times New Roman" w:hint="default"/>
        </w:rPr>
        <w:t>5</w:t>
      </w:r>
      <w:r>
        <w:rPr/>
        <w:t>亿建设</w:t>
      </w:r>
      <w:r>
        <w:rPr>
          <w:rFonts w:ascii="Times New Roman" w:hAnsi="Times New Roman" w:cs="Times New Roman" w:eastAsia="Times New Roman" w:hint="default"/>
        </w:rPr>
        <w:t>50MW</w:t>
      </w:r>
      <w:r>
        <w:rPr/>
        <w:t>光伏并网发电项目， 分两期建设</w:t>
      </w:r>
      <w:r>
        <w:rPr>
          <w:rFonts w:ascii="Times New Roman" w:hAnsi="Times New Roman" w:cs="Times New Roman" w:eastAsia="Times New Roman" w:hint="default"/>
        </w:rPr>
        <w:t>,</w:t>
      </w:r>
      <w:r>
        <w:rPr/>
        <w:t>一期中</w:t>
      </w:r>
      <w:r>
        <w:rPr>
          <w:rFonts w:ascii="Times New Roman" w:hAnsi="Times New Roman" w:cs="Times New Roman" w:eastAsia="Times New Roman" w:hint="default"/>
        </w:rPr>
        <w:t>11.5MW</w:t>
      </w:r>
      <w:r>
        <w:rPr/>
        <w:t>光伏电站项目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月底已正常并网发电，未建部分已不再建。（</w:t>
      </w:r>
      <w:r>
        <w:rPr>
          <w:rFonts w:ascii="Times New Roman" w:hAnsi="Times New Roman" w:cs="Times New Roman" w:eastAsia="Times New Roman" w:hint="default"/>
        </w:rPr>
        <w:t>3</w:t>
      </w:r>
      <w:r>
        <w:rPr/>
        <w:t>）新余渝水区光伏发电项 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新余茂硕拟在新余市渝水区投资</w:t>
      </w:r>
      <w:r>
        <w:rPr>
          <w:rFonts w:ascii="Times New Roman" w:hAnsi="Times New Roman" w:cs="Times New Roman" w:eastAsia="Times New Roman" w:hint="default"/>
        </w:rPr>
        <w:t>100MW</w:t>
      </w:r>
      <w:r>
        <w:rPr/>
        <w:t>光伏并网发电项目，总投资预计</w:t>
      </w:r>
      <w:r>
        <w:rPr>
          <w:rFonts w:ascii="Times New Roman" w:hAnsi="Times New Roman" w:cs="Times New Roman" w:eastAsia="Times New Roman" w:hint="default"/>
        </w:rPr>
        <w:t>8</w:t>
      </w:r>
      <w:r>
        <w:rPr/>
        <w:t>亿元人民币。截至目 前</w:t>
      </w:r>
      <w:r>
        <w:rPr>
          <w:rFonts w:ascii="Times New Roman" w:hAnsi="Times New Roman" w:cs="Times New Roman" w:eastAsia="Times New Roman" w:hint="default"/>
        </w:rPr>
        <w:t>,</w:t>
      </w:r>
      <w:r>
        <w:rPr/>
        <w:t>一期何家边</w:t>
      </w:r>
      <w:r>
        <w:rPr>
          <w:rFonts w:ascii="Times New Roman" w:hAnsi="Times New Roman" w:cs="Times New Roman" w:eastAsia="Times New Roman" w:hint="default"/>
        </w:rPr>
        <w:t>20MW</w:t>
      </w:r>
      <w:r>
        <w:rPr/>
        <w:t>光伏电站项目已并网发电</w:t>
      </w:r>
      <w:r>
        <w:rPr>
          <w:rFonts w:ascii="Times New Roman" w:hAnsi="Times New Roman" w:cs="Times New Roman" w:eastAsia="Times New Roman" w:hint="default"/>
        </w:rPr>
        <w:t>16.72MW</w:t>
      </w:r>
      <w:r>
        <w:rPr/>
        <w:t>，未建部分已不再建。</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公司的全资子公司深圳茂硕新能源技术研究院有限公司（以下简称</w:t>
      </w:r>
      <w:r>
        <w:rPr>
          <w:rFonts w:ascii="Times New Roman" w:hAnsi="Times New Roman" w:cs="Times New Roman" w:eastAsia="Times New Roman" w:hint="default"/>
        </w:rPr>
        <w:t>“</w:t>
      </w:r>
      <w:r>
        <w:rPr/>
        <w:t>研究院</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日与深圳海量资本管理有限公</w:t>
      </w:r>
      <w:r>
        <w:rPr>
          <w:spacing w:val="-67"/>
        </w:rPr>
        <w:t> </w:t>
      </w:r>
      <w:r>
        <w:rPr>
          <w:spacing w:val="-67"/>
        </w:rPr>
      </w:r>
      <w:r>
        <w:rPr/>
        <w:t>司（以下简称</w:t>
      </w:r>
      <w:r>
        <w:rPr>
          <w:rFonts w:ascii="Times New Roman" w:hAnsi="Times New Roman" w:cs="Times New Roman" w:eastAsia="Times New Roman" w:hint="default"/>
        </w:rPr>
        <w:t>“</w:t>
      </w:r>
      <w:r>
        <w:rPr/>
        <w:t>海量资本</w:t>
      </w:r>
      <w:r>
        <w:rPr>
          <w:rFonts w:ascii="Times New Roman" w:hAnsi="Times New Roman" w:cs="Times New Roman" w:eastAsia="Times New Roman" w:hint="default"/>
        </w:rPr>
        <w:t>”</w:t>
      </w:r>
      <w:r>
        <w:rPr/>
        <w:t>）以及其他投资人共同出资设立完成了新余市茂硕海量投资企业（有限合伙）（以下简称</w:t>
      </w:r>
      <w:r>
        <w:rPr>
          <w:rFonts w:ascii="Times New Roman" w:hAnsi="Times New Roman" w:cs="Times New Roman" w:eastAsia="Times New Roman" w:hint="default"/>
        </w:rPr>
        <w:t>“</w:t>
      </w:r>
      <w:r>
        <w:rPr/>
        <w:t>茂硕海</w:t>
      </w:r>
    </w:p>
    <w:p>
      <w:pPr>
        <w:pStyle w:val="BodyText"/>
        <w:tabs>
          <w:tab w:pos="3357" w:val="left" w:leader="none"/>
          <w:tab w:pos="3429" w:val="left" w:leader="none"/>
        </w:tabs>
        <w:spacing w:line="300" w:lineRule="auto" w:before="0"/>
        <w:ind w:left="513" w:right="6371" w:hanging="361"/>
        <w:jc w:val="left"/>
        <w:rPr>
          <w:rFonts w:ascii="Times New Roman" w:hAnsi="Times New Roman" w:cs="Times New Roman" w:eastAsia="Times New Roman" w:hint="default"/>
        </w:rPr>
      </w:pPr>
      <w:r>
        <w:rPr/>
        <w:t>量</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日茂硕海量已完成投资如下： 深圳市神云科技有限公司</w:t>
        <w:tab/>
        <w:t>占比</w:t>
      </w:r>
      <w:r>
        <w:rPr>
          <w:spacing w:val="-16"/>
        </w:rPr>
        <w:t> </w:t>
      </w:r>
      <w:r>
        <w:rPr>
          <w:rFonts w:ascii="Times New Roman" w:hAnsi="Times New Roman" w:cs="Times New Roman" w:eastAsia="Times New Roman" w:hint="default"/>
        </w:rPr>
        <w:t>9.0000% </w:t>
      </w:r>
      <w:r>
        <w:rPr/>
        <w:t>深圳市乐途宝网络科技有限公司</w:t>
        <w:tab/>
        <w:t>占比</w:t>
      </w:r>
      <w:r>
        <w:rPr>
          <w:rFonts w:ascii="Times New Roman" w:hAnsi="Times New Roman" w:cs="Times New Roman" w:eastAsia="Times New Roman" w:hint="default"/>
        </w:rPr>
        <w:t>1.9350% </w:t>
      </w:r>
      <w:r>
        <w:rPr/>
        <w:t>深圳多有米网络技术有限公司</w:t>
        <w:tab/>
        <w:t>占比</w:t>
      </w:r>
      <w:r>
        <w:rPr>
          <w:rFonts w:ascii="Times New Roman" w:hAnsi="Times New Roman" w:cs="Times New Roman" w:eastAsia="Times New Roman" w:hint="default"/>
        </w:rPr>
        <w:t>9.4300% </w:t>
      </w:r>
      <w:r>
        <w:rPr/>
        <w:t>湖南小而美科技有限公司</w:t>
        <w:tab/>
        <w:t>占比</w:t>
      </w:r>
      <w:r>
        <w:rPr>
          <w:rFonts w:ascii="Times New Roman" w:hAnsi="Times New Roman" w:cs="Times New Roman" w:eastAsia="Times New Roman" w:hint="default"/>
        </w:rPr>
        <w:t>5.0000% </w:t>
      </w:r>
      <w:r>
        <w:rPr/>
        <w:t>深圳中科拓达农业科技有限公司</w:t>
        <w:tab/>
        <w:t>占比</w:t>
      </w:r>
      <w:r>
        <w:rPr>
          <w:rFonts w:ascii="Times New Roman" w:hAnsi="Times New Roman" w:cs="Times New Roman" w:eastAsia="Times New Roman" w:hint="default"/>
        </w:rPr>
        <w:t>7.9755% </w:t>
      </w:r>
      <w:r>
        <w:rPr/>
        <w:t>深圳市科纳能薄膜科技有限公司</w:t>
        <w:tab/>
        <w:t>占比</w:t>
      </w:r>
      <w:r>
        <w:rPr>
          <w:rFonts w:ascii="Times New Roman" w:hAnsi="Times New Roman" w:cs="Times New Roman" w:eastAsia="Times New Roman" w:hint="default"/>
        </w:rPr>
        <w:t>3.2267% </w:t>
      </w:r>
      <w:r>
        <w:rPr/>
        <w:t>深圳天鹰兄弟无人机创新有限公司</w:t>
        <w:tab/>
        <w:tab/>
        <w:t>占比</w:t>
      </w:r>
      <w:r>
        <w:rPr>
          <w:rFonts w:ascii="Times New Roman" w:hAnsi="Times New Roman" w:cs="Times New Roman" w:eastAsia="Times New Roman" w:hint="default"/>
        </w:rPr>
        <w:t>5.1300% </w:t>
      </w:r>
      <w:r>
        <w:rPr>
          <w:spacing w:val="-1"/>
        </w:rPr>
        <w:t>深圳市七号网络科技有限公司</w:t>
        <w:tab/>
        <w:tab/>
        <w:t>占比</w:t>
      </w:r>
      <w:r>
        <w:rPr>
          <w:rFonts w:ascii="Times New Roman" w:hAnsi="Times New Roman" w:cs="Times New Roman" w:eastAsia="Times New Roman" w:hint="default"/>
          <w:spacing w:val="-1"/>
        </w:rPr>
        <w:t>4.0000%</w:t>
      </w:r>
      <w:r>
        <w:rPr>
          <w:rFonts w:ascii="Times New Roman" w:hAnsi="Times New Roman" w:cs="Times New Roman" w:eastAsia="Times New Roman" w:hint="default"/>
        </w:rPr>
        <w:t> </w:t>
      </w:r>
      <w:r>
        <w:rPr/>
        <w:t>中晟天美能源科技（北京）有限公司</w:t>
      </w:r>
      <w:r>
        <w:rPr>
          <w:spacing w:val="-19"/>
        </w:rPr>
        <w:t> </w:t>
      </w:r>
      <w:r>
        <w:rPr/>
        <w:t>占比</w:t>
      </w:r>
      <w:r>
        <w:rPr>
          <w:rFonts w:ascii="Times New Roman" w:hAnsi="Times New Roman" w:cs="Times New Roman" w:eastAsia="Times New Roman" w:hint="default"/>
        </w:rPr>
        <w:t>2.2059% </w:t>
      </w:r>
      <w:r>
        <w:rPr/>
        <w:t>深圳醒客行健康科技有限公司</w:t>
        <w:tab/>
        <w:tab/>
        <w:t>占比</w:t>
      </w:r>
      <w:r>
        <w:rPr>
          <w:rFonts w:ascii="Times New Roman" w:hAnsi="Times New Roman" w:cs="Times New Roman" w:eastAsia="Times New Roman" w:hint="default"/>
        </w:rPr>
        <w:t>9.0900%</w:t>
      </w:r>
    </w:p>
    <w:p>
      <w:pPr>
        <w:spacing w:after="0" w:line="30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045" w:right="1133"/>
        <w:jc w:val="left"/>
        <w:rPr>
          <w:b w:val="0"/>
          <w:bCs w:val="0"/>
        </w:rPr>
      </w:pPr>
      <w:bookmarkStart w:name="第六节股份变动及股东情况" w:id="105"/>
      <w:bookmarkEnd w:id="105"/>
      <w:r>
        <w:rPr>
          <w:b w:val="0"/>
          <w:bCs w:val="0"/>
        </w:rPr>
      </w:r>
      <w:bookmarkStart w:name="_bookmark5" w:id="106"/>
      <w:bookmarkEnd w:id="10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股份变动情况" w:id="107"/>
      <w:bookmarkEnd w:id="107"/>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3"/>
        <w:gridCol w:w="823"/>
        <w:gridCol w:w="692"/>
        <w:gridCol w:w="708"/>
        <w:gridCol w:w="850"/>
        <w:gridCol w:w="853"/>
        <w:gridCol w:w="991"/>
        <w:gridCol w:w="782"/>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68,861,468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68,918,362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25.12%</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68,861,468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68,918,362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68,861,468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68,918,362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205,466,239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74.90%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205,409,345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74.88%</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205,466,239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74.90%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205,409,345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74.88%</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274,327,707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274,327,707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1133"/>
        <w:jc w:val="left"/>
      </w:pPr>
      <w:r>
        <w:rPr>
          <w:rFonts w:ascii="Times New Roman" w:hAnsi="Times New Roman" w:cs="Times New Roman" w:eastAsia="Times New Roman" w:hint="default"/>
        </w:rPr>
        <w:t>1.</w:t>
      </w:r>
      <w:r>
        <w:rPr/>
        <w:t>公司原董事会秘书</w:t>
      </w:r>
      <w:r>
        <w:rPr>
          <w:rFonts w:ascii="Times New Roman" w:hAnsi="Times New Roman" w:cs="Times New Roman" w:eastAsia="Times New Roman" w:hint="default"/>
        </w:rPr>
        <w:t>,</w:t>
      </w:r>
      <w:r>
        <w:rPr/>
        <w:t>副总经理谢春华先生于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月离职</w:t>
      </w:r>
      <w:r>
        <w:rPr>
          <w:rFonts w:ascii="Times New Roman" w:hAnsi="Times New Roman" w:cs="Times New Roman" w:eastAsia="Times New Roman" w:hint="default"/>
        </w:rPr>
        <w:t>,</w:t>
      </w:r>
      <w:r>
        <w:rPr/>
        <w:t>其持有的公司股份按照相关规定锁定。</w:t>
      </w:r>
    </w:p>
    <w:p>
      <w:pPr>
        <w:pStyle w:val="BodyText"/>
        <w:spacing w:line="300" w:lineRule="auto" w:before="63"/>
        <w:ind w:right="1124"/>
        <w:jc w:val="left"/>
      </w:pPr>
      <w:r>
        <w:rPr>
          <w:rFonts w:ascii="Times New Roman" w:hAnsi="Times New Roman" w:cs="Times New Roman" w:eastAsia="Times New Roman" w:hint="default"/>
          <w:spacing w:val="-1"/>
        </w:rPr>
        <w:t>2.</w:t>
      </w:r>
      <w:r>
        <w:rPr>
          <w:spacing w:val="-1"/>
        </w:rPr>
        <w:t>中国证券登记结算有限责任公司深圳分公司按《公司法》、《上市公司董事、监事、高级管理人员所持本公司股份及其变</w:t>
      </w:r>
      <w:r>
        <w:rPr>
          <w:spacing w:val="-76"/>
        </w:rPr>
        <w:t> </w:t>
      </w:r>
      <w:r>
        <w:rPr>
          <w:spacing w:val="-76"/>
        </w:rPr>
      </w:r>
      <w:r>
        <w:rPr/>
        <w:t>动管理规则》等的相关规定计算每年锁定额度导致本次限售股增加。</w:t>
      </w:r>
    </w:p>
    <w:p>
      <w:pPr>
        <w:pStyle w:val="BodyText"/>
        <w:spacing w:line="240" w:lineRule="auto" w:before="72"/>
        <w:ind w:right="1133"/>
        <w:jc w:val="left"/>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采用集中竞价方式减持回购股份的实施进展情况</w:t>
      </w:r>
    </w:p>
    <w:p>
      <w:pPr>
        <w:pStyle w:val="BodyText"/>
        <w:spacing w:line="338"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102"/>
        <w:gridCol w:w="1632"/>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63,035,660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63,035,660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both"/>
              <w:rPr>
                <w:rFonts w:ascii="宋体" w:hAnsi="宋体" w:cs="宋体" w:eastAsia="宋体" w:hint="default"/>
                <w:sz w:val="18"/>
                <w:szCs w:val="18"/>
              </w:rPr>
            </w:pPr>
            <w:r>
              <w:rPr>
                <w:rFonts w:ascii="宋体" w:hAnsi="宋体" w:cs="宋体" w:eastAsia="宋体" w:hint="default"/>
                <w:sz w:val="18"/>
                <w:szCs w:val="18"/>
              </w:rPr>
              <w:t>所持股份参照高管 锁定股的相关规定 执行。</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5,825,808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5,882,402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312"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方笑求先生因个人 原因申请辞职</w:t>
            </w:r>
            <w:r>
              <w:rPr>
                <w:rFonts w:ascii="Times New Roman" w:hAnsi="Times New Roman" w:cs="Times New Roman" w:eastAsia="Times New Roman" w:hint="default"/>
                <w:sz w:val="18"/>
                <w:szCs w:val="18"/>
              </w:rPr>
              <w:t>,</w:t>
            </w:r>
            <w:r>
              <w:rPr>
                <w:rFonts w:ascii="宋体" w:hAnsi="宋体" w:cs="宋体" w:eastAsia="宋体" w:hint="default"/>
                <w:sz w:val="18"/>
                <w:szCs w:val="18"/>
              </w:rPr>
              <w:t>所持 股份参照高管锁定 股的相关规定执行。</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312"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谢春华先生因个人 原因申请辞职</w:t>
            </w:r>
            <w:r>
              <w:rPr>
                <w:rFonts w:ascii="Times New Roman" w:hAnsi="Times New Roman" w:cs="Times New Roman" w:eastAsia="Times New Roman" w:hint="default"/>
                <w:sz w:val="18"/>
                <w:szCs w:val="18"/>
              </w:rPr>
              <w:t>,</w:t>
            </w:r>
            <w:r>
              <w:rPr>
                <w:rFonts w:ascii="宋体" w:hAnsi="宋体" w:cs="宋体" w:eastAsia="宋体" w:hint="default"/>
                <w:sz w:val="18"/>
                <w:szCs w:val="18"/>
              </w:rPr>
              <w:t>所持 股份参照高管锁定 股的相关规定执行。</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68,861,468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68,918,362</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149"/>
        <w:gridCol w:w="329"/>
        <w:gridCol w:w="523"/>
        <w:gridCol w:w="174"/>
        <w:gridCol w:w="877"/>
        <w:gridCol w:w="341"/>
        <w:gridCol w:w="593"/>
        <w:gridCol w:w="697"/>
        <w:gridCol w:w="294"/>
        <w:gridCol w:w="492"/>
        <w:gridCol w:w="372"/>
        <w:gridCol w:w="127"/>
        <w:gridCol w:w="850"/>
        <w:gridCol w:w="140"/>
        <w:gridCol w:w="1208"/>
      </w:tblGrid>
      <w:tr>
        <w:trPr>
          <w:trHeight w:val="317"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34,106</w:t>
            </w:r>
          </w:p>
        </w:tc>
        <w:tc>
          <w:tcPr>
            <w:tcW w:w="1175"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28,456</w:t>
            </w:r>
          </w:p>
        </w:tc>
        <w:tc>
          <w:tcPr>
            <w:tcW w:w="12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58"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9" w:hanging="1"/>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6"/>
                <w:sz w:val="18"/>
                <w:szCs w:val="18"/>
              </w:rPr>
              <w:t>数（如有）（参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2"/>
              <w:jc w:val="center"/>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10" w:space="0" w:color="D2D2D2"/>
            </w:tcBorders>
          </w:tcPr>
          <w:p>
            <w:pPr/>
          </w:p>
        </w:tc>
        <w:tc>
          <w:tcPr>
            <w:tcW w:w="12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38" w:hanging="49"/>
              <w:jc w:val="center"/>
              <w:rPr>
                <w:rFonts w:ascii="宋体" w:hAnsi="宋体" w:cs="宋体" w:eastAsia="宋体" w:hint="default"/>
                <w:sz w:val="18"/>
                <w:szCs w:val="18"/>
              </w:rPr>
            </w:pPr>
            <w:r>
              <w:rPr>
                <w:rFonts w:ascii="宋体" w:hAnsi="宋体" w:cs="宋体" w:eastAsia="宋体" w:hint="default"/>
                <w:sz w:val="18"/>
                <w:szCs w:val="18"/>
              </w:rPr>
              <w:t>报告期末表决 权恢复的优先 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58" w:type="dxa"/>
            <w:gridSpan w:val="3"/>
            <w:vMerge/>
            <w:tcBorders>
              <w:left w:val="single" w:sz="9" w:space="0" w:color="D2D2D2"/>
              <w:right w:val="single" w:sz="13" w:space="0" w:color="D2D2D2"/>
            </w:tcBorders>
          </w:tcPr>
          <w:p>
            <w:pPr/>
          </w:p>
        </w:tc>
        <w:tc>
          <w:tcPr>
            <w:tcW w:w="1118" w:type="dxa"/>
            <w:gridSpan w:val="3"/>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4"/>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290" w:type="dxa"/>
            <w:gridSpan w:val="2"/>
            <w:vMerge/>
            <w:tcBorders>
              <w:left w:val="single" w:sz="4" w:space="0" w:color="000000"/>
              <w:right w:val="single" w:sz="4" w:space="0" w:color="000000"/>
            </w:tcBorders>
            <w:shd w:val="clear" w:color="auto" w:fill="D2D2D2"/>
          </w:tcPr>
          <w:p>
            <w:pPr/>
          </w:p>
        </w:tc>
        <w:tc>
          <w:tcPr>
            <w:tcW w:w="1158" w:type="dxa"/>
            <w:gridSpan w:val="3"/>
            <w:vMerge/>
            <w:tcBorders>
              <w:left w:val="single" w:sz="9" w:space="0" w:color="D2D2D2"/>
              <w:right w:val="single" w:sz="13" w:space="0" w:color="D2D2D2"/>
            </w:tcBorders>
          </w:tcPr>
          <w:p>
            <w:pPr/>
          </w:p>
        </w:tc>
        <w:tc>
          <w:tcPr>
            <w:tcW w:w="1118" w:type="dxa"/>
            <w:gridSpan w:val="3"/>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4"/>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10" w:space="0" w:color="D2D2D2"/>
            </w:tcBorders>
          </w:tcPr>
          <w:p>
            <w:pPr/>
          </w:p>
        </w:tc>
        <w:tc>
          <w:tcPr>
            <w:tcW w:w="1290" w:type="dxa"/>
            <w:gridSpan w:val="2"/>
            <w:vMerge/>
            <w:tcBorders>
              <w:left w:val="single" w:sz="4" w:space="0" w:color="000000"/>
              <w:bottom w:val="nil" w:sz="6" w:space="0" w:color="auto"/>
              <w:right w:val="single" w:sz="4" w:space="0" w:color="000000"/>
            </w:tcBorders>
            <w:shd w:val="clear" w:color="auto" w:fill="D2D2D2"/>
          </w:tcPr>
          <w:p>
            <w:pPr/>
          </w:p>
        </w:tc>
        <w:tc>
          <w:tcPr>
            <w:tcW w:w="1158" w:type="dxa"/>
            <w:gridSpan w:val="3"/>
            <w:vMerge/>
            <w:tcBorders>
              <w:left w:val="single" w:sz="9" w:space="0" w:color="D2D2D2"/>
              <w:right w:val="single" w:sz="13" w:space="0" w:color="D2D2D2"/>
            </w:tcBorders>
          </w:tcPr>
          <w:p>
            <w:pPr/>
          </w:p>
        </w:tc>
        <w:tc>
          <w:tcPr>
            <w:tcW w:w="1118" w:type="dxa"/>
            <w:gridSpan w:val="3"/>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10" w:space="0" w:color="D2D2D2"/>
            </w:tcBorders>
          </w:tcPr>
          <w:p>
            <w:pPr/>
          </w:p>
        </w:tc>
        <w:tc>
          <w:tcPr>
            <w:tcW w:w="12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58" w:type="dxa"/>
            <w:gridSpan w:val="3"/>
            <w:vMerge/>
            <w:tcBorders>
              <w:left w:val="single" w:sz="9" w:space="0" w:color="D2D2D2"/>
              <w:bottom w:val="single" w:sz="4" w:space="0" w:color="000000"/>
              <w:right w:val="single" w:sz="13" w:space="0" w:color="D2D2D2"/>
            </w:tcBorders>
          </w:tcPr>
          <w:p>
            <w:pPr/>
          </w:p>
        </w:tc>
        <w:tc>
          <w:tcPr>
            <w:tcW w:w="1118" w:type="dxa"/>
            <w:gridSpan w:val="3"/>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4"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2" w:type="dxa"/>
            <w:gridSpan w:val="2"/>
            <w:vMerge w:val="restart"/>
            <w:tcBorders>
              <w:top w:val="single" w:sz="4" w:space="0" w:color="000000"/>
              <w:left w:val="single" w:sz="4" w:space="0" w:color="000000"/>
              <w:right w:val="single" w:sz="4" w:space="0" w:color="000000"/>
            </w:tcBorders>
            <w:shd w:val="clear" w:color="auto" w:fill="D2D2D2"/>
          </w:tcPr>
          <w:p>
            <w:pPr/>
          </w:p>
        </w:tc>
        <w:tc>
          <w:tcPr>
            <w:tcW w:w="853" w:type="dxa"/>
            <w:gridSpan w:val="2"/>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2" w:type="dxa"/>
            <w:gridSpan w:val="2"/>
            <w:vMerge/>
            <w:tcBorders>
              <w:left w:val="single" w:sz="4" w:space="0" w:color="000000"/>
              <w:bottom w:val="nil" w:sz="6" w:space="0" w:color="auto"/>
              <w:right w:val="single" w:sz="4" w:space="0" w:color="000000"/>
            </w:tcBorders>
            <w:shd w:val="clear" w:color="auto" w:fill="D2D2D2"/>
          </w:tcPr>
          <w:p>
            <w:pPr/>
          </w:p>
        </w:tc>
        <w:tc>
          <w:tcPr>
            <w:tcW w:w="853" w:type="dxa"/>
            <w:gridSpan w:val="2"/>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105"/>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2" w:type="dxa"/>
            <w:gridSpan w:val="2"/>
            <w:vMerge w:val="restart"/>
            <w:tcBorders>
              <w:top w:val="nil" w:sz="6" w:space="0" w:color="auto"/>
              <w:left w:val="single" w:sz="4" w:space="0" w:color="000000"/>
              <w:right w:val="single" w:sz="4" w:space="0" w:color="000000"/>
            </w:tcBorders>
            <w:shd w:val="clear" w:color="auto" w:fill="D2D2D2"/>
          </w:tcPr>
          <w:p>
            <w:pPr/>
          </w:p>
        </w:tc>
        <w:tc>
          <w:tcPr>
            <w:tcW w:w="853" w:type="dxa"/>
            <w:gridSpan w:val="2"/>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9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3"/>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FFFFFF"/>
            </w:tcBorders>
            <w:shd w:val="clear" w:color="auto" w:fill="D2D2D2"/>
          </w:tcPr>
          <w:p>
            <w:pPr/>
          </w:p>
        </w:tc>
        <w:tc>
          <w:tcPr>
            <w:tcW w:w="1349" w:type="dxa"/>
            <w:gridSpan w:val="2"/>
            <w:vMerge/>
            <w:tcBorders>
              <w:left w:val="single" w:sz="4" w:space="0" w:color="FFFFFF"/>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2" w:type="dxa"/>
            <w:gridSpan w:val="2"/>
            <w:vMerge/>
            <w:tcBorders>
              <w:left w:val="single" w:sz="4" w:space="0" w:color="000000"/>
              <w:bottom w:val="single" w:sz="4" w:space="0" w:color="000000"/>
              <w:right w:val="single" w:sz="4" w:space="0" w:color="000000"/>
            </w:tcBorders>
            <w:shd w:val="clear" w:color="auto" w:fill="D2D2D2"/>
          </w:tcPr>
          <w:p>
            <w:pPr/>
          </w:p>
        </w:tc>
        <w:tc>
          <w:tcPr>
            <w:tcW w:w="853" w:type="dxa"/>
            <w:gridSpan w:val="2"/>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FFFFFF"/>
            </w:tcBorders>
            <w:shd w:val="clear" w:color="auto" w:fill="D2D2D2"/>
          </w:tcPr>
          <w:p>
            <w:pPr/>
          </w:p>
        </w:tc>
        <w:tc>
          <w:tcPr>
            <w:tcW w:w="1349" w:type="dxa"/>
            <w:gridSpan w:val="2"/>
            <w:vMerge/>
            <w:tcBorders>
              <w:left w:val="single" w:sz="4" w:space="0" w:color="FFFFFF"/>
              <w:bottom w:val="single" w:sz="4" w:space="0" w:color="000000"/>
              <w:right w:val="single" w:sz="4" w:space="0" w:color="000000"/>
            </w:tcBorders>
            <w:shd w:val="clear" w:color="auto" w:fill="D2D2D2"/>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30.64%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84,047,547</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63,035,660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21,011,887</w:t>
            </w:r>
          </w:p>
        </w:tc>
        <w:tc>
          <w:tcPr>
            <w:tcW w:w="850" w:type="dxa"/>
            <w:tcBorders>
              <w:top w:val="single" w:sz="44" w:space="0" w:color="D2D2D2"/>
              <w:left w:val="single" w:sz="4" w:space="0" w:color="000000"/>
              <w:bottom w:val="single" w:sz="4" w:space="0" w:color="000000"/>
              <w:right w:val="single" w:sz="4" w:space="0" w:color="FFFFFF"/>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4" w:space="0" w:color="D2D2D2"/>
              <w:left w:val="single" w:sz="4" w:space="0" w:color="FFFFFF"/>
              <w:bottom w:val="single" w:sz="4" w:space="0" w:color="000000"/>
              <w:right w:val="single" w:sz="4" w:space="0" w:color="000000"/>
            </w:tcBorders>
          </w:tcPr>
          <w:p>
            <w:pPr>
              <w:pStyle w:val="TableParagraph"/>
              <w:spacing w:line="240" w:lineRule="auto" w:before="40"/>
              <w:ind w:left="503" w:right="0"/>
              <w:jc w:val="left"/>
              <w:rPr>
                <w:rFonts w:ascii="Times New Roman" w:hAnsi="Times New Roman" w:cs="Times New Roman" w:eastAsia="Times New Roman" w:hint="default"/>
                <w:sz w:val="18"/>
                <w:szCs w:val="18"/>
              </w:rPr>
            </w:pPr>
            <w:r>
              <w:rPr>
                <w:rFonts w:ascii="Times New Roman"/>
                <w:sz w:val="18"/>
              </w:rPr>
              <w:t>84,000,000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深圳德旺投资发 展有限公司</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4.24%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11,639,653</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11,639,653</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2.19%</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6,003,404</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-1,839,800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6,003,404</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6,001,999</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2.15%</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5,890,803</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-1,952,400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5,882,402</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8,401</w:t>
            </w:r>
          </w:p>
        </w:tc>
        <w:tc>
          <w:tcPr>
            <w:tcW w:w="8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5,889,999</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顾伟</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1.02%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2,800,096</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2,800,096</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黄德刚</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0.70%</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1,918,452</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1,918,452</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0.63%</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1,725,900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1,725,900</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张乔艺</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0.61%</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1,681,100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1,681,100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1,681,100</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南洋</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0.42%</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1,151,100</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1,151,100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1,151,100</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史关香</w:t>
            </w:r>
          </w:p>
        </w:tc>
        <w:tc>
          <w:tcPr>
            <w:tcW w:w="1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0.40%</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1,100,900</w:t>
            </w: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1,100,900</w:t>
            </w:r>
          </w:p>
        </w:tc>
        <w:tc>
          <w:tcPr>
            <w:tcW w:w="850" w:type="dxa"/>
            <w:tcBorders>
              <w:top w:val="single" w:sz="4" w:space="0" w:color="000000"/>
              <w:left w:val="single" w:sz="4" w:space="0" w:color="000000"/>
              <w:bottom w:val="single" w:sz="4" w:space="0" w:color="000000"/>
              <w:right w:val="single" w:sz="4" w:space="0" w:color="FFFFFF"/>
            </w:tcBorders>
          </w:tcPr>
          <w:p>
            <w:pPr/>
          </w:p>
        </w:tc>
        <w:tc>
          <w:tcPr>
            <w:tcW w:w="1349" w:type="dxa"/>
            <w:gridSpan w:val="2"/>
            <w:tcBorders>
              <w:top w:val="single" w:sz="4" w:space="0" w:color="000000"/>
              <w:left w:val="single" w:sz="4" w:space="0" w:color="FFFFFF"/>
              <w:bottom w:val="single" w:sz="4" w:space="0" w:color="000000"/>
              <w:right w:val="single" w:sz="4" w:space="0" w:color="000000"/>
            </w:tcBorders>
          </w:tcPr>
          <w:p>
            <w:pPr/>
          </w:p>
        </w:tc>
      </w:tr>
      <w:tr>
        <w:trPr>
          <w:trHeight w:val="161" w:hRule="exact"/>
        </w:trPr>
        <w:tc>
          <w:tcPr>
            <w:tcW w:w="255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gridSpan w:val="14"/>
            <w:vMerge w:val="restart"/>
            <w:tcBorders>
              <w:top w:val="single" w:sz="4" w:space="0" w:color="000000"/>
              <w:left w:val="single" w:sz="10" w:space="0" w:color="D2D2D2"/>
              <w:right w:val="single" w:sz="4" w:space="0" w:color="000000"/>
            </w:tcBorders>
          </w:tcPr>
          <w:p>
            <w:pPr>
              <w:pStyle w:val="TableParagraph"/>
              <w:spacing w:line="300" w:lineRule="auto" w:before="49"/>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，为茂硕电源科技</w:t>
            </w:r>
            <w:r>
              <w:rPr>
                <w:rFonts w:ascii="宋体" w:hAnsi="宋体" w:cs="宋体" w:eastAsia="宋体" w:hint="default"/>
                <w:sz w:val="18"/>
                <w:szCs w:val="18"/>
              </w:rPr>
              <w:t> </w:t>
            </w:r>
            <w:r>
              <w:rPr>
                <w:rFonts w:ascii="宋体" w:hAnsi="宋体" w:cs="宋体" w:eastAsia="宋体" w:hint="default"/>
                <w:spacing w:val="-2"/>
                <w:sz w:val="18"/>
                <w:szCs w:val="18"/>
              </w:rPr>
              <w:t>股份有限公司的控股股东和实际控制人。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、方笑求先生与蓝顺明女士为配偶关系。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司未知其他股东之间是否存在关联关系或属于一致行动人。</w:t>
            </w:r>
          </w:p>
        </w:tc>
      </w:tr>
      <w:tr>
        <w:trPr>
          <w:trHeight w:val="706" w:hRule="exact"/>
        </w:trPr>
        <w:tc>
          <w:tcPr>
            <w:tcW w:w="255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9" w:type="dxa"/>
            <w:gridSpan w:val="14"/>
            <w:vMerge/>
            <w:tcBorders>
              <w:left w:val="single" w:sz="10" w:space="0" w:color="D2D2D2"/>
              <w:right w:val="single" w:sz="4" w:space="0" w:color="000000"/>
            </w:tcBorders>
          </w:tcPr>
          <w:p>
            <w:pPr/>
          </w:p>
        </w:tc>
      </w:tr>
      <w:tr>
        <w:trPr>
          <w:trHeight w:val="161" w:hRule="exact"/>
        </w:trPr>
        <w:tc>
          <w:tcPr>
            <w:tcW w:w="255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gridSpan w:val="14"/>
            <w:vMerge/>
            <w:tcBorders>
              <w:left w:val="single" w:sz="10" w:space="0" w:color="D2D2D2"/>
              <w:bottom w:val="single" w:sz="4" w:space="0" w:color="000000"/>
              <w:right w:val="single" w:sz="4" w:space="0" w:color="000000"/>
            </w:tcBorders>
          </w:tcPr>
          <w:p>
            <w:pPr/>
          </w:p>
        </w:tc>
      </w:tr>
      <w:tr>
        <w:trPr>
          <w:trHeight w:val="401"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881" w:type="dxa"/>
            <w:gridSpan w:val="5"/>
            <w:vMerge/>
            <w:tcBorders>
              <w:left w:val="single" w:sz="4" w:space="0" w:color="000000"/>
              <w:bottom w:val="nil" w:sz="6" w:space="0" w:color="auto"/>
              <w:right w:val="single" w:sz="4" w:space="0" w:color="000000"/>
            </w:tcBorders>
            <w:shd w:val="clear" w:color="auto" w:fill="D2D2D2"/>
          </w:tcPr>
          <w:p>
            <w:pPr/>
          </w:p>
        </w:tc>
        <w:tc>
          <w:tcPr>
            <w:tcW w:w="3992" w:type="dxa"/>
            <w:gridSpan w:val="8"/>
            <w:vMerge/>
            <w:tcBorders>
              <w:left w:val="single" w:sz="4" w:space="0" w:color="000000"/>
              <w:bottom w:val="nil" w:sz="6" w:space="0" w:color="auto"/>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21,011,887</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21,011,887</w:t>
            </w:r>
          </w:p>
        </w:tc>
      </w:tr>
      <w:tr>
        <w:trPr>
          <w:trHeight w:val="401" w:hRule="exact"/>
        </w:trPr>
        <w:tc>
          <w:tcPr>
            <w:tcW w:w="2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3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11,639,653</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11,639,653</w:t>
            </w:r>
          </w:p>
        </w:tc>
      </w:tr>
      <w:tr>
        <w:trPr>
          <w:trHeight w:val="403" w:hRule="exact"/>
        </w:trPr>
        <w:tc>
          <w:tcPr>
            <w:tcW w:w="2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3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6,003,404</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6,003,404</w:t>
            </w:r>
          </w:p>
        </w:tc>
      </w:tr>
      <w:tr>
        <w:trPr>
          <w:trHeight w:val="401" w:hRule="exact"/>
        </w:trPr>
        <w:tc>
          <w:tcPr>
            <w:tcW w:w="2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顾伟</w:t>
            </w:r>
          </w:p>
        </w:tc>
        <w:tc>
          <w:tcPr>
            <w:tcW w:w="3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2,800,096</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2,800,096</w:t>
            </w:r>
          </w:p>
        </w:tc>
      </w:tr>
      <w:tr>
        <w:trPr>
          <w:trHeight w:val="403" w:hRule="exact"/>
        </w:trPr>
        <w:tc>
          <w:tcPr>
            <w:tcW w:w="2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黄德刚</w:t>
            </w:r>
          </w:p>
        </w:tc>
        <w:tc>
          <w:tcPr>
            <w:tcW w:w="3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1,918,452</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1,918,452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1,725,900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张乔艺</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1,681,100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南洋</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1,151,100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史关香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1,100,900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沈振兴</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1,021,773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1,021,773</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，为茂硕电源</w:t>
            </w:r>
            <w:r>
              <w:rPr>
                <w:rFonts w:ascii="宋体" w:hAnsi="宋体" w:cs="宋体" w:eastAsia="宋体" w:hint="default"/>
                <w:sz w:val="18"/>
                <w:szCs w:val="18"/>
              </w:rPr>
              <w:t> 科技股份有限公司的控股股东和实际控制人。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 系。</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、公司未知其他股东之间是否存在关联关系或属于一致行动人。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顾伟通过普通证券账户持有本公司股份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股，通过信用证券账户持有本公司股份</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2,800,096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2,800,096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茂硕电源董事长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40" w:lineRule="auto" w:before="115"/>
        <w:ind w:right="7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茂硕电源董事长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8"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2"/>
          <w:szCs w:val="22"/>
        </w:rPr>
      </w:pPr>
    </w:p>
    <w:p>
      <w:pPr>
        <w:spacing w:line="3840" w:lineRule="exact"/>
        <w:ind w:left="1355"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590004" cy="24384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4590004"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8"/>
        <w:rPr>
          <w:rFonts w:ascii="宋体" w:hAnsi="宋体" w:cs="宋体" w:eastAsia="宋体" w:hint="default"/>
          <w:sz w:val="24"/>
          <w:szCs w:val="24"/>
        </w:rPr>
      </w:pPr>
    </w:p>
    <w:p>
      <w:pPr>
        <w:pStyle w:val="BodyText"/>
        <w:spacing w:line="240" w:lineRule="auto" w:before="0"/>
        <w:ind w:right="1133"/>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20"/>
      <w:bookmarkEnd w:id="120"/>
      <w:r>
        <w:rPr>
          <w:b w:val="0"/>
          <w:bCs w:val="0"/>
        </w:rPr>
      </w:r>
      <w:bookmarkStart w:name="_bookmark6" w:id="121"/>
      <w:bookmarkEnd w:id="121"/>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2"/>
      <w:bookmarkEnd w:id="122"/>
      <w:r>
        <w:rPr>
          <w:b w:val="0"/>
          <w:bCs w:val="0"/>
        </w:rPr>
      </w:r>
      <w:bookmarkStart w:name="_bookmark7" w:id="123"/>
      <w:bookmarkEnd w:id="123"/>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569"/>
        <w:gridCol w:w="991"/>
        <w:gridCol w:w="852"/>
        <w:gridCol w:w="991"/>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84,047,547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84,047,54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康甜桂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84,047,547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2"/>
        <w:rPr>
          <w:rFonts w:ascii="宋体" w:hAnsi="宋体" w:cs="宋体" w:eastAsia="宋体" w:hint="default"/>
          <w:b/>
          <w:bCs/>
          <w:sz w:val="25"/>
          <w:szCs w:val="25"/>
        </w:rPr>
      </w:pPr>
    </w:p>
    <w:p>
      <w:pPr>
        <w:pStyle w:val="BodyText"/>
        <w:spacing w:line="307" w:lineRule="auto"/>
        <w:ind w:right="1034"/>
        <w:jc w:val="left"/>
      </w:pPr>
      <w:r>
        <w:rPr>
          <w:spacing w:val="-3"/>
        </w:rPr>
        <w:t>注：公司第四届董事会、第四届监事会任期于</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日届满，鉴于公司新一届董事会董事候选人、监事会监事候选 人的提名工作尚未完成，为保持董事会、监事会工作的连续性及稳定性，公司董事会、监事会的换届选举工作将延期举行。 具体详情请见刊登于</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10 </w:t>
      </w:r>
      <w:r>
        <w:rPr/>
        <w:t>日巨潮资讯网（</w:t>
      </w:r>
      <w:hyperlink r:id="rId11">
        <w:r>
          <w:rPr>
            <w:rFonts w:ascii="Times New Roman" w:hAnsi="Times New Roman" w:cs="Times New Roman" w:eastAsia="Times New Roman" w:hint="default"/>
          </w:rPr>
          <w:t>http://www.cninfo.com.cn</w:t>
        </w:r>
      </w:hyperlink>
      <w:r>
        <w:rPr/>
        <w:t>）上的《关于董事会、监事会延期换届的提示 性公告》。</w:t>
      </w:r>
    </w:p>
    <w:p>
      <w:pPr>
        <w:spacing w:line="240" w:lineRule="auto" w:before="3"/>
        <w:rPr>
          <w:rFonts w:ascii="宋体" w:hAnsi="宋体" w:cs="宋体" w:eastAsia="宋体" w:hint="default"/>
          <w:sz w:val="21"/>
          <w:szCs w:val="21"/>
        </w:rPr>
      </w:pPr>
    </w:p>
    <w:p>
      <w:pPr>
        <w:pStyle w:val="Heading2"/>
        <w:spacing w:line="240" w:lineRule="auto"/>
        <w:ind w:right="1133"/>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3"/>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次临时</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会议审议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次临时股东大 会审议通过为公司董事。</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次临</w:t>
            </w:r>
          </w:p>
          <w:p>
            <w:pPr>
              <w:pStyle w:val="TableParagraph"/>
              <w:spacing w:line="300" w:lineRule="auto" w:before="60"/>
              <w:ind w:left="23" w:right="79"/>
              <w:jc w:val="left"/>
              <w:rPr>
                <w:rFonts w:ascii="宋体" w:hAnsi="宋体" w:cs="宋体" w:eastAsia="宋体" w:hint="default"/>
                <w:sz w:val="18"/>
                <w:szCs w:val="18"/>
              </w:rPr>
            </w:pPr>
            <w:r>
              <w:rPr>
                <w:rFonts w:ascii="宋体" w:hAnsi="宋体" w:cs="宋体" w:eastAsia="宋体" w:hint="default"/>
                <w:sz w:val="18"/>
                <w:szCs w:val="18"/>
              </w:rPr>
              <w:t>时会议审议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次临时股 东大会审议通过为公司独立董事。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因个人原因辞去副总经理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董事职位。</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因个人原因辞去独立董事职位。</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任职情况" w:id="128"/>
      <w:bookmarkEnd w:id="128"/>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公司现任董事、监事、高级管理人员专业背景、主要工作经历以及目前在公司的主要职责</w:t>
      </w:r>
    </w:p>
    <w:p>
      <w:pPr>
        <w:pStyle w:val="BodyText"/>
        <w:spacing w:line="319" w:lineRule="auto" w:before="115"/>
        <w:ind w:right="1074"/>
        <w:jc w:val="left"/>
      </w:pPr>
      <w:r>
        <w:rPr>
          <w:rFonts w:ascii="Times New Roman" w:hAnsi="Times New Roman" w:cs="Times New Roman" w:eastAsia="Times New Roman" w:hint="default"/>
        </w:rPr>
        <w:t>1</w:t>
      </w:r>
      <w:r>
        <w:rPr/>
        <w:t>、董事： 顾永德，男，汉族，</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月出生，江苏省无锡人。清华大学深圳研究院</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月参加工作，</w:t>
      </w:r>
      <w:r>
        <w:rPr>
          <w:rFonts w:ascii="Times New Roman" w:hAnsi="Times New Roman" w:cs="Times New Roman" w:eastAsia="Times New Roman" w:hint="default"/>
        </w:rPr>
        <w:t>2001</w:t>
      </w:r>
      <w:r>
        <w:rPr/>
        <w:t>年被深圳市政 府评为</w:t>
      </w:r>
      <w:r>
        <w:rPr>
          <w:rFonts w:ascii="Times New Roman" w:hAnsi="Times New Roman" w:cs="Times New Roman" w:eastAsia="Times New Roman" w:hint="default"/>
        </w:rPr>
        <w:t>“</w:t>
      </w:r>
      <w:r>
        <w:rPr/>
        <w:t>优秀外来深建设者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年被评为</w:t>
      </w:r>
      <w:r>
        <w:rPr>
          <w:rFonts w:ascii="Times New Roman" w:hAnsi="Times New Roman" w:cs="Times New Roman" w:eastAsia="Times New Roman" w:hint="default"/>
        </w:rPr>
        <w:t>“</w:t>
      </w:r>
      <w:r>
        <w:rPr/>
        <w:t>优秀民营企业家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月担任深圳锡星电子有限公司总经理；</w:t>
      </w:r>
    </w:p>
    <w:p>
      <w:pPr>
        <w:pStyle w:val="BodyText"/>
        <w:spacing w:line="300" w:lineRule="auto" w:before="0"/>
        <w:ind w:right="1133"/>
        <w:jc w:val="left"/>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月至今，担任茂硕电源科技股份有限公司董事长。深圳市第七届工商联（总商会）副会长；深圳市南山区工商联（总</w:t>
      </w:r>
      <w:r>
        <w:rPr>
          <w:spacing w:val="-37"/>
        </w:rPr>
        <w:t> </w:t>
      </w:r>
      <w:r>
        <w:rPr>
          <w:spacing w:val="-37"/>
        </w:rPr>
      </w:r>
      <w:r>
        <w:rPr/>
        <w:t>商会）第三届副主席；深圳市江苏商会副会长；深圳市无锡商会常务副会长；深圳市第五届、第六届人大代表。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2" w:lineRule="auto" w:before="0"/>
        <w:ind w:right="1132"/>
        <w:jc w:val="both"/>
      </w:pPr>
      <w:r>
        <w:rPr>
          <w:spacing w:val="-2"/>
        </w:rPr>
        <w:t>刘爱民，男，</w:t>
      </w:r>
      <w:r>
        <w:rPr>
          <w:rFonts w:ascii="Times New Roman" w:hAnsi="Times New Roman" w:cs="Times New Roman" w:eastAsia="Times New Roman" w:hint="default"/>
          <w:spacing w:val="-2"/>
        </w:rPr>
        <w:t>1976</w:t>
      </w:r>
      <w:r>
        <w:rPr>
          <w:spacing w:val="-2"/>
        </w:rPr>
        <w:t>年出生，中国国籍，无境外永久居留权，本科学历，会计师。曾任职</w:t>
      </w:r>
      <w:r>
        <w:rPr>
          <w:rFonts w:ascii="Times New Roman" w:hAnsi="Times New Roman" w:cs="Times New Roman" w:eastAsia="Times New Roman" w:hint="default"/>
          <w:spacing w:val="-2"/>
        </w:rPr>
        <w:t>TCL</w:t>
      </w:r>
      <w:r>
        <w:rPr>
          <w:spacing w:val="-2"/>
        </w:rPr>
        <w:t>集团子公司财务总监，三九集团</w:t>
      </w:r>
      <w:r>
        <w:rPr>
          <w:spacing w:val="-46"/>
        </w:rPr>
        <w:t> </w:t>
      </w:r>
      <w:r>
        <w:rPr>
          <w:spacing w:val="-46"/>
        </w:rPr>
      </w:r>
      <w:r>
        <w:rPr>
          <w:spacing w:val="-2"/>
        </w:rPr>
        <w:t>子公司财务经理，深圳市实益达科技股份有限公司（现更名为深圳市麦达数字股份有限公司）董事、副总裁、财务总监，前</w:t>
      </w:r>
      <w:r>
        <w:rPr>
          <w:spacing w:val="-70"/>
        </w:rPr>
        <w:t> </w:t>
      </w:r>
      <w:r>
        <w:rPr>
          <w:spacing w:val="-70"/>
        </w:rPr>
      </w:r>
      <w:r>
        <w:rPr>
          <w:spacing w:val="-2"/>
        </w:rPr>
        <w:t>海实益达董事、总经理，新余久益投资管理合伙企业（有限合伙）总裁，九派凯阳有限合伙人，深圳市宇顺电子股份有限公</w:t>
      </w:r>
      <w:r>
        <w:rPr>
          <w:spacing w:val="-68"/>
        </w:rPr>
        <w:t> </w:t>
      </w:r>
      <w:r>
        <w:rPr>
          <w:spacing w:val="-68"/>
        </w:rPr>
      </w:r>
      <w:r>
        <w:rPr/>
        <w:t>司副总经理、财务总监，现任茂硕电源总经理、董事。</w:t>
      </w:r>
    </w:p>
    <w:p>
      <w:pPr>
        <w:spacing w:line="240" w:lineRule="auto" w:before="7"/>
        <w:rPr>
          <w:rFonts w:ascii="宋体" w:hAnsi="宋体" w:cs="宋体" w:eastAsia="宋体" w:hint="default"/>
          <w:sz w:val="25"/>
          <w:szCs w:val="25"/>
        </w:rPr>
      </w:pPr>
    </w:p>
    <w:p>
      <w:pPr>
        <w:pStyle w:val="BodyText"/>
        <w:spacing w:line="300" w:lineRule="auto" w:before="0"/>
        <w:ind w:right="1133"/>
        <w:jc w:val="left"/>
      </w:pPr>
      <w:r>
        <w:rPr/>
        <w:t>秦利红，女，</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12</w:t>
      </w:r>
      <w:r>
        <w:rPr/>
        <w:t>月出生，中国国籍，毕业于湖南大学会计专业，会计专业中级职称，注册会计师</w:t>
      </w:r>
      <w:r>
        <w:rPr>
          <w:rFonts w:ascii="Times New Roman" w:hAnsi="Times New Roman" w:cs="Times New Roman" w:eastAsia="Times New Roman" w:hint="default"/>
        </w:rPr>
        <w:t>,</w:t>
      </w:r>
      <w:r>
        <w:rPr/>
        <w:t>税务师。</w:t>
      </w:r>
      <w:r>
        <w:rPr>
          <w:rFonts w:ascii="Times New Roman" w:hAnsi="Times New Roman" w:cs="Times New Roman" w:eastAsia="Times New Roman" w:hint="default"/>
        </w:rPr>
        <w:t>2010</w:t>
      </w:r>
      <w:r>
        <w:rPr/>
        <w:t>年加</w:t>
      </w:r>
      <w:r>
        <w:rPr>
          <w:spacing w:val="-47"/>
        </w:rPr>
        <w:t> </w:t>
      </w:r>
      <w:r>
        <w:rPr/>
        <w:t>入茂硕电源科技股份有限公司，自</w:t>
      </w:r>
      <w:r>
        <w:rPr>
          <w:rFonts w:ascii="Times New Roman" w:hAnsi="Times New Roman" w:cs="Times New Roman" w:eastAsia="Times New Roman" w:hint="default"/>
        </w:rPr>
        <w:t>2012</w:t>
      </w:r>
      <w:r>
        <w:rPr/>
        <w:t>年起至今先后担任茂硕电源科技股份有限公司财务经理、财务总监。</w:t>
      </w:r>
    </w:p>
    <w:p>
      <w:pPr>
        <w:spacing w:line="240" w:lineRule="auto" w:before="11"/>
        <w:rPr>
          <w:rFonts w:ascii="宋体" w:hAnsi="宋体" w:cs="宋体" w:eastAsia="宋体" w:hint="default"/>
          <w:sz w:val="24"/>
          <w:szCs w:val="24"/>
        </w:rPr>
      </w:pPr>
    </w:p>
    <w:p>
      <w:pPr>
        <w:pStyle w:val="BodyText"/>
        <w:spacing w:line="316" w:lineRule="auto" w:before="0"/>
        <w:ind w:right="1034"/>
        <w:jc w:val="left"/>
      </w:pPr>
      <w:r>
        <w:rPr/>
        <w:t>施伟力先生，</w:t>
      </w:r>
      <w:r>
        <w:rPr>
          <w:rFonts w:ascii="宋体" w:hAnsi="宋体" w:cs="宋体" w:eastAsia="宋体" w:hint="default"/>
        </w:rPr>
        <w:t>1954</w:t>
      </w:r>
      <w:r>
        <w:rPr/>
        <w:t>年</w:t>
      </w:r>
      <w:r>
        <w:rPr>
          <w:rFonts w:ascii="宋体" w:hAnsi="宋体" w:cs="宋体" w:eastAsia="宋体" w:hint="default"/>
        </w:rPr>
        <w:t>4</w:t>
      </w:r>
      <w:r>
        <w:rPr/>
        <w:t>月生，中国国籍，无境外永久居留权，毕业于武汉大学公共关系专业。曾任福建泉州明新中学教师、</w:t>
      </w:r>
      <w:r>
        <w:rPr>
          <w:spacing w:val="-85"/>
        </w:rPr>
        <w:t> </w:t>
      </w:r>
      <w:r>
        <w:rPr>
          <w:spacing w:val="-85"/>
        </w:rPr>
      </w:r>
      <w:r>
        <w:rPr>
          <w:spacing w:val="-2"/>
        </w:rPr>
        <w:t>福建泉州无线电五厂副厂长、厦门华厦教学设备公司经理、中外合资东泉电子有限公司总经理、香港南方国际电子有限公司</w:t>
      </w:r>
      <w:r>
        <w:rPr>
          <w:spacing w:val="-63"/>
        </w:rPr>
        <w:t> </w:t>
      </w:r>
      <w:r>
        <w:rPr>
          <w:spacing w:val="-63"/>
        </w:rPr>
      </w:r>
      <w:r>
        <w:rPr>
          <w:spacing w:val="-2"/>
        </w:rPr>
        <w:t>副总经理、香港华刚光电有限公司厂长、鑫谷光电股份有限公司副总经理、大连路美芯片科技有限公司副总经理、上海曼斯</w:t>
      </w:r>
      <w:r>
        <w:rPr>
          <w:spacing w:val="-64"/>
        </w:rPr>
        <w:t> </w:t>
      </w:r>
      <w:r>
        <w:rPr>
          <w:spacing w:val="-64"/>
        </w:rPr>
      </w:r>
      <w:r>
        <w:rPr>
          <w:spacing w:val="-2"/>
        </w:rPr>
        <w:t>雷德光电有限公司董事长、大连九久光电科技有限公司总经理、大连九久光电制造有限公司董事总经理、河南屹峰实业集团</w:t>
      </w:r>
      <w:r>
        <w:rPr>
          <w:spacing w:val="-63"/>
        </w:rPr>
        <w:t> </w:t>
      </w:r>
      <w:r>
        <w:rPr>
          <w:spacing w:val="-63"/>
        </w:rPr>
      </w:r>
      <w:r>
        <w:rPr>
          <w:spacing w:val="-2"/>
        </w:rPr>
        <w:t>有限公司高级顾问、山西光宇半导体照明股份有限公司独立董事、超频三科技股份有限公司顾问、茂硕电源科技股份有限公</w:t>
      </w:r>
      <w:r>
        <w:rPr>
          <w:spacing w:val="-63"/>
        </w:rPr>
        <w:t> </w:t>
      </w:r>
      <w:r>
        <w:rPr>
          <w:spacing w:val="-63"/>
        </w:rPr>
      </w:r>
      <w:r>
        <w:rPr/>
        <w:t>司独立董事； </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月至今，任中国照明学会第六届、第七届半导体照明技术与应用专业委员会顾问；</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月至今，</w:t>
      </w:r>
      <w:r>
        <w:rPr>
          <w:spacing w:val="-67"/>
        </w:rPr>
        <w:t> </w:t>
      </w:r>
      <w:r>
        <w:rPr>
          <w:spacing w:val="-67"/>
        </w:rPr>
      </w:r>
      <w:r>
        <w:rPr>
          <w:spacing w:val="-2"/>
        </w:rPr>
        <w:t>任深圳照明与显示工程行业协会会长；</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月至今，任株洲众普森科技股份有限公司顾问；</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月至今，任聚灿光</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24"/>
        <w:jc w:val="left"/>
      </w:pPr>
      <w:r>
        <w:rPr/>
        <w:t>电科技股份有限公司独立董事；</w:t>
      </w:r>
      <w:r>
        <w:rPr>
          <w:rFonts w:ascii="宋体" w:hAnsi="宋体" w:cs="宋体" w:eastAsia="宋体" w:hint="default"/>
        </w:rPr>
        <w:t>2018</w:t>
      </w:r>
      <w:r>
        <w:rPr/>
        <w:t>年</w:t>
      </w:r>
      <w:r>
        <w:rPr>
          <w:rFonts w:ascii="宋体" w:hAnsi="宋体" w:cs="宋体" w:eastAsia="宋体" w:hint="default"/>
        </w:rPr>
        <w:t>12</w:t>
      </w:r>
      <w:r>
        <w:rPr/>
        <w:t>月至今，任深圳市联诚发科技股份有限公司独立董事；</w:t>
      </w:r>
      <w:r>
        <w:rPr>
          <w:rFonts w:ascii="宋体" w:hAnsi="宋体" w:cs="宋体" w:eastAsia="宋体" w:hint="default"/>
        </w:rPr>
        <w:t>2019</w:t>
      </w:r>
      <w:r>
        <w:rPr/>
        <w:t>年</w:t>
      </w:r>
      <w:r>
        <w:rPr>
          <w:rFonts w:ascii="宋体" w:hAnsi="宋体" w:cs="宋体" w:eastAsia="宋体" w:hint="default"/>
        </w:rPr>
        <w:t>7</w:t>
      </w:r>
      <w:r>
        <w:rPr/>
        <w:t>月至今，深圳新益</w:t>
      </w:r>
      <w:r>
        <w:rPr>
          <w:spacing w:val="-85"/>
        </w:rPr>
        <w:t> </w:t>
      </w:r>
      <w:r>
        <w:rPr>
          <w:spacing w:val="-85"/>
        </w:rPr>
      </w:r>
      <w:r>
        <w:rPr/>
        <w:t>昌科技股份有限公司独立董事。</w:t>
      </w:r>
    </w:p>
    <w:p>
      <w:pPr>
        <w:spacing w:line="240" w:lineRule="auto" w:before="0"/>
        <w:rPr>
          <w:rFonts w:ascii="宋体" w:hAnsi="宋体" w:cs="宋体" w:eastAsia="宋体" w:hint="default"/>
          <w:sz w:val="18"/>
          <w:szCs w:val="18"/>
        </w:rPr>
      </w:pPr>
    </w:p>
    <w:p>
      <w:pPr>
        <w:pStyle w:val="BodyText"/>
        <w:spacing w:line="307" w:lineRule="auto" w:before="134"/>
        <w:ind w:right="1131"/>
        <w:jc w:val="both"/>
        <w:rPr>
          <w:rFonts w:ascii="Times New Roman" w:hAnsi="Times New Roman" w:cs="Times New Roman" w:eastAsia="Times New Roman" w:hint="default"/>
        </w:rPr>
      </w:pPr>
      <w:r>
        <w:rPr/>
        <w:t>郭新梅，女，</w:t>
      </w:r>
      <w:r>
        <w:rPr>
          <w:rFonts w:ascii="Times New Roman" w:hAnsi="Times New Roman" w:cs="Times New Roman" w:eastAsia="Times New Roman" w:hint="default"/>
        </w:rPr>
        <w:t>1972</w:t>
      </w:r>
      <w:r>
        <w:rPr/>
        <w:t>年生，硕士研究生，高级会计师</w:t>
      </w:r>
      <w:r>
        <w:rPr>
          <w:rFonts w:ascii="Times New Roman" w:hAnsi="Times New Roman" w:cs="Times New Roman" w:eastAsia="Times New Roman" w:hint="default"/>
        </w:rPr>
        <w:t>,</w:t>
      </w:r>
      <w:r>
        <w:rPr/>
        <w:t>中国国籍，无境外居留权。曾任深圳新合程国际物流股份有限公司会计 </w:t>
      </w:r>
      <w:r>
        <w:rPr>
          <w:spacing w:val="-2"/>
        </w:rPr>
        <w:t>经理、悦丰集团有限公司财务总监、深圳丹邦科技股份有限公司财务总监，现任深圳市锦瑞生物科技有限公司财务总监、董</w:t>
      </w:r>
      <w:r>
        <w:rPr>
          <w:spacing w:val="-64"/>
        </w:rPr>
        <w:t> </w:t>
      </w:r>
      <w:r>
        <w:rPr>
          <w:spacing w:val="-64"/>
        </w:rPr>
      </w:r>
      <w:r>
        <w:rPr>
          <w:spacing w:val="-3"/>
        </w:rPr>
        <w:t>事，茂硕电源科技股份有限公司独立董事，惠州市惠德瑞锂电科技股份有限公司独立董事，诺德投资股份有限公司独立董事</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0"/>
        </w:rPr>
        <w:t> </w:t>
      </w:r>
      <w:r>
        <w:rPr/>
        <w:t>深圳市智动力精密技术股份有限公司独立董事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319" w:lineRule="auto" w:before="0"/>
        <w:ind w:right="1124"/>
        <w:jc w:val="left"/>
      </w:pPr>
      <w:r>
        <w:rPr>
          <w:rFonts w:ascii="Times New Roman" w:hAnsi="Times New Roman" w:cs="Times New Roman" w:eastAsia="Times New Roman" w:hint="default"/>
        </w:rPr>
        <w:t>2</w:t>
      </w:r>
      <w:r>
        <w:rPr/>
        <w:t>、监事： 廖青莲，女，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11</w:t>
      </w:r>
      <w:r>
        <w:rPr/>
        <w:t>月出生，中国国籍，无境外永久居留权，毕业于西南政法大学经济法专业，法学学士。</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月取</w:t>
      </w:r>
      <w:r>
        <w:rPr>
          <w:spacing w:val="-3"/>
        </w:rPr>
        <w:t> </w:t>
      </w:r>
      <w:r>
        <w:rPr/>
        <w:t>得律师资格证书，</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月取得律师执业证。先后在深圳市有荣配销有限公司、深圳金广弘数码电子有限公司等公司担任</w:t>
      </w:r>
    </w:p>
    <w:p>
      <w:pPr>
        <w:pStyle w:val="BodyText"/>
        <w:spacing w:line="300" w:lineRule="auto" w:before="0"/>
        <w:ind w:right="1124"/>
        <w:jc w:val="left"/>
      </w:pPr>
      <w:r>
        <w:rPr/>
        <w:t>法律顾问，长期从事法务工作。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月入职茂硕电源，现任茂硕电源监事会主席、法务主任、董事长助理。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 取得</w:t>
      </w:r>
      <w:r>
        <w:rPr>
          <w:rFonts w:ascii="Times New Roman" w:hAnsi="Times New Roman" w:cs="Times New Roman" w:eastAsia="Times New Roman" w:hint="default"/>
        </w:rPr>
        <w:t>“</w:t>
      </w:r>
      <w:r>
        <w:rPr/>
        <w:t>上市公司高级管理人员培训证书</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300" w:lineRule="auto" w:before="0"/>
        <w:ind w:right="1131"/>
        <w:jc w:val="both"/>
      </w:pPr>
      <w:r>
        <w:rPr/>
        <w:t>成水英，女，中国国籍，</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月出生，毕业于湖南农业大学，本科学历。一级企业人力资源管理师，高级劳动关系协调</w:t>
      </w:r>
      <w:r>
        <w:rPr>
          <w:spacing w:val="-83"/>
        </w:rPr>
        <w:t> </w:t>
      </w:r>
      <w:r>
        <w:rPr>
          <w:spacing w:val="-83"/>
        </w:rPr>
      </w:r>
      <w:r>
        <w:rPr>
          <w:spacing w:val="-2"/>
        </w:rPr>
        <w:t>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月于深圳市荣丰包装制品有限公任物控专员，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月于深圳市众成纸品有限公司任</w:t>
      </w:r>
      <w:r>
        <w:rPr>
          <w:spacing w:val="-53"/>
        </w:rPr>
        <w:t> </w:t>
      </w:r>
      <w:r>
        <w:rPr/>
        <w:t>总经理助理，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月于深圳市富雅分色印刷有限公司任高级客户代表，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月至今先后任茂硕电源董事 长秘书、总裁助理、人力资源总监、监事。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before="0"/>
        <w:ind w:right="1131"/>
        <w:jc w:val="both"/>
      </w:pPr>
      <w:r>
        <w:rPr/>
        <w:t>康甜桂，男，出生于</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4</w:t>
      </w:r>
      <w:r>
        <w:rPr/>
        <w:t>月，中国国籍。</w:t>
      </w:r>
      <w:r>
        <w:rPr>
          <w:spacing w:val="-19"/>
        </w:rPr>
        <w:t> </w:t>
      </w:r>
      <w:r>
        <w:rPr>
          <w:rFonts w:ascii="Times New Roman" w:hAnsi="Times New Roman" w:cs="Times New Roman" w:eastAsia="Times New Roman" w:hint="default"/>
        </w:rPr>
        <w:t>2002</w:t>
      </w:r>
      <w:r>
        <w:rPr/>
        <w:t>年毕业于武汉理工大学，大专学历，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-2016</w:t>
      </w:r>
      <w:r>
        <w:rPr/>
        <w:t>年进修华中科技大学， </w:t>
      </w:r>
      <w:r>
        <w:rPr>
          <w:spacing w:val="-1"/>
        </w:rPr>
        <w:t>取得本科学历。</w:t>
      </w:r>
      <w:r>
        <w:rPr>
          <w:rFonts w:ascii="Times New Roman" w:hAnsi="Times New Roman" w:cs="Times New Roman" w:eastAsia="Times New Roman" w:hint="default"/>
          <w:spacing w:val="-1"/>
        </w:rPr>
        <w:t>2002-2006</w:t>
      </w:r>
      <w:r>
        <w:rPr>
          <w:spacing w:val="-1"/>
        </w:rPr>
        <w:t>年在深圳市人人乐商业集团担任企划主管、经理；</w:t>
      </w:r>
      <w:r>
        <w:rPr>
          <w:rFonts w:ascii="Times New Roman" w:hAnsi="Times New Roman" w:cs="Times New Roman" w:eastAsia="Times New Roman" w:hint="default"/>
          <w:spacing w:val="-1"/>
        </w:rPr>
        <w:t>2007-2009</w:t>
      </w:r>
      <w:r>
        <w:rPr>
          <w:spacing w:val="-1"/>
        </w:rPr>
        <w:t>年在北京锡恩企业管理顾问有限公司</w:t>
      </w:r>
      <w:r>
        <w:rPr>
          <w:spacing w:val="-57"/>
        </w:rPr>
        <w:t> </w:t>
      </w:r>
      <w:r>
        <w:rPr>
          <w:spacing w:val="-57"/>
        </w:rPr>
      </w:r>
      <w:r>
        <w:rPr/>
        <w:t>担任策划经理；</w:t>
      </w:r>
      <w:r>
        <w:rPr>
          <w:rFonts w:ascii="Times New Roman" w:hAnsi="Times New Roman" w:cs="Times New Roman" w:eastAsia="Times New Roman" w:hint="default"/>
        </w:rPr>
        <w:t>2010</w:t>
      </w:r>
      <w:r>
        <w:rPr/>
        <w:t>加入茂硕电源科技股份有限公司，目前在公司担任品牌管理中心品牌经理</w:t>
      </w:r>
      <w:r>
        <w:rPr>
          <w:rFonts w:ascii="Times New Roman" w:hAnsi="Times New Roman" w:cs="Times New Roman" w:eastAsia="Times New Roman" w:hint="default"/>
        </w:rPr>
        <w:t>,</w:t>
      </w:r>
      <w:r>
        <w:rPr/>
        <w:t>监事。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19" w:lineRule="auto" w:before="0"/>
        <w:ind w:right="1124"/>
        <w:jc w:val="left"/>
      </w:pPr>
      <w:r>
        <w:rPr>
          <w:rFonts w:ascii="Times New Roman" w:hAnsi="Times New Roman" w:cs="Times New Roman" w:eastAsia="Times New Roman" w:hint="default"/>
        </w:rPr>
        <w:t>3</w:t>
      </w:r>
      <w:r>
        <w:rPr/>
        <w:t>、高级管理人员： </w:t>
      </w:r>
      <w:r>
        <w:rPr>
          <w:spacing w:val="-2"/>
        </w:rPr>
        <w:t>刘爱民，男，</w:t>
      </w:r>
      <w:r>
        <w:rPr>
          <w:rFonts w:ascii="Times New Roman" w:hAnsi="Times New Roman" w:cs="Times New Roman" w:eastAsia="Times New Roman" w:hint="default"/>
          <w:spacing w:val="-2"/>
        </w:rPr>
        <w:t>1976</w:t>
      </w:r>
      <w:r>
        <w:rPr>
          <w:spacing w:val="-2"/>
        </w:rPr>
        <w:t>年出生，中国国籍，无境外永久居留权，本科学历，会计师。曾任职</w:t>
      </w:r>
      <w:r>
        <w:rPr>
          <w:rFonts w:ascii="Times New Roman" w:hAnsi="Times New Roman" w:cs="Times New Roman" w:eastAsia="Times New Roman" w:hint="default"/>
          <w:spacing w:val="-2"/>
        </w:rPr>
        <w:t>TCL</w:t>
      </w:r>
      <w:r>
        <w:rPr>
          <w:spacing w:val="-2"/>
        </w:rPr>
        <w:t>集团子公司财务总监，三九集团</w:t>
      </w:r>
      <w:r>
        <w:rPr>
          <w:spacing w:val="-46"/>
        </w:rPr>
        <w:t> </w:t>
      </w:r>
      <w:r>
        <w:rPr>
          <w:spacing w:val="-46"/>
        </w:rPr>
      </w:r>
      <w:r>
        <w:rPr>
          <w:spacing w:val="-2"/>
        </w:rPr>
        <w:t>子公司财务经理，深圳市实益达科技股份有限公司（现更名为深圳市麦达数字股份有限公司）董事、副总裁、财务总监，前</w:t>
      </w:r>
      <w:r>
        <w:rPr>
          <w:spacing w:val="-70"/>
        </w:rPr>
        <w:t> </w:t>
      </w:r>
      <w:r>
        <w:rPr>
          <w:spacing w:val="-70"/>
        </w:rPr>
      </w:r>
      <w:r>
        <w:rPr>
          <w:spacing w:val="-2"/>
        </w:rPr>
        <w:t>海实益达董事、总经理，新余久益投资管理合伙企业（有限合伙）总裁，九派凯阳有限合伙人，深圳市宇顺电子股份有限公</w:t>
      </w:r>
      <w:r>
        <w:rPr>
          <w:spacing w:val="-68"/>
        </w:rPr>
        <w:t> </w:t>
      </w:r>
      <w:r>
        <w:rPr>
          <w:spacing w:val="-68"/>
        </w:rPr>
      </w:r>
      <w:r>
        <w:rPr/>
        <w:t>司副总经理、财务总监，现任茂硕电源总经理、董事。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00" w:lineRule="auto" w:before="0"/>
        <w:ind w:right="1124"/>
        <w:jc w:val="left"/>
      </w:pPr>
      <w:r>
        <w:rPr>
          <w:spacing w:val="-5"/>
        </w:rPr>
        <w:t>潘晓平，男，</w:t>
      </w:r>
      <w:r>
        <w:rPr>
          <w:rFonts w:ascii="Times New Roman" w:hAnsi="Times New Roman" w:cs="Times New Roman" w:eastAsia="Times New Roman" w:hint="default"/>
          <w:spacing w:val="-5"/>
        </w:rPr>
        <w:t>1966</w:t>
      </w:r>
      <w:r>
        <w:rPr>
          <w:spacing w:val="-5"/>
        </w:rPr>
        <w:t>年</w:t>
      </w:r>
      <w:r>
        <w:rPr>
          <w:rFonts w:ascii="Times New Roman" w:hAnsi="Times New Roman" w:cs="Times New Roman" w:eastAsia="Times New Roman" w:hint="default"/>
          <w:spacing w:val="-5"/>
        </w:rPr>
        <w:t>3</w:t>
      </w:r>
      <w:r>
        <w:rPr>
          <w:spacing w:val="-5"/>
        </w:rPr>
        <w:t>月出生，中国国籍，毕业于中国纺织大学机械工程系供热与通风专业，工学学士学位。</w:t>
      </w:r>
      <w:r>
        <w:rPr>
          <w:rFonts w:ascii="Times New Roman" w:hAnsi="Times New Roman" w:cs="Times New Roman" w:eastAsia="Times New Roman" w:hint="default"/>
          <w:spacing w:val="-5"/>
        </w:rPr>
        <w:t>1988</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1992</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2"/>
        </w:rPr>
        <w:t>年</w:t>
      </w:r>
      <w:r>
        <w:rPr>
          <w:rFonts w:ascii="Times New Roman" w:hAnsi="Times New Roman" w:cs="Times New Roman" w:eastAsia="Times New Roman" w:hint="default"/>
          <w:spacing w:val="-2"/>
        </w:rPr>
        <w:t>3</w:t>
      </w:r>
      <w:r>
        <w:rPr>
          <w:spacing w:val="-2"/>
        </w:rPr>
        <w:t>月担任苏州太仓针织总厂动力分厂技术员、副厂长；</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月担任安莉芳集团有限公司经理；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月至</w:t>
      </w:r>
      <w:r>
        <w:rPr>
          <w:spacing w:val="-58"/>
        </w:rPr>
        <w:t> </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月担任深圳经济特区免税商品企业公司经理；</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8</w:t>
      </w:r>
      <w:r>
        <w:rPr>
          <w:spacing w:val="-3"/>
        </w:rPr>
        <w:t>月担任安兴纸业（深圳）有限公司副总经理；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月担任三和国际有限公司副总经理；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月担任崧顺电子（深圳）有限公司总经理；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月担任豪鹏国际股份有限公司副总经理；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月至今担任茂硕电源科技股份有限公司副总经理。</w:t>
      </w:r>
    </w:p>
    <w:p>
      <w:pPr>
        <w:spacing w:line="240" w:lineRule="auto" w:before="0"/>
        <w:rPr>
          <w:rFonts w:ascii="宋体" w:hAnsi="宋体" w:cs="宋体" w:eastAsia="宋体" w:hint="default"/>
          <w:sz w:val="18"/>
          <w:szCs w:val="18"/>
        </w:rPr>
      </w:pPr>
    </w:p>
    <w:p>
      <w:pPr>
        <w:pStyle w:val="BodyText"/>
        <w:spacing w:line="300" w:lineRule="auto" w:before="131"/>
        <w:ind w:right="1169"/>
        <w:jc w:val="left"/>
      </w:pPr>
      <w:r>
        <w:rPr/>
        <w:t>秦利红，女，</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12</w:t>
      </w:r>
      <w:r>
        <w:rPr/>
        <w:t>月出生，中国国籍，毕业于湖南大学会计专业，会计专业中级职称，注册会计师</w:t>
      </w:r>
      <w:r>
        <w:rPr>
          <w:rFonts w:ascii="Times New Roman" w:hAnsi="Times New Roman" w:cs="Times New Roman" w:eastAsia="Times New Roman" w:hint="default"/>
        </w:rPr>
        <w:t>,</w:t>
      </w:r>
      <w:r>
        <w:rPr/>
        <w:t>税务师。</w:t>
      </w:r>
      <w:r>
        <w:rPr>
          <w:rFonts w:ascii="Times New Roman" w:hAnsi="Times New Roman" w:cs="Times New Roman" w:eastAsia="Times New Roman" w:hint="default"/>
        </w:rPr>
        <w:t>2010</w:t>
      </w:r>
      <w:r>
        <w:rPr/>
        <w:t>年加</w:t>
      </w:r>
      <w:r>
        <w:rPr>
          <w:spacing w:val="-3"/>
        </w:rPr>
        <w:t> </w:t>
      </w:r>
      <w:r>
        <w:rPr/>
        <w:t>入茂硕电源科技股份有限公司，自</w:t>
      </w:r>
      <w:r>
        <w:rPr>
          <w:rFonts w:ascii="Times New Roman" w:hAnsi="Times New Roman" w:cs="Times New Roman" w:eastAsia="Times New Roman" w:hint="default"/>
        </w:rPr>
        <w:t>2012</w:t>
      </w:r>
      <w:r>
        <w:rPr/>
        <w:t>年起至今先后担任茂硕电源科技股份有限公司财务经理、财务总监。</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6"/>
        <w:gridCol w:w="3231"/>
        <w:gridCol w:w="1078"/>
        <w:gridCol w:w="1212"/>
        <w:gridCol w:w="1347"/>
        <w:gridCol w:w="1486"/>
      </w:tblGrid>
      <w:tr>
        <w:trPr>
          <w:trHeight w:val="714"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90"/>
        <w:gridCol w:w="1200"/>
        <w:gridCol w:w="1347"/>
        <w:gridCol w:w="1486"/>
      </w:tblGrid>
      <w:tr>
        <w:trPr>
          <w:trHeight w:val="102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10"/>
                <w:sz w:val="18"/>
                <w:szCs w:val="18"/>
              </w:rPr>
              <w:t>总经理、执行</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pacing w:val="-10"/>
                <w:sz w:val="18"/>
                <w:szCs w:val="18"/>
              </w:rPr>
              <w:t>（常务）董事</w:t>
            </w:r>
          </w:p>
        </w:tc>
        <w:tc>
          <w:tcPr>
            <w:tcW w:w="120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w:t>
            </w:r>
          </w:p>
        </w:tc>
      </w:tr>
    </w:tbl>
    <w:p>
      <w:pPr>
        <w:pStyle w:val="BodyText"/>
        <w:spacing w:line="240" w:lineRule="auto" w:before="49"/>
        <w:ind w:right="1133"/>
        <w:jc w:val="left"/>
      </w:pPr>
      <w:r>
        <w:rPr/>
        <w:pict>
          <v:group style="position:absolute;margin-left:333.190002pt;margin-top:-87.018257pt;width:60.15pt;height:7.8pt;mso-position-horizontal-relative:page;mso-position-vertical-relative:paragraph;z-index:-1243048" coordorigin="6664,-1740" coordsize="1203,156">
            <v:shape style="position:absolute;left:6664;top:-1740;width:1203;height:156" coordorigin="6664,-1740" coordsize="1203,156" path="m6664,-1584l7866,-1584,7866,-1740,6664,-1740,6664,-1584xe" filled="true" fillcolor="#ffffff" stroked="false">
              <v:path arrowok="t"/>
              <v:fill type="solid"/>
            </v:shape>
            <w10:wrap type="none"/>
          </v:group>
        </w:pict>
      </w: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深圳市苏商会投资有限公司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新余神木园农业发展有限公司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微马体育控股有限公司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深圳联诚发科技股份有限公司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深圳新益昌科技股份有限公司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深圳市照明与显示工程行业协会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深圳市锦瑞生物科技有限公司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惠州市惠德瑞锂电科技股份有限公司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诺德投资股份有限公司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深圳市智动力精密技术股份有限公司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董事、监事、高级管理人员报酬的决策程序、确定依据、实际支付情况</w:t>
      </w:r>
    </w:p>
    <w:p>
      <w:pPr>
        <w:pStyle w:val="BodyText"/>
        <w:spacing w:line="240" w:lineRule="auto" w:before="117"/>
        <w:ind w:right="1133"/>
        <w:jc w:val="left"/>
      </w:pPr>
      <w:r>
        <w:rPr>
          <w:rFonts w:ascii="Times New Roman" w:hAnsi="Times New Roman" w:cs="Times New Roman" w:eastAsia="Times New Roman" w:hint="default"/>
        </w:rPr>
        <w:t>1</w:t>
      </w:r>
      <w:r>
        <w:rPr/>
        <w:t>、董事、监事、高级管理人员报酬的决策程序</w:t>
      </w:r>
    </w:p>
    <w:p>
      <w:pPr>
        <w:pStyle w:val="BodyText"/>
        <w:spacing w:line="300" w:lineRule="auto" w:before="102"/>
        <w:ind w:right="1169"/>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日，公司第四届董事会</w:t>
      </w:r>
      <w:r>
        <w:rPr>
          <w:rFonts w:ascii="Times New Roman" w:hAnsi="Times New Roman" w:cs="Times New Roman" w:eastAsia="Times New Roman" w:hint="default"/>
        </w:rPr>
        <w:t>2020</w:t>
      </w:r>
      <w:r>
        <w:rPr/>
        <w:t>年第</w:t>
      </w:r>
      <w:r>
        <w:rPr>
          <w:rFonts w:ascii="Times New Roman" w:hAnsi="Times New Roman" w:cs="Times New Roman" w:eastAsia="Times New Roman" w:hint="default"/>
        </w:rPr>
        <w:t>1</w:t>
      </w:r>
      <w:r>
        <w:rPr/>
        <w:t>次定期会议</w:t>
      </w:r>
      <w:r>
        <w:rPr>
          <w:rFonts w:ascii="Times New Roman" w:hAnsi="Times New Roman" w:cs="Times New Roman" w:eastAsia="Times New Roman" w:hint="default"/>
        </w:rPr>
        <w:t>,</w:t>
      </w:r>
      <w:r>
        <w:rPr/>
        <w:t>第四届监事会</w:t>
      </w:r>
      <w:r>
        <w:rPr>
          <w:rFonts w:ascii="Times New Roman" w:hAnsi="Times New Roman" w:cs="Times New Roman" w:eastAsia="Times New Roman" w:hint="default"/>
        </w:rPr>
        <w:t>2020</w:t>
      </w:r>
      <w:r>
        <w:rPr/>
        <w:t>年第</w:t>
      </w:r>
      <w:r>
        <w:rPr>
          <w:rFonts w:ascii="Times New Roman" w:hAnsi="Times New Roman" w:cs="Times New Roman" w:eastAsia="Times New Roman" w:hint="default"/>
        </w:rPr>
        <w:t>1</w:t>
      </w:r>
      <w:r>
        <w:rPr/>
        <w:t>次定期会议审议《关于公司</w:t>
      </w:r>
      <w:r>
        <w:rPr>
          <w:rFonts w:ascii="Times New Roman" w:hAnsi="Times New Roman" w:cs="Times New Roman" w:eastAsia="Times New Roman" w:hint="default"/>
        </w:rPr>
        <w:t>&lt;2019</w:t>
      </w:r>
      <w:r>
        <w:rPr/>
        <w:t>年度董 事、监事、高级管理人员薪酬方案</w:t>
      </w:r>
      <w:r>
        <w:rPr>
          <w:rFonts w:ascii="Times New Roman" w:hAnsi="Times New Roman" w:cs="Times New Roman" w:eastAsia="Times New Roman" w:hint="default"/>
        </w:rPr>
        <w:t>&gt;</w:t>
      </w:r>
      <w:r>
        <w:rPr/>
        <w:t>的议案》，经</w:t>
      </w:r>
      <w:r>
        <w:rPr>
          <w:rFonts w:ascii="Times New Roman" w:hAnsi="Times New Roman" w:cs="Times New Roman" w:eastAsia="Times New Roman" w:hint="default"/>
        </w:rPr>
        <w:t>2019</w:t>
      </w:r>
      <w:r>
        <w:rPr/>
        <w:t>年度股东大会审议通过后生效；</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月，公司董事会薪酬与考核 委员会审核确定</w:t>
      </w:r>
      <w:r>
        <w:rPr>
          <w:rFonts w:ascii="Times New Roman" w:hAnsi="Times New Roman" w:cs="Times New Roman" w:eastAsia="Times New Roman" w:hint="default"/>
        </w:rPr>
        <w:t>2020</w:t>
      </w:r>
      <w:r>
        <w:rPr/>
        <w:t>年度公司董事、监事、高级管理人员薪酬。</w:t>
      </w:r>
    </w:p>
    <w:p>
      <w:pPr>
        <w:pStyle w:val="BodyText"/>
        <w:spacing w:line="328" w:lineRule="auto" w:before="53"/>
        <w:ind w:right="1124"/>
        <w:jc w:val="left"/>
      </w:pPr>
      <w:r>
        <w:rPr>
          <w:rFonts w:ascii="Times New Roman" w:hAnsi="Times New Roman" w:cs="Times New Roman" w:eastAsia="Times New Roman" w:hint="default"/>
        </w:rPr>
        <w:t>2</w:t>
      </w:r>
      <w:r>
        <w:rPr/>
        <w:t>、董事、监事、高级管理人员报酬确定依据 </w:t>
      </w:r>
      <w:r>
        <w:rPr>
          <w:spacing w:val="-2"/>
        </w:rPr>
        <w:t>根据《公司章程》、《董事、监事、高级管理人员薪酬制度》等公司相关制度，结合公司经营规模等实际情况并参照行业薪</w:t>
      </w:r>
      <w:r>
        <w:rPr>
          <w:spacing w:val="-65"/>
        </w:rPr>
        <w:t> </w:t>
      </w:r>
      <w:r>
        <w:rPr>
          <w:spacing w:val="-65"/>
        </w:rPr>
      </w:r>
      <w:r>
        <w:rPr/>
        <w:t>酬水平确定。</w:t>
      </w:r>
    </w:p>
    <w:p>
      <w:pPr>
        <w:spacing w:line="240" w:lineRule="auto" w:before="3"/>
        <w:rPr>
          <w:rFonts w:ascii="宋体" w:hAnsi="宋体" w:cs="宋体" w:eastAsia="宋体" w:hint="default"/>
          <w:sz w:val="27"/>
          <w:szCs w:val="27"/>
        </w:rPr>
      </w:pPr>
    </w:p>
    <w:p>
      <w:pPr>
        <w:pStyle w:val="BodyText"/>
        <w:spacing w:line="240" w:lineRule="auto"/>
        <w:ind w:right="1133"/>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康甜桂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609.66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公司员工情况" w:id="130"/>
      <w:bookmarkEnd w:id="130"/>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1,716</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0"/>
        <w:jc w:val="left"/>
      </w:pPr>
      <w:r>
        <w:rPr>
          <w:spacing w:val="-4"/>
        </w:rPr>
        <w:t>公司在严格遵守《劳动法》、《劳动合同法》等有关法律法规、部门规章和规范性文件的基础上，结合行业及公司经营特点，</w:t>
      </w:r>
      <w:r>
        <w:rPr>
          <w:spacing w:val="-42"/>
        </w:rPr>
        <w:t> </w:t>
      </w:r>
      <w:r>
        <w:rPr>
          <w:spacing w:val="-42"/>
        </w:rPr>
      </w:r>
      <w:r>
        <w:rPr>
          <w:spacing w:val="-2"/>
        </w:rPr>
        <w:t>充分考虑公平性和竞争力，制定了较为完善的薪酬管理制度及激励机制。报告期内，公司深入推进利润分享的激励机制，确</w:t>
      </w:r>
      <w:r>
        <w:rPr>
          <w:spacing w:val="-66"/>
        </w:rPr>
        <w:t> </w:t>
      </w:r>
      <w:r>
        <w:rPr>
          <w:spacing w:val="-66"/>
        </w:rPr>
      </w:r>
      <w:r>
        <w:rPr>
          <w:spacing w:val="-2"/>
        </w:rPr>
        <w:t>定明确的激励目标，有效的激发全员的工作能动性，有效的提升了员工执行力和责任意识，激励机制的深入实施有利于留住</w:t>
      </w:r>
      <w:r>
        <w:rPr>
          <w:spacing w:val="-63"/>
        </w:rPr>
        <w:t> </w:t>
      </w:r>
      <w:r>
        <w:rPr>
          <w:spacing w:val="-63"/>
        </w:rPr>
      </w:r>
      <w:r>
        <w:rPr/>
        <w:t>和吸引优秀人才，提高了员工的忠诚度及归属感，为公司创造更多的价值。</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0"/>
        <w:jc w:val="both"/>
      </w:pPr>
      <w:r>
        <w:rPr>
          <w:spacing w:val="-2"/>
        </w:rPr>
        <w:t>公司注重员工培养和人才储备，积极寻求各种培训资源和渠道，建立了较为完善的培训体系，以内部培训、外部培训、员工</w:t>
      </w:r>
      <w:r>
        <w:rPr>
          <w:spacing w:val="-65"/>
        </w:rPr>
        <w:t> </w:t>
      </w:r>
      <w:r>
        <w:rPr>
          <w:spacing w:val="-65"/>
        </w:rPr>
      </w:r>
      <w:r>
        <w:rPr>
          <w:spacing w:val="-2"/>
        </w:rPr>
        <w:t>自我学习培训等多种形式，提升全体员工岗位技能和专业知识。公司每年根据发展需求制定具体的培训计划，进行定期或不</w:t>
      </w:r>
      <w:r>
        <w:rPr>
          <w:spacing w:val="-63"/>
        </w:rPr>
        <w:t> </w:t>
      </w:r>
      <w:r>
        <w:rPr>
          <w:spacing w:val="-63"/>
        </w:rPr>
      </w:r>
      <w:r>
        <w:rPr>
          <w:spacing w:val="-2"/>
        </w:rPr>
        <w:t>定期的培训，有针对性地开展如新员工入职培训、在职人员业务培训、管理者提升培训、安全培训等，将公司的高层管理团</w:t>
      </w:r>
      <w:r>
        <w:rPr>
          <w:spacing w:val="-67"/>
        </w:rPr>
        <w:t> </w:t>
      </w:r>
      <w:r>
        <w:rPr>
          <w:spacing w:val="-67"/>
        </w:rPr>
      </w:r>
      <w:r>
        <w:rPr>
          <w:spacing w:val="-2"/>
        </w:rPr>
        <w:t>队、中层管理者、骨干员工及后备人才培养统一纳入到体系化的人才成长快车道，有效地提高了员工的整体素质和企业的经</w:t>
      </w:r>
      <w:r>
        <w:rPr>
          <w:spacing w:val="-66"/>
        </w:rPr>
        <w:t> </w:t>
      </w:r>
      <w:r>
        <w:rPr>
          <w:spacing w:val="-66"/>
        </w:rPr>
      </w:r>
      <w:r>
        <w:rPr/>
        <w:t>营管理水平。</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4,328,040.8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72,865,142.65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30"/>
        <w:jc w:val="center"/>
        <w:rPr>
          <w:b w:val="0"/>
          <w:bCs w:val="0"/>
        </w:rPr>
      </w:pPr>
      <w:bookmarkStart w:name="第十节公司治理" w:id="135"/>
      <w:bookmarkEnd w:id="135"/>
      <w:r>
        <w:rPr>
          <w:b w:val="0"/>
          <w:bCs w:val="0"/>
        </w:rPr>
      </w:r>
      <w:bookmarkStart w:name="_bookmark9" w:id="136"/>
      <w:bookmarkEnd w:id="136"/>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4" w:firstLine="72"/>
        <w:jc w:val="both"/>
      </w:pPr>
      <w:r>
        <w:rPr/>
        <w:t>报告期内，公司严格按照《公司法》《证券法》《上市公司治理准则》和中国证监会、深圳证券交易所有关要求，加强信 </w:t>
      </w:r>
      <w:r>
        <w:rPr>
          <w:spacing w:val="-2"/>
        </w:rPr>
        <w:t>息披露工作，不断完善公司法人治理结构，建立健全内部控制制度，规范公司运作，切实维护公司及全体股东利益。公司股</w:t>
      </w:r>
      <w:r>
        <w:rPr>
          <w:spacing w:val="-67"/>
        </w:rPr>
        <w:t> </w:t>
      </w:r>
      <w:r>
        <w:rPr>
          <w:spacing w:val="-67"/>
        </w:rPr>
      </w:r>
      <w:r>
        <w:rPr>
          <w:spacing w:val="-2"/>
        </w:rPr>
        <w:t>东大会、董事会、监事会、各经营层职责明确，各董事、监事和高级管理人员勤勉尽责，确保了公司安全、稳定、健康、持</w:t>
      </w:r>
      <w:r>
        <w:rPr>
          <w:spacing w:val="-69"/>
        </w:rPr>
        <w:t> </w:t>
      </w:r>
      <w:r>
        <w:rPr>
          <w:spacing w:val="-69"/>
        </w:rPr>
      </w:r>
      <w:r>
        <w:rPr/>
        <w:t>续的发展。截至报告期末，公司治理情况符合中国证监会、深圳证券交易所上市公司治理规范性文件规定。</w:t>
      </w:r>
    </w:p>
    <w:p>
      <w:pPr>
        <w:pStyle w:val="BodyText"/>
        <w:spacing w:line="240" w:lineRule="auto" w:before="59"/>
        <w:ind w:left="352" w:right="1133"/>
        <w:jc w:val="left"/>
      </w:pPr>
      <w:r>
        <w:rPr/>
        <w:t>（一）关于股东和股东大会</w:t>
      </w:r>
    </w:p>
    <w:p>
      <w:pPr>
        <w:pStyle w:val="BodyText"/>
        <w:spacing w:line="309" w:lineRule="auto" w:before="115"/>
        <w:ind w:right="1133" w:firstLine="199"/>
        <w:jc w:val="both"/>
      </w:pPr>
      <w:r>
        <w:rPr>
          <w:rFonts w:ascii="Times New Roman" w:hAnsi="Times New Roman" w:cs="Times New Roman" w:eastAsia="Times New Roman" w:hint="default"/>
        </w:rPr>
        <w:t>2019</w:t>
      </w:r>
      <w:r>
        <w:rPr/>
        <w:t>年，公司严格按照《公司法》、《公司章程》、《股东大会议事规则》等规定和要求召集、召开股东大会，并在股 </w:t>
      </w:r>
      <w:r>
        <w:rPr>
          <w:spacing w:val="-2"/>
        </w:rPr>
        <w:t>东大会审议影响中小投资者利益的重大事项时，对中小投资者的表决进行单独计票。报告期内召开的股东大会均由董事会召</w:t>
      </w:r>
      <w:r>
        <w:rPr>
          <w:spacing w:val="-64"/>
        </w:rPr>
        <w:t> </w:t>
      </w:r>
      <w:r>
        <w:rPr>
          <w:spacing w:val="-64"/>
        </w:rPr>
      </w:r>
      <w:r>
        <w:rPr/>
        <w:t>集召开，并聘请律师进行现场见证。</w:t>
      </w:r>
    </w:p>
    <w:p>
      <w:pPr>
        <w:pStyle w:val="BodyText"/>
        <w:spacing w:line="360" w:lineRule="auto" w:before="65"/>
        <w:ind w:left="352" w:right="1133"/>
        <w:jc w:val="left"/>
      </w:pPr>
      <w:r>
        <w:rPr/>
        <w:t>（二）关于董事和董事会 公司按照《公司法》、《公司章程》等规定选举董事，董事会的人数和人员构成符合法律法规的要求；公司董事会职责</w:t>
      </w:r>
    </w:p>
    <w:p>
      <w:pPr>
        <w:pStyle w:val="BodyText"/>
        <w:spacing w:line="222" w:lineRule="exact" w:before="0"/>
        <w:ind w:right="0"/>
        <w:jc w:val="both"/>
      </w:pPr>
      <w:r>
        <w:rPr/>
        <w:t>清晰，公司各位董事能够依据《董事会议事规则》等制度，认真出席董事会会议。每位独立董事均严格遵守《独立董事工作</w:t>
      </w:r>
    </w:p>
    <w:p>
      <w:pPr>
        <w:pStyle w:val="BodyText"/>
        <w:spacing w:line="316" w:lineRule="auto" w:before="76"/>
        <w:ind w:right="1131"/>
        <w:jc w:val="both"/>
      </w:pPr>
      <w:r>
        <w:rPr>
          <w:spacing w:val="-2"/>
        </w:rPr>
        <w:t>制度》，认真负责、勤勉诚信地履行各自的职责。公司董事会下设审计委员会、战略委员会、提名委员会、薪酬与考核委员</w:t>
      </w:r>
      <w:r>
        <w:rPr>
          <w:spacing w:val="-73"/>
        </w:rPr>
        <w:t> </w:t>
      </w:r>
      <w:r>
        <w:rPr>
          <w:spacing w:val="-73"/>
        </w:rPr>
      </w:r>
      <w:r>
        <w:rPr>
          <w:spacing w:val="-2"/>
        </w:rPr>
        <w:t>会等四个专门委员会，其成员组成合理。专门委员会设立以来，均严格按照相应工作条例开展工作，已在公司的经营管理中</w:t>
      </w:r>
      <w:r>
        <w:rPr>
          <w:spacing w:val="-65"/>
        </w:rPr>
        <w:t> </w:t>
      </w:r>
      <w:r>
        <w:rPr>
          <w:spacing w:val="-65"/>
        </w:rPr>
      </w:r>
      <w:r>
        <w:rPr/>
        <w:t>充分发挥了其专业性作用。</w:t>
      </w:r>
    </w:p>
    <w:p>
      <w:pPr>
        <w:pStyle w:val="BodyText"/>
        <w:spacing w:line="360" w:lineRule="auto" w:before="57"/>
        <w:ind w:left="352" w:right="0"/>
        <w:jc w:val="left"/>
      </w:pPr>
      <w:r>
        <w:rPr/>
        <w:t>（三）关于监事和监事会 </w:t>
      </w:r>
      <w:r>
        <w:rPr>
          <w:spacing w:val="-4"/>
        </w:rPr>
        <w:t>公司监事会人数和人员构成符合法律、法规的要求，能够依据《监事会议事规则》等制度，各监事严格按照《公司章程》、</w:t>
      </w:r>
    </w:p>
    <w:p>
      <w:pPr>
        <w:pStyle w:val="BodyText"/>
        <w:spacing w:line="222" w:lineRule="exact" w:before="0"/>
        <w:ind w:right="0"/>
        <w:jc w:val="both"/>
      </w:pPr>
      <w:r>
        <w:rPr/>
        <w:t>《公司监事会议事规则》等相关内部制度行使职权，认真履行自己的职责，出席股东大会、列席董事会会议，对董事会决策</w:t>
      </w:r>
    </w:p>
    <w:p>
      <w:pPr>
        <w:pStyle w:val="BodyText"/>
        <w:spacing w:line="316" w:lineRule="auto" w:before="77"/>
        <w:ind w:right="1130"/>
        <w:jc w:val="both"/>
      </w:pPr>
      <w:r>
        <w:rPr>
          <w:spacing w:val="-2"/>
        </w:rPr>
        <w:t>程序、决议事项及公司依法运作情况实施监督，全体监事能够切实履行职责，诚信、勤勉、尽责，监事会的召集、召开、表</w:t>
      </w:r>
      <w:r>
        <w:rPr>
          <w:spacing w:val="-65"/>
        </w:rPr>
        <w:t> </w:t>
      </w:r>
      <w:r>
        <w:rPr>
          <w:spacing w:val="-65"/>
        </w:rPr>
      </w:r>
      <w:r>
        <w:rPr/>
        <w:t>决及信息披露程序符合相关规定。</w:t>
      </w:r>
    </w:p>
    <w:p>
      <w:pPr>
        <w:pStyle w:val="BodyText"/>
        <w:spacing w:line="357" w:lineRule="auto" w:before="59"/>
        <w:ind w:left="352" w:right="1133"/>
        <w:jc w:val="left"/>
      </w:pPr>
      <w:r>
        <w:rPr/>
        <w:t>（四）关于信息披露和透明度 公司严格按照有关法律法规及公司制定的《公司信息披露管理制度》的要求，真实、准确、完整、及时地通过《证券时</w:t>
      </w:r>
    </w:p>
    <w:p>
      <w:pPr>
        <w:pStyle w:val="BodyText"/>
        <w:spacing w:line="224" w:lineRule="exact" w:before="0"/>
        <w:ind w:right="0"/>
        <w:jc w:val="both"/>
      </w:pPr>
      <w:r>
        <w:rPr/>
        <w:t>报》、《上海证券报》和巨潮资讯网为公司信息披露的报纸、网站切实履行上市公司信息披露的义务，并做好信息披露前的</w:t>
      </w:r>
    </w:p>
    <w:p>
      <w:pPr>
        <w:pStyle w:val="BodyText"/>
        <w:spacing w:line="240" w:lineRule="auto" w:before="76"/>
        <w:ind w:right="0"/>
        <w:jc w:val="both"/>
      </w:pPr>
      <w:r>
        <w:rPr/>
        <w:t>保密工作，保证公司信息披露的公开、公平、公正，积极维护公司和投资者，尤其是中小股东的合法权益。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before="0"/>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2" w:firstLine="72"/>
        <w:jc w:val="both"/>
      </w:pPr>
      <w:r>
        <w:rPr/>
        <w:t>公司自成立以来严格按照《公司法》、</w:t>
      </w:r>
      <w:r>
        <w:rPr>
          <w:spacing w:val="-61"/>
        </w:rPr>
        <w:t> </w:t>
      </w:r>
      <w:r>
        <w:rPr/>
        <w:t>《证券法》等有关法律、法规和《公司章程》的要求规范运作，在业务、资产、人</w:t>
      </w:r>
      <w:r>
        <w:rPr/>
        <w:t> 员、机构和财务等方面相互独立，拥有独立完整的生产、销售、研发系统，具备面向市场自主经营的能力。</w:t>
      </w:r>
    </w:p>
    <w:p>
      <w:pPr>
        <w:pStyle w:val="BodyText"/>
        <w:spacing w:line="300" w:lineRule="auto" w:before="19"/>
        <w:ind w:left="510" w:right="1124" w:firstLine="2"/>
        <w:jc w:val="left"/>
      </w:pPr>
      <w:r>
        <w:rPr>
          <w:rFonts w:ascii="Times New Roman" w:hAnsi="Times New Roman" w:cs="Times New Roman" w:eastAsia="Times New Roman" w:hint="default"/>
        </w:rPr>
        <w:t>1</w:t>
      </w:r>
      <w:r>
        <w:rPr/>
        <w:t>、业务独立 </w:t>
      </w:r>
      <w:r>
        <w:rPr>
          <w:spacing w:val="-2"/>
        </w:rPr>
        <w:t>公司业务独立于控股股东及其下属企业，拥有独立的研发、生产、销售业务体系，拥有完整的法人财产权，能够独立支</w:t>
      </w:r>
    </w:p>
    <w:p>
      <w:pPr>
        <w:pStyle w:val="BodyText"/>
        <w:spacing w:line="316" w:lineRule="auto" w:before="31"/>
        <w:ind w:right="1133"/>
        <w:jc w:val="both"/>
      </w:pPr>
      <w:r>
        <w:rPr>
          <w:spacing w:val="-2"/>
        </w:rPr>
        <w:t>配和使用人、财、物等生产要素，顺利组织和实施生产经营活动，能完全独立有序地开展所有业务。公司的业务完全独立于</w:t>
      </w:r>
      <w:r>
        <w:rPr>
          <w:spacing w:val="-67"/>
        </w:rPr>
        <w:t> </w:t>
      </w:r>
      <w:r>
        <w:rPr>
          <w:spacing w:val="-67"/>
        </w:rPr>
      </w:r>
      <w:r>
        <w:rPr>
          <w:spacing w:val="-2"/>
        </w:rPr>
        <w:t>控股股东、实际控制人及其控制的其他企业，与控股股东、实际控制人及其控制的其他企业不存在同业竞争或显失公平的关</w:t>
      </w:r>
      <w:r>
        <w:rPr>
          <w:spacing w:val="-65"/>
        </w:rPr>
        <w:t> </w:t>
      </w:r>
      <w:r>
        <w:rPr>
          <w:spacing w:val="-65"/>
        </w:rPr>
      </w:r>
      <w:r>
        <w:rPr/>
        <w:t>联交易。</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10" w:right="1124"/>
        <w:jc w:val="left"/>
      </w:pPr>
      <w:r>
        <w:rPr>
          <w:rFonts w:ascii="Times New Roman" w:hAnsi="Times New Roman" w:cs="Times New Roman" w:eastAsia="Times New Roman" w:hint="default"/>
        </w:rPr>
        <w:t>2</w:t>
      </w:r>
      <w:r>
        <w:rPr/>
        <w:t>、资产完整 </w:t>
      </w:r>
      <w:r>
        <w:rPr>
          <w:spacing w:val="-2"/>
        </w:rPr>
        <w:t>公司为依法整体变更设立的股份有限公司，拥有独立、完整的资产，具有与生产经营有关的生产系统、辅助生产系统和</w:t>
      </w:r>
    </w:p>
    <w:p>
      <w:pPr>
        <w:pStyle w:val="BodyText"/>
        <w:spacing w:line="316" w:lineRule="auto" w:before="31"/>
        <w:ind w:right="0"/>
        <w:jc w:val="left"/>
      </w:pPr>
      <w:r>
        <w:rPr>
          <w:spacing w:val="-4"/>
        </w:rPr>
        <w:t>配套设施，合法拥有与生产经营有关的土地、厂房、机器设备以及商标、专利、非专利技术的所有权和使用权，且产权清晰；</w:t>
      </w:r>
      <w:r>
        <w:rPr>
          <w:spacing w:val="-44"/>
        </w:rPr>
        <w:t> </w:t>
      </w:r>
      <w:r>
        <w:rPr>
          <w:spacing w:val="-44"/>
        </w:rPr>
      </w:r>
      <w:r>
        <w:rPr>
          <w:spacing w:val="-2"/>
        </w:rPr>
        <w:t>公司对所有资产有完全的控制支配权，不存在与股东共同使用财产或相互提供服务等情形，不存在资产、资金被控股股东占</w:t>
      </w:r>
      <w:r>
        <w:rPr>
          <w:spacing w:val="-66"/>
        </w:rPr>
        <w:t> </w:t>
      </w:r>
      <w:r>
        <w:rPr>
          <w:spacing w:val="-66"/>
        </w:rPr>
      </w:r>
      <w:r>
        <w:rPr/>
        <w:t>用而损害公司利益的情况。</w:t>
      </w:r>
    </w:p>
    <w:p>
      <w:pPr>
        <w:pStyle w:val="BodyText"/>
        <w:spacing w:line="300" w:lineRule="auto" w:before="19"/>
        <w:ind w:left="510" w:right="1040"/>
        <w:jc w:val="left"/>
      </w:pPr>
      <w:r>
        <w:rPr>
          <w:rFonts w:ascii="Times New Roman" w:hAnsi="Times New Roman" w:cs="Times New Roman" w:eastAsia="Times New Roman" w:hint="default"/>
        </w:rPr>
        <w:t>3</w:t>
      </w:r>
      <w:r>
        <w:rPr/>
        <w:t>、人员独立 </w:t>
      </w:r>
      <w:r>
        <w:rPr>
          <w:spacing w:val="-4"/>
        </w:rPr>
        <w:t>公司独立招聘员工，设有独立的劳动、人事、工资管理体系。本公司董事、监事、高级管理人员均严格按照《公司法》、</w:t>
      </w:r>
    </w:p>
    <w:p>
      <w:pPr>
        <w:pStyle w:val="BodyText"/>
        <w:spacing w:line="316" w:lineRule="auto" w:before="31"/>
        <w:ind w:right="1131"/>
        <w:jc w:val="both"/>
      </w:pPr>
      <w:r>
        <w:rPr>
          <w:spacing w:val="-2"/>
        </w:rPr>
        <w:t>《公司章程》的有关规定经选举产生和聘任。公司总经理、副总经理、财务负责人均在公司专职工作并领取薪酬，未在控股</w:t>
      </w:r>
      <w:r>
        <w:rPr>
          <w:spacing w:val="-67"/>
        </w:rPr>
        <w:t> </w:t>
      </w:r>
      <w:r>
        <w:rPr>
          <w:spacing w:val="-67"/>
        </w:rPr>
      </w:r>
      <w:r>
        <w:rPr>
          <w:spacing w:val="-2"/>
        </w:rPr>
        <w:t>股东及其它下属企业担任除董事、监事之外的任何职务；本公司的财务人员没有在控股股东、实际控制人及其控制的其他企</w:t>
      </w:r>
      <w:r>
        <w:rPr>
          <w:spacing w:val="-65"/>
        </w:rPr>
        <w:t> </w:t>
      </w:r>
      <w:r>
        <w:rPr>
          <w:spacing w:val="-65"/>
        </w:rPr>
      </w:r>
      <w:r>
        <w:rPr>
          <w:spacing w:val="-2"/>
        </w:rPr>
        <w:t>业中兼职。公司的董事、监事、高级管理人员及其近亲属所从事的工作均不存在与公司利益相冲突的情形，也未在与公司业</w:t>
      </w:r>
      <w:r>
        <w:rPr>
          <w:spacing w:val="-64"/>
        </w:rPr>
        <w:t> </w:t>
      </w:r>
      <w:r>
        <w:rPr>
          <w:spacing w:val="-64"/>
        </w:rPr>
      </w:r>
      <w:r>
        <w:rPr/>
        <w:t>务相同或相似的企业任职。</w:t>
      </w:r>
    </w:p>
    <w:p>
      <w:pPr>
        <w:pStyle w:val="BodyText"/>
        <w:spacing w:line="300" w:lineRule="auto" w:before="19"/>
        <w:ind w:left="510" w:right="1124"/>
        <w:jc w:val="left"/>
      </w:pPr>
      <w:r>
        <w:rPr>
          <w:rFonts w:ascii="Times New Roman" w:hAnsi="Times New Roman" w:cs="Times New Roman" w:eastAsia="Times New Roman" w:hint="default"/>
        </w:rPr>
        <w:t>4</w:t>
      </w:r>
      <w:r>
        <w:rPr/>
        <w:t>、机构独立 </w:t>
      </w:r>
      <w:r>
        <w:rPr>
          <w:spacing w:val="-2"/>
        </w:rPr>
        <w:t>公司设立了健全的组织机构体系，独立运作，不存在与控股股东或其职能部门之间的从属关系。公司建立了适应自身经</w:t>
      </w:r>
    </w:p>
    <w:p>
      <w:pPr>
        <w:pStyle w:val="BodyText"/>
        <w:spacing w:line="316" w:lineRule="auto" w:before="31"/>
        <w:ind w:right="1133"/>
        <w:jc w:val="left"/>
      </w:pPr>
      <w:r>
        <w:rPr>
          <w:spacing w:val="-2"/>
        </w:rPr>
        <w:t>营发展需要的组织结构，按照《公司法》的要求，建立健全了股东大会、董事会、监事会和经营管理层的组织结构体系，各</w:t>
      </w:r>
      <w:r>
        <w:rPr>
          <w:spacing w:val="-73"/>
        </w:rPr>
        <w:t> </w:t>
      </w:r>
      <w:r>
        <w:rPr>
          <w:spacing w:val="-73"/>
        </w:rPr>
      </w:r>
      <w:r>
        <w:rPr/>
        <w:t>机构均独立运作。公司的生产经营和办公机构与控股股东完全独立，不存在混合经营、合署办公的情形。</w:t>
      </w:r>
    </w:p>
    <w:p>
      <w:pPr>
        <w:pStyle w:val="BodyText"/>
        <w:spacing w:line="340" w:lineRule="auto" w:before="19"/>
        <w:ind w:left="441" w:right="1133" w:firstLine="69"/>
        <w:jc w:val="left"/>
      </w:pPr>
      <w:r>
        <w:rPr>
          <w:rFonts w:ascii="Times New Roman" w:hAnsi="Times New Roman" w:cs="Times New Roman" w:eastAsia="Times New Roman" w:hint="default"/>
        </w:rPr>
        <w:t>5</w:t>
      </w:r>
      <w:r>
        <w:rPr/>
        <w:t>、财务独立 </w:t>
      </w:r>
      <w:r>
        <w:rPr>
          <w:spacing w:val="-1"/>
        </w:rPr>
        <w:t>本公司作为独立纳税人，依法独立纳税。公司建立了独立的财务核算体系，具有规范的、符合上市公司要求的财务会计</w:t>
      </w:r>
    </w:p>
    <w:p>
      <w:pPr>
        <w:pStyle w:val="BodyText"/>
        <w:spacing w:line="316" w:lineRule="auto" w:before="1"/>
        <w:ind w:right="1034"/>
        <w:jc w:val="left"/>
      </w:pPr>
      <w:r>
        <w:rPr>
          <w:spacing w:val="-2"/>
        </w:rPr>
        <w:t>制度和对分公司、子公司的财务管理制度；公司能独立作出财务决策，不存在控制人干预公司资金使用的情况，不存在以资</w:t>
      </w:r>
      <w:r>
        <w:rPr>
          <w:spacing w:val="-65"/>
        </w:rPr>
        <w:t> </w:t>
      </w:r>
      <w:r>
        <w:rPr>
          <w:spacing w:val="-65"/>
        </w:rPr>
      </w:r>
      <w:r>
        <w:rPr>
          <w:spacing w:val="-2"/>
        </w:rPr>
        <w:t>产、权益或信誉为股东提供债务担保的情况，也不存在资产被股东占用而损害公司利益的情况。本公司财务负责人、财务会</w:t>
      </w:r>
      <w:r>
        <w:rPr>
          <w:spacing w:val="-64"/>
        </w:rPr>
        <w:t> </w:t>
      </w:r>
      <w:r>
        <w:rPr>
          <w:spacing w:val="-64"/>
        </w:rPr>
      </w:r>
      <w:r>
        <w:rPr/>
        <w:t>计人员均系专职工作人员，不存在在控股股东及其控制的其他企业兼职的情况。本公司独立开立基本存款账户，独立纳税， 不存在与控股股东、实际控制人及其控制的其他企业共用银行账户的情形。</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日日刊登的：茂硕电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次临 时股东大会决议的 公告。巨潮资讯网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5" w:right="0"/>
              <w:jc w:val="center"/>
              <w:rPr>
                <w:rFonts w:ascii="Times New Roman" w:hAnsi="Times New Roman" w:cs="Times New Roman" w:eastAsia="Times New Roman" w:hint="default"/>
                <w:sz w:val="18"/>
                <w:szCs w:val="18"/>
              </w:rPr>
            </w:pPr>
            <w:r>
              <w:rPr>
                <w:rFonts w:ascii="Times New Roman"/>
                <w:sz w:val="18"/>
              </w:rPr>
              <w:t>34.88%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会决议的公告。巨潮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both"/>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2.57%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34.90%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日刊登的：茂硕</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34.89%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日刊登的：茂硕</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陈海权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034" w:firstLine="360"/>
        <w:jc w:val="left"/>
      </w:pPr>
      <w:r>
        <w:rPr/>
        <w:t>报告期内，公司独立董事严格按照《公司章程》、《独立董事工作制度》等的相关规定勤勉履行职责，忠实履行职务， </w:t>
      </w:r>
      <w:r>
        <w:rPr>
          <w:spacing w:val="-2"/>
        </w:rPr>
        <w:t>积极参加历次董事会，审议各项议案，对公司相关事项发表独立意见对公司的制度完善和经营发展决策等方面提出了许多宝</w:t>
      </w:r>
      <w:r>
        <w:rPr>
          <w:spacing w:val="-64"/>
        </w:rPr>
        <w:t> </w:t>
      </w:r>
      <w:r>
        <w:rPr>
          <w:spacing w:val="-64"/>
        </w:rPr>
      </w:r>
      <w:r>
        <w:rPr>
          <w:spacing w:val="-2"/>
        </w:rPr>
        <w:t>贵的专业性意见。通过出席董事会、股东大会、现场办公等方式，深入了解公司生产经营状况和内部控制的建设及董事会各</w:t>
      </w:r>
      <w:r>
        <w:rPr>
          <w:spacing w:val="-62"/>
        </w:rPr>
        <w:t> </w:t>
      </w:r>
      <w:r>
        <w:rPr>
          <w:spacing w:val="-62"/>
        </w:rPr>
      </w:r>
      <w:r>
        <w:rPr>
          <w:spacing w:val="-2"/>
        </w:rPr>
        <w:t>项决议执行情况，并利用自已的专业优势为公司经营和发展提出了合理化的意见和建议，对公司经营决策及保护中小投资者</w:t>
      </w:r>
      <w:r>
        <w:rPr>
          <w:spacing w:val="-64"/>
        </w:rPr>
        <w:t> </w:t>
      </w:r>
      <w:r>
        <w:rPr>
          <w:spacing w:val="-64"/>
        </w:rPr>
      </w:r>
      <w:r>
        <w:rPr/>
        <w:t>利益起到了发挥了积极作用。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0"/>
        <w:jc w:val="both"/>
      </w:pPr>
      <w:r>
        <w:rPr>
          <w:spacing w:val="-2"/>
        </w:rPr>
        <w:t>公司董事会下设四个专门委员会，分别为审计委员会、提名委员会、薪酬与考核委员会、战略委员会。各专门委员会职</w:t>
      </w:r>
      <w:r>
        <w:rPr/>
        <w:t> </w:t>
      </w:r>
      <w:r>
        <w:rPr>
          <w:spacing w:val="-2"/>
        </w:rPr>
        <w:t>责明确，依据公司董事会制定的各专门委员会工作制度履行职责，就专业性事项进行研究，提出意见及建议，为董事会决策</w:t>
      </w:r>
      <w:r>
        <w:rPr>
          <w:spacing w:val="-64"/>
        </w:rPr>
        <w:t> </w:t>
      </w:r>
      <w:r>
        <w:rPr>
          <w:spacing w:val="-64"/>
        </w:rPr>
      </w:r>
      <w:r>
        <w:rPr/>
        <w:t>提供参考，</w:t>
      </w:r>
      <w:r>
        <w:rPr>
          <w:rFonts w:ascii="Times New Roman" w:hAnsi="Times New Roman" w:cs="Times New Roman" w:eastAsia="Times New Roman" w:hint="default"/>
        </w:rPr>
        <w:t>2019</w:t>
      </w:r>
      <w:r>
        <w:rPr/>
        <w:t>年度各专门委员会履职情况如下：</w:t>
      </w:r>
    </w:p>
    <w:p>
      <w:pPr>
        <w:pStyle w:val="BodyText"/>
        <w:spacing w:line="316" w:lineRule="auto" w:before="0"/>
        <w:ind w:left="513" w:right="1133"/>
        <w:jc w:val="left"/>
      </w:pPr>
      <w:r>
        <w:rPr/>
        <w:t>（一）审计委员会 </w:t>
      </w:r>
      <w:r>
        <w:rPr>
          <w:spacing w:val="-2"/>
        </w:rPr>
        <w:t>公司审计委员会由三名董事组成，其中独立董事两名，并由会计专业的独立董事担任召集人。报告期内，公司董事会审</w:t>
      </w:r>
    </w:p>
    <w:p>
      <w:pPr>
        <w:pStyle w:val="BodyText"/>
        <w:spacing w:line="316" w:lineRule="auto" w:before="19"/>
        <w:ind w:right="1130"/>
        <w:jc w:val="both"/>
      </w:pPr>
      <w:r>
        <w:rPr>
          <w:spacing w:val="-2"/>
        </w:rPr>
        <w:t>计委员会根据《公司法》、《证券法》、《上市公司治理准则》、公司《董事会审计委员会工作制度》等有关规定，认真履</w:t>
      </w:r>
      <w:r>
        <w:rPr>
          <w:spacing w:val="-70"/>
        </w:rPr>
        <w:t> </w:t>
      </w:r>
      <w:r>
        <w:rPr>
          <w:spacing w:val="-70"/>
        </w:rPr>
      </w:r>
      <w:r>
        <w:rPr>
          <w:spacing w:val="-2"/>
        </w:rPr>
        <w:t>行职责，持续关注公司情况和重大事项进展，指导公司审计部在内部审计过程中应重点关注和检查的事项，督促公司内部控</w:t>
      </w:r>
      <w:r>
        <w:rPr>
          <w:spacing w:val="-63"/>
        </w:rPr>
        <w:t> </w:t>
      </w:r>
      <w:r>
        <w:rPr>
          <w:spacing w:val="-63"/>
        </w:rPr>
      </w:r>
      <w:r>
        <w:rPr>
          <w:spacing w:val="-2"/>
        </w:rPr>
        <w:t>制的有效执行。与公司聘任的审计机构积极沟通、加强联系，督促其提高审计效率，按计划进行审计工作，切实履行了审计</w:t>
      </w:r>
      <w:r>
        <w:rPr>
          <w:spacing w:val="-67"/>
        </w:rPr>
        <w:t> </w:t>
      </w:r>
      <w:r>
        <w:rPr>
          <w:spacing w:val="-67"/>
        </w:rPr>
      </w:r>
      <w:r>
        <w:rPr/>
        <w:t>委员会的职责。</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jc w:val="left"/>
      </w:pPr>
      <w:r>
        <w:rPr/>
        <w:t>（二）提名委员会 </w:t>
      </w:r>
      <w:r>
        <w:rPr>
          <w:spacing w:val="-2"/>
        </w:rPr>
        <w:t>提名委员会成员由三名董事组成，其中独立董事两名，</w:t>
      </w:r>
      <w:r>
        <w:rPr>
          <w:rFonts w:ascii="Times New Roman" w:hAnsi="Times New Roman" w:cs="Times New Roman" w:eastAsia="Times New Roman" w:hint="default"/>
          <w:spacing w:val="-2"/>
        </w:rPr>
        <w:t>2019</w:t>
      </w:r>
      <w:r>
        <w:rPr>
          <w:spacing w:val="-2"/>
        </w:rPr>
        <w:t>年度，公司提名委员会各委员积极履行职责，为公司第四届</w:t>
      </w:r>
    </w:p>
    <w:p>
      <w:pPr>
        <w:pStyle w:val="BodyText"/>
        <w:spacing w:line="233" w:lineRule="exact" w:before="0"/>
        <w:ind w:right="0"/>
        <w:jc w:val="both"/>
      </w:pPr>
      <w:r>
        <w:rPr/>
        <w:t>董事会的董事的聘任，提供了专业的建议和意见，协助公司顺利完成董事的任免工作。</w:t>
      </w:r>
    </w:p>
    <w:p>
      <w:pPr>
        <w:pStyle w:val="BodyText"/>
        <w:spacing w:line="316" w:lineRule="auto" w:before="76"/>
        <w:ind w:left="513" w:right="1124"/>
        <w:jc w:val="left"/>
      </w:pPr>
      <w:r>
        <w:rPr/>
        <w:t>（三）薪酬与考核委员会 </w:t>
      </w:r>
      <w:r>
        <w:rPr>
          <w:spacing w:val="-2"/>
        </w:rPr>
        <w:t>薪酬与考核委员会成员由三名董事组成，其中独立董事两名，</w:t>
      </w:r>
      <w:r>
        <w:rPr>
          <w:rFonts w:ascii="Times New Roman" w:hAnsi="Times New Roman" w:cs="Times New Roman" w:eastAsia="Times New Roman" w:hint="default"/>
          <w:spacing w:val="-2"/>
        </w:rPr>
        <w:t>2019</w:t>
      </w:r>
      <w:r>
        <w:rPr>
          <w:spacing w:val="-2"/>
        </w:rPr>
        <w:t>年度，各位委员认真履行其职责，对公司董事、监事</w:t>
      </w:r>
    </w:p>
    <w:p>
      <w:pPr>
        <w:pStyle w:val="BodyText"/>
        <w:spacing w:line="235" w:lineRule="exact" w:before="0"/>
        <w:ind w:right="0"/>
        <w:jc w:val="both"/>
      </w:pPr>
      <w:r>
        <w:rPr/>
        <w:t>和高级管理人员薪酬情况等事项进行了审议。</w:t>
      </w:r>
    </w:p>
    <w:p>
      <w:pPr>
        <w:pStyle w:val="BodyText"/>
        <w:spacing w:line="360" w:lineRule="auto" w:before="76"/>
        <w:ind w:left="441" w:right="1133" w:firstLine="72"/>
        <w:jc w:val="left"/>
      </w:pPr>
      <w:r>
        <w:rPr/>
        <w:t>（四）战略委员会 </w:t>
      </w:r>
      <w:r>
        <w:rPr>
          <w:spacing w:val="-1"/>
        </w:rPr>
        <w:t>战略委员会成员由三名董事组成，其中独立董事两名，公司董事会战略委员会按照相关法律法规及《公司章程》、公司</w:t>
      </w:r>
    </w:p>
    <w:p>
      <w:pPr>
        <w:pStyle w:val="BodyText"/>
        <w:spacing w:line="222" w:lineRule="exact" w:before="0"/>
        <w:ind w:right="0"/>
        <w:jc w:val="both"/>
      </w:pPr>
      <w:r>
        <w:rPr/>
        <w:t>《董事会战略委员会工作制度》等相关制度的规定，战略委员会各委员认真履行职责，利用自身的专业知识，积极探讨符合</w:t>
      </w:r>
    </w:p>
    <w:p>
      <w:pPr>
        <w:pStyle w:val="BodyText"/>
        <w:spacing w:line="316" w:lineRule="auto" w:before="76"/>
        <w:ind w:right="1124"/>
        <w:jc w:val="left"/>
      </w:pPr>
      <w:r>
        <w:rPr>
          <w:spacing w:val="-2"/>
        </w:rPr>
        <w:t>公司发展方向的战略布局，对公司的战略发展及业务扩展等方面提出宝贵建议，为公司实现快速、持续、健康的发展积极出</w:t>
      </w:r>
      <w:r>
        <w:rPr>
          <w:spacing w:val="-64"/>
        </w:rPr>
        <w:t> </w:t>
      </w:r>
      <w:r>
        <w:rPr>
          <w:spacing w:val="-64"/>
        </w:rPr>
      </w:r>
      <w:r>
        <w:rPr/>
        <w:t>谋划策。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68" w:lineRule="auto" w:before="0"/>
        <w:ind w:right="1133"/>
        <w:jc w:val="both"/>
      </w:pPr>
      <w:r>
        <w:rPr>
          <w:spacing w:val="-2"/>
        </w:rPr>
        <w:t>报告期内，公司高级管理人员能够严格按照《公司法》、《公司章程》及国家有关法律法规认真履行职责，积极落实公司股</w:t>
      </w:r>
      <w:r>
        <w:rPr>
          <w:spacing w:val="-69"/>
        </w:rPr>
        <w:t> </w:t>
      </w:r>
      <w:r>
        <w:rPr>
          <w:spacing w:val="-69"/>
        </w:rPr>
      </w:r>
      <w:r>
        <w:rPr/>
        <w:t>东大会和董事会会议相关决议，稳步推进</w:t>
      </w:r>
      <w:r>
        <w:rPr>
          <w:rFonts w:ascii="Times New Roman" w:hAnsi="Times New Roman" w:cs="Times New Roman" w:eastAsia="Times New Roman" w:hint="default"/>
        </w:rPr>
        <w:t>2019</w:t>
      </w:r>
      <w:r>
        <w:rPr/>
        <w:t>年度的各项工作</w:t>
      </w:r>
      <w:r>
        <w:rPr>
          <w:sz w:val="24"/>
          <w:szCs w:val="24"/>
        </w:rPr>
        <w:t>；</w:t>
      </w:r>
      <w:r>
        <w:rPr/>
        <w:t>公司建立了完善的绩效考核管理体系，公司按照高级管理</w:t>
      </w:r>
      <w:r>
        <w:rPr/>
        <w:t> 人员行政职务，依据行业薪酬水平及公司现行的薪酬与考核体系，结合公司整体经营业绩和个人业绩情况确定其薪酬。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2"/>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3"/>
        <w:gridCol w:w="6375"/>
      </w:tblGrid>
      <w:tr>
        <w:trPr>
          <w:trHeight w:val="40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vMerge w:val="restart"/>
            <w:tcBorders>
              <w:top w:val="single" w:sz="4" w:space="0" w:color="000000"/>
              <w:left w:val="single" w:sz="9" w:space="0" w:color="D2D2D2"/>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日刊登的：茂硕电源内部控制评价报告。巨潮资讯网</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vMerge/>
            <w:tcBorders>
              <w:left w:val="single" w:sz="9" w:space="0" w:color="D2D2D2"/>
              <w:bottom w:val="single" w:sz="4" w:space="0" w:color="000000"/>
              <w:right w:val="single" w:sz="4" w:space="0" w:color="000000"/>
            </w:tcBorders>
          </w:tcPr>
          <w:p>
            <w:pPr/>
          </w:p>
        </w:tc>
      </w:tr>
      <w:tr>
        <w:trPr>
          <w:trHeight w:val="715"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4.070007pt;margin-top:395.569977pt;width:149.7pt;height:31.2pt;mso-position-horizontal-relative:page;mso-position-vertical-relative:page;z-index:-1243024" coordorigin="7681,7911" coordsize="2994,624">
            <v:group style="position:absolute;left:7681;top:7911;width:2994;height:312" coordorigin="7681,7911" coordsize="2994,312">
              <v:shape style="position:absolute;left:7681;top:7911;width:2994;height:312" coordorigin="7681,7911" coordsize="2994,312" path="m7681,8223l10675,8223,10675,7911,7681,7911,7681,8223xe" filled="true" fillcolor="#ffffff" stroked="false">
                <v:path arrowok="t"/>
                <v:fill type="solid"/>
              </v:shape>
            </v:group>
            <v:group style="position:absolute;left:7681;top:8223;width:2994;height:312" coordorigin="7681,8223" coordsize="2994,312">
              <v:shape style="position:absolute;left:7681;top:8223;width:2994;height:312" coordorigin="7681,8223" coordsize="2994,312" path="m7681,8535l10675,8535,10675,8223,7681,8223,7681,8535xe" filled="true" fillcolor="#ffffff" stroked="false">
                <v:path arrowok="t"/>
                <v:fill type="solid"/>
              </v:shape>
            </v:group>
            <w10:wrap type="none"/>
          </v:group>
        </w:pict>
      </w:r>
      <w:r>
        <w:rPr/>
        <w:pict>
          <v:group style="position:absolute;margin-left:384.070007pt;margin-top:504.789978pt;width:149.7pt;height:31.2pt;mso-position-horizontal-relative:page;mso-position-vertical-relative:page;z-index:-1243000" coordorigin="7681,10096" coordsize="2994,624">
            <v:group style="position:absolute;left:7681;top:10096;width:2994;height:312" coordorigin="7681,10096" coordsize="2994,312">
              <v:shape style="position:absolute;left:7681;top:10096;width:2994;height:312" coordorigin="7681,10096" coordsize="2994,312" path="m7681,10408l10675,10408,10675,10096,7681,10096,7681,10408xe" filled="true" fillcolor="#ffffff" stroked="false">
                <v:path arrowok="t"/>
                <v:fill type="solid"/>
              </v:shape>
            </v:group>
            <v:group style="position:absolute;left:7681;top:10408;width:2994;height:312" coordorigin="7681,10408" coordsize="2994,312">
              <v:shape style="position:absolute;left:7681;top:10408;width:2994;height:312" coordorigin="7681,10408" coordsize="2994,312" path="m7681,10720l10675,10720,10675,10408,7681,10408,7681,107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3"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297" w:lineRule="auto" w:before="51"/>
              <w:ind w:left="18" w:right="43"/>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3"/>
                <w:sz w:val="18"/>
                <w:szCs w:val="18"/>
              </w:rPr>
              <w:t> </w:t>
            </w:r>
            <w:r>
              <w:rPr>
                <w:rFonts w:ascii="宋体" w:hAnsi="宋体" w:cs="宋体" w:eastAsia="宋体" w:hint="default"/>
                <w:sz w:val="18"/>
                <w:szCs w:val="18"/>
              </w:rPr>
              <w:t>董事、监事和高级管理人员的舞弊行为；</w:t>
            </w:r>
          </w:p>
          <w:p>
            <w:pPr>
              <w:pStyle w:val="TableParagraph"/>
              <w:spacing w:line="314" w:lineRule="auto" w:before="33"/>
              <w:ind w:left="18" w:right="41"/>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7"/>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3"/>
                <w:sz w:val="18"/>
                <w:szCs w:val="18"/>
              </w:rPr>
              <w:t> </w:t>
            </w:r>
            <w:r>
              <w:rPr>
                <w:rFonts w:ascii="宋体" w:hAnsi="宋体" w:cs="宋体" w:eastAsia="宋体" w:hint="default"/>
                <w:sz w:val="18"/>
                <w:szCs w:val="18"/>
              </w:rPr>
              <w:t>委员会和审计部门对公司的对外财务报告 和财务报告内部控制监督无效。财务报告 重要缺陷的迹象包括：①未依照公认会计 准则选择和应用会计政策；②未建立反舞 弊程序和控制措施；③对于非常规或特殊 交易的账务处理没有建立相应的控制机制 或没有实施且没有相应的补偿性控制；④ 对于期末财务报告过程的控制存在一项或 多项缺陷且不能合理保证编制的财务报表 达到真实、完整的目标。一般缺陷是指除 上述重大缺陷、重要缺陷之外的其他控制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501"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501"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14"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18" w:right="-4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，则认定为一般缺陷；如果超过营业 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 如果超过营业收入的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，则认定为重大缺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w:t>
            </w:r>
            <w:r>
              <w:rPr>
                <w:rFonts w:ascii="宋体" w:hAnsi="宋体" w:cs="宋体" w:eastAsia="宋体" w:hint="default"/>
                <w:spacing w:val="-63"/>
                <w:sz w:val="18"/>
                <w:szCs w:val="18"/>
              </w:rPr>
              <w:t> </w:t>
            </w:r>
            <w:r>
              <w:rPr>
                <w:rFonts w:ascii="宋体" w:hAnsi="宋体" w:cs="宋体" w:eastAsia="宋体" w:hint="default"/>
                <w:sz w:val="18"/>
                <w:szCs w:val="18"/>
              </w:rPr>
              <w:t>内部控制缺陷可能导致或导致的损失</w:t>
            </w:r>
            <w:r>
              <w:rPr>
                <w:rFonts w:ascii="宋体" w:hAnsi="宋体" w:cs="宋体" w:eastAsia="宋体" w:hint="default"/>
                <w:sz w:val="18"/>
                <w:szCs w:val="18"/>
              </w:rPr>
              <w:t> </w:t>
            </w:r>
            <w:r>
              <w:rPr>
                <w:rFonts w:ascii="宋体" w:hAnsi="宋体" w:cs="宋体" w:eastAsia="宋体" w:hint="default"/>
                <w:spacing w:val="-4"/>
                <w:sz w:val="18"/>
                <w:szCs w:val="18"/>
              </w:rPr>
              <w:t>与资产管理相关的，以资产总额指标衡量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如果该缺陷单独或连同其他缺陷可能导致 的财务报告错报金额小于资产总额的 </w:t>
            </w:r>
            <w:r>
              <w:rPr>
                <w:rFonts w:ascii="Times New Roman" w:hAnsi="Times New Roman" w:cs="Times New Roman" w:eastAsia="Times New Roman" w:hint="default"/>
                <w:spacing w:val="-4"/>
                <w:sz w:val="18"/>
                <w:szCs w:val="18"/>
              </w:rPr>
              <w:t>0.25%</w:t>
            </w:r>
            <w:r>
              <w:rPr>
                <w:rFonts w:ascii="宋体" w:hAnsi="宋体" w:cs="宋体" w:eastAsia="宋体" w:hint="default"/>
                <w:spacing w:val="-4"/>
                <w:sz w:val="18"/>
                <w:szCs w:val="18"/>
              </w:rPr>
              <w:t>，则认定为一般缺陷；如果超过资产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认定为重要缺 </w:t>
            </w:r>
            <w:r>
              <w:rPr>
                <w:rFonts w:ascii="宋体" w:hAnsi="宋体" w:cs="宋体" w:eastAsia="宋体" w:hint="default"/>
                <w:spacing w:val="-4"/>
                <w:sz w:val="18"/>
                <w:szCs w:val="18"/>
              </w:rPr>
              <w:t>陷；如果超过资产总额</w:t>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，则认定为重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大缺陷。</w:t>
            </w:r>
          </w:p>
        </w:tc>
        <w:tc>
          <w:tcPr>
            <w:tcW w:w="3053" w:type="dxa"/>
            <w:vMerge w:val="restart"/>
            <w:tcBorders>
              <w:top w:val="single" w:sz="4" w:space="0" w:color="000000"/>
              <w:left w:val="single" w:sz="14" w:space="0" w:color="FFFFFF"/>
              <w:right w:val="single" w:sz="4" w:space="0" w:color="000000"/>
            </w:tcBorders>
          </w:tcPr>
          <w:p>
            <w:pPr>
              <w:pStyle w:val="TableParagraph"/>
              <w:spacing w:line="312" w:lineRule="exact" w:before="9"/>
              <w:ind w:left="13" w:right="20"/>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p>
          <w:p>
            <w:pPr>
              <w:pStyle w:val="TableParagraph"/>
              <w:spacing w:line="7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04" w:lineRule="auto" w:before="76"/>
              <w:ind w:left="13" w:right="29"/>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 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认定为重要缺陷；如果超过营业收 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r>
              <w:rPr>
                <w:rFonts w:ascii="宋体" w:hAnsi="宋体" w:cs="宋体" w:eastAsia="宋体" w:hint="default"/>
                <w:spacing w:val="1"/>
                <w:sz w:val="18"/>
                <w:szCs w:val="18"/>
              </w:rPr>
              <w:t> </w:t>
            </w:r>
            <w:r>
              <w:rPr>
                <w:rFonts w:ascii="宋体" w:hAnsi="宋体" w:cs="宋体" w:eastAsia="宋体" w:hint="default"/>
                <w:sz w:val="18"/>
                <w:szCs w:val="18"/>
              </w:rPr>
              <w:t>内部</w:t>
            </w:r>
          </w:p>
          <w:p>
            <w:pPr>
              <w:pStyle w:val="TableParagraph"/>
              <w:spacing w:line="196" w:lineRule="exact" w:before="9"/>
              <w:ind w:left="13" w:right="0"/>
              <w:jc w:val="left"/>
              <w:rPr>
                <w:rFonts w:ascii="宋体" w:hAnsi="宋体" w:cs="宋体" w:eastAsia="宋体" w:hint="default"/>
                <w:sz w:val="18"/>
                <w:szCs w:val="18"/>
              </w:rPr>
            </w:pPr>
            <w:r>
              <w:rPr>
                <w:rFonts w:ascii="宋体" w:hAnsi="宋体" w:cs="宋体" w:eastAsia="宋体" w:hint="default"/>
                <w:sz w:val="18"/>
                <w:szCs w:val="18"/>
              </w:rPr>
              <w:t>控制缺陷可能导致或导致的损失与资</w:t>
            </w:r>
          </w:p>
          <w:p>
            <w:pPr>
              <w:pStyle w:val="TableParagraph"/>
              <w:spacing w:line="156"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43"/>
              <w:jc w:val="left"/>
              <w:rPr>
                <w:rFonts w:ascii="宋体" w:hAnsi="宋体" w:cs="宋体" w:eastAsia="宋体" w:hint="default"/>
                <w:sz w:val="18"/>
                <w:szCs w:val="18"/>
              </w:rPr>
            </w:pPr>
            <w:r>
              <w:rPr>
                <w:rFonts w:ascii="宋体" w:hAnsi="宋体" w:cs="宋体" w:eastAsia="宋体" w:hint="default"/>
                <w:sz w:val="18"/>
                <w:szCs w:val="18"/>
              </w:rPr>
              <w:t>产管理相关的，以资产总额指标衡量。</w:t>
            </w:r>
          </w:p>
          <w:p>
            <w:pPr>
              <w:pStyle w:val="TableParagraph"/>
              <w:spacing w:line="312" w:lineRule="auto" w:before="76"/>
              <w:ind w:left="13" w:right="2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 导致的财务报告错报金额小于资产总 额的</w:t>
            </w:r>
            <w:r>
              <w:rPr>
                <w:rFonts w:ascii="宋体" w:hAnsi="宋体" w:cs="宋体" w:eastAsia="宋体" w:hint="default"/>
                <w:spacing w:val="3"/>
                <w:sz w:val="18"/>
                <w:szCs w:val="18"/>
              </w:rPr>
              <w:t> </w:t>
            </w:r>
            <w:r>
              <w:rPr>
                <w:rFonts w:ascii="Times New Roman" w:hAnsi="Times New Roman" w:cs="Times New Roman" w:eastAsia="Times New Roman" w:hint="default"/>
                <w:spacing w:val="-5"/>
                <w:sz w:val="18"/>
                <w:szCs w:val="18"/>
              </w:rPr>
              <w:t>0.25%</w:t>
            </w:r>
            <w:r>
              <w:rPr>
                <w:rFonts w:ascii="宋体" w:hAnsi="宋体" w:cs="宋体" w:eastAsia="宋体" w:hint="default"/>
                <w:spacing w:val="-5"/>
                <w:sz w:val="18"/>
                <w:szCs w:val="18"/>
              </w:rPr>
              <w:t>，则认定为一般缺陷；如果</w:t>
            </w:r>
            <w:r>
              <w:rPr>
                <w:rFonts w:ascii="宋体" w:hAnsi="宋体" w:cs="宋体" w:eastAsia="宋体" w:hint="default"/>
                <w:sz w:val="18"/>
                <w:szCs w:val="18"/>
              </w:rPr>
              <w:t> 超过资产总额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认定为重要缺陷；如果超过资产总额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，则认定为重大缺陷。</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14" w:space="0" w:color="FFFFFF"/>
            </w:tcBorders>
          </w:tcPr>
          <w:p>
            <w:pPr/>
          </w:p>
        </w:tc>
        <w:tc>
          <w:tcPr>
            <w:tcW w:w="3053" w:type="dxa"/>
            <w:vMerge/>
            <w:tcBorders>
              <w:left w:val="single" w:sz="14" w:space="0" w:color="FFFFFF"/>
              <w:right w:val="single" w:sz="4" w:space="0" w:color="000000"/>
            </w:tcBorders>
          </w:tcPr>
          <w:p>
            <w:pPr/>
          </w:p>
        </w:tc>
      </w:tr>
      <w:tr>
        <w:trPr>
          <w:trHeight w:val="2501"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14" w:space="0" w:color="FFFFFF"/>
            </w:tcBorders>
          </w:tcPr>
          <w:p>
            <w:pPr/>
          </w:p>
        </w:tc>
        <w:tc>
          <w:tcPr>
            <w:tcW w:w="3053" w:type="dxa"/>
            <w:vMerge/>
            <w:tcBorders>
              <w:left w:val="single" w:sz="14" w:space="0" w:color="FFFFFF"/>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
              <w:jc w:val="left"/>
              <w:rPr>
                <w:rFonts w:ascii="宋体" w:hAnsi="宋体" w:cs="宋体" w:eastAsia="宋体" w:hint="default"/>
                <w:sz w:val="18"/>
                <w:szCs w:val="18"/>
              </w:rPr>
            </w:pPr>
            <w:r>
              <w:rPr>
                <w:rFonts w:ascii="宋体" w:hAnsi="宋体" w:cs="宋体" w:eastAsia="宋体" w:hint="default"/>
                <w:sz w:val="18"/>
                <w:szCs w:val="18"/>
              </w:rPr>
              <w:t>基于作为我们为了对上述财务报表整体发表审计意见之目的而实施的审计程序的一部分而对该说明中所述的与茂硕电源 公司上述财务报表编制相关的内部控制的研究和评价，我们未发现茂硕电源公司编写的《关于内部控制有关事项的说明》 中所述的与财务报表编制相关的内部控制的相关情况与我们对茂硕电源公司就上述财务报表的审计存在重大的不一致。</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日刊登的：茂硕电源内部控制鉴证报告。巨潮资讯网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4"/>
      <w:bookmarkEnd w:id="154"/>
      <w:r>
        <w:rPr>
          <w:b w:val="0"/>
          <w:bCs w:val="0"/>
        </w:rPr>
      </w:r>
      <w:bookmarkStart w:name="_bookmark10" w:id="155"/>
      <w:bookmarkEnd w:id="155"/>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56"/>
      <w:bookmarkEnd w:id="156"/>
      <w:r>
        <w:rPr>
          <w:b w:val="0"/>
          <w:bCs w:val="0"/>
        </w:rPr>
      </w:r>
      <w:bookmarkStart w:name="_bookmark11" w:id="157"/>
      <w:bookmarkEnd w:id="157"/>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[2020]007160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王建华</w:t>
            </w:r>
            <w:r>
              <w:rPr>
                <w:rFonts w:ascii="宋体" w:hAnsi="宋体" w:cs="宋体" w:eastAsia="宋体" w:hint="default"/>
                <w:spacing w:val="1"/>
                <w:sz w:val="18"/>
                <w:szCs w:val="18"/>
              </w:rPr>
              <w:t> </w:t>
            </w:r>
            <w:r>
              <w:rPr>
                <w:rFonts w:ascii="宋体" w:hAnsi="宋体" w:cs="宋体" w:eastAsia="宋体" w:hint="default"/>
                <w:sz w:val="18"/>
                <w:szCs w:val="18"/>
              </w:rPr>
              <w:t>刘国军</w:t>
            </w:r>
          </w:p>
        </w:tc>
      </w:tr>
    </w:tbl>
    <w:p>
      <w:pPr>
        <w:pStyle w:val="BodyText"/>
        <w:spacing w:line="240" w:lineRule="auto" w:before="49"/>
        <w:ind w:right="1130"/>
        <w:jc w:val="center"/>
      </w:pPr>
      <w:r>
        <w:rPr/>
        <w:t>审计报告正文</w:t>
      </w:r>
    </w:p>
    <w:p>
      <w:pPr>
        <w:pStyle w:val="Heading5"/>
        <w:spacing w:line="240" w:lineRule="auto" w:before="115"/>
        <w:ind w:left="0" w:right="1131"/>
        <w:jc w:val="right"/>
        <w:rPr>
          <w:b w:val="0"/>
          <w:bCs w:val="0"/>
        </w:rPr>
      </w:pPr>
      <w:r>
        <w:rPr>
          <w:spacing w:val="-1"/>
        </w:rPr>
        <w:t>大华审字</w:t>
      </w:r>
      <w:r>
        <w:rPr>
          <w:rFonts w:ascii="Times New Roman" w:hAnsi="Times New Roman" w:cs="Times New Roman" w:eastAsia="Times New Roman" w:hint="default"/>
          <w:spacing w:val="-1"/>
        </w:rPr>
        <w:t>[2020]007160</w:t>
      </w:r>
      <w:r>
        <w:rPr>
          <w:spacing w:val="-1"/>
        </w:rPr>
        <w:t>号</w:t>
      </w:r>
      <w:r>
        <w:rPr>
          <w:b w:val="0"/>
          <w:bCs w:val="0"/>
          <w:spacing w:val="-1"/>
        </w:rPr>
      </w:r>
    </w:p>
    <w:p>
      <w:pPr>
        <w:spacing w:line="240" w:lineRule="auto" w:before="3"/>
        <w:rPr>
          <w:rFonts w:ascii="宋体" w:hAnsi="宋体" w:cs="宋体" w:eastAsia="宋体" w:hint="default"/>
          <w:b/>
          <w:bCs/>
          <w:sz w:val="25"/>
          <w:szCs w:val="25"/>
        </w:rPr>
      </w:pPr>
    </w:p>
    <w:p>
      <w:pPr>
        <w:pStyle w:val="Heading5"/>
        <w:spacing w:line="316" w:lineRule="auto"/>
        <w:ind w:left="460" w:right="7682" w:hanging="308"/>
        <w:jc w:val="left"/>
        <w:rPr>
          <w:b w:val="0"/>
          <w:bCs w:val="0"/>
        </w:rPr>
      </w:pPr>
      <w:r>
        <w:rPr/>
        <w:t>茂硕电源科技股份有限公司全体股东：</w:t>
      </w:r>
      <w:r>
        <w:rPr>
          <w:w w:val="99"/>
        </w:rPr>
        <w:t> </w:t>
      </w:r>
      <w:r>
        <w:rPr/>
        <w:t>一</w:t>
      </w:r>
      <w:r>
        <w:rPr>
          <w:rFonts w:ascii="Times New Roman" w:hAnsi="Times New Roman" w:cs="Times New Roman" w:eastAsia="Times New Roman" w:hint="default"/>
        </w:rPr>
        <w:t>.</w:t>
      </w:r>
      <w:r>
        <w:rPr/>
        <w:t>审计意见</w:t>
      </w:r>
      <w:r>
        <w:rPr>
          <w:b w:val="0"/>
          <w:bCs w:val="0"/>
        </w:rPr>
      </w:r>
    </w:p>
    <w:p>
      <w:pPr>
        <w:pStyle w:val="BodyText"/>
        <w:spacing w:line="300" w:lineRule="auto" w:before="0"/>
        <w:ind w:right="1133" w:firstLine="360"/>
        <w:jc w:val="both"/>
      </w:pPr>
      <w:r>
        <w:rPr>
          <w:spacing w:val="2"/>
        </w:rPr>
        <w:t>我们审计了茂硕电源科技股份有限公司</w:t>
      </w:r>
      <w:r>
        <w:rPr>
          <w:rFonts w:ascii="Times New Roman" w:hAnsi="Times New Roman" w:cs="Times New Roman" w:eastAsia="Times New Roman" w:hint="default"/>
          <w:spacing w:val="2"/>
        </w:rPr>
        <w:t>(</w:t>
      </w:r>
      <w:r>
        <w:rPr>
          <w:spacing w:val="2"/>
        </w:rPr>
        <w:t>以下简称茂硕电源</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pStyle w:val="BodyText"/>
        <w:spacing w:line="300" w:lineRule="auto" w:before="13"/>
        <w:ind w:right="1128" w:firstLine="360"/>
        <w:jc w:val="both"/>
      </w:pPr>
      <w:r>
        <w:rPr>
          <w:spacing w:val="-2"/>
        </w:rPr>
        <w:t>我们认为，后附的财务报表在所有重大方面按照企业会计准则的规定编制，公允反映了茂硕电源</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00" w:lineRule="auto" w:before="13"/>
        <w:ind w:left="513" w:right="1133" w:hanging="53"/>
        <w:jc w:val="left"/>
      </w:pPr>
      <w:r>
        <w:rPr>
          <w:rFonts w:ascii="宋体" w:hAnsi="宋体" w:cs="宋体" w:eastAsia="宋体" w:hint="default"/>
          <w:b/>
          <w:bCs/>
        </w:rPr>
        <w:t>二</w:t>
      </w:r>
      <w:r>
        <w:rPr>
          <w:rFonts w:ascii="Times New Roman" w:hAnsi="Times New Roman" w:cs="Times New Roman" w:eastAsia="Times New Roman" w:hint="default"/>
          <w:b/>
          <w:bCs/>
        </w:rPr>
        <w:t>.</w:t>
      </w:r>
      <w:r>
        <w:rPr>
          <w:rFonts w:ascii="宋体" w:hAnsi="宋体" w:cs="宋体" w:eastAsia="宋体" w:hint="default"/>
          <w:b/>
          <w:bCs/>
        </w:rPr>
        <w:t>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13"/>
        <w:ind w:right="1124"/>
        <w:jc w:val="left"/>
      </w:pPr>
      <w:r>
        <w:rPr>
          <w:spacing w:val="-2"/>
        </w:rPr>
        <w:t>阐述了我们在这些准则下的责任。按照中国注册会计师职业道德守则，我们独立于茂硕电源，并履行了职业道德方面的其他</w:t>
      </w:r>
      <w:r>
        <w:rPr>
          <w:spacing w:val="-62"/>
        </w:rPr>
        <w:t> </w:t>
      </w:r>
      <w:r>
        <w:rPr>
          <w:spacing w:val="-62"/>
        </w:rPr>
      </w:r>
      <w:r>
        <w:rPr/>
        <w:t>责任。我们相信，我们获取的审计证据是充分、适当的，为发表审计意见提供了基础。</w:t>
      </w:r>
    </w:p>
    <w:p>
      <w:pPr>
        <w:pStyle w:val="BodyText"/>
        <w:spacing w:line="300" w:lineRule="auto" w:before="19"/>
        <w:ind w:left="513" w:right="1124" w:hanging="53"/>
        <w:jc w:val="left"/>
      </w:pP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31"/>
        <w:ind w:left="441" w:right="4024" w:hanging="289"/>
        <w:jc w:val="left"/>
      </w:pPr>
      <w:r>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应收账款的可回收性</w:t>
      </w:r>
    </w:p>
    <w:p>
      <w:pPr>
        <w:pStyle w:val="BodyText"/>
        <w:spacing w:line="300" w:lineRule="auto" w:before="0"/>
        <w:ind w:left="441" w:right="8414"/>
        <w:jc w:val="left"/>
      </w:pPr>
      <w:r>
        <w:rPr>
          <w:rFonts w:ascii="Times New Roman" w:hAnsi="Times New Roman" w:cs="Times New Roman" w:eastAsia="Times New Roman" w:hint="default"/>
        </w:rPr>
        <w:t>2.</w:t>
      </w:r>
      <w:r>
        <w:rPr/>
        <w:t>存货跌价准备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应收账款的可回收性 </w:t>
      </w:r>
      <w:r>
        <w:rPr>
          <w:rFonts w:ascii="Times New Roman" w:hAnsi="Times New Roman" w:cs="Times New Roman" w:eastAsia="Times New Roman" w:hint="default"/>
        </w:rPr>
        <w:t>1.</w:t>
      </w:r>
      <w:r>
        <w:rPr/>
        <w:t>事项描述</w:t>
      </w:r>
    </w:p>
    <w:p>
      <w:pPr>
        <w:pStyle w:val="BodyText"/>
        <w:spacing w:line="240" w:lineRule="auto" w:before="13"/>
        <w:ind w:left="513" w:right="1133"/>
        <w:jc w:val="left"/>
      </w:pPr>
      <w:r>
        <w:rPr>
          <w:spacing w:val="2"/>
        </w:rPr>
        <w:t>如茂硕电源合并财务报本报告第十二节、七、</w:t>
      </w:r>
      <w:r>
        <w:rPr>
          <w:rFonts w:ascii="Times New Roman" w:hAnsi="Times New Roman" w:cs="Times New Roman" w:eastAsia="Times New Roman" w:hint="default"/>
          <w:spacing w:val="2"/>
        </w:rPr>
        <w:t>5</w:t>
      </w:r>
      <w:r>
        <w:rPr>
          <w:spacing w:val="2"/>
        </w:rPr>
        <w:t>、应收账款所示，截至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日，茂硕电源应收账款账面余额</w:t>
      </w:r>
    </w:p>
    <w:p>
      <w:pPr>
        <w:pStyle w:val="BodyText"/>
        <w:spacing w:line="300" w:lineRule="auto" w:before="63"/>
        <w:ind w:left="513" w:right="1124" w:hanging="361"/>
        <w:jc w:val="left"/>
      </w:pPr>
      <w:r>
        <w:rPr>
          <w:rFonts w:ascii="Times New Roman" w:hAnsi="Times New Roman" w:cs="Times New Roman" w:eastAsia="Times New Roman" w:hint="default"/>
        </w:rPr>
        <w:t>55,813.61</w:t>
      </w:r>
      <w:r>
        <w:rPr/>
        <w:t>万元，应收账款坏账准备</w:t>
      </w:r>
      <w:r>
        <w:rPr>
          <w:rFonts w:ascii="Times New Roman" w:hAnsi="Times New Roman" w:cs="Times New Roman" w:eastAsia="Times New Roman" w:hint="default"/>
        </w:rPr>
        <w:t>9,522.69</w:t>
      </w:r>
      <w:r>
        <w:rPr/>
        <w:t>万元，账面价值</w:t>
      </w:r>
      <w:r>
        <w:rPr>
          <w:rFonts w:ascii="Times New Roman" w:hAnsi="Times New Roman" w:cs="Times New Roman" w:eastAsia="Times New Roman" w:hint="default"/>
        </w:rPr>
        <w:t>46,290.92</w:t>
      </w:r>
      <w:r>
        <w:rPr/>
        <w:t>万元，占资产总额的</w:t>
      </w:r>
      <w:r>
        <w:rPr>
          <w:rFonts w:ascii="Times New Roman" w:hAnsi="Times New Roman" w:cs="Times New Roman" w:eastAsia="Times New Roman" w:hint="default"/>
        </w:rPr>
        <w:t>28.34%</w:t>
      </w:r>
      <w:r>
        <w:rPr/>
        <w:t>。 </w:t>
      </w:r>
      <w:r>
        <w:rPr>
          <w:spacing w:val="-2"/>
        </w:rPr>
        <w:t>管理层定期对重大客户进行单独的信用风险评估，该等评估重点关注客户的历史结算记录及当前支付能力，并考虑客户</w:t>
      </w:r>
    </w:p>
    <w:p>
      <w:pPr>
        <w:pStyle w:val="BodyText"/>
        <w:spacing w:line="316" w:lineRule="auto" w:before="31"/>
        <w:ind w:right="1124"/>
        <w:jc w:val="left"/>
      </w:pPr>
      <w:r>
        <w:rPr>
          <w:spacing w:val="-2"/>
        </w:rPr>
        <w:t>自身及其所处行业的经济环境的特定信息。对于无须进行单独评估或单独评估未发生减值的应收账款，管理层在考虑该等客</w:t>
      </w:r>
      <w:r>
        <w:rPr>
          <w:spacing w:val="-64"/>
        </w:rPr>
        <w:t> </w:t>
      </w:r>
      <w:r>
        <w:rPr>
          <w:spacing w:val="-64"/>
        </w:rPr>
      </w:r>
      <w:r>
        <w:rPr/>
        <w:t>户组账龄分析及发生减值损失的历史记录基础上按风险组合进行价值评估。</w:t>
      </w:r>
    </w:p>
    <w:p>
      <w:pPr>
        <w:pStyle w:val="BodyText"/>
        <w:spacing w:line="316" w:lineRule="auto" w:before="19"/>
        <w:ind w:right="1131" w:firstLine="360"/>
        <w:jc w:val="both"/>
      </w:pPr>
      <w:r>
        <w:rPr>
          <w:spacing w:val="-2"/>
        </w:rPr>
        <w:t>由于应收账款可回收性的确定需要管理层识别已发生减值的项目和客观证据、评估预期未来可获取的现金流量并确定其</w:t>
      </w:r>
      <w:r>
        <w:rPr/>
        <w:t> </w:t>
      </w:r>
      <w:r>
        <w:rPr>
          <w:spacing w:val="-2"/>
        </w:rPr>
        <w:t>现值，涉及管理层运用重大会计估计和判断，且应收账款的可回收性对于财务报表具有重要影响，因此，我们将应收账款的</w:t>
      </w:r>
      <w:r>
        <w:rPr>
          <w:spacing w:val="-64"/>
        </w:rPr>
        <w:t> </w:t>
      </w:r>
      <w:r>
        <w:rPr>
          <w:spacing w:val="-64"/>
        </w:rPr>
      </w:r>
      <w:r>
        <w:rPr/>
        <w:t>可回收性认定为关键审计事项。</w:t>
      </w:r>
    </w:p>
    <w:p>
      <w:pPr>
        <w:pStyle w:val="BodyText"/>
        <w:spacing w:line="300" w:lineRule="auto" w:before="19"/>
        <w:ind w:left="513" w:right="5533" w:hanging="72"/>
        <w:jc w:val="left"/>
      </w:pPr>
      <w:r>
        <w:rPr>
          <w:rFonts w:ascii="Times New Roman" w:hAnsi="Times New Roman" w:cs="Times New Roman" w:eastAsia="Times New Roman" w:hint="default"/>
        </w:rPr>
        <w:t>2.</w:t>
      </w:r>
      <w:r>
        <w:rPr/>
        <w:t>审计应对 我们针对应收账款的可收回性认定执行的重要审计程序包括：</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513" w:right="1133"/>
        <w:jc w:val="left"/>
      </w:pPr>
      <w:r>
        <w:rPr/>
        <w:t>（</w:t>
      </w:r>
      <w:r>
        <w:rPr>
          <w:rFonts w:ascii="Times New Roman" w:hAnsi="Times New Roman" w:cs="Times New Roman" w:eastAsia="Times New Roman" w:hint="default"/>
        </w:rPr>
        <w:t>1</w:t>
      </w:r>
      <w:r>
        <w:rPr/>
        <w:t>）对与应收账款日常管理及可回收性评估相关的内部控制的设计及运行有效性进行了解、评估及测试；</w:t>
      </w:r>
    </w:p>
    <w:p>
      <w:pPr>
        <w:pStyle w:val="BodyText"/>
        <w:spacing w:line="309" w:lineRule="auto" w:before="63"/>
        <w:ind w:right="1132" w:firstLine="360"/>
        <w:jc w:val="both"/>
      </w:pPr>
      <w:r>
        <w:rPr/>
        <w:t>（</w:t>
      </w:r>
      <w:r>
        <w:rPr>
          <w:rFonts w:ascii="Times New Roman" w:hAnsi="Times New Roman" w:cs="Times New Roman" w:eastAsia="Times New Roman" w:hint="default"/>
        </w:rPr>
        <w:t>2</w:t>
      </w:r>
      <w:r>
        <w:rPr/>
        <w:t>）分析应收账款坏账准备会计估计的合理性，包括确定应收账款组合的依据、金额重大的判断、单独计提坏账准备 </w:t>
      </w:r>
      <w:r>
        <w:rPr>
          <w:spacing w:val="-2"/>
        </w:rPr>
        <w:t>的判断等；并对单项金额重大并单独计提坏账准备的应收账款，获取资料并复核管理层对预计未来可获得的现金流量做出评</w:t>
      </w:r>
      <w:r>
        <w:rPr>
          <w:spacing w:val="-63"/>
        </w:rPr>
        <w:t> </w:t>
      </w:r>
      <w:r>
        <w:rPr>
          <w:spacing w:val="-63"/>
        </w:rPr>
      </w:r>
      <w:r>
        <w:rPr/>
        <w:t>估的依据；</w:t>
      </w:r>
    </w:p>
    <w:p>
      <w:pPr>
        <w:pStyle w:val="BodyText"/>
        <w:spacing w:line="309" w:lineRule="auto" w:before="24"/>
        <w:ind w:right="1131" w:firstLine="360"/>
        <w:jc w:val="both"/>
      </w:pPr>
      <w:r>
        <w:rPr/>
        <w:t>（</w:t>
      </w:r>
      <w:r>
        <w:rPr>
          <w:rFonts w:ascii="Times New Roman" w:hAnsi="Times New Roman" w:cs="Times New Roman" w:eastAsia="Times New Roman" w:hint="default"/>
        </w:rPr>
        <w:t>3</w:t>
      </w:r>
      <w:r>
        <w:rPr/>
        <w:t>）分析应收账款的账龄及对应客户信誉情况，并执行应收账款函证程序及检查期后回款情况，特别关注账龄在一年 </w:t>
      </w:r>
      <w:r>
        <w:rPr>
          <w:spacing w:val="-2"/>
        </w:rPr>
        <w:t>以上且金额重大的应收账款和已发起诉讼的应收账款，对客户背景、经营状况、诉讼情况等进行调查，实施函证及期后回款</w:t>
      </w:r>
      <w:r>
        <w:rPr>
          <w:spacing w:val="-64"/>
        </w:rPr>
        <w:t> </w:t>
      </w:r>
      <w:r>
        <w:rPr>
          <w:spacing w:val="-64"/>
        </w:rPr>
      </w:r>
      <w:r>
        <w:rPr/>
        <w:t>检查程序，评价应收账款坏账准备计提的合理性和充分性；</w:t>
      </w:r>
    </w:p>
    <w:p>
      <w:pPr>
        <w:pStyle w:val="BodyText"/>
        <w:spacing w:line="240" w:lineRule="auto" w:before="24"/>
        <w:ind w:left="513" w:right="1133"/>
        <w:jc w:val="left"/>
      </w:pPr>
      <w:r>
        <w:rPr/>
        <w:t>（</w:t>
      </w:r>
      <w:r>
        <w:rPr>
          <w:rFonts w:ascii="Times New Roman" w:hAnsi="Times New Roman" w:cs="Times New Roman" w:eastAsia="Times New Roman" w:hint="default"/>
        </w:rPr>
        <w:t>4</w:t>
      </w:r>
      <w:r>
        <w:rPr/>
        <w:t>）获取坏账准备计提表，检查计提方法是否按照会计政策执行；重新计算坏账准备计提金额是否准确；</w:t>
      </w:r>
    </w:p>
    <w:p>
      <w:pPr>
        <w:pStyle w:val="BodyText"/>
        <w:spacing w:line="309" w:lineRule="auto" w:before="63"/>
        <w:ind w:left="513" w:right="2473"/>
        <w:jc w:val="left"/>
      </w:pPr>
      <w:r>
        <w:rPr/>
        <w:t>（</w:t>
      </w:r>
      <w:r>
        <w:rPr>
          <w:rFonts w:ascii="Times New Roman" w:hAnsi="Times New Roman" w:cs="Times New Roman" w:eastAsia="Times New Roman" w:hint="default"/>
        </w:rPr>
        <w:t>5</w:t>
      </w:r>
      <w:r>
        <w:rPr/>
        <w:t>）评估管理层于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日对应收账款坏账准备的会计处理及披露。 基于上述所实施的审计程序，我们认为，管理层对应收账款的可回收性的相关判断及估计是合理的。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存货跌价准备</w:t>
      </w:r>
    </w:p>
    <w:p>
      <w:pPr>
        <w:pStyle w:val="BodyText"/>
        <w:spacing w:line="300" w:lineRule="auto" w:before="5"/>
        <w:ind w:left="513" w:right="1123" w:hanging="7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如茂硕电源合并财务报表本报告第十二节、七、</w:t>
      </w:r>
      <w:r>
        <w:rPr>
          <w:rFonts w:ascii="Times New Roman" w:hAnsi="Times New Roman" w:cs="Times New Roman" w:eastAsia="Times New Roman" w:hint="default"/>
        </w:rPr>
        <w:t>9</w:t>
      </w:r>
      <w:r>
        <w:rPr/>
        <w:t>、存货所示，截至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日，茂硕电源存货账面余额</w:t>
      </w:r>
      <w:r>
        <w:rPr>
          <w:rFonts w:ascii="Times New Roman" w:hAnsi="Times New Roman" w:cs="Times New Roman" w:eastAsia="Times New Roman" w:hint="default"/>
        </w:rPr>
        <w:t>13,136.69</w:t>
      </w:r>
    </w:p>
    <w:p>
      <w:pPr>
        <w:pStyle w:val="BodyText"/>
        <w:spacing w:line="300" w:lineRule="auto" w:before="13"/>
        <w:ind w:left="513" w:right="1124" w:hanging="361"/>
        <w:jc w:val="left"/>
      </w:pPr>
      <w:r>
        <w:rPr/>
        <w:t>万元，存货跌价准备</w:t>
      </w:r>
      <w:r>
        <w:rPr>
          <w:rFonts w:ascii="Times New Roman" w:hAnsi="Times New Roman" w:cs="Times New Roman" w:eastAsia="Times New Roman" w:hint="default"/>
        </w:rPr>
        <w:t>1,106.65</w:t>
      </w:r>
      <w:r>
        <w:rPr/>
        <w:t>万元，账面价值</w:t>
      </w:r>
      <w:r>
        <w:rPr>
          <w:rFonts w:ascii="Times New Roman" w:hAnsi="Times New Roman" w:cs="Times New Roman" w:eastAsia="Times New Roman" w:hint="default"/>
        </w:rPr>
        <w:t>12,030.04</w:t>
      </w:r>
      <w:r>
        <w:rPr/>
        <w:t>万元，占资产总额的</w:t>
      </w:r>
      <w:r>
        <w:rPr>
          <w:rFonts w:ascii="Times New Roman" w:hAnsi="Times New Roman" w:cs="Times New Roman" w:eastAsia="Times New Roman" w:hint="default"/>
        </w:rPr>
        <w:t>7.37%</w:t>
      </w:r>
      <w:r>
        <w:rPr/>
        <w:t>。 </w:t>
      </w:r>
      <w:r>
        <w:rPr>
          <w:spacing w:val="-2"/>
        </w:rPr>
        <w:t>存货的可变现净值的确定要求管理层对存货的售价、至完工时将要发生的成本、销售费用以及相关税费进行估计。这些</w:t>
      </w:r>
    </w:p>
    <w:p>
      <w:pPr>
        <w:pStyle w:val="BodyText"/>
        <w:spacing w:line="240" w:lineRule="auto" w:before="31"/>
        <w:ind w:right="1133"/>
        <w:jc w:val="left"/>
      </w:pPr>
      <w:r>
        <w:rPr/>
        <w:t>内容涉及管理层运用重大会计估计和判断，有可能受到管理层偏向的影响，因此我们将存货跌价准备作为关键审计事项。</w:t>
      </w:r>
    </w:p>
    <w:p>
      <w:pPr>
        <w:pStyle w:val="BodyText"/>
        <w:spacing w:line="300" w:lineRule="auto" w:before="76"/>
        <w:ind w:left="513" w:right="6253" w:hanging="72"/>
        <w:jc w:val="left"/>
      </w:pPr>
      <w:r>
        <w:rPr>
          <w:rFonts w:ascii="Times New Roman" w:hAnsi="Times New Roman" w:cs="Times New Roman" w:eastAsia="Times New Roman" w:hint="default"/>
        </w:rPr>
        <w:t>2.</w:t>
      </w:r>
      <w:r>
        <w:rPr/>
        <w:t>审计应对 我们针对存货跌价准备所实施的重要审计程序包括：</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）对存货减值测试相关的内部控制的设计及运行有效性进行了解、评估和测试；</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）实施存货监盘程序，盘点存货的数量及检查存货状况，关注残次冷背的存货是否被识别；</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）对存货周转天数以及存货库龄执行分析性程序，判断是否存在因较长库龄的存货导致存货减值的风险；</w:t>
      </w:r>
    </w:p>
    <w:p>
      <w:pPr>
        <w:pStyle w:val="BodyText"/>
        <w:spacing w:line="300" w:lineRule="auto" w:before="63"/>
        <w:ind w:right="1133" w:firstLine="360"/>
        <w:jc w:val="both"/>
      </w:pPr>
      <w:r>
        <w:rPr/>
        <w:t>（</w:t>
      </w:r>
      <w:r>
        <w:rPr>
          <w:rFonts w:ascii="Times New Roman" w:hAnsi="Times New Roman" w:cs="Times New Roman" w:eastAsia="Times New Roman" w:hint="default"/>
        </w:rPr>
        <w:t>4</w:t>
      </w:r>
      <w:r>
        <w:rPr/>
        <w:t>）获取存货跌价准备计算表，检查计提方法是否按照会计政策执行；重新计算存货跌价准备计提金额是否准确，并 检查以前年度计提的存货跌价本期的变化情况等，分析存货跌价准备计提是否充分。</w:t>
      </w:r>
    </w:p>
    <w:p>
      <w:pPr>
        <w:pStyle w:val="BodyText"/>
        <w:spacing w:line="309" w:lineRule="auto" w:before="31"/>
        <w:ind w:left="460" w:right="3554" w:firstLine="52"/>
        <w:jc w:val="left"/>
        <w:rPr>
          <w:rFonts w:ascii="宋体" w:hAnsi="宋体" w:cs="宋体" w:eastAsia="宋体" w:hint="default"/>
        </w:rPr>
      </w:pPr>
      <w:r>
        <w:rPr/>
        <w:t>（</w:t>
      </w:r>
      <w:r>
        <w:rPr>
          <w:rFonts w:ascii="Times New Roman" w:hAnsi="Times New Roman" w:cs="Times New Roman" w:eastAsia="Times New Roman" w:hint="default"/>
        </w:rPr>
        <w:t>5</w:t>
      </w:r>
      <w:r>
        <w:rPr/>
        <w:t>）评估管理层于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日对存货跌价准备的会计处理及披露。 基于上述所实施的审计程序，我们认为，管理层对存货跌价准备的计提是合理的。 </w:t>
      </w:r>
      <w:r>
        <w:rPr>
          <w:rFonts w:ascii="宋体" w:hAnsi="宋体" w:cs="宋体" w:eastAsia="宋体" w:hint="default"/>
          <w:b/>
          <w:bCs/>
        </w:rPr>
        <w:t>四</w:t>
      </w:r>
      <w:r>
        <w:rPr>
          <w:rFonts w:ascii="Times New Roman" w:hAnsi="Times New Roman" w:cs="Times New Roman" w:eastAsia="Times New Roman" w:hint="default"/>
          <w:b/>
          <w:bCs/>
        </w:rPr>
        <w:t>.</w:t>
      </w:r>
      <w:r>
        <w:rPr>
          <w:rFonts w:ascii="宋体" w:hAnsi="宋体" w:cs="宋体" w:eastAsia="宋体" w:hint="default"/>
          <w:b/>
          <w:bCs/>
        </w:rPr>
        <w:t>其他信息</w:t>
      </w:r>
      <w:r>
        <w:rPr>
          <w:rFonts w:ascii="宋体" w:hAnsi="宋体" w:cs="宋体" w:eastAsia="宋体" w:hint="default"/>
        </w:rPr>
      </w:r>
    </w:p>
    <w:p>
      <w:pPr>
        <w:pStyle w:val="BodyText"/>
        <w:spacing w:line="309" w:lineRule="auto" w:before="5"/>
        <w:ind w:left="513" w:right="1124"/>
        <w:jc w:val="left"/>
      </w:pPr>
      <w:r>
        <w:rPr/>
        <w:t>茂硕电源管理层对其他信息负责。其他信息包括</w:t>
      </w:r>
      <w:r>
        <w:rPr>
          <w:rFonts w:ascii="Times New Roman" w:hAnsi="Times New Roman" w:cs="Times New Roman" w:eastAsia="Times New Roman" w:hint="default"/>
        </w:rPr>
        <w:t>2019</w:t>
      </w:r>
      <w:r>
        <w:rPr/>
        <w:t>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513" w:right="1124" w:hanging="361"/>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300" w:lineRule="auto" w:before="76"/>
        <w:ind w:left="513" w:right="0" w:hanging="53"/>
        <w:jc w:val="left"/>
        <w:rPr>
          <w:rFonts w:ascii="宋体" w:hAnsi="宋体" w:cs="宋体" w:eastAsia="宋体" w:hint="default"/>
          <w:sz w:val="18"/>
          <w:szCs w:val="18"/>
        </w:rPr>
      </w:pPr>
      <w:r>
        <w:rPr>
          <w:rFonts w:ascii="宋体" w:hAnsi="宋体" w:cs="宋体" w:eastAsia="宋体" w:hint="default"/>
          <w:b/>
          <w:bCs/>
          <w:sz w:val="18"/>
          <w:szCs w:val="18"/>
        </w:rPr>
        <w:t>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茂硕电源管理层负责按照企业会计准则的规定编制财务报表，使其实现公允反映，并设计、执行和维护必要的内部控制，</w:t>
      </w:r>
    </w:p>
    <w:p>
      <w:pPr>
        <w:pStyle w:val="BodyText"/>
        <w:spacing w:line="319" w:lineRule="auto" w:before="31"/>
        <w:ind w:left="513" w:right="1133" w:hanging="361"/>
        <w:jc w:val="left"/>
      </w:pPr>
      <w:r>
        <w:rPr/>
        <w:t>以使财务报表不存在由于舞弊或错误导致的重大错报。 </w:t>
      </w:r>
      <w:r>
        <w:rPr>
          <w:spacing w:val="-2"/>
        </w:rPr>
        <w:t>在编制财务报表时，茂硕电源管理层负责评估茂硕电源的持续经营能力，披露与持续经营相关的事项（如适用），并运</w:t>
      </w:r>
    </w:p>
    <w:p>
      <w:pPr>
        <w:spacing w:line="316" w:lineRule="auto" w:before="17"/>
        <w:ind w:left="460" w:right="4110" w:hanging="308"/>
        <w:jc w:val="left"/>
        <w:rPr>
          <w:rFonts w:ascii="宋体" w:hAnsi="宋体" w:cs="宋体" w:eastAsia="宋体" w:hint="default"/>
          <w:sz w:val="18"/>
          <w:szCs w:val="18"/>
        </w:rPr>
      </w:pPr>
      <w:r>
        <w:rPr>
          <w:rFonts w:ascii="宋体" w:hAnsi="宋体" w:cs="宋体" w:eastAsia="宋体" w:hint="default"/>
          <w:sz w:val="18"/>
          <w:szCs w:val="18"/>
        </w:rPr>
        <w:t>用持续经营假设，除非管理层计划清算茂硕电源、终止运营或别无其他现实的选择。 治理层负责监督茂硕电源的财务报告过程。 </w:t>
      </w:r>
      <w:r>
        <w:rPr>
          <w:rFonts w:ascii="宋体" w:hAnsi="宋体" w:cs="宋体" w:eastAsia="宋体" w:hint="default"/>
          <w:b/>
          <w:bCs/>
          <w:sz w:val="18"/>
          <w:szCs w:val="18"/>
        </w:rPr>
        <w:t>六</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0"/>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8"/>
        <w:ind w:left="513" w:right="1133"/>
        <w:jc w:val="left"/>
      </w:pPr>
      <w:r>
        <w:rPr/>
        <w:t>在按照审计准则执行审计工作的过程中，我们运用职业判断，并保持职业怀疑。同时，我们也执行以下工作：</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ind w:right="1133" w:firstLine="288"/>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4"/>
        <w:ind w:left="441" w:right="1133"/>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441"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288"/>
        <w:jc w:val="both"/>
      </w:pPr>
      <w:r>
        <w:rPr>
          <w:rFonts w:ascii="Times New Roman" w:hAnsi="Times New Roman" w:cs="Times New Roman" w:eastAsia="Times New Roman" w:hint="default"/>
        </w:rPr>
        <w:t>4.</w:t>
      </w:r>
      <w:r>
        <w:rPr/>
        <w:t>对管理层使用持续经营假设的恰当性得出结论。同时，根据获取的审计证据，就可能导致对茂硕电源持续经营能力产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审计报告中提请报告使用者注意财务报表中的相关披露；如果披露不充分，我们应当发表非无保留意见。我们的结论基于截</w:t>
      </w:r>
      <w:r>
        <w:rPr>
          <w:spacing w:val="-63"/>
        </w:rPr>
        <w:t> </w:t>
      </w:r>
      <w:r>
        <w:rPr>
          <w:spacing w:val="-63"/>
        </w:rPr>
      </w:r>
      <w:r>
        <w:rPr/>
        <w:t>至审计报告日可获得的信息。然而，未来的事项或情况可能导致茂硕电源不能持续经营。</w:t>
      </w:r>
    </w:p>
    <w:p>
      <w:pPr>
        <w:pStyle w:val="BodyText"/>
        <w:spacing w:line="240" w:lineRule="auto" w:before="22"/>
        <w:ind w:left="441" w:right="1133"/>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right="1133" w:firstLine="288"/>
        <w:jc w:val="both"/>
      </w:pPr>
      <w:r>
        <w:rPr>
          <w:rFonts w:ascii="Times New Roman" w:hAnsi="Times New Roman" w:cs="Times New Roman" w:eastAsia="Times New Roman" w:hint="default"/>
        </w:rPr>
        <w:t>6.</w:t>
      </w:r>
      <w:r>
        <w:rPr/>
        <w:t>就茂硕电源中实体或业务活动的财务信息获取充分、适当的审计证据，以对财务报表发表意见。我们负责指导、监督 和执行集团审计。我们对审计意见承担全部责任。</w:t>
      </w:r>
    </w:p>
    <w:p>
      <w:pPr>
        <w:pStyle w:val="BodyText"/>
        <w:spacing w:line="316" w:lineRule="auto" w:before="32"/>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tbl>
      <w:tblPr>
        <w:tblW w:w="0" w:type="auto"/>
        <w:jc w:val="left"/>
        <w:tblInd w:w="997" w:type="dxa"/>
        <w:tblLayout w:type="fixed"/>
        <w:tblCellMar>
          <w:top w:w="0" w:type="dxa"/>
          <w:left w:w="0" w:type="dxa"/>
          <w:bottom w:w="0" w:type="dxa"/>
          <w:right w:w="0" w:type="dxa"/>
        </w:tblCellMar>
        <w:tblLook w:val="01E0"/>
      </w:tblPr>
      <w:tblGrid>
        <w:gridCol w:w="3503"/>
        <w:gridCol w:w="2915"/>
      </w:tblGrid>
      <w:tr>
        <w:trPr>
          <w:trHeight w:val="568"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194" w:lineRule="exact"/>
              <w:ind w:right="460"/>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915"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180" w:lineRule="exact"/>
              <w:ind w:left="6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7"/>
              <w:ind w:right="198"/>
              <w:jc w:val="right"/>
              <w:rPr>
                <w:rFonts w:ascii="宋体" w:hAnsi="宋体" w:cs="宋体" w:eastAsia="宋体" w:hint="default"/>
                <w:sz w:val="18"/>
                <w:szCs w:val="18"/>
              </w:rPr>
            </w:pPr>
            <w:r>
              <w:rPr>
                <w:rFonts w:ascii="宋体" w:hAnsi="宋体" w:cs="宋体" w:eastAsia="宋体" w:hint="default"/>
                <w:sz w:val="18"/>
                <w:szCs w:val="18"/>
              </w:rPr>
              <w:t>王建华</w:t>
            </w:r>
          </w:p>
        </w:tc>
      </w:tr>
      <w:tr>
        <w:trPr>
          <w:trHeight w:val="337"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8"/>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北京</w:t>
            </w:r>
          </w:p>
        </w:tc>
        <w:tc>
          <w:tcPr>
            <w:tcW w:w="2915" w:type="dxa"/>
            <w:tcBorders>
              <w:top w:val="nil" w:sz="6" w:space="0" w:color="auto"/>
              <w:left w:val="nil" w:sz="6" w:space="0" w:color="auto"/>
              <w:bottom w:val="nil" w:sz="6" w:space="0" w:color="auto"/>
              <w:right w:val="nil" w:sz="6" w:space="0" w:color="auto"/>
            </w:tcBorders>
          </w:tcPr>
          <w:p>
            <w:pPr/>
          </w:p>
        </w:tc>
      </w:tr>
      <w:tr>
        <w:trPr>
          <w:trHeight w:val="564" w:hRule="exact"/>
        </w:trPr>
        <w:tc>
          <w:tcPr>
            <w:tcW w:w="3503"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tabs>
                <w:tab w:pos="2865" w:val="left" w:leader="none"/>
              </w:tabs>
              <w:spacing w:line="240" w:lineRule="auto" w:before="16"/>
              <w:ind w:left="6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right="231"/>
              <w:jc w:val="right"/>
              <w:rPr>
                <w:rFonts w:ascii="宋体" w:hAnsi="宋体" w:cs="宋体" w:eastAsia="宋体" w:hint="default"/>
                <w:sz w:val="18"/>
                <w:szCs w:val="18"/>
              </w:rPr>
            </w:pPr>
            <w:r>
              <w:rPr>
                <w:rFonts w:ascii="宋体" w:hAnsi="宋体" w:cs="宋体" w:eastAsia="宋体" w:hint="default"/>
                <w:sz w:val="18"/>
                <w:szCs w:val="18"/>
              </w:rPr>
              <w:t>刘国军</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before="26"/>
        <w:ind w:right="1133"/>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编制单位：茂硕电源科技股份有限公司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已重列</w:t>
            </w:r>
            <w:r>
              <w:rPr>
                <w:rFonts w:ascii="Times New Roman" w:hAnsi="Times New Roman" w:cs="Times New Roman" w:eastAsia="Times New Roman" w:hint="default"/>
                <w:sz w:val="18"/>
                <w:szCs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250,188,701.02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282,352,971.21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126,478,802.99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68,088,438.27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462,909,161.03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462,082,004.27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2,448,289.42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20,063,560.10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3,818,436.37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1,863,239.79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23,439,303.05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24,741,978.30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120,300,364.92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139,270,809.32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41,689,935.02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35,576,510.04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1,031,272,993.82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1,045,039,511.30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7,810,851.59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4,827,808.65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91,887,080.76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122,956,056.21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11,124,887.39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16,265,120.84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384,180,534.44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409,077,159.89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23,191,790.76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26,980,625.91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17,189,832.94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21,313,149.24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34,349,631.70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31,965,070.02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14,713,073.55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17,824,932.91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602,037,683.13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658,799,923.67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1,633,310,676.95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1,703,839,434.97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157,711,834.30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223,394,354.13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255,171,958.21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548,714,830.97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514,136,582.76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13,213,784.27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12,492,155.17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30,273,941.93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28,568,758.59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7,348,316.26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15,754,401.81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32,406,978.57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23,322,269.08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35,361,226.79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23,062,107.60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965,030,913.09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1,097,963,387.35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30,722,371.20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33,290,129.52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10,456,014.31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4,255,160.04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10,884,310.18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12,744,948.31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52,062,695.69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50,290,237.87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1,017,093,608.78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1,148,253,625.22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274,327,707.00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274,327,707.00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411,478,059.38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411,478,059.38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-38,233,629.33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-34,008,022.37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-56,796,709.72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-123,180,517.00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616,347,128.33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554,188,928.01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1,396,881.74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616,217,068.17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555,585,809.75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1,633,310,676.95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1,703,839,434.97</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ind w:left="0" w:right="1223"/>
        <w:jc w:val="right"/>
      </w:pPr>
      <w:r>
        <w:rPr/>
        <w:t>法定代表人：顾永德</w:t>
        <w:tab/>
      </w:r>
      <w:r>
        <w:rPr>
          <w:spacing w:val="-1"/>
        </w:rPr>
        <w:t>主管会计工作负责人：刘爱民</w:t>
        <w:tab/>
      </w:r>
      <w:r>
        <w:rPr/>
        <w:t>会计机构负责人：秦利红</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已重列</w:t>
            </w:r>
            <w:r>
              <w:rPr>
                <w:rFonts w:ascii="Times New Roman" w:hAnsi="Times New Roman" w:cs="Times New Roman" w:eastAsia="Times New Roman" w:hint="default"/>
                <w:sz w:val="18"/>
                <w:szCs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183,109,786.66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126,934,307.29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63,668,705.49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25,448,602.01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195,152,751.74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170,527,709.28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66,697,939.95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354,862.17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378,934,431.90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345,929,367.36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7,427,239.14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2,963,047.42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6,300,407.33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3,325,015.09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901,291,262.21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686,482,910.62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931,139.37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854,470.48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593,657,366.64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622,363,804.12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11,043,773.55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16,184,007.00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19,686,754.09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26,773,273.26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39,199.02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411,496.98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1,642,813.44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23,337,786.35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23,550,576.10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14,669,333.55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15,647,289.15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674,143,279.50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707,055,432.57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1,575,434,541.71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1,393,538,343.19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140,239,525.00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223,394,354.13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123,254,192.21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51,363,196.46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15,966,603.23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4,631,534.32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3,917,363.79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8,545,130.12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4,082,999.53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170,700.19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288,960.85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405,116,207.02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198,885,220.33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4,623,627.85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6,175,105.99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754,689,920.96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578,025,600.06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4,623,157.92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5,339,495.68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4,388,410.93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5,339,495.68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10,161,568.85</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760,029,416.64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588,187,168.91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274,327,707.00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274,327,707.00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438,644,178.21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438,644,178.21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-36,041,557.43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-31,672,359.00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112,903,096.29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98,479,947.07</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815,405,125.07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805,351,174.28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1,575,434,541.71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1,393,538,343.19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1,247,847,109.57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1,337,775,109.10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1,247,847,109.57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1,337,775,109.10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576.609985pt;width:158.9pt;height:20.65pt;mso-position-horizontal-relative:page;mso-position-vertical-relative:page;z-index:-1242976" coordorigin="4220,11532" coordsize="3178,413">
            <v:group style="position:absolute;left:4231;top:11543;width:2;height:392" coordorigin="4231,11543" coordsize="2,392">
              <v:shape style="position:absolute;left:4231;top:11543;width:2;height:392" coordorigin="4231,11543" coordsize="0,392" path="m4231,11543l4231,11934e" filled="false" stroked="true" strokeweight="1.08pt" strokecolor="#ffffff">
                <v:path arrowok="t"/>
              </v:shape>
            </v:group>
            <v:group style="position:absolute;left:4242;top:11543;width:3157;height:392" coordorigin="4242,11543" coordsize="3157,392">
              <v:shape style="position:absolute;left:4242;top:11543;width:3157;height:392" coordorigin="4242,11543" coordsize="3157,392" path="m4242,11934l7398,11934,7398,11543,4242,11543,4242,119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1,185,438,316.17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1,322,267,957.22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962,316,426.26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1,084,096,168.59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7,609,321.48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8,515,850.17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72,306,691.55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87,731,963.56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76,295,882.27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70,912,140.81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50,318,593.18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58,476,084.06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16,591,401.43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12,535,750.03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22,850,201.31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20,895,082.78</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1,702,260.07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2,017,970.74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12,140,810.48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12,050,005.68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8,956,080.63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-1,689,749.42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-763,202.44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1,231,972.47</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-14,567,444.08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-5,001,528.34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-285,293,182.90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
              <w:jc w:val="righ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2,210,946.43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-3,827,841.31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50.319977pt;width:158.9pt;height:20.8pt;mso-position-horizontal-relative:page;mso-position-vertical-relative:page;z-index:-1242952" coordorigin="4220,3006" coordsize="3178,416">
            <v:group style="position:absolute;left:4231;top:3017;width:2;height:394" coordorigin="4231,3017" coordsize="2,394">
              <v:shape style="position:absolute;left:4231;top:3017;width:2;height:394" coordorigin="4231,3017" coordsize="0,394" path="m4231,3017l4231,3411e" filled="false" stroked="true" strokeweight="1.08pt" strokecolor="#ffffff">
                <v:path arrowok="t"/>
              </v:shape>
            </v:group>
            <v:group style="position:absolute;left:4242;top:3017;width:3157;height:394" coordorigin="4242,3017" coordsize="3157,394">
              <v:shape style="position:absolute;left:4242;top:3017;width:3157;height:394" coordorigin="4242,3017" coordsize="3157,394" path="m4242,3411l7398,3411,7398,3017,4242,3017,4242,34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117"/>
        <w:gridCol w:w="2105"/>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66,147,658.52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-265,314,416.07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2,119,775.17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2,909,400.21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538,485.06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9,507,909.93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67,728,948.63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-271,912,925.79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2,728,491.78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1,223,814.58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65,000,456.85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-273,136,740.37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65,000,456.85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-273,136,740.37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66,527,398.75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-255,760,999.17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-1,526,941.90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-17,375,741.20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-4,369,198.43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-4,369,198.43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-4,369,198.43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-4,369,198.43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60,631,258.42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-273,136,740.37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62,158,200.32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-255,760,999.17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-1,526,941.90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-17,375,741.20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-0.93</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法定代表人：顾永德</w:t>
        <w:tab/>
      </w:r>
      <w:r>
        <w:rPr>
          <w:spacing w:val="-1"/>
        </w:rPr>
        <w:t>主管会计工作负责人：刘爱民</w:t>
        <w:tab/>
      </w:r>
      <w:r>
        <w:rPr/>
        <w:t>会计机构负责人：秦利红</w:t>
      </w:r>
      <w:r>
        <w:rPr/>
        <w:t>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397,276,322.01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625,353,698.37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323,802,932.23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543,741,787.84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606,144.71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2,282,422.91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9,880,291.80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23,949,017.66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31,651,674.13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28,793,976.89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14,039,188.67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19,472,339.85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10,948,402.85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5,520,561.77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13,672,991.42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12,789,668.97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2,487,242.64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2,157,870.85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5,565,540.88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7,611,154.64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3,730,362.52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1,517,777.51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1,162,735.54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1,587,977.51</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-1,944,656.09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-126,953,265.69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1,893,376.49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15,592,311.42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-118,291,542.09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6,903.28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53,258.01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8,115,123.14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15,406,973.99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-126,353,407.22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983,824.77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-14,439,693.48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14,423,149.22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-111,913,713.74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14,423,149.22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-111,913,713.74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-4,369,198.43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-4,369,198.43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-4,369,198.43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10,053,950.79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-111,913,713.74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1,166,916,620.92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1,268,183,087.62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60,461,534.29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85,370,735.05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17,354,394.56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20,219,504.52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1,244,732,549.77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1,373,773,327.19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894,731,586.69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959,144,452.63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180,670,585.27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206,920,079.75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53,686,855.96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47,280,388.80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73,886,470.95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82,584,612.04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1,202,975,498.87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1,295,929,533.22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41,757,050.90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77,843,793.97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7,775.98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144,089.22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5,843,507.11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34,017.82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4,650,071.51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20,092,894.69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54,001,283.09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70,021,073.24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41,074,986.39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19,987,295.69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16,375,100.00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1,711,757.26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23,565,099.25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59,161,843.65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96,752,394.94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-5,160,560.56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-26,731,321.70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277,168,610.33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269,137,640.00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274,541,708.34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322,942,400.90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551,710,318.67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594,080,040.90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340,969,130.00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295,616,360.00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13,741,286.99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14,896,181.25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177,763,781.44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410,519,383.41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532,474,198.43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721,031,924.66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19,236,120.24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-126,951,883.76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-842,191.60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758,975.43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54,990,418.98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-75,080,436.06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119,843,578.62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194,924,014.68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174,833,997.60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119,843,578.62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271,532,417.21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698,639,762.53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11,089,391.06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80,014,533.40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673,531,928.06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319,514,500.38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956,153,736.33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1,098,168,796.31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467,600,562.96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741,764,640.63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23,041,351.93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25,302,582.41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791,235.43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4,148,342.37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346,599,639.78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278,360,213.44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838,032,790.10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1,049,575,778.85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118,120,946.23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48,593,017.46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5,548,007.11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37,548,007.11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8,000,380.00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610,715.24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3,966,882.20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81,766,700.00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1,711,757.26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11,397,807.51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2,322,472.50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97,131,389.71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35,225,534.61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-89,131,009.71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269,137,640.00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101,144,098.84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188,069,592.16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361,144,098.84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457,207,232.16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340,969,130.00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286,616,360.00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13,741,286.99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14,336,516.97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111,183,870.81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179,010,281.30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465,894,287.80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479,963,158.27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-104,750,188.96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-22,755,926.11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-1,166,072.96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582,795.85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47,430,218.92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-62,711,122.51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64,048,533.24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126,759,655.75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7" w:right="0"/>
              <w:jc w:val="left"/>
              <w:rPr>
                <w:rFonts w:ascii="Times New Roman" w:hAnsi="Times New Roman" w:cs="Times New Roman" w:eastAsia="Times New Roman" w:hint="default"/>
                <w:sz w:val="18"/>
                <w:szCs w:val="18"/>
              </w:rPr>
            </w:pPr>
            <w:r>
              <w:rPr>
                <w:rFonts w:ascii="Times New Roman"/>
                <w:sz w:val="18"/>
              </w:rPr>
              <w:t>111,478,752.16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64,048,533.24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single" w:sz="4" w:space="0" w:color="FFFFFF"/>
              <w:right w:val="single" w:sz="4" w:space="0" w:color="000000"/>
            </w:tcBorders>
            <w:shd w:val="clear" w:color="auto" w:fill="D2D2D2"/>
          </w:tcPr>
          <w:p>
            <w:pPr/>
          </w:p>
        </w:tc>
        <w:tc>
          <w:tcPr>
            <w:tcW w:w="7160"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4" w:hRule="exact"/>
        </w:trPr>
        <w:tc>
          <w:tcPr>
            <w:tcW w:w="12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2"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7"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27,70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411,47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88"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55,794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555,32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1,673.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644.98</w:t>
            </w:r>
          </w:p>
        </w:tc>
        <w:tc>
          <w:tcPr>
            <w:tcW w:w="578" w:type="dxa"/>
            <w:vMerge w:val="restart"/>
            <w:tcBorders>
              <w:top w:val="single" w:sz="37" w:space="0" w:color="D2D2D2"/>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556,69</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5,318.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02</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745.03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23,236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508.27</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27,70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8,022.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-123,1</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80,517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554,18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8,928.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1,396,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881.74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555,58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5,809.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75</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-4,225,</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606.96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66,383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941.90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198.43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66,527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941.90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143,59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-143,5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143,59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27,70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-38,23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3,629.</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-56,79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6,709.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616,34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7,128.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60.16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616,21</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7,068.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49"/>
        <w:ind w:right="1133"/>
        <w:jc w:val="left"/>
      </w:pPr>
      <w:r>
        <w:rPr/>
        <w:t>上期金额</w:t>
      </w:r>
    </w:p>
    <w:p>
      <w:pPr>
        <w:pStyle w:val="BodyText"/>
        <w:spacing w:line="240" w:lineRule="auto" w:before="114"/>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1"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274,7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80,45</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8.00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450,50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8"/>
                <w:szCs w:val="18"/>
              </w:rPr>
            </w:pPr>
            <w:r>
              <w:rPr>
                <w:rFonts w:ascii="Times New Roman"/>
                <w:spacing w:val="-1"/>
                <w:sz w:val="18"/>
              </w:rPr>
              <w:t>99,705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850,55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8,239.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529.61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,768.73</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274,7</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80,45</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8.00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450,50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0,875.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99,705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850,55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8,239.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529.61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,768.73</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2,815.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60,999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-295,2</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36,566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-50,578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,884.63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5,450.7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60,999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-255,7</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60,999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.17</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-17,375</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,741.20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6,740.3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-42,02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2,815.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-42,47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5,566.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-33,203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,143.43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-75,678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,710.34</w:t>
            </w: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-42,02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2,815.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-42,47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5,566.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-33,203</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,143.43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-75,678</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,710.34</w:t>
            </w: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27,70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411,47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8,059.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55,794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555,32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1,673.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1,373,6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44.98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556,695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,318.02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本期金额</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95"/>
        <w:gridCol w:w="640"/>
        <w:gridCol w:w="605"/>
        <w:gridCol w:w="603"/>
        <w:gridCol w:w="605"/>
        <w:gridCol w:w="727"/>
        <w:gridCol w:w="728"/>
        <w:gridCol w:w="725"/>
        <w:gridCol w:w="727"/>
        <w:gridCol w:w="727"/>
        <w:gridCol w:w="615"/>
        <w:gridCol w:w="710"/>
        <w:gridCol w:w="862"/>
      </w:tblGrid>
      <w:tr>
        <w:trPr>
          <w:trHeight w:val="401"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5"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95"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5"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274,32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438,644,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178.21</w:t>
            </w:r>
          </w:p>
        </w:tc>
        <w:tc>
          <w:tcPr>
            <w:tcW w:w="728"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25,571,7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01.00</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67,178,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403.60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805,721,9</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89.81</w:t>
            </w:r>
          </w:p>
        </w:tc>
      </w:tr>
      <w:tr>
        <w:trPr>
          <w:trHeight w:val="706" w:hRule="exact"/>
        </w:trPr>
        <w:tc>
          <w:tcPr>
            <w:tcW w:w="1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-31,672,</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359.00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31,301,</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543.47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-370,815.5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438,644,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178.21</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-31,672,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359.00</w:t>
            </w: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25,571,7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01.00</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98,479,</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947.07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805,351,1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74.28</w:t>
            </w:r>
          </w:p>
        </w:tc>
      </w:tr>
      <w:tr>
        <w:trPr>
          <w:trHeight w:val="706" w:hRule="exact"/>
        </w:trPr>
        <w:tc>
          <w:tcPr>
            <w:tcW w:w="1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-4,369,1</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98.43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14,423,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149.22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10,053,95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0.79</w:t>
            </w:r>
          </w:p>
        </w:tc>
      </w:tr>
      <w:tr>
        <w:trPr>
          <w:trHeight w:val="71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-4,369,1</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98.43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14,423,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149.22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10,053,95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0.79</w:t>
            </w:r>
          </w:p>
        </w:tc>
      </w:tr>
      <w:tr>
        <w:trPr>
          <w:trHeight w:val="71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（四）所有者权</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438,644,</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178.21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-36,041,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557.43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25,571,7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01.00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815,405,1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25.07</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7"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1"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274,78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439,103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,195.85</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701.00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179,092,1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17.34</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918,547,47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2.19</w:t>
            </w:r>
          </w:p>
        </w:tc>
      </w:tr>
      <w:tr>
        <w:trPr>
          <w:trHeight w:val="70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本年期初余</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56" w:right="0"/>
              <w:jc w:val="left"/>
              <w:rPr>
                <w:rFonts w:ascii="Times New Roman" w:hAnsi="Times New Roman" w:cs="Times New Roman" w:eastAsia="Times New Roman" w:hint="default"/>
                <w:sz w:val="18"/>
                <w:szCs w:val="18"/>
              </w:rPr>
            </w:pPr>
            <w:r>
              <w:rPr>
                <w:rFonts w:ascii="Times New Roman"/>
                <w:sz w:val="18"/>
              </w:rPr>
              <w:t>274,78</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9" w:right="0"/>
              <w:jc w:val="left"/>
              <w:rPr>
                <w:rFonts w:ascii="Times New Roman" w:hAnsi="Times New Roman" w:cs="Times New Roman" w:eastAsia="Times New Roman" w:hint="default"/>
                <w:sz w:val="18"/>
                <w:szCs w:val="18"/>
              </w:rPr>
            </w:pPr>
            <w:r>
              <w:rPr>
                <w:rFonts w:ascii="Times New Roman"/>
                <w:sz w:val="18"/>
              </w:rPr>
              <w:t>439,103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25,571,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179,092,1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918,547,47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0"/>
              <w:jc w:val="left"/>
              <w:rPr>
                <w:rFonts w:ascii="Times New Roman" w:hAnsi="Times New Roman" w:cs="Times New Roman" w:eastAsia="Times New Roman" w:hint="default"/>
                <w:sz w:val="18"/>
                <w:szCs w:val="18"/>
              </w:rPr>
            </w:pPr>
            <w:r>
              <w:rPr>
                <w:rFonts w:ascii="Times New Roman"/>
                <w:sz w:val="18"/>
              </w:rPr>
              <w:t>,195.85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701.00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17.34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3" w:right="0"/>
              <w:jc w:val="left"/>
              <w:rPr>
                <w:rFonts w:ascii="Times New Roman" w:hAnsi="Times New Roman" w:cs="Times New Roman" w:eastAsia="Times New Roman" w:hint="default"/>
                <w:sz w:val="18"/>
                <w:szCs w:val="18"/>
              </w:rPr>
            </w:pPr>
            <w:r>
              <w:rPr>
                <w:rFonts w:ascii="Times New Roman"/>
                <w:sz w:val="18"/>
              </w:rPr>
              <w:t>2.19</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-459,01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-111,913,</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713.74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-112,825,48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2.38</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-111,913,</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713.74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-111,913,71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3.74</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-3,459,0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17.64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51.00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-3,459,0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17.64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274,32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7,707.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438,644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,178.21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67,178,40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805,721,98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9.81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873" w:right="1124"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pacing w:val="-2"/>
          <w:sz w:val="18"/>
          <w:szCs w:val="18"/>
        </w:rPr>
        <w:t>茂硕电源科技股份有限公司（以下简称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）前身为深圳茂硕电源科技有限公司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月经深圳</w:t>
      </w:r>
    </w:p>
    <w:p>
      <w:pPr>
        <w:pStyle w:val="BodyText"/>
        <w:spacing w:line="300" w:lineRule="auto" w:before="0"/>
        <w:ind w:left="513" w:right="1124"/>
        <w:jc w:val="left"/>
      </w:pPr>
      <w:r>
        <w:rPr>
          <w:spacing w:val="-2"/>
        </w:rPr>
        <w:t>市工商行政管理局核准，由深圳德旺投资发展有限公司一名法人和周莉等</w:t>
      </w:r>
      <w:r>
        <w:rPr>
          <w:rFonts w:ascii="Times New Roman" w:hAnsi="Times New Roman" w:cs="Times New Roman" w:eastAsia="Times New Roman" w:hint="default"/>
          <w:spacing w:val="-2"/>
        </w:rPr>
        <w:t>49</w:t>
      </w:r>
      <w:r>
        <w:rPr>
          <w:spacing w:val="-2"/>
        </w:rPr>
        <w:t>名自然人共同发起设立的股份有限公司。公</w:t>
      </w:r>
      <w:r>
        <w:rPr>
          <w:spacing w:val="-67"/>
        </w:rPr>
        <w:t> </w:t>
      </w:r>
      <w:r>
        <w:rPr>
          <w:spacing w:val="-67"/>
        </w:rPr>
      </w:r>
      <w:r>
        <w:rPr/>
        <w:t>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日在深圳证券交易所上市，现持有统一社会信用代码为</w:t>
      </w:r>
      <w:r>
        <w:rPr>
          <w:rFonts w:ascii="Times New Roman" w:hAnsi="Times New Roman" w:cs="Times New Roman" w:eastAsia="Times New Roman" w:hint="default"/>
        </w:rPr>
        <w:t>91440300786559921G</w:t>
      </w:r>
      <w:r>
        <w:rPr/>
        <w:t>的营业执照。</w:t>
      </w:r>
    </w:p>
    <w:p>
      <w:pPr>
        <w:pStyle w:val="BodyText"/>
        <w:spacing w:line="300" w:lineRule="auto" w:before="13"/>
        <w:ind w:left="513" w:right="1126" w:firstLine="360"/>
        <w:jc w:val="both"/>
      </w:pPr>
      <w:r>
        <w:rPr/>
        <w:t>经过历年的派送红股、转增股本及增发新股，截止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274,327,707.00</w:t>
      </w:r>
      <w:r>
        <w:rPr/>
        <w:t>股，</w:t>
      </w:r>
      <w:r>
        <w:rPr>
          <w:spacing w:val="2"/>
        </w:rPr>
        <w:t> </w:t>
      </w:r>
      <w:r>
        <w:rPr/>
        <w:t>注册资本为</w:t>
      </w:r>
      <w:r>
        <w:rPr>
          <w:rFonts w:ascii="Times New Roman" w:hAnsi="Times New Roman" w:cs="Times New Roman" w:eastAsia="Times New Roman" w:hint="default"/>
        </w:rPr>
        <w:t>274,327,707.00</w:t>
      </w:r>
      <w:r>
        <w:rPr/>
        <w:t>元，注册地址：深圳市南山区松白路关外小白芒桑泰工业园，总部地址：深圳市南山区松白</w:t>
      </w:r>
      <w:r>
        <w:rPr>
          <w:spacing w:val="-52"/>
        </w:rPr>
        <w:t> </w:t>
      </w:r>
      <w:r>
        <w:rPr>
          <w:spacing w:val="-52"/>
        </w:rPr>
      </w:r>
      <w:r>
        <w:rPr/>
        <w:t>路关外小白芒桑泰工业园，实际控制人为顾永德。</w:t>
      </w:r>
    </w:p>
    <w:p>
      <w:pPr>
        <w:spacing w:line="316" w:lineRule="auto" w:before="31"/>
        <w:ind w:left="873" w:right="1133"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根据中国证监会发布的《上市公司行业分类指引》，本公司所从事的行业归属于</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计算机、通信及其他电子设备制</w:t>
      </w:r>
    </w:p>
    <w:p>
      <w:pPr>
        <w:pStyle w:val="BodyText"/>
        <w:spacing w:line="249" w:lineRule="exact" w:before="0"/>
        <w:ind w:left="513" w:right="1133"/>
        <w:jc w:val="left"/>
      </w:pPr>
      <w:r>
        <w:rPr/>
        <w:t>造业</w:t>
      </w:r>
      <w:r>
        <w:rPr>
          <w:rFonts w:ascii="Times New Roman" w:hAnsi="Times New Roman" w:cs="Times New Roman" w:eastAsia="Times New Roman" w:hint="default"/>
        </w:rPr>
        <w:t>”</w:t>
      </w:r>
      <w:r>
        <w:rPr/>
        <w:t>。</w:t>
      </w:r>
    </w:p>
    <w:p>
      <w:pPr>
        <w:pStyle w:val="BodyText"/>
        <w:spacing w:line="312" w:lineRule="auto" w:before="63"/>
        <w:ind w:left="513" w:right="1033" w:firstLine="360"/>
        <w:jc w:val="left"/>
      </w:pPr>
      <w:r>
        <w:rPr/>
        <w:t>本公司经营范围：</w:t>
      </w:r>
      <w:r>
        <w:rPr>
          <w:rFonts w:ascii="Times New Roman" w:hAnsi="Times New Roman" w:cs="Times New Roman" w:eastAsia="Times New Roman" w:hint="default"/>
        </w:rPr>
        <w:t>LED</w:t>
      </w:r>
      <w:r>
        <w:rPr/>
        <w:t>智能驱动电源，太阳能光伏逆变器，</w:t>
      </w:r>
      <w:r>
        <w:rPr>
          <w:rFonts w:ascii="Times New Roman" w:hAnsi="Times New Roman" w:cs="Times New Roman" w:eastAsia="Times New Roman" w:hint="default"/>
        </w:rPr>
        <w:t>DC/DC</w:t>
      </w:r>
      <w:r>
        <w:rPr/>
        <w:t>高效、高密度模块电源，医疗电源，通信电源， </w:t>
      </w:r>
      <w:r>
        <w:rPr>
          <w:spacing w:val="-2"/>
        </w:rPr>
        <w:t>开关电源，高频变压器的研发和销售；电子元器件，五金塑胶配件的销售以及提供新能源和再生能源的储能系统解决方</w:t>
      </w:r>
      <w:r>
        <w:rPr>
          <w:spacing w:val="-70"/>
        </w:rPr>
        <w:t> </w:t>
      </w:r>
      <w:r>
        <w:rPr>
          <w:spacing w:val="-70"/>
        </w:rPr>
      </w:r>
      <w:r>
        <w:rPr>
          <w:spacing w:val="-2"/>
        </w:rPr>
        <w:t>案（以上不含限制项目）；经营进出口业务（法律、行政法规、国务院决定禁止的项目除外，限制的项目须取得许可后</w:t>
      </w:r>
      <w:r>
        <w:rPr>
          <w:spacing w:val="-76"/>
        </w:rPr>
        <w:t> </w:t>
      </w:r>
      <w:r>
        <w:rPr>
          <w:spacing w:val="-76"/>
        </w:rPr>
      </w:r>
      <w:r>
        <w:rPr>
          <w:spacing w:val="-2"/>
        </w:rPr>
        <w:t>方可经营）；房屋租赁；信息技术服务（不含限制项目）；企业管理咨询（不含限制项目）。（以上项目法律、行政法</w:t>
      </w:r>
      <w:r>
        <w:rPr>
          <w:spacing w:val="-73"/>
        </w:rPr>
        <w:t> </w:t>
      </w:r>
      <w:r>
        <w:rPr>
          <w:spacing w:val="-73"/>
        </w:rPr>
      </w:r>
      <w:r>
        <w:rPr>
          <w:spacing w:val="-2"/>
        </w:rPr>
        <w:t>规、国务院决定禁止的项目除外，限制的项目须取得许可后方可经营）</w:t>
      </w:r>
      <w:r>
        <w:rPr>
          <w:rFonts w:ascii="Times New Roman" w:hAnsi="Times New Roman" w:cs="Times New Roman" w:eastAsia="Times New Roman" w:hint="default"/>
          <w:spacing w:val="-2"/>
        </w:rPr>
        <w:t>LED</w:t>
      </w:r>
      <w:r>
        <w:rPr>
          <w:spacing w:val="-2"/>
        </w:rPr>
        <w:t>智能驱动电源，太阳能光伏逆变器，</w:t>
      </w:r>
      <w:r>
        <w:rPr>
          <w:rFonts w:ascii="Times New Roman" w:hAnsi="Times New Roman" w:cs="Times New Roman" w:eastAsia="Times New Roman" w:hint="default"/>
          <w:spacing w:val="-2"/>
        </w:rPr>
        <w:t>DC/DC</w:t>
      </w:r>
      <w:r>
        <w:rPr>
          <w:rFonts w:ascii="Times New Roman" w:hAnsi="Times New Roman" w:cs="Times New Roman" w:eastAsia="Times New Roman" w:hint="default"/>
          <w:spacing w:val="-20"/>
        </w:rPr>
        <w:t> </w:t>
      </w:r>
      <w:r>
        <w:rPr/>
        <w:t>高效、高密度模块电源，医疗电源，通信电源，开关电源，高频变压器的生产；普通货运。</w:t>
      </w:r>
    </w:p>
    <w:p>
      <w:pPr>
        <w:spacing w:line="316" w:lineRule="auto" w:before="22"/>
        <w:ind w:left="513" w:right="5803" w:hanging="36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本财务报表业经公司全体董事于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日批准报出。</w:t>
      </w:r>
    </w:p>
    <w:p>
      <w:pPr>
        <w:spacing w:line="240" w:lineRule="auto" w:before="10"/>
        <w:rPr>
          <w:rFonts w:ascii="宋体" w:hAnsi="宋体" w:cs="宋体" w:eastAsia="宋体" w:hint="default"/>
          <w:sz w:val="23"/>
          <w:szCs w:val="23"/>
        </w:rPr>
      </w:pPr>
    </w:p>
    <w:p>
      <w:pPr>
        <w:spacing w:line="300" w:lineRule="auto" w:before="0"/>
        <w:ind w:left="513" w:right="5893" w:hanging="28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本期纳入合并财务报表范围的子公司共</w:t>
      </w:r>
      <w:r>
        <w:rPr>
          <w:rFonts w:ascii="Times New Roman" w:hAnsi="Times New Roman" w:cs="Times New Roman" w:eastAsia="Times New Roman" w:hint="default"/>
          <w:sz w:val="18"/>
          <w:szCs w:val="18"/>
        </w:rPr>
        <w:t>17</w:t>
      </w:r>
      <w:r>
        <w:rPr>
          <w:rFonts w:ascii="宋体" w:hAnsi="宋体" w:cs="宋体" w:eastAsia="宋体" w:hint="default"/>
          <w:sz w:val="18"/>
          <w:szCs w:val="18"/>
        </w:rPr>
        <w:t>户，具体包括：</w:t>
      </w:r>
    </w:p>
    <w:tbl>
      <w:tblPr>
        <w:tblW w:w="0" w:type="auto"/>
        <w:jc w:val="left"/>
        <w:tblInd w:w="145" w:type="dxa"/>
        <w:tblLayout w:type="fixed"/>
        <w:tblCellMar>
          <w:top w:w="0" w:type="dxa"/>
          <w:left w:w="0" w:type="dxa"/>
          <w:bottom w:w="0" w:type="dxa"/>
          <w:right w:w="0" w:type="dxa"/>
        </w:tblCellMar>
        <w:tblLook w:val="01E0"/>
      </w:tblPr>
      <w:tblGrid>
        <w:gridCol w:w="3191"/>
        <w:gridCol w:w="1270"/>
        <w:gridCol w:w="1304"/>
        <w:gridCol w:w="722"/>
        <w:gridCol w:w="1015"/>
        <w:gridCol w:w="869"/>
      </w:tblGrid>
      <w:tr>
        <w:trPr>
          <w:trHeight w:val="65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简称</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1" w:right="65" w:hanging="15"/>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茂硕研究院</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惠州茂硕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茂硕电子</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香港茂硕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海宁茂硕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70.60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70.60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茂硕电气</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79.55</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79.55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1270"/>
        <w:gridCol w:w="1304"/>
        <w:gridCol w:w="722"/>
        <w:gridCol w:w="1015"/>
        <w:gridCol w:w="869"/>
      </w:tblGrid>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瑞盈茂硕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加码技术</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2.00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茂硕新能源</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1"/>
              <w:jc w:val="right"/>
              <w:rPr>
                <w:rFonts w:ascii="Times New Roman" w:hAnsi="Times New Roman" w:cs="Times New Roman" w:eastAsia="Times New Roman" w:hint="default"/>
                <w:sz w:val="18"/>
                <w:szCs w:val="18"/>
              </w:rPr>
            </w:pPr>
            <w:r>
              <w:rPr>
                <w:rFonts w:ascii="Times New Roman"/>
                <w:spacing w:val="-1"/>
                <w:sz w:val="18"/>
              </w:rPr>
              <w:t>3.00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茂硕科技</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3.00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香港加码</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1"/>
              <w:jc w:val="right"/>
              <w:rPr>
                <w:rFonts w:ascii="Times New Roman" w:hAnsi="Times New Roman" w:cs="Times New Roman" w:eastAsia="Times New Roman" w:hint="default"/>
                <w:sz w:val="18"/>
                <w:szCs w:val="18"/>
              </w:rPr>
            </w:pPr>
            <w:r>
              <w:rPr>
                <w:rFonts w:ascii="Times New Roman"/>
                <w:spacing w:val="-1"/>
                <w:sz w:val="18"/>
              </w:rPr>
              <w:t>3.00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河北茂硕燚晶光伏电力开发有限公司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河北石家庄</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3.00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40.57</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新余茂硕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1"/>
              <w:jc w:val="right"/>
              <w:rPr>
                <w:rFonts w:ascii="Times New Roman" w:hAnsi="Times New Roman" w:cs="Times New Roman" w:eastAsia="Times New Roman" w:hint="default"/>
                <w:sz w:val="18"/>
                <w:szCs w:val="18"/>
              </w:rPr>
            </w:pPr>
            <w:r>
              <w:rPr>
                <w:rFonts w:ascii="Times New Roman"/>
                <w:spacing w:val="-1"/>
                <w:sz w:val="18"/>
              </w:rPr>
              <w:t>4.00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萍乡茂硕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4.00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6"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灵武市茂硕新能源科技有限公司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灵武茂硕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4.00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 w:right="0"/>
              <w:jc w:val="lef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江苏茂硕新能源发展有限公司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1"/>
              <w:jc w:val="right"/>
              <w:rPr>
                <w:rFonts w:ascii="Times New Roman" w:hAnsi="Times New Roman" w:cs="Times New Roman" w:eastAsia="Times New Roman" w:hint="default"/>
                <w:sz w:val="18"/>
                <w:szCs w:val="18"/>
              </w:rPr>
            </w:pPr>
            <w:r>
              <w:rPr>
                <w:rFonts w:ascii="Times New Roman"/>
                <w:spacing w:val="-1"/>
                <w:sz w:val="18"/>
              </w:rPr>
              <w:t>4.00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70.00</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宁夏茂硕富寅能源科技有限公司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宁夏茂硕</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pacing w:val="-1"/>
                <w:sz w:val="18"/>
              </w:rPr>
              <w:t>5.00</w:t>
            </w:r>
          </w:p>
        </w:tc>
        <w:tc>
          <w:tcPr>
            <w:tcW w:w="1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51.00</w:t>
            </w:r>
          </w:p>
        </w:tc>
      </w:tr>
    </w:tbl>
    <w:p>
      <w:pPr>
        <w:spacing w:line="240" w:lineRule="auto" w:before="6"/>
        <w:rPr>
          <w:rFonts w:ascii="宋体" w:hAnsi="宋体" w:cs="宋体" w:eastAsia="宋体" w:hint="default"/>
          <w:sz w:val="6"/>
          <w:szCs w:val="6"/>
        </w:rPr>
      </w:pPr>
    </w:p>
    <w:p>
      <w:pPr>
        <w:pStyle w:val="BodyText"/>
        <w:spacing w:line="300" w:lineRule="auto"/>
        <w:ind w:right="1133" w:firstLine="360"/>
        <w:jc w:val="both"/>
      </w:pPr>
      <w:r>
        <w:rPr/>
        <w:t>子公司的持股比例不同于表决权比例的原因、以及持有半数或以下表决权但仍控制被投资单位的依据说明详见</w:t>
      </w:r>
      <w:r>
        <w:rPr>
          <w:rFonts w:ascii="Times New Roman" w:hAnsi="Times New Roman" w:cs="Times New Roman" w:eastAsia="Times New Roman" w:hint="default"/>
        </w:rPr>
        <w:t>“</w:t>
      </w:r>
      <w:r>
        <w:rPr/>
        <w:t>本报告 第十二节、八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w:t>
      </w:r>
    </w:p>
    <w:p>
      <w:pPr>
        <w:pStyle w:val="BodyText"/>
        <w:spacing w:line="240" w:lineRule="auto" w:before="13"/>
        <w:ind w:left="513" w:right="1133"/>
        <w:jc w:val="left"/>
      </w:pPr>
      <w:r>
        <w:rPr/>
        <w:t>本期纳入合并财务报表范围的主体与上期相比未发生变化。</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9"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4"/>
        </w:rPr>
        <w:t> </w:t>
      </w:r>
      <w:r>
        <w:rPr>
          <w:spacing w:val="-44"/>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3" w:firstLine="216"/>
        <w:jc w:val="left"/>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个月的持续经营能力进行了评价，未发现对持续经营能力产生重大怀疑的事项或情况。因此，本 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left="573" w:right="1133" w:hanging="421"/>
        <w:jc w:val="left"/>
      </w:pPr>
      <w:r>
        <w:rPr/>
        <w:t>具体会计政策和会计估计提示： 本公司及各子公司从事计算机、通信及其他电子设备制造业经营，太阳能光伏发电系统的设计、开发、投资、建设和</w:t>
      </w:r>
    </w:p>
    <w:p>
      <w:pPr>
        <w:pStyle w:val="BodyText"/>
        <w:spacing w:line="224" w:lineRule="exact" w:before="0"/>
        <w:ind w:right="0"/>
        <w:jc w:val="left"/>
      </w:pPr>
      <w:r>
        <w:rPr/>
        <w:t>经营。本公司及各子公司根据实际生产经营特点，依据相关企业会计准则的规定，对收入确认、建造合同完工百分比确定、</w:t>
      </w:r>
    </w:p>
    <w:p>
      <w:pPr>
        <w:pStyle w:val="BodyText"/>
        <w:spacing w:line="240" w:lineRule="auto" w:before="77"/>
        <w:ind w:right="1133"/>
        <w:jc w:val="left"/>
      </w:pPr>
      <w:r>
        <w:rPr/>
        <w:t>研究开发支出等交易和事项制定了若干项具体会计政策和会计估计，详见本报告第十二节、五、</w:t>
      </w:r>
      <w:r>
        <w:rPr>
          <w:rFonts w:ascii="宋体" w:hAnsi="宋体" w:cs="宋体" w:eastAsia="宋体" w:hint="default"/>
        </w:rPr>
        <w:t>39</w:t>
      </w:r>
      <w:r>
        <w:rPr/>
        <w:t>“收入”各项描述。</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5" w:firstLine="360"/>
        <w:jc w:val="both"/>
      </w:pPr>
      <w:r>
        <w:rPr>
          <w:spacing w:val="-2"/>
        </w:rPr>
        <w:t>本公司所编制的财务报表符合企业会计准则的要求，真实、完整地反映了报告期公司的财务状况、经营成果、现金流量</w:t>
      </w:r>
      <w:r>
        <w:rPr/>
        <w:t> 等有关信息。</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13"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both"/>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306" w:right="1198" w:firstLine="360"/>
        <w:jc w:val="left"/>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w:t>
      </w:r>
      <w:r>
        <w:rPr/>
        <w:t> 作为一个营业周</w:t>
      </w:r>
      <w:r>
        <w:rPr>
          <w:spacing w:val="-19"/>
        </w:rPr>
        <w:t> </w:t>
      </w:r>
      <w:r>
        <w:rPr/>
        <w:t>期，并以其作为资产和负债的流动性划分标准。</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4" w:firstLine="360"/>
        <w:jc w:val="left"/>
      </w:pPr>
      <w:r>
        <w:rPr>
          <w:spacing w:val="-2"/>
        </w:rPr>
        <w:t>采用人民币为记账本位币。境外子公司以其经营所处的主要经济环境中的货币为记账本位币，编制财务报表时折算为人</w:t>
      </w:r>
      <w:r>
        <w:rPr/>
        <w:t> 民币。</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Heading5"/>
        <w:spacing w:line="300" w:lineRule="auto" w:before="0"/>
        <w:ind w:left="152" w:right="1125" w:firstLine="384"/>
        <w:jc w:val="left"/>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分步实现企业合并过程中的各项交易的条款、条件以及经济影响符合以下一种或多种情况，将多次交易事项作为一</w:t>
      </w:r>
      <w:r>
        <w:rPr>
          <w:w w:val="99"/>
        </w:rPr>
        <w:t> </w:t>
      </w:r>
      <w:r>
        <w:rPr/>
        <w:t>揽子交易进行会计处理</w:t>
      </w:r>
      <w:r>
        <w:rPr>
          <w:b w:val="0"/>
          <w:bCs w:val="0"/>
        </w:rPr>
      </w:r>
    </w:p>
    <w:p>
      <w:pPr>
        <w:pStyle w:val="BodyText"/>
        <w:spacing w:line="240" w:lineRule="auto" w:before="31"/>
        <w:ind w:left="585" w:right="1133"/>
        <w:jc w:val="left"/>
      </w:pPr>
      <w:r>
        <w:rPr/>
        <w:t>①这些交易是同时或者在考虑了彼此影响的情况下订立的；</w:t>
      </w:r>
    </w:p>
    <w:p>
      <w:pPr>
        <w:pStyle w:val="BodyText"/>
        <w:spacing w:line="240" w:lineRule="auto" w:before="76"/>
        <w:ind w:left="585" w:right="1133"/>
        <w:jc w:val="left"/>
      </w:pPr>
      <w:r>
        <w:rPr/>
        <w:t>②这些交易整体才能达成一项完整的商业结果；</w:t>
      </w:r>
    </w:p>
    <w:p>
      <w:pPr>
        <w:pStyle w:val="BodyText"/>
        <w:spacing w:line="240" w:lineRule="auto" w:before="76"/>
        <w:ind w:left="585" w:right="1133"/>
        <w:jc w:val="left"/>
      </w:pPr>
      <w:r>
        <w:rPr/>
        <w:t>③一项交易的发生取决于其他至少一项交易的发生；</w:t>
      </w:r>
    </w:p>
    <w:p>
      <w:pPr>
        <w:pStyle w:val="BodyText"/>
        <w:spacing w:line="240" w:lineRule="auto" w:before="76"/>
        <w:ind w:left="585" w:right="1133"/>
        <w:jc w:val="left"/>
      </w:pPr>
      <w:r>
        <w:rPr/>
        <w:t>④一项交易单独看是不经济的，但是和其他交易一并考虑时是经济的。</w:t>
      </w:r>
    </w:p>
    <w:p>
      <w:pPr>
        <w:spacing w:line="300" w:lineRule="auto" w:before="76"/>
        <w:ind w:left="513" w:right="1124" w:firstLine="3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本公司在企业合并中取得的资产和负债，按照合并日在被合并方资产、负债（包括最终控制方收购被合并方而形成的商</w:t>
      </w:r>
    </w:p>
    <w:p>
      <w:pPr>
        <w:pStyle w:val="BodyText"/>
        <w:spacing w:line="316" w:lineRule="auto" w:before="31"/>
        <w:ind w:right="1124"/>
        <w:jc w:val="left"/>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19"/>
        <w:ind w:left="513" w:right="0"/>
        <w:jc w:val="left"/>
      </w:pPr>
      <w:r>
        <w:rPr/>
        <w:t>如果存在或有对价并需要确认预计负债或资产，该预计负债或资产金额与后续或有对价结算金额的差额，调整资本公积</w:t>
      </w:r>
    </w:p>
    <w:p>
      <w:pPr>
        <w:pStyle w:val="BodyText"/>
        <w:spacing w:line="316" w:lineRule="auto" w:before="76"/>
        <w:ind w:left="513" w:right="1124" w:hanging="361"/>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044"/>
        <w:jc w:val="both"/>
      </w:pP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3"/>
        </w:rPr>
        <w:t> </w:t>
      </w:r>
      <w:r>
        <w:rPr>
          <w:spacing w:val="-63"/>
        </w:rPr>
      </w:r>
      <w:r>
        <w:rPr>
          <w:spacing w:val="-4"/>
        </w:rPr>
        <w:t>中除净损益、其他综合收益和利润分配以外的所有者权益其他变动，暂不进行会计处理，直至处置该项投资时转入当期损益。</w:t>
      </w:r>
    </w:p>
    <w:p>
      <w:pPr>
        <w:spacing w:line="300" w:lineRule="auto" w:before="19"/>
        <w:ind w:left="513" w:right="1124" w:hanging="4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购买日是指本公司实际取得对被购买方控制权的日期，即被购买方的净资产或生产经营决策的控制权转移给本公司的日</w:t>
      </w:r>
    </w:p>
    <w:p>
      <w:pPr>
        <w:pStyle w:val="BodyText"/>
        <w:spacing w:line="240" w:lineRule="auto" w:before="31"/>
        <w:ind w:right="0"/>
        <w:jc w:val="both"/>
      </w:pPr>
      <w:r>
        <w:rPr/>
        <w:t>期。同时满足下列条件时，本公司一般认为实现了控制权的转移：</w:t>
      </w:r>
    </w:p>
    <w:p>
      <w:pPr>
        <w:pStyle w:val="BodyText"/>
        <w:spacing w:line="240" w:lineRule="auto" w:before="76"/>
        <w:ind w:left="513" w:right="1133"/>
        <w:jc w:val="left"/>
      </w:pPr>
      <w:r>
        <w:rPr/>
        <w:t>①企业合并合同或协议已获本公司内部权力机构通过。</w:t>
      </w:r>
    </w:p>
    <w:p>
      <w:pPr>
        <w:pStyle w:val="BodyText"/>
        <w:spacing w:line="240" w:lineRule="auto" w:before="76"/>
        <w:ind w:left="513" w:right="1133"/>
        <w:jc w:val="left"/>
      </w:pPr>
      <w:r>
        <w:rPr/>
        <w:t>②企业合并事项需要经过国家有关主管部门审批的，已获得批准。</w:t>
      </w:r>
    </w:p>
    <w:p>
      <w:pPr>
        <w:pStyle w:val="BodyText"/>
        <w:spacing w:line="240" w:lineRule="auto" w:before="76"/>
        <w:ind w:left="513" w:right="1133"/>
        <w:jc w:val="left"/>
      </w:pPr>
      <w:r>
        <w:rPr/>
        <w:t>③已办理了必要的财产权转移手续。</w:t>
      </w:r>
    </w:p>
    <w:p>
      <w:pPr>
        <w:pStyle w:val="BodyText"/>
        <w:spacing w:line="240" w:lineRule="auto" w:before="76"/>
        <w:ind w:left="513" w:right="1133"/>
        <w:jc w:val="left"/>
      </w:pPr>
      <w:r>
        <w:rPr/>
        <w:t>④本公司已支付了合并价款的大部分，并且有能力、有计划支付剩余款项。</w:t>
      </w:r>
    </w:p>
    <w:p>
      <w:pPr>
        <w:pStyle w:val="BodyText"/>
        <w:spacing w:line="316" w:lineRule="auto" w:before="76"/>
        <w:ind w:left="513" w:right="0"/>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240" w:lineRule="auto" w:before="19"/>
        <w:ind w:right="0"/>
        <w:jc w:val="both"/>
      </w:pPr>
      <w:r>
        <w:rPr/>
        <w:t>计入当期损益。</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2" w:firstLine="360"/>
        <w:jc w:val="both"/>
      </w:pP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17"/>
        <w:ind w:right="1130" w:firstLine="360"/>
        <w:jc w:val="both"/>
      </w:pP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3"/>
        </w:rPr>
        <w:t> </w:t>
      </w:r>
      <w:r>
        <w:rPr>
          <w:spacing w:val="-63"/>
        </w:rPr>
      </w:r>
      <w:r>
        <w:rPr/>
        <w:t>日当期的投资收益。</w:t>
      </w:r>
    </w:p>
    <w:p>
      <w:pPr>
        <w:spacing w:line="300" w:lineRule="auto" w:before="19"/>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pacing w:val="-2"/>
          <w:sz w:val="18"/>
          <w:szCs w:val="18"/>
        </w:rPr>
        <w:t>为企业合并发生的审计、法律服务、评估咨询等中介费用以及其他直接相关费用，于发生时计入当期损益；为企业合并</w:t>
      </w:r>
    </w:p>
    <w:p>
      <w:pPr>
        <w:pStyle w:val="BodyText"/>
        <w:spacing w:line="240" w:lineRule="auto" w:before="31"/>
        <w:ind w:right="1133"/>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7" w:lineRule="auto" w:before="0"/>
        <w:ind w:left="460" w:right="1063" w:firstLine="9"/>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本公司以自身和各子公司的财务报表为基础，根据其他有关资料，编制合并财务报表。本公司编制合并财务报表，将整</w:t>
      </w:r>
    </w:p>
    <w:p>
      <w:pPr>
        <w:pStyle w:val="BodyText"/>
        <w:spacing w:line="316" w:lineRule="auto" w:before="26"/>
        <w:ind w:right="112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113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9" w:lineRule="auto" w:before="19"/>
        <w:ind w:right="1130"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3"/>
        </w:rPr>
        <w:t> </w:t>
      </w:r>
      <w:r>
        <w:rPr>
          <w:spacing w:val="-63"/>
        </w:rPr>
      </w:r>
      <w:r>
        <w:rPr/>
        <w:t>定不同时，从企业集团的角度对该交易予以调整。</w:t>
      </w:r>
    </w:p>
    <w:p>
      <w:pPr>
        <w:pStyle w:val="BodyText"/>
        <w:spacing w:line="316" w:lineRule="auto" w:before="17"/>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309" w:lineRule="auto" w:before="19"/>
        <w:ind w:left="513" w:right="1124"/>
        <w:jc w:val="left"/>
      </w:pPr>
      <w:r>
        <w:rPr/>
        <w:t>对于非同一控制下企业合并取得的子公司，以购买日可辨认净资产公允价值为基础对其财务报表进行调整 </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9" w:lineRule="auto" w:before="24"/>
        <w:ind w:right="112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4"/>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240" w:lineRule="auto" w:before="18"/>
        <w:ind w:left="513" w:right="0"/>
        <w:jc w:val="left"/>
      </w:pPr>
      <w:r>
        <w:rPr/>
        <w:t>因追加投资等原因能够对非同一控制下的被投资方实施控制的，对于购买日之前持有的被购买方的股权，本公司按照该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33"/>
        <w:jc w:val="both"/>
      </w:pP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537" w:right="1133"/>
        <w:jc w:val="left"/>
      </w:pPr>
      <w:r>
        <w:rPr>
          <w:rFonts w:ascii="Times New Roman" w:hAnsi="Times New Roman" w:cs="Times New Roman" w:eastAsia="Times New Roman" w:hint="default"/>
        </w:rPr>
        <w:t>2)</w:t>
      </w:r>
      <w:r>
        <w:rPr/>
        <w:t>处置子公司或业务</w:t>
      </w:r>
    </w:p>
    <w:p>
      <w:pPr>
        <w:pStyle w:val="BodyText"/>
        <w:spacing w:line="316" w:lineRule="auto" w:before="63"/>
        <w:ind w:left="513" w:right="1133" w:firstLine="72"/>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112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t> 由于被投资方重新计量设定受益计划净负债或净资产变动而产生的其他综合收益除外。</w:t>
      </w:r>
    </w:p>
    <w:p>
      <w:pPr>
        <w:pStyle w:val="BodyText"/>
        <w:spacing w:line="316" w:lineRule="auto" w:before="17"/>
        <w:ind w:left="513" w:right="1124"/>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19"/>
        <w:ind w:left="513" w:right="355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9"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7"/>
        <w:ind w:left="513" w:right="1124" w:firstLine="24"/>
        <w:jc w:val="left"/>
      </w:pPr>
      <w:r>
        <w:rPr>
          <w:rFonts w:ascii="Times New Roman" w:hAnsi="Times New Roman" w:cs="Times New Roman" w:eastAsia="Times New Roman" w:hint="default"/>
        </w:rPr>
        <w:t>3)</w:t>
      </w:r>
      <w:r>
        <w:rPr/>
        <w:t>购买子公司少数股权</w:t>
      </w:r>
      <w:r>
        <w:rPr>
          <w:w w:val="99"/>
        </w:rPr>
        <w:t>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24"/>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513" w:right="1133" w:hanging="72"/>
        <w:jc w:val="left"/>
      </w:pPr>
      <w:r>
        <w:rPr>
          <w:rFonts w:ascii="Times New Roman" w:hAnsi="Times New Roman" w:cs="Times New Roman" w:eastAsia="Times New Roman" w:hint="default"/>
        </w:rPr>
        <w:t>4)</w:t>
      </w:r>
      <w:r>
        <w:rPr/>
        <w:t>不丧失控制权的情况下部分处置对子公司的股权投资</w:t>
      </w:r>
      <w:r>
        <w:rPr>
          <w:w w:val="99"/>
        </w:rPr>
        <w:t> </w:t>
      </w:r>
      <w:r>
        <w:rPr/>
        <w:t>在不丧失控制权的情况下因部分处置对子公司的长期股权投资而取得的处置价款与处置长期股权投资相对应享有子公</w:t>
      </w:r>
    </w:p>
    <w:p>
      <w:pPr>
        <w:pStyle w:val="BodyText"/>
        <w:spacing w:line="316" w:lineRule="auto" w:before="31"/>
        <w:ind w:right="1124"/>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left="306" w:right="2056" w:firstLine="290"/>
        <w:jc w:val="left"/>
      </w:pPr>
      <w:r>
        <w:rPr/>
        <w:t>合营安排，是指一项由两个或两个以上的参与方共同控制的安排。本公司根据在合营安排中享有的权利 和承担的义务，</w:t>
      </w:r>
      <w:r>
        <w:rPr>
          <w:spacing w:val="-56"/>
        </w:rPr>
        <w:t> </w:t>
      </w:r>
      <w:r>
        <w:rPr/>
        <w:t>将合营安排分为共同经营和合营企业。共同经营，是指本公司享有该安排相关资产且承担该</w:t>
      </w:r>
      <w:r>
        <w:rPr/>
        <w:t> 安排相关负债的合营安排。合营 企业，是指本公司仅对该安排的净资产享有权利的合营安排。</w:t>
      </w:r>
      <w:r>
        <w:rPr>
          <w:spacing w:val="-36"/>
        </w:rPr>
        <w:t> </w:t>
      </w:r>
      <w:r>
        <w:rPr/>
        <w:t>本公司对合</w:t>
      </w:r>
      <w:r>
        <w:rPr/>
        <w:t> 营企业的投资采用权益法核算，按照本报告第十二节、五、</w:t>
      </w:r>
      <w:r>
        <w:rPr>
          <w:rFonts w:ascii="Times New Roman" w:hAnsi="Times New Roman" w:cs="Times New Roman" w:eastAsia="Times New Roman" w:hint="default"/>
        </w:rPr>
        <w:t>22</w:t>
      </w:r>
      <w:r>
        <w:rPr/>
        <w:t>（</w:t>
      </w:r>
      <w:r>
        <w:rPr>
          <w:rFonts w:ascii="Times New Roman" w:hAnsi="Times New Roman" w:cs="Times New Roman" w:eastAsia="Times New Roman" w:hint="default"/>
        </w:rPr>
        <w:t>2</w:t>
      </w:r>
      <w:r>
        <w:rPr/>
        <w:t>）②</w:t>
      </w:r>
      <w:r>
        <w:rPr>
          <w:spacing w:val="-19"/>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 的会计政策处理。</w:t>
      </w:r>
      <w:r>
        <w:rPr>
          <w:spacing w:val="-54"/>
        </w:rPr>
        <w:t> </w:t>
      </w:r>
      <w:r>
        <w:rPr/>
        <w:t>本公司作为合营方对共同经营，确认本公司单独持有的资产、单独所承担的负债，以及按</w:t>
      </w:r>
      <w:r>
        <w:rPr/>
        <w:t> </w:t>
      </w:r>
      <w:r>
        <w:rPr>
          <w:spacing w:val="-2"/>
        </w:rPr>
        <w:t>本公司份额确认共同持有的资产和共同承担的负债；确认出售本公司享有的共同经营产出份额所产生的收入；</w:t>
      </w:r>
      <w:r>
        <w:rPr>
          <w:spacing w:val="-81"/>
        </w:rPr>
        <w:t> </w:t>
      </w:r>
      <w:r>
        <w:rPr>
          <w:spacing w:val="-81"/>
        </w:rPr>
      </w:r>
      <w:r>
        <w:rPr/>
        <w:t>按本公司份额确认共同经营因出售产出所产生的</w:t>
      </w:r>
      <w:r>
        <w:rPr>
          <w:spacing w:val="-14"/>
        </w:rPr>
        <w:t> </w:t>
      </w:r>
      <w:r>
        <w:rPr>
          <w:spacing w:val="-3"/>
        </w:rPr>
        <w:t>收入；确认本公司单独所发生的费用，以及按本公司份额确</w:t>
      </w:r>
      <w:r>
        <w:rPr>
          <w:spacing w:val="-85"/>
        </w:rPr>
        <w:t> </w:t>
      </w:r>
      <w:r>
        <w:rPr>
          <w:spacing w:val="-85"/>
        </w:rPr>
      </w:r>
      <w:r>
        <w:rPr/>
        <w:t>认共同经营发生的费用。</w:t>
      </w:r>
      <w:r>
        <w:rPr>
          <w:spacing w:val="-21"/>
        </w:rPr>
        <w:t> </w:t>
      </w:r>
      <w:r>
        <w:rPr>
          <w:spacing w:val="-2"/>
        </w:rPr>
        <w:t>当本公司作为合营方向共同经营投出或出售资产（该资产不构成业务，下同）、或</w:t>
      </w:r>
    </w:p>
    <w:p>
      <w:pPr>
        <w:spacing w:after="0" w:line="314" w:lineRule="auto"/>
        <w:jc w:val="left"/>
        <w:sectPr>
          <w:footerReference w:type="default" r:id="rId14"/>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ind w:left="306" w:right="2056"/>
        <w:jc w:val="left"/>
      </w:pPr>
      <w:r>
        <w:rPr/>
        <w:t>者自共同经营购买资产时，在该等资产出</w:t>
      </w:r>
      <w:r>
        <w:rPr>
          <w:spacing w:val="-47"/>
        </w:rPr>
        <w:t> </w:t>
      </w:r>
      <w:r>
        <w:rPr/>
        <w:t>售给第三方之前，本公司仅确认因该交易产生的损益中归属于共同</w:t>
      </w:r>
      <w:r>
        <w:rPr/>
        <w:t> </w:t>
      </w:r>
      <w:r>
        <w:rPr>
          <w:spacing w:val="-2"/>
        </w:rPr>
        <w:t>经营其他参与方的部分。该等资产发生符合《企业会计准</w:t>
      </w:r>
      <w:r>
        <w:rPr/>
        <w:t> </w:t>
      </w:r>
      <w:r>
        <w:rPr>
          <w:spacing w:val="-2"/>
        </w:rPr>
        <w:t>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资产减值》等规定的资产减值损失的，</w:t>
      </w:r>
      <w:r>
        <w:rPr>
          <w:spacing w:val="-80"/>
        </w:rPr>
        <w:t> </w:t>
      </w:r>
      <w:r>
        <w:rPr>
          <w:spacing w:val="-80"/>
        </w:rPr>
      </w:r>
      <w:r>
        <w:rPr/>
        <w:t>对于由本公司向共同经营投出或出售资产的情况，本公司全额确认该损</w:t>
      </w:r>
      <w:r>
        <w:rPr>
          <w:spacing w:val="-27"/>
        </w:rPr>
        <w:t> </w:t>
      </w:r>
      <w:r>
        <w:rPr>
          <w:spacing w:val="-3"/>
        </w:rPr>
        <w:t>失；对于本公司自共同经营购买资产</w:t>
      </w:r>
      <w:r>
        <w:rPr/>
        <w:t> 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133"/>
        <w:jc w:val="left"/>
        <w:rPr>
          <w:b w:val="0"/>
          <w:bCs w:val="0"/>
        </w:rPr>
      </w:pPr>
      <w:bookmarkStart w:name="8、金及现金等价物的确定标准" w:id="180"/>
      <w:bookmarkEnd w:id="180"/>
      <w:r>
        <w:rPr>
          <w:b w:val="0"/>
          <w:bCs w:val="0"/>
        </w:rPr>
      </w:r>
      <w:r>
        <w:rPr>
          <w:rFonts w:ascii="Times New Roman" w:hAnsi="Times New Roman" w:cs="Times New Roman" w:eastAsia="Times New Roman" w:hint="default"/>
        </w:rPr>
        <w:t>8</w:t>
      </w:r>
      <w:r>
        <w:rPr/>
        <w:t>、金及现金等价物的确定标准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pPr>
      <w:r>
        <w:rPr>
          <w:spacing w:val="-2"/>
        </w:rPr>
        <w:t>在编制现金流量表时，将本公司库存现金以及可以随时用于支付的存款确认为现金。将同时具备期限短（一般从购买日起三</w:t>
      </w:r>
      <w:r>
        <w:rPr>
          <w:spacing w:val="-63"/>
        </w:rPr>
        <w:t> </w:t>
      </w:r>
      <w:r>
        <w:rPr>
          <w:spacing w:val="-63"/>
        </w:rPr>
      </w:r>
      <w:r>
        <w:rPr/>
        <w:t>个月内到期）、流动性强、易于转换为已知金额的现金、价值变动风险很小四个条件的投资，确定为现金等价物。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left="513" w:right="3193" w:firstLine="3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1"/>
        <w:ind w:right="113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113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00" w:lineRule="auto" w:before="19"/>
        <w:ind w:left="513" w:right="1133" w:hanging="53"/>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1124"/>
        <w:jc w:val="left"/>
      </w:pP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务报表折算差额计入其他综合收益。</w:t>
      </w:r>
    </w:p>
    <w:p>
      <w:pPr>
        <w:pStyle w:val="BodyText"/>
        <w:spacing w:line="316" w:lineRule="auto" w:before="19"/>
        <w:ind w:right="1130"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3"/>
        </w:rPr>
        <w:t> </w:t>
      </w:r>
      <w:r>
        <w:rPr>
          <w:spacing w:val="-63"/>
        </w:rPr>
      </w:r>
      <w:r>
        <w:rPr/>
        <w:t>或合营企业的部分股权时，与该境外经营相关的外币报表折算差额，按处置该境外经营的比例转入处置当期损益。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1124"/>
        <w:jc w:val="left"/>
      </w:pPr>
      <w:r>
        <w:rPr/>
        <w:t>在本公司成为金融工具合同的一方时确认一项金融资产或金融负债。 实际利率法是指计算金融资产或金融负债的摊余成本以及将利息收入或利息费用分摊计入各会计期间的方法。 </w:t>
      </w:r>
      <w:r>
        <w:rPr>
          <w:spacing w:val="-2"/>
        </w:rPr>
        <w:t>实际利率，是指将金融资产或金融负债在预计存续期的估计未来现金流量，折现为该金融资产账面余额或该金融负债摊</w:t>
      </w:r>
    </w:p>
    <w:p>
      <w:pPr>
        <w:pStyle w:val="BodyText"/>
        <w:spacing w:line="300" w:lineRule="auto" w:before="19"/>
        <w:ind w:right="1133"/>
        <w:jc w:val="left"/>
      </w:pPr>
      <w:r>
        <w:rPr/>
        <w:t>余成本所使用的利率。在确定实际利率时，在考虑金融资产或金融负债所有合同条款</w:t>
      </w:r>
      <w:r>
        <w:rPr>
          <w:rFonts w:ascii="Times New Roman" w:hAnsi="Times New Roman" w:cs="Times New Roman" w:eastAsia="Times New Roman" w:hint="default"/>
        </w:rPr>
        <w:t>(</w:t>
      </w:r>
      <w:r>
        <w:rPr/>
        <w:t>如提前还款、展期、看涨期权或其他</w:t>
      </w:r>
      <w:r>
        <w:rPr>
          <w:spacing w:val="-55"/>
        </w:rPr>
        <w:t> </w:t>
      </w:r>
      <w:r>
        <w:rPr>
          <w:spacing w:val="-55"/>
        </w:rPr>
      </w:r>
      <w:r>
        <w:rPr/>
        <w:t>类似期权等</w:t>
      </w:r>
      <w:r>
        <w:rPr>
          <w:rFonts w:ascii="Times New Roman" w:hAnsi="Times New Roman" w:cs="Times New Roman" w:eastAsia="Times New Roman" w:hint="default"/>
        </w:rPr>
        <w:t>)</w:t>
      </w:r>
      <w:r>
        <w:rPr/>
        <w:t>的基础上估计预期现金流量，但不考虑预期信用损失。</w:t>
      </w:r>
    </w:p>
    <w:p>
      <w:pPr>
        <w:pStyle w:val="BodyText"/>
        <w:spacing w:line="309" w:lineRule="auto" w:before="13"/>
        <w:ind w:right="1131" w:firstLine="360"/>
        <w:jc w:val="both"/>
      </w:pPr>
      <w:r>
        <w:rPr>
          <w:spacing w:val="-2"/>
        </w:rPr>
        <w:t>金融资产或金融负债的摊余成本是以该金融资产或金融负债的初始确认金额扣除已偿还的本金，加上或减去采用实际利</w:t>
      </w:r>
      <w:r>
        <w:rPr/>
        <w:t> 率法将该初始确认金额与到期日金额之间的差额进行摊销形成的累计摊销额，再扣除累计计提的损失准备</w:t>
      </w:r>
      <w:r>
        <w:rPr>
          <w:rFonts w:ascii="Times New Roman" w:hAnsi="Times New Roman" w:cs="Times New Roman" w:eastAsia="Times New Roman" w:hint="default"/>
        </w:rPr>
        <w:t>(</w:t>
      </w:r>
      <w:r>
        <w:rPr/>
        <w:t>仅适用于金融资</w:t>
      </w:r>
      <w:r>
        <w:rPr>
          <w:spacing w:val="-54"/>
        </w:rPr>
        <w:t> </w:t>
      </w:r>
      <w:r>
        <w:rPr>
          <w:spacing w:val="-54"/>
        </w:rPr>
      </w:r>
      <w:r>
        <w:rPr/>
        <w:t>产</w:t>
      </w:r>
      <w:r>
        <w:rPr>
          <w:rFonts w:ascii="Times New Roman" w:hAnsi="Times New Roman" w:cs="Times New Roman" w:eastAsia="Times New Roman" w:hint="default"/>
        </w:rPr>
        <w:t>)</w:t>
      </w:r>
      <w:r>
        <w:rPr/>
        <w:t>。</w:t>
      </w:r>
    </w:p>
    <w:p>
      <w:pPr>
        <w:spacing w:line="300" w:lineRule="auto" w:before="5"/>
        <w:ind w:left="513" w:right="229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金融资产分类和计量</w:t>
      </w:r>
      <w:r>
        <w:rPr>
          <w:rFonts w:ascii="宋体" w:hAnsi="宋体" w:cs="宋体" w:eastAsia="宋体" w:hint="default"/>
          <w:b/>
          <w:bCs/>
          <w:w w:val="99"/>
          <w:sz w:val="18"/>
          <w:szCs w:val="18"/>
        </w:rPr>
        <w:t> </w:t>
      </w:r>
      <w:r>
        <w:rPr>
          <w:rFonts w:ascii="宋体" w:hAnsi="宋体" w:cs="宋体" w:eastAsia="宋体" w:hint="default"/>
          <w:sz w:val="18"/>
          <w:szCs w:val="18"/>
        </w:rPr>
        <w:t>本公司根据所管理金融资产的业务模式和金融资产的合同现金流量特征，将金融资产划分为以下三类：</w:t>
      </w:r>
    </w:p>
    <w:p>
      <w:pPr>
        <w:pStyle w:val="BodyText"/>
        <w:spacing w:line="240" w:lineRule="auto" w:before="31"/>
        <w:ind w:left="513" w:right="1133"/>
        <w:jc w:val="left"/>
      </w:pPr>
      <w:r>
        <w:rPr/>
        <w:t>①摊余成本计量的金融资产。</w:t>
      </w:r>
    </w:p>
    <w:p>
      <w:pPr>
        <w:pStyle w:val="BodyText"/>
        <w:spacing w:line="240" w:lineRule="auto" w:before="76"/>
        <w:ind w:left="532" w:right="1133"/>
        <w:jc w:val="left"/>
      </w:pPr>
      <w:r>
        <w:rPr/>
        <w:t>②以公允价值计量且其变动计入其他综合收益的金融资产。</w:t>
      </w:r>
    </w:p>
    <w:p>
      <w:pPr>
        <w:pStyle w:val="BodyText"/>
        <w:spacing w:line="316" w:lineRule="auto" w:before="76"/>
        <w:ind w:left="513" w:right="1124" w:firstLine="19"/>
        <w:jc w:val="left"/>
      </w:pPr>
      <w:r>
        <w:rPr/>
        <w:t>③以公允价值计量且其变动计入当期损益的金融资产。 </w:t>
      </w:r>
      <w:r>
        <w:rPr>
          <w:spacing w:val="-2"/>
        </w:rPr>
        <w:t>金融资产在初始确认时以公允价值计量，但是因销售商品或提供服务等产生的应收账款或应收票据未包含重大融资成分</w:t>
      </w:r>
    </w:p>
    <w:p>
      <w:pPr>
        <w:spacing w:after="0" w:line="316" w:lineRule="auto"/>
        <w:jc w:val="left"/>
        <w:sectPr>
          <w:footerReference w:type="default" r:id="rId15"/>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ind w:left="513" w:right="1124" w:hanging="361"/>
        <w:jc w:val="left"/>
      </w:pPr>
      <w:r>
        <w:rPr/>
        <w:t>或不考虑不超过一年的融资成分的，按照交易价格进行初始计量。 </w:t>
      </w:r>
      <w:r>
        <w:rPr>
          <w:spacing w:val="-2"/>
        </w:rPr>
        <w:t>对于以公允价值计量且其变动计入当期损益的金融资产，相关交易费用直接计入当期损益，其他类别的金融资产相关交</w:t>
      </w:r>
    </w:p>
    <w:p>
      <w:pPr>
        <w:pStyle w:val="BodyText"/>
        <w:spacing w:line="316" w:lineRule="auto" w:before="17"/>
        <w:ind w:left="513" w:right="1124" w:hanging="361"/>
        <w:jc w:val="left"/>
      </w:pPr>
      <w:r>
        <w:rPr/>
        <w:t>易费用计入其初始确认金额。 </w:t>
      </w:r>
      <w:r>
        <w:rPr>
          <w:spacing w:val="-2"/>
        </w:rPr>
        <w:t>金融资产的后续计量取决于其分类，当且仅当本公司改变管理金融资产的业务模式时，才对所有受影响的相关金融资产</w:t>
      </w:r>
    </w:p>
    <w:p>
      <w:pPr>
        <w:pStyle w:val="BodyText"/>
        <w:spacing w:line="240" w:lineRule="auto" w:before="19"/>
        <w:ind w:right="1133"/>
        <w:jc w:val="left"/>
      </w:pPr>
      <w:r>
        <w:rPr/>
        <w:t>进行重分类。</w:t>
      </w:r>
    </w:p>
    <w:p>
      <w:pPr>
        <w:pStyle w:val="BodyText"/>
        <w:spacing w:line="316" w:lineRule="auto" w:before="76"/>
        <w:ind w:left="513" w:right="1124" w:hanging="48"/>
        <w:jc w:val="left"/>
      </w:pPr>
      <w:r>
        <w:rPr/>
        <w:t>①分类为以摊余成本计量的金融资产 </w:t>
      </w:r>
      <w:r>
        <w:rPr>
          <w:spacing w:val="-2"/>
        </w:rPr>
        <w:t>金融资产的合同条款规定在特定日期产生的现金流量仅为对本金和以未偿付本金金额为基础的利息的支付，且管理该金</w:t>
      </w:r>
    </w:p>
    <w:p>
      <w:pPr>
        <w:pStyle w:val="BodyText"/>
        <w:spacing w:line="316" w:lineRule="auto" w:before="19"/>
        <w:ind w:right="1133"/>
        <w:jc w:val="both"/>
      </w:pPr>
      <w:r>
        <w:rPr>
          <w:spacing w:val="-2"/>
        </w:rPr>
        <w:t>融资产的业务模式是以收取合同现金流量为目标，则本公司将该金融资产分类为以摊余成本计量的金融资产。本公司分类为</w:t>
      </w:r>
      <w:r>
        <w:rPr>
          <w:spacing w:val="-64"/>
        </w:rPr>
        <w:t> </w:t>
      </w:r>
      <w:r>
        <w:rPr>
          <w:spacing w:val="-64"/>
        </w:rPr>
      </w:r>
      <w:r>
        <w:rPr/>
        <w:t>以摊余成本计量的金融资产包括货币资金、应收账款、其他应收款、长期应收款等。</w:t>
      </w:r>
    </w:p>
    <w:p>
      <w:pPr>
        <w:pStyle w:val="BodyText"/>
        <w:spacing w:line="316" w:lineRule="auto" w:before="19"/>
        <w:ind w:right="1124" w:firstLine="360"/>
        <w:jc w:val="left"/>
      </w:pPr>
      <w:r>
        <w:rPr>
          <w:spacing w:val="-2"/>
        </w:rPr>
        <w:t>本公司对此类金融资产采用实际利率法确认利息收入，按摊余成本进行后续计量，其发生减值时或终止确认、修改产生</w:t>
      </w:r>
      <w:r>
        <w:rPr/>
        <w:t> 的利得或损失，计入当期损益。除下列情况外，本公司根据金融资产账面余额乘以实际利率计算确定利息收入：</w:t>
      </w:r>
    </w:p>
    <w:p>
      <w:pPr>
        <w:pStyle w:val="BodyText"/>
        <w:spacing w:line="300" w:lineRule="auto" w:before="19"/>
        <w:ind w:right="1124" w:firstLine="360"/>
        <w:jc w:val="left"/>
      </w:pP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 实际利率计算确定其利息收入。</w:t>
      </w:r>
    </w:p>
    <w:p>
      <w:pPr>
        <w:pStyle w:val="BodyText"/>
        <w:spacing w:line="309" w:lineRule="auto" w:before="31"/>
        <w:ind w:right="1034" w:firstLine="360"/>
        <w:jc w:val="left"/>
      </w:pP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BodyText"/>
        <w:spacing w:line="316" w:lineRule="auto" w:before="24"/>
        <w:ind w:left="513" w:right="1124" w:hanging="48"/>
        <w:jc w:val="left"/>
      </w:pPr>
      <w:r>
        <w:rPr/>
        <w:t>②分类为以公允价值计量且其变动计入其他综合收益的金融资产 </w:t>
      </w:r>
      <w:r>
        <w:rPr>
          <w:spacing w:val="-2"/>
        </w:rPr>
        <w:t>金融资产的合同条款规定在特定日期产生的现金流量仅为对本金和以未偿付本金金额为基础的利息的支付，且管理该金</w:t>
      </w:r>
    </w:p>
    <w:p>
      <w:pPr>
        <w:pStyle w:val="BodyText"/>
        <w:spacing w:line="316" w:lineRule="auto" w:before="19"/>
        <w:ind w:right="1133"/>
        <w:jc w:val="both"/>
      </w:pPr>
      <w:r>
        <w:rPr>
          <w:spacing w:val="-2"/>
        </w:rPr>
        <w:t>融资产的业务模式既以收取合同现金流量为目标又以出售该金融资产为目标，则本公司将该金融资产分类为以公允价值计量</w:t>
      </w:r>
      <w:r>
        <w:rPr>
          <w:spacing w:val="-64"/>
        </w:rPr>
        <w:t> </w:t>
      </w:r>
      <w:r>
        <w:rPr>
          <w:spacing w:val="-64"/>
        </w:rPr>
      </w:r>
      <w:r>
        <w:rPr/>
        <w:t>且其变动计入其他综合收益的金融资产。</w:t>
      </w:r>
    </w:p>
    <w:p>
      <w:pPr>
        <w:pStyle w:val="BodyText"/>
        <w:spacing w:line="316" w:lineRule="auto" w:before="19"/>
        <w:ind w:right="1034" w:firstLine="360"/>
        <w:jc w:val="left"/>
      </w:pPr>
      <w:r>
        <w:rPr>
          <w:spacing w:val="-2"/>
        </w:rPr>
        <w:t>本公司对此类金融资产采用实际利率法确认利息收入。除利息收入、减值损失及汇兑差额确认为当期损益外，其余公允</w:t>
      </w:r>
      <w:r>
        <w:rPr/>
        <w:t> 价值变动计入其他综合收益。当该金融资产终止确认时，之前计入其他综合收益的累计利得或损失从其他综合收益中转出， 计入当期损益。</w:t>
      </w:r>
    </w:p>
    <w:p>
      <w:pPr>
        <w:pStyle w:val="BodyText"/>
        <w:spacing w:line="319" w:lineRule="auto" w:before="19"/>
        <w:ind w:right="1132" w:firstLine="360"/>
        <w:jc w:val="both"/>
      </w:pPr>
      <w:r>
        <w:rPr>
          <w:spacing w:val="-2"/>
        </w:rPr>
        <w:t>以公允价值计量且变动计入其他综合收益的应收票据及应收账款列报为应收款项融资，其他此类金融资产列报为其他债</w:t>
      </w:r>
      <w:r>
        <w:rPr/>
        <w:t> </w:t>
      </w:r>
      <w:r>
        <w:rPr>
          <w:spacing w:val="-2"/>
        </w:rPr>
        <w:t>权投资，其中：自资产负债表日起一年内到期的其他债权投资列报为一年内到期的非流动资产，原到期日在一年以内的其他</w:t>
      </w:r>
      <w:r>
        <w:rPr>
          <w:spacing w:val="-66"/>
        </w:rPr>
        <w:t> </w:t>
      </w:r>
      <w:r>
        <w:rPr>
          <w:spacing w:val="-66"/>
        </w:rPr>
      </w:r>
      <w:r>
        <w:rPr/>
        <w:t>债权投资列报为其他流动资产。</w:t>
      </w:r>
    </w:p>
    <w:p>
      <w:pPr>
        <w:pStyle w:val="BodyText"/>
        <w:spacing w:line="316" w:lineRule="auto" w:before="17"/>
        <w:ind w:left="513" w:right="1124" w:hanging="48"/>
        <w:jc w:val="left"/>
      </w:pPr>
      <w:r>
        <w:rPr/>
        <w:t>③指定为以公允价值计量且其变动计入其他综合收益的金融资产 </w:t>
      </w:r>
      <w:r>
        <w:rPr>
          <w:spacing w:val="-2"/>
        </w:rPr>
        <w:t>在初始确认时，本公司可以单项金融资产为基础不可撤销地将非交易性权益工具投资指定为以公允价值计量且其变动计</w:t>
      </w:r>
    </w:p>
    <w:p>
      <w:pPr>
        <w:pStyle w:val="BodyText"/>
        <w:spacing w:line="316" w:lineRule="auto" w:before="19"/>
        <w:ind w:left="513" w:right="1124" w:hanging="361"/>
        <w:jc w:val="left"/>
      </w:pPr>
      <w:r>
        <w:rPr/>
        <w:t>入其他综合收益的金融资产。 </w:t>
      </w:r>
      <w:r>
        <w:rPr>
          <w:spacing w:val="-2"/>
        </w:rPr>
        <w:t>此类金融资产的公允价值变动计入其他综合收益，不需计提减值准备。该金融资产终止确认时，之前计入其他综合收益</w:t>
      </w:r>
    </w:p>
    <w:p>
      <w:pPr>
        <w:pStyle w:val="BodyText"/>
        <w:spacing w:line="316" w:lineRule="auto" w:before="19"/>
        <w:ind w:right="1131"/>
        <w:jc w:val="both"/>
      </w:pPr>
      <w:r>
        <w:rPr>
          <w:spacing w:val="-2"/>
        </w:rPr>
        <w:t>的累计利得或损失从其他综合收益中转出，计入留存收益。本公司持有该权益工具投资期间，在本公司收取股利的权利已经</w:t>
      </w:r>
      <w:r>
        <w:rPr>
          <w:spacing w:val="-65"/>
        </w:rPr>
        <w:t> </w:t>
      </w:r>
      <w:r>
        <w:rPr>
          <w:spacing w:val="-65"/>
        </w:rPr>
      </w:r>
      <w:r>
        <w:rPr>
          <w:spacing w:val="-2"/>
        </w:rPr>
        <w:t>确立，与股利相关的经济利益很可能流入本公司，且股利的金额能够可靠计量时，确认股利收入并计入当期损益。本公司对</w:t>
      </w:r>
      <w:r>
        <w:rPr>
          <w:spacing w:val="-65"/>
        </w:rPr>
        <w:t> </w:t>
      </w:r>
      <w:r>
        <w:rPr>
          <w:spacing w:val="-65"/>
        </w:rPr>
      </w:r>
      <w:r>
        <w:rPr/>
        <w:t>此类金融资产在其他权益工具投资项目下列报。</w:t>
      </w:r>
    </w:p>
    <w:p>
      <w:pPr>
        <w:pStyle w:val="BodyText"/>
        <w:spacing w:line="319" w:lineRule="auto" w:before="19"/>
        <w:ind w:right="1132" w:firstLine="360"/>
        <w:jc w:val="both"/>
      </w:pPr>
      <w:r>
        <w:rPr>
          <w:spacing w:val="-2"/>
        </w:rPr>
        <w:t>权益工具投资满足下列条件之一的，属于以公允价值计量且其变动计入当期损益的金融资产：取得该金融资产的目的主</w:t>
      </w:r>
      <w:r>
        <w:rPr/>
        <w:t> </w:t>
      </w:r>
      <w:r>
        <w:rPr>
          <w:spacing w:val="-2"/>
        </w:rPr>
        <w:t>要是为了近期出售；初始确认时属于集中管理的可辨认金融资产工具组合的一部分，且有客观证据表明近期实际存在短期获</w:t>
      </w:r>
      <w:r>
        <w:rPr>
          <w:spacing w:val="-64"/>
        </w:rPr>
        <w:t> </w:t>
      </w:r>
      <w:r>
        <w:rPr>
          <w:spacing w:val="-64"/>
        </w:rPr>
      </w:r>
      <w:r>
        <w:rPr/>
        <w:t>利模式；属于衍生工具（符合财务担保合同定义的以及被指定为有效套期工具的衍生工具除外）。</w:t>
      </w:r>
    </w:p>
    <w:p>
      <w:pPr>
        <w:pStyle w:val="BodyText"/>
        <w:spacing w:line="316" w:lineRule="auto" w:before="17"/>
        <w:ind w:left="513" w:right="1124" w:hanging="48"/>
        <w:jc w:val="left"/>
      </w:pPr>
      <w:r>
        <w:rPr/>
        <w:t>④分类为以公允价值计量且其变动计入当期损益的金融资产 </w:t>
      </w:r>
      <w:r>
        <w:rPr>
          <w:spacing w:val="-2"/>
        </w:rPr>
        <w:t>不符合分类为以摊余成本计量或以公允价值计量且其变动计入其他综合收益的金融资产条件、亦不指定为以公允价值计</w:t>
      </w:r>
    </w:p>
    <w:p>
      <w:pPr>
        <w:pStyle w:val="BodyText"/>
        <w:spacing w:line="316" w:lineRule="auto" w:before="19"/>
        <w:ind w:left="513" w:right="1124" w:hanging="361"/>
        <w:jc w:val="left"/>
      </w:pPr>
      <w:r>
        <w:rPr/>
        <w:t>量且其变动计入其他综合收益的金融资产均分类为以公允价值计量且其变动计入当期损益的金融资产。 </w:t>
      </w:r>
      <w:r>
        <w:rPr>
          <w:spacing w:val="-2"/>
        </w:rPr>
        <w:t>本公司对此类金融资产采用公允价值进行后续计量，将公允价值变动形成的利得或损失以及与此类金融资产相关的股利</w:t>
      </w:r>
    </w:p>
    <w:p>
      <w:pPr>
        <w:pStyle w:val="BodyText"/>
        <w:spacing w:line="316" w:lineRule="auto" w:before="19"/>
        <w:ind w:left="513" w:right="3373" w:hanging="361"/>
        <w:jc w:val="left"/>
      </w:pPr>
      <w:r>
        <w:rPr/>
        <w:t>和利息收入计入当期损益。 本公司对此类金融资产根据其流动性在交易性金融资产、其他非流动金融资产项目列报。</w:t>
      </w:r>
    </w:p>
    <w:p>
      <w:pPr>
        <w:pStyle w:val="BodyText"/>
        <w:spacing w:line="316" w:lineRule="auto" w:before="19"/>
        <w:ind w:left="513" w:right="1124" w:hanging="72"/>
        <w:jc w:val="left"/>
      </w:pPr>
      <w:r>
        <w:rPr/>
        <w:t>⑤指定为以公允价值计量且其变动计入当期损益的金融资产 </w:t>
      </w:r>
      <w:r>
        <w:rPr>
          <w:spacing w:val="-2"/>
        </w:rPr>
        <w:t>在初始确认时，本公司为了消除或显著减少会计错配，可以单项金融资产为基础不可撤销地将金融资产指定为以公允价</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hanging="361"/>
        <w:jc w:val="left"/>
      </w:pPr>
      <w:r>
        <w:rPr/>
        <w:t>值计量且其变动计入当期损益的金融资产。 </w:t>
      </w:r>
      <w:r>
        <w:rPr>
          <w:spacing w:val="-2"/>
        </w:rPr>
        <w:t>混合合同包含一项或多项嵌入衍生工具，且其主合同不属于以上金融资产的，本公司可以将其整体指定为以公允价值计</w:t>
      </w:r>
    </w:p>
    <w:p>
      <w:pPr>
        <w:pStyle w:val="BodyText"/>
        <w:spacing w:line="240" w:lineRule="auto" w:before="17"/>
        <w:ind w:right="1133"/>
        <w:jc w:val="left"/>
      </w:pPr>
      <w:r>
        <w:rPr/>
        <w:t>量且其变动计入当期损益的金融工具。但下列情况除外：</w:t>
      </w:r>
    </w:p>
    <w:p>
      <w:pPr>
        <w:pStyle w:val="BodyText"/>
        <w:spacing w:line="240" w:lineRule="auto" w:before="76"/>
        <w:ind w:left="441" w:right="1133"/>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00" w:lineRule="auto" w:before="63"/>
        <w:ind w:right="1124" w:firstLine="288"/>
        <w:jc w:val="left"/>
      </w:pP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在初次确定类似的混合合同是否需要分拆时，几乎不需分析就能明确其包含的嵌入衍生工具不应分拆。如嵌入贷款的</w:t>
      </w:r>
      <w:r>
        <w:rPr>
          <w:w w:val="99"/>
        </w:rPr>
        <w:t> </w:t>
      </w:r>
      <w:r>
        <w:rPr/>
        <w:t>提前还款权，允许持有人以接近摊余成本的金额提前偿还贷款，该提前还款权不需要分拆。</w:t>
      </w:r>
    </w:p>
    <w:p>
      <w:pPr>
        <w:pStyle w:val="BodyText"/>
        <w:spacing w:line="316" w:lineRule="auto" w:before="31"/>
        <w:ind w:right="1124" w:firstLine="360"/>
        <w:jc w:val="left"/>
      </w:pP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9"/>
        <w:ind w:left="513" w:right="1133"/>
        <w:jc w:val="left"/>
      </w:pPr>
      <w:r>
        <w:rPr/>
        <w:t>本公司对此类金融资产根据其流动性在交易性金融资产、其他非流动金融资产项目列报。</w:t>
      </w:r>
    </w:p>
    <w:p>
      <w:pPr>
        <w:pStyle w:val="BodyText"/>
        <w:spacing w:line="300" w:lineRule="auto" w:before="76"/>
        <w:ind w:left="513" w:right="1124" w:hanging="53"/>
        <w:jc w:val="left"/>
      </w:pPr>
      <w:r>
        <w:rPr>
          <w:rFonts w:ascii="Times New Roman" w:hAnsi="Times New Roman" w:cs="Times New Roman" w:eastAsia="Times New Roman" w:hint="default"/>
          <w:b/>
          <w:bCs/>
        </w:rPr>
        <w:t>(2)</w:t>
      </w:r>
      <w:r>
        <w:rPr>
          <w:rFonts w:ascii="宋体" w:hAnsi="宋体" w:cs="宋体" w:eastAsia="宋体" w:hint="default"/>
          <w:b/>
          <w:bCs/>
        </w:rPr>
        <w:t>金融负债分类和计量</w:t>
      </w:r>
      <w:r>
        <w:rPr>
          <w:rFonts w:ascii="宋体" w:hAnsi="宋体" w:cs="宋体" w:eastAsia="宋体" w:hint="default"/>
          <w:b/>
          <w:bCs/>
          <w:w w:val="99"/>
        </w:rPr>
        <w:t> </w:t>
      </w:r>
      <w:r>
        <w:rPr>
          <w:spacing w:val="-2"/>
        </w:rPr>
        <w:t>本公司根据所发行金融工具的合同条款及其所反映的经济实质而非仅以法律形式，结合金融负债和权益工具的定义，在</w:t>
      </w:r>
    </w:p>
    <w:p>
      <w:pPr>
        <w:pStyle w:val="BodyText"/>
        <w:spacing w:line="319" w:lineRule="auto" w:before="31"/>
        <w:ind w:right="1124"/>
        <w:jc w:val="left"/>
      </w:pPr>
      <w:r>
        <w:rPr>
          <w:spacing w:val="-2"/>
        </w:rPr>
        <w:t>初始确认时将该金融工具或其组成部分分类为金融负债或权益工具。金融负债在初始确认时分类为：以公允价值计量且其变</w:t>
      </w:r>
      <w:r>
        <w:rPr>
          <w:spacing w:val="-63"/>
        </w:rPr>
        <w:t> </w:t>
      </w:r>
      <w:r>
        <w:rPr>
          <w:spacing w:val="-63"/>
        </w:rPr>
      </w:r>
      <w:r>
        <w:rPr/>
        <w:t>动计入当期损益的金融负债、其他金融负债、被指定为有效套期工具的衍生工具。</w:t>
      </w:r>
    </w:p>
    <w:p>
      <w:pPr>
        <w:pStyle w:val="BodyText"/>
        <w:spacing w:line="316" w:lineRule="auto" w:before="17"/>
        <w:ind w:right="1124" w:firstLine="360"/>
        <w:jc w:val="left"/>
      </w:pPr>
      <w:r>
        <w:rPr>
          <w:spacing w:val="-2"/>
        </w:rPr>
        <w:t>金融负债在初始确认时以公允价值计量。对于以公允价值计量且其变动计入当期损益的金融负债，相关的交易费用直接</w:t>
      </w:r>
      <w:r>
        <w:rPr/>
        <w:t> 计入当期损益；对于其他类别的金融负债，相关交易费用计入初始确认金额。</w:t>
      </w:r>
    </w:p>
    <w:p>
      <w:pPr>
        <w:pStyle w:val="BodyText"/>
        <w:spacing w:line="240" w:lineRule="auto" w:before="19"/>
        <w:ind w:left="513" w:right="1133"/>
        <w:jc w:val="left"/>
      </w:pPr>
      <w:r>
        <w:rPr/>
        <w:t>金融负债的后续计量取决于其分类：</w:t>
      </w:r>
    </w:p>
    <w:p>
      <w:pPr>
        <w:pStyle w:val="BodyText"/>
        <w:spacing w:line="316" w:lineRule="auto" w:before="76"/>
        <w:ind w:left="513" w:right="1124" w:hanging="72"/>
        <w:jc w:val="left"/>
      </w:pPr>
      <w:r>
        <w:rPr/>
        <w:t>①以公允价值计量且其变动计入当期损益的金融负债 </w:t>
      </w:r>
      <w:r>
        <w:rPr>
          <w:spacing w:val="-2"/>
        </w:rPr>
        <w:t>此类金融负债包括交易性金融负债（含属于金融负债的衍生工具）和初始确认时指定为以公允价值计量且其变动计入当</w:t>
      </w:r>
    </w:p>
    <w:p>
      <w:pPr>
        <w:pStyle w:val="BodyText"/>
        <w:spacing w:line="316" w:lineRule="auto" w:before="19"/>
        <w:ind w:left="513" w:right="1124" w:hanging="361"/>
        <w:jc w:val="left"/>
      </w:pPr>
      <w:r>
        <w:rPr/>
        <w:t>期损益的金融负债。 </w:t>
      </w:r>
      <w:r>
        <w:rPr>
          <w:spacing w:val="-2"/>
        </w:rPr>
        <w:t>满足下列条件之一的，属于交易性金融负债：承担相关金融负债的目的主要是为了在近期内出售或回购；属于集中管理</w:t>
      </w:r>
    </w:p>
    <w:p>
      <w:pPr>
        <w:pStyle w:val="BodyText"/>
        <w:spacing w:line="316" w:lineRule="auto" w:before="19"/>
        <w:ind w:right="1131"/>
        <w:jc w:val="both"/>
      </w:pPr>
      <w:r>
        <w:rPr>
          <w:spacing w:val="-2"/>
        </w:rPr>
        <w:t>的可辨认金融工具组合的一部分，且有客观证据表明企业近期采用短期获利方式模式；属于衍生工具，但是，被指定且为有</w:t>
      </w:r>
      <w:r>
        <w:rPr>
          <w:spacing w:val="-64"/>
        </w:rPr>
        <w:t> </w:t>
      </w:r>
      <w:r>
        <w:rPr>
          <w:spacing w:val="-64"/>
        </w:rPr>
      </w:r>
      <w:r>
        <w:rPr>
          <w:spacing w:val="-2"/>
        </w:rPr>
        <w:t>效套期工具的衍生工具、符合财务担保合同的衍生工具除外。交易性金融负债（含属于金融负债的衍生工具），按照公允价</w:t>
      </w:r>
      <w:r>
        <w:rPr>
          <w:spacing w:val="-67"/>
        </w:rPr>
        <w:t> </w:t>
      </w:r>
      <w:r>
        <w:rPr>
          <w:spacing w:val="-67"/>
        </w:rPr>
      </w:r>
      <w:r>
        <w:rPr/>
        <w:t>值进行后续计量，除与套期会计有关外，所有公允价值变动均计入当期损益。</w:t>
      </w:r>
    </w:p>
    <w:p>
      <w:pPr>
        <w:pStyle w:val="BodyText"/>
        <w:spacing w:line="319" w:lineRule="auto" w:before="19"/>
        <w:ind w:right="1124" w:firstLine="360"/>
        <w:jc w:val="left"/>
      </w:pPr>
      <w:r>
        <w:rPr>
          <w:spacing w:val="-2"/>
        </w:rPr>
        <w:t>在初始确认时，为了提供更相关的会计信息，本公司将满足下列条件之一的金融负债不可撤销地指定为以公允价值计量</w:t>
      </w:r>
      <w:r>
        <w:rPr/>
        <w:t> 且其变动计入当期损益的金融负债：</w:t>
      </w:r>
    </w:p>
    <w:p>
      <w:pPr>
        <w:pStyle w:val="BodyText"/>
        <w:spacing w:line="240" w:lineRule="auto" w:before="17"/>
        <w:ind w:left="441" w:right="1133"/>
        <w:jc w:val="left"/>
      </w:pPr>
      <w:r>
        <w:rPr>
          <w:rFonts w:ascii="Times New Roman" w:hAnsi="Times New Roman" w:cs="Times New Roman" w:eastAsia="Times New Roman" w:hint="default"/>
        </w:rPr>
        <w:t>1)</w:t>
      </w:r>
      <w:r>
        <w:rPr/>
        <w:t>能够消除或显著减少会计错配。</w:t>
      </w:r>
    </w:p>
    <w:p>
      <w:pPr>
        <w:pStyle w:val="BodyText"/>
        <w:spacing w:line="300" w:lineRule="auto" w:before="63"/>
        <w:ind w:right="1133" w:firstLine="288"/>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根据正式书面文件载明的企业风险管理或投资策略，以公允价值为基础对金融负债组合或金融资产和金融负债组合进</w:t>
      </w:r>
      <w:r>
        <w:rPr>
          <w:w w:val="99"/>
        </w:rPr>
        <w:t> </w:t>
      </w:r>
      <w:r>
        <w:rPr/>
        <w:t>行管理和业绩评价，并在企业内部以此为基础向关键管理人员报告。</w:t>
      </w:r>
    </w:p>
    <w:p>
      <w:pPr>
        <w:pStyle w:val="BodyText"/>
        <w:spacing w:line="316" w:lineRule="auto" w:before="31"/>
        <w:ind w:right="1132" w:firstLine="360"/>
        <w:jc w:val="both"/>
      </w:pPr>
      <w:r>
        <w:rPr>
          <w:spacing w:val="-2"/>
        </w:rPr>
        <w:t>本公司对此类金融负债采用公允价值进行后续计量，除由本公司自身信用风险变动引起的公允价值变动计入其他综合收</w:t>
      </w:r>
      <w:r>
        <w:rPr/>
        <w:t> </w:t>
      </w:r>
      <w:r>
        <w:rPr>
          <w:spacing w:val="-2"/>
        </w:rPr>
        <w:t>益之外，其他公允价值变动计入当期损益。除非由本公司自身信用风险变动引起的公允价值变动计入其他综合收益会造成或</w:t>
      </w:r>
      <w:r>
        <w:rPr>
          <w:spacing w:val="-64"/>
        </w:rPr>
        <w:t> </w:t>
      </w:r>
      <w:r>
        <w:rPr>
          <w:spacing w:val="-64"/>
        </w:rPr>
      </w:r>
      <w:r>
        <w:rPr/>
        <w:t>扩大损益中的会计错配，本公司将所有公允价值变动（包括自身信用风险变动的影响金额）计入当期损益。</w:t>
      </w:r>
    </w:p>
    <w:p>
      <w:pPr>
        <w:pStyle w:val="BodyText"/>
        <w:spacing w:line="316" w:lineRule="auto" w:before="19"/>
        <w:ind w:left="513" w:right="1124" w:hanging="72"/>
        <w:jc w:val="left"/>
      </w:pPr>
      <w:r>
        <w:rPr/>
        <w:t>②其他金融负债 </w:t>
      </w:r>
      <w:r>
        <w:rPr>
          <w:spacing w:val="-2"/>
        </w:rPr>
        <w:t>除下列各项外，公司将金融负债分类为以摊余成本计量的金融负债，对此类金融负债采用实际利率法，按照摊余成本进</w:t>
      </w:r>
    </w:p>
    <w:p>
      <w:pPr>
        <w:pStyle w:val="BodyText"/>
        <w:spacing w:line="316" w:lineRule="auto" w:before="19"/>
        <w:ind w:right="5714"/>
        <w:jc w:val="left"/>
      </w:pPr>
      <w:r>
        <w:rPr/>
        <w:t>行后续计量，终止确认或摊销产生的利得或损失计入当期损益： </w:t>
      </w:r>
      <w:r>
        <w:rPr>
          <w:rFonts w:ascii="宋体" w:hAnsi="宋体" w:cs="宋体" w:eastAsia="宋体" w:hint="default"/>
        </w:rPr>
        <w:t>1.  </w:t>
      </w:r>
      <w:r>
        <w:rPr/>
        <w:t>以公允价值计量且其变动计入当期损益的金融负债。</w:t>
      </w:r>
    </w:p>
    <w:p>
      <w:pPr>
        <w:pStyle w:val="BodyText"/>
        <w:spacing w:line="240" w:lineRule="auto" w:before="19"/>
        <w:ind w:right="1133"/>
        <w:jc w:val="left"/>
      </w:pPr>
      <w:r>
        <w:rPr>
          <w:rFonts w:ascii="宋体" w:hAnsi="宋体" w:cs="宋体" w:eastAsia="宋体" w:hint="default"/>
        </w:rPr>
        <w:t>2.  </w:t>
      </w:r>
      <w:r>
        <w:rPr/>
        <w:t>金融资产转移不符合终止确认条件或继续涉入被转移金融资产所形成的金融负债。</w:t>
      </w:r>
    </w:p>
    <w:p>
      <w:pPr>
        <w:pStyle w:val="BodyText"/>
        <w:spacing w:line="300" w:lineRule="auto" w:before="76"/>
        <w:ind w:left="513" w:right="1124" w:hanging="361"/>
        <w:jc w:val="left"/>
      </w:pPr>
      <w:r>
        <w:rPr>
          <w:rFonts w:ascii="宋体" w:hAnsi="宋体" w:cs="宋体" w:eastAsia="宋体" w:hint="default"/>
        </w:rPr>
        <w:t>3.</w:t>
      </w:r>
      <w:r>
        <w:rPr>
          <w:rFonts w:ascii="宋体" w:hAnsi="宋体" w:cs="宋体" w:eastAsia="宋体" w:hint="default"/>
          <w:spacing w:val="89"/>
        </w:rPr>
        <w:t> </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）类情形的以低于市场利率贷款的贷款承诺。 </w:t>
      </w:r>
      <w:r>
        <w:rPr>
          <w:spacing w:val="-2"/>
        </w:rPr>
        <w:t>财务担保合同是指当特定债务人到期不能按照最初或修改后的债务工具条款偿付债务时，要求发行方向蒙受损失的合同</w:t>
      </w:r>
    </w:p>
    <w:p>
      <w:pPr>
        <w:pStyle w:val="BodyText"/>
        <w:spacing w:line="316" w:lineRule="auto" w:before="31"/>
        <w:ind w:right="1124"/>
        <w:jc w:val="left"/>
      </w:pPr>
      <w:r>
        <w:rPr>
          <w:spacing w:val="-2"/>
        </w:rPr>
        <w:t>持有人赔付特定金额的合同。不属于指定为以公允价值计量且其变动计入当期损益的金融负债的财务担保合同，在初始确认</w:t>
      </w:r>
      <w:r>
        <w:rPr>
          <w:spacing w:val="-64"/>
        </w:rPr>
        <w:t> </w:t>
      </w:r>
      <w:r>
        <w:rPr>
          <w:spacing w:val="-64"/>
        </w:rPr>
      </w:r>
      <w:r>
        <w:rPr/>
        <w:t>后按照损失准备金额以及初始确认金额扣除担保期内的累计摊销额后的余额孰高进行计量。</w:t>
      </w:r>
    </w:p>
    <w:p>
      <w:pPr>
        <w:pStyle w:val="Heading5"/>
        <w:spacing w:line="240" w:lineRule="auto" w:before="139"/>
        <w:ind w:left="537" w:right="1133"/>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240" w:lineRule="auto" w:before="63"/>
        <w:ind w:left="513" w:right="1133"/>
        <w:jc w:val="left"/>
      </w:pPr>
      <w:r>
        <w:rPr/>
        <w:t>①金融资产满足下列条件之一的，终止确认金融资产，即从其账户和资产负债表内予以转销：</w:t>
      </w:r>
    </w:p>
    <w:p>
      <w:pPr>
        <w:pStyle w:val="BodyText"/>
        <w:spacing w:line="240" w:lineRule="auto" w:before="76"/>
        <w:ind w:left="441"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63"/>
        <w:ind w:left="441" w:right="1133"/>
        <w:jc w:val="left"/>
      </w:pPr>
      <w:r>
        <w:rPr>
          <w:rFonts w:ascii="Times New Roman" w:hAnsi="Times New Roman" w:cs="Times New Roman" w:eastAsia="Times New Roman" w:hint="default"/>
        </w:rPr>
        <w:t>2)</w:t>
      </w:r>
      <w:r>
        <w:rPr/>
        <w:t>该金融资产已转移，且该转移满足金融资产终止确认的规定。</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jc w:val="left"/>
      </w:pPr>
      <w:r>
        <w:rPr/>
        <w:t>②金融负债终止确认条件 金融负债（或其一部分）的现时义务已经解除的，则终止确认该金融负债（或该部分金融负债）。 </w:t>
      </w:r>
      <w:r>
        <w:rPr>
          <w:spacing w:val="-2"/>
        </w:rPr>
        <w:t>本公司与借出方之间签订协议，以承担新金融负债方式替换原金融负债，且新金融负债与原金融负债的合同条款实质上</w:t>
      </w:r>
    </w:p>
    <w:p>
      <w:pPr>
        <w:pStyle w:val="BodyText"/>
        <w:spacing w:line="316" w:lineRule="auto" w:before="17"/>
        <w:ind w:right="0"/>
        <w:jc w:val="left"/>
      </w:pPr>
      <w:r>
        <w:rPr>
          <w:spacing w:val="-4"/>
        </w:rPr>
        <w:t>不同的，或对原金融负债（或其一部分）的合同条款做出实质性修改的，则终止确认原金融负债，同时确认一项新金融负债，</w:t>
      </w:r>
      <w:r>
        <w:rPr>
          <w:spacing w:val="-43"/>
        </w:rPr>
        <w:t> </w:t>
      </w:r>
      <w:r>
        <w:rPr>
          <w:spacing w:val="-43"/>
        </w:rPr>
      </w:r>
      <w:r>
        <w:rPr/>
        <w:t>账面价值与支付的对价（包括转出的非现金资产或承担的负债）之间的差额，计入当期损益。</w:t>
      </w:r>
    </w:p>
    <w:p>
      <w:pPr>
        <w:pStyle w:val="BodyText"/>
        <w:spacing w:line="316" w:lineRule="auto" w:before="19"/>
        <w:ind w:right="0" w:firstLine="360"/>
        <w:jc w:val="left"/>
      </w:pPr>
      <w:r>
        <w:rPr>
          <w:spacing w:val="-2"/>
        </w:rPr>
        <w:t>本公司回购金融负债一部分的，按照继续确认部分和终止确认部分在回购日各自的公允价值占整体公允价值的比例，对</w:t>
      </w:r>
      <w:r>
        <w:rPr/>
        <w:t> </w:t>
      </w:r>
      <w:r>
        <w:rPr>
          <w:spacing w:val="-4"/>
        </w:rPr>
        <w:t>该金融负债整体的账面价值进行分配。分配给终止确认部分的账面价值与支付的对价（包括转出的非现金资产或承担的负债）</w:t>
      </w:r>
      <w:r>
        <w:rPr>
          <w:spacing w:val="-43"/>
        </w:rPr>
        <w:t> </w:t>
      </w:r>
      <w:r>
        <w:rPr>
          <w:spacing w:val="-43"/>
        </w:rPr>
      </w:r>
      <w:r>
        <w:rPr/>
        <w:t>之间的差额，应当计入当期损益。</w:t>
      </w:r>
    </w:p>
    <w:p>
      <w:pPr>
        <w:spacing w:line="300" w:lineRule="auto" w:before="19"/>
        <w:ind w:left="513" w:right="1933" w:hanging="2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本公司在发生金融资产转移时，评估其保留金融资产所有权上的风险和报酬的程度，并分别下列情形处理：</w:t>
      </w:r>
    </w:p>
    <w:p>
      <w:pPr>
        <w:pStyle w:val="BodyText"/>
        <w:spacing w:line="316" w:lineRule="auto" w:before="31"/>
        <w:ind w:right="1124" w:firstLine="432"/>
        <w:jc w:val="left"/>
      </w:pPr>
      <w:r>
        <w:rPr/>
        <w:t>①转移了金融资产所有权上几乎所有风险和报酬的，则终止确认该金融资产，并将转移中产生或保留的权利和义务单 独确认为资产或负债。</w:t>
      </w:r>
    </w:p>
    <w:p>
      <w:pPr>
        <w:pStyle w:val="BodyText"/>
        <w:spacing w:line="240" w:lineRule="auto" w:before="19"/>
        <w:ind w:left="441" w:right="1133"/>
        <w:jc w:val="left"/>
      </w:pPr>
      <w:r>
        <w:rPr/>
        <w:t>②保留了金融资产所有权上几乎所有风险和报酬的，则继续确认该金融资产。</w:t>
      </w:r>
    </w:p>
    <w:p>
      <w:pPr>
        <w:pStyle w:val="BodyText"/>
        <w:spacing w:line="300" w:lineRule="auto" w:before="76"/>
        <w:ind w:right="1133" w:firstLine="288"/>
        <w:jc w:val="left"/>
      </w:pPr>
      <w:r>
        <w:rPr>
          <w:spacing w:val="-1"/>
        </w:rPr>
        <w:t>③既没有转移也没有保留金融资产所有权上几乎所有风险和报酬的（即除本条（</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）之外的其他情形），则根据</w:t>
      </w:r>
      <w:r>
        <w:rPr/>
        <w:t> 其是否保留了对金融资产的控制，分别下列情形处理：</w:t>
      </w:r>
    </w:p>
    <w:p>
      <w:pPr>
        <w:pStyle w:val="BodyText"/>
        <w:spacing w:line="240" w:lineRule="auto" w:before="31"/>
        <w:ind w:left="441" w:right="0"/>
        <w:jc w:val="left"/>
      </w:pP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pStyle w:val="BodyText"/>
        <w:spacing w:line="300" w:lineRule="auto" w:before="63"/>
        <w:ind w:right="0" w:firstLine="288"/>
        <w:jc w:val="left"/>
      </w:pPr>
      <w:r>
        <w:rPr>
          <w:rFonts w:ascii="Times New Roman" w:hAnsi="Times New Roman" w:cs="Times New Roman" w:eastAsia="Times New Roman" w:hint="default"/>
          <w:spacing w:val="-2"/>
        </w:rPr>
        <w:t>2)</w:t>
      </w:r>
      <w:r>
        <w:rPr>
          <w:spacing w:val="-2"/>
        </w:rPr>
        <w:t>保留了对该金融资产控制的，则按照其继续涉入被转移金融资产的程度继续确认有关金融资产，并相应确认相关负债。</w:t>
      </w:r>
      <w:r>
        <w:rPr>
          <w:w w:val="99"/>
        </w:rPr>
        <w:t> </w:t>
      </w:r>
      <w:r>
        <w:rPr/>
        <w:t>继续涉入被转移金融资产的程度，是指本公司承担的被转移金融资产价值变动风险或报酬的程度。</w:t>
      </w:r>
    </w:p>
    <w:p>
      <w:pPr>
        <w:pStyle w:val="BodyText"/>
        <w:spacing w:line="316" w:lineRule="auto" w:before="31"/>
        <w:ind w:right="1124" w:firstLine="360"/>
        <w:jc w:val="left"/>
      </w:pPr>
      <w:r>
        <w:rPr>
          <w:spacing w:val="-2"/>
        </w:rPr>
        <w:t>在判断金融资产转移是否满足上述金融资产终止确认条件时，采用实质重于形式的原则。公司将金融资产转移区分为金</w:t>
      </w:r>
      <w:r>
        <w:rPr/>
        <w:t> 融资产整体转移和部分转移。</w:t>
      </w:r>
    </w:p>
    <w:p>
      <w:pPr>
        <w:pStyle w:val="BodyText"/>
        <w:spacing w:line="240" w:lineRule="auto" w:before="19"/>
        <w:ind w:left="441" w:right="1133"/>
        <w:jc w:val="left"/>
      </w:pPr>
      <w:r>
        <w:rPr/>
        <w:t>①金融资产整体转移满足终止确认条件的，将下列两项金额的差额计入当期损益：</w:t>
      </w:r>
    </w:p>
    <w:p>
      <w:pPr>
        <w:pStyle w:val="BodyText"/>
        <w:spacing w:line="240" w:lineRule="auto" w:before="76"/>
        <w:ind w:left="441" w:right="1133"/>
        <w:jc w:val="left"/>
      </w:pPr>
      <w:r>
        <w:rPr>
          <w:rFonts w:ascii="Times New Roman" w:hAnsi="Times New Roman" w:cs="Times New Roman" w:eastAsia="Times New Roman" w:hint="default"/>
        </w:rPr>
        <w:t>1)</w:t>
      </w:r>
      <w:r>
        <w:rPr/>
        <w:t>被转移金融资产在终止确认日的账面价值。</w:t>
      </w:r>
    </w:p>
    <w:p>
      <w:pPr>
        <w:pStyle w:val="BodyText"/>
        <w:spacing w:line="300" w:lineRule="auto" w:before="63"/>
        <w:ind w:right="1133" w:firstLine="288"/>
        <w:jc w:val="left"/>
      </w:pPr>
      <w:r>
        <w:rPr>
          <w:rFonts w:ascii="Times New Roman" w:hAnsi="Times New Roman" w:cs="Times New Roman" w:eastAsia="Times New Roman" w:hint="default"/>
        </w:rPr>
        <w:t>2)</w:t>
      </w:r>
      <w:r>
        <w:rPr/>
        <w:t>因转移金融资产而收到的对价，与原直接计入其他综合收益的公允价值变动累计额中对应终止确认部分的金额（涉及</w:t>
      </w:r>
      <w:r>
        <w:rPr>
          <w:w w:val="99"/>
        </w:rPr>
        <w:t> </w:t>
      </w:r>
      <w:r>
        <w:rPr/>
        <w:t>转移的金融资产为以公允价值计量且其变动计入其他综合收益的金融资产）之和。</w:t>
      </w:r>
    </w:p>
    <w:p>
      <w:pPr>
        <w:pStyle w:val="BodyText"/>
        <w:spacing w:line="316" w:lineRule="auto" w:before="32"/>
        <w:ind w:right="1131" w:firstLine="288"/>
        <w:jc w:val="both"/>
      </w:pPr>
      <w:r>
        <w:rPr>
          <w:spacing w:val="-1"/>
        </w:rPr>
        <w:t>②金融资产部分转移且该被转移部分整体满足终止确认条件的，将转移前金融资产整体的账面价值，在终止确认部分和</w:t>
      </w:r>
      <w:r>
        <w:rPr/>
        <w:t> </w:t>
      </w:r>
      <w:r>
        <w:rPr>
          <w:spacing w:val="-2"/>
        </w:rPr>
        <w:t>继续确认部分（在此种情形下，所保留的服务资产应当视同继续确认金融资产的一部分）之间，按照转移日各自的相对公允</w:t>
      </w:r>
      <w:r>
        <w:rPr>
          <w:spacing w:val="-65"/>
        </w:rPr>
        <w:t> </w:t>
      </w:r>
      <w:r>
        <w:rPr>
          <w:spacing w:val="-65"/>
        </w:rPr>
      </w:r>
      <w:r>
        <w:rPr/>
        <w:t>价值进行分摊，并将下列两项金额的差额计入当期损益：</w:t>
      </w:r>
    </w:p>
    <w:p>
      <w:pPr>
        <w:pStyle w:val="BodyText"/>
        <w:spacing w:line="240" w:lineRule="auto" w:before="19"/>
        <w:ind w:left="441" w:right="1133"/>
        <w:jc w:val="left"/>
      </w:pPr>
      <w:r>
        <w:rPr>
          <w:rFonts w:ascii="Times New Roman" w:hAnsi="Times New Roman" w:cs="Times New Roman" w:eastAsia="Times New Roman" w:hint="default"/>
        </w:rPr>
        <w:t>1)</w:t>
      </w:r>
      <w:r>
        <w:rPr/>
        <w:t>终止确认部分在终止确认日的账面价值。</w:t>
      </w:r>
    </w:p>
    <w:p>
      <w:pPr>
        <w:pStyle w:val="BodyText"/>
        <w:spacing w:line="300" w:lineRule="auto" w:before="63"/>
        <w:ind w:right="1133" w:firstLine="288"/>
        <w:jc w:val="left"/>
      </w:pP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终止确认部分收到的对价，与原计入其他综合收益的公允价值变动累计额中对应终止确认部分的金额（涉及转移的金</w:t>
      </w:r>
      <w:r>
        <w:rPr>
          <w:w w:val="99"/>
        </w:rPr>
        <w:t> </w:t>
      </w:r>
      <w:r>
        <w:rPr/>
        <w:t>融资产为以公允价值计量且其变动计入其他综合收益的金融资产）之和。</w:t>
      </w:r>
    </w:p>
    <w:p>
      <w:pPr>
        <w:pStyle w:val="BodyText"/>
        <w:spacing w:line="309" w:lineRule="auto" w:before="31"/>
        <w:ind w:left="489" w:right="1133" w:firstLine="24"/>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99"/>
        </w:rPr>
        <w:t> </w:t>
      </w:r>
      <w:r>
        <w:rPr>
          <w:spacing w:val="-2"/>
        </w:rPr>
        <w:t>存在活跃市场的金融资产或金融负债，以活跃市场的报价确定其公允价值，除非该项金融资产存在针对资产本身的限售</w:t>
      </w:r>
    </w:p>
    <w:p>
      <w:pPr>
        <w:pStyle w:val="BodyText"/>
        <w:spacing w:line="319" w:lineRule="auto" w:before="24"/>
        <w:ind w:right="1034"/>
        <w:jc w:val="left"/>
      </w:pPr>
      <w:r>
        <w:rPr>
          <w:spacing w:val="-2"/>
        </w:rPr>
        <w:t>期。对于针对资产本身的限售的金融资产，按照活跃市场的报价扣除市场参与者因承担指定期间内无法在公开市场上出售该</w:t>
      </w:r>
      <w:r>
        <w:rPr>
          <w:spacing w:val="-64"/>
        </w:rPr>
        <w:t> </w:t>
      </w:r>
      <w:r>
        <w:rPr>
          <w:spacing w:val="-64"/>
        </w:rPr>
      </w:r>
      <w:r>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BodyText"/>
        <w:spacing w:line="316" w:lineRule="auto" w:before="17"/>
        <w:ind w:left="513" w:right="1124"/>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6" w:lineRule="auto" w:before="19"/>
        <w:ind w:right="1130"/>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00" w:lineRule="auto" w:before="19"/>
        <w:ind w:left="513" w:right="1124" w:hanging="24"/>
        <w:jc w:val="left"/>
      </w:pPr>
      <w:r>
        <w:rPr>
          <w:rFonts w:ascii="Times New Roman" w:hAnsi="Times New Roman" w:cs="Times New Roman" w:eastAsia="Times New Roman" w:hint="default"/>
          <w:b/>
          <w:bCs/>
        </w:rPr>
        <w:t>(6)</w:t>
      </w:r>
      <w:r>
        <w:rPr>
          <w:rFonts w:ascii="宋体" w:hAnsi="宋体" w:cs="宋体" w:eastAsia="宋体" w:hint="default"/>
          <w:b/>
          <w:bCs/>
        </w:rPr>
        <w:t>金融工具减值</w:t>
      </w:r>
      <w:r>
        <w:rPr>
          <w:rFonts w:ascii="宋体" w:hAnsi="宋体" w:cs="宋体" w:eastAsia="宋体" w:hint="default"/>
          <w:b/>
          <w:bCs/>
          <w:w w:val="99"/>
        </w:rPr>
        <w:t> </w:t>
      </w:r>
      <w:r>
        <w:rPr>
          <w:spacing w:val="-2"/>
        </w:rPr>
        <w:t>本公司以预期信用损失为基础，对分类为以摊余成本计量的金融资产、分类为以公允价值计量且其变动计入其他综合收</w:t>
      </w:r>
    </w:p>
    <w:p>
      <w:pPr>
        <w:pStyle w:val="BodyText"/>
        <w:spacing w:line="240" w:lineRule="auto" w:before="31"/>
        <w:ind w:right="1133"/>
        <w:jc w:val="left"/>
      </w:pPr>
      <w:r>
        <w:rPr/>
        <w:t>益的金融资产以及财务担保合同，进行减值会计处理并确认损失准备。</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472" w:right="1130" w:firstLine="360"/>
        <w:jc w:val="both"/>
      </w:pPr>
      <w:r>
        <w:rPr>
          <w:spacing w:val="-2"/>
        </w:rPr>
        <w:t>预期信用损失，是指以发生违约的风险为权重的金融工具信用损失的加权平均值。信用损失，是指本公司按照原实际利</w:t>
      </w:r>
      <w:r>
        <w:rPr/>
        <w:t> </w:t>
      </w:r>
      <w:r>
        <w:rPr>
          <w:spacing w:val="-2"/>
        </w:rPr>
        <w:t>率折现的、根据合同应收的所有合同现金流量与预期收取的所有现金流量之间的差额，即全部现金短缺的现值。其中，对于</w:t>
      </w:r>
      <w:r>
        <w:rPr>
          <w:spacing w:val="-64"/>
        </w:rPr>
        <w:t> </w:t>
      </w:r>
      <w:r>
        <w:rPr>
          <w:spacing w:val="-64"/>
        </w:rPr>
      </w:r>
      <w:r>
        <w:rPr/>
        <w:t>本公司购买或源生的已发生信用减值的金融资产，应按照该金融资产经信用调整的实际利率折现。</w:t>
      </w:r>
    </w:p>
    <w:p>
      <w:pPr>
        <w:pStyle w:val="BodyText"/>
        <w:spacing w:line="316" w:lineRule="auto" w:before="17"/>
        <w:ind w:left="472" w:right="1132" w:firstLine="360"/>
        <w:jc w:val="both"/>
      </w:pPr>
      <w:r>
        <w:rPr>
          <w:spacing w:val="-2"/>
        </w:rPr>
        <w:t>对由收入准则规范的交易形成的应收款项，本公司运用简化计量方法，按照相当于整个存续期内预期信用损失的金额计</w:t>
      </w:r>
      <w:r>
        <w:rPr/>
        <w:t> 量损失准备。</w:t>
      </w:r>
    </w:p>
    <w:p>
      <w:pPr>
        <w:pStyle w:val="BodyText"/>
        <w:spacing w:line="316" w:lineRule="auto" w:before="19"/>
        <w:ind w:left="472" w:right="1130" w:firstLine="360"/>
        <w:jc w:val="both"/>
      </w:pPr>
      <w:r>
        <w:rPr>
          <w:spacing w:val="-2"/>
        </w:rPr>
        <w:t>对于购买或源生的已发生信用减值的金融资产，在资产负债表日仅将自初始确认后整个存续期内预期信用损失的累计变</w:t>
      </w:r>
      <w:r>
        <w:rPr/>
        <w:t> </w:t>
      </w:r>
      <w:r>
        <w:rPr>
          <w:spacing w:val="-2"/>
        </w:rPr>
        <w:t>动确认为损失准备。在每个资产负债表日，将整个存续期内预期信用损失的变动金额作为减值损失或利得计入当期损益。即</w:t>
      </w:r>
      <w:r>
        <w:rPr>
          <w:spacing w:val="-63"/>
        </w:rPr>
        <w:t> </w:t>
      </w:r>
      <w:r>
        <w:rPr>
          <w:spacing w:val="-63"/>
        </w:rPr>
      </w:r>
      <w:r>
        <w:rPr>
          <w:spacing w:val="-2"/>
        </w:rPr>
        <w:t>使该资产负债表日确定的整个存续期内预期信用损失小于初始确认时估计现金流量所反映的预期信用损失的金额，也将预期</w:t>
      </w:r>
      <w:r>
        <w:rPr>
          <w:spacing w:val="-64"/>
        </w:rPr>
        <w:t> </w:t>
      </w:r>
      <w:r>
        <w:rPr>
          <w:spacing w:val="-64"/>
        </w:rPr>
      </w:r>
      <w:r>
        <w:rPr/>
        <w:t>信用损失的有利变动确认为减值利得。</w:t>
      </w:r>
    </w:p>
    <w:p>
      <w:pPr>
        <w:pStyle w:val="BodyText"/>
        <w:spacing w:line="316" w:lineRule="auto" w:before="19"/>
        <w:ind w:left="472" w:right="1132" w:firstLine="360"/>
        <w:jc w:val="both"/>
      </w:pPr>
      <w:r>
        <w:rPr>
          <w:spacing w:val="-2"/>
        </w:rPr>
        <w:t>除上述采用简化计量方法和购买或源生的已发生信用减值以外的其他金融资产，本公司在每个资产负债表日评估相关金</w:t>
      </w:r>
      <w:r>
        <w:rPr/>
        <w:t> 融工具的信用风险自初始确认后是否已显著增加，并按照下列情形分别计量其损失准备、确认预期信用损失及其变动：</w:t>
      </w:r>
    </w:p>
    <w:p>
      <w:pPr>
        <w:pStyle w:val="BodyText"/>
        <w:tabs>
          <w:tab w:pos="761" w:val="left" w:leader="none"/>
        </w:tabs>
        <w:spacing w:line="300" w:lineRule="auto" w:before="19"/>
        <w:ind w:left="472" w:right="1128" w:hanging="360"/>
        <w:jc w:val="left"/>
      </w:pPr>
      <w:r>
        <w:rPr>
          <w:rFonts w:ascii="宋体" w:hAnsi="宋体" w:cs="宋体" w:eastAsia="宋体" w:hint="default"/>
        </w:rPr>
        <w:t>1.</w:t>
        <w:tab/>
        <w:tab/>
      </w:r>
      <w:r>
        <w:rPr/>
        <w:t>①如果该金融工具的信用风险自初始确认后并未显著增加，处于第一阶段，则按照相当于该金融工具未来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36"/>
        </w:rPr>
        <w:t> </w:t>
      </w:r>
      <w:r>
        <w:rPr/>
        <w:t>个月内预 期信用损失的金额计量其损失准备，并按照账面余额和实际利率计算利息收入。</w:t>
      </w:r>
    </w:p>
    <w:p>
      <w:pPr>
        <w:pStyle w:val="BodyText"/>
        <w:tabs>
          <w:tab w:pos="761" w:val="left" w:leader="none"/>
        </w:tabs>
        <w:spacing w:line="316" w:lineRule="auto" w:before="31"/>
        <w:ind w:left="472" w:right="1132" w:hanging="360"/>
        <w:jc w:val="left"/>
      </w:pPr>
      <w:r>
        <w:rPr>
          <w:rFonts w:ascii="宋体" w:hAnsi="宋体" w:cs="宋体" w:eastAsia="宋体" w:hint="default"/>
        </w:rPr>
        <w:t>2.</w:t>
        <w:tab/>
        <w:tab/>
      </w:r>
      <w:r>
        <w:rPr>
          <w:spacing w:val="-1"/>
        </w:rPr>
        <w:t>②如果该金融工具的信用风险自初始确认后已显著增加但尚未发生信用减值的，处于第二阶段，则按照相当于该金融工</w:t>
      </w:r>
      <w:r>
        <w:rPr>
          <w:spacing w:val="-48"/>
        </w:rPr>
        <w:t> </w:t>
      </w:r>
      <w:r>
        <w:rPr>
          <w:spacing w:val="-48"/>
        </w:rPr>
      </w:r>
      <w:r>
        <w:rPr/>
        <w:t>具整个存续期内预期信用损失的金额计量其损失准备，并按照账面余额和实际利率计算利息收入。</w:t>
      </w:r>
    </w:p>
    <w:p>
      <w:pPr>
        <w:pStyle w:val="BodyText"/>
        <w:tabs>
          <w:tab w:pos="761" w:val="left" w:leader="none"/>
        </w:tabs>
        <w:spacing w:line="316" w:lineRule="auto" w:before="19"/>
        <w:ind w:left="472" w:right="1132" w:hanging="360"/>
        <w:jc w:val="left"/>
      </w:pPr>
      <w:r>
        <w:rPr>
          <w:rFonts w:ascii="宋体" w:hAnsi="宋体" w:cs="宋体" w:eastAsia="宋体" w:hint="default"/>
        </w:rPr>
        <w:t>3.</w:t>
        <w:tab/>
        <w:tab/>
      </w:r>
      <w:r>
        <w:rPr>
          <w:spacing w:val="-1"/>
        </w:rPr>
        <w:t>③如果该金融工具自初始确认后已经发生信用减值的，处于第三阶段，本公司按照相当于该金融工具整个存续期内预期</w:t>
      </w:r>
      <w:r>
        <w:rPr>
          <w:spacing w:val="-48"/>
        </w:rPr>
        <w:t> </w:t>
      </w:r>
      <w:r>
        <w:rPr>
          <w:spacing w:val="-48"/>
        </w:rPr>
      </w:r>
      <w:r>
        <w:rPr/>
        <w:t>信用损失的金额计量其损失准备，并按照摊余成本和实际利率计算利息收入。</w:t>
      </w:r>
    </w:p>
    <w:p>
      <w:pPr>
        <w:pStyle w:val="BodyText"/>
        <w:spacing w:line="316" w:lineRule="auto" w:before="19"/>
        <w:ind w:left="472" w:right="1132" w:firstLine="360"/>
        <w:jc w:val="both"/>
      </w:pPr>
      <w:r>
        <w:rPr>
          <w:spacing w:val="-2"/>
        </w:rPr>
        <w:t>金融工具信用损失准备的增加或转回金额，作为减值损失或利得计入当期损益。除分类为以公允价值计量且其变动计入</w:t>
      </w:r>
      <w:r>
        <w:rPr/>
        <w:t> </w:t>
      </w:r>
      <w:r>
        <w:rPr>
          <w:spacing w:val="-2"/>
        </w:rPr>
        <w:t>其他综合收益的金融资产外，信用损失准备抵减金融资产的账面余额。对于分类为以公允价值计量且其变动计入其他综合收</w:t>
      </w:r>
      <w:r>
        <w:rPr>
          <w:spacing w:val="-64"/>
        </w:rPr>
        <w:t> </w:t>
      </w:r>
      <w:r>
        <w:rPr>
          <w:spacing w:val="-64"/>
        </w:rPr>
      </w:r>
      <w:r>
        <w:rPr/>
        <w:t>益的金融资产，本公司在其他综合收益中确认其信用损失准备，不减少该金融资产在资产负债表中列示的账面价值。</w:t>
      </w:r>
    </w:p>
    <w:p>
      <w:pPr>
        <w:pStyle w:val="BodyText"/>
        <w:spacing w:line="309" w:lineRule="auto" w:before="19"/>
        <w:ind w:left="472" w:right="1131" w:firstLine="360"/>
        <w:jc w:val="both"/>
      </w:pPr>
      <w:r>
        <w:rPr>
          <w:spacing w:val="-2"/>
        </w:rPr>
        <w:t>本公司在前一会计期间已经按照相当于金融工具整个存续期内预期信用损失的金额计量了损失准备，但在当期资产负债</w:t>
      </w:r>
      <w:r>
        <w:rPr/>
        <w:t> </w:t>
      </w:r>
      <w:r>
        <w:rPr>
          <w:spacing w:val="-2"/>
        </w:rPr>
        <w:t>表日，该金融工具已不再属于自初始确认后信用风险显著增加的情形的，本公司在当期资产负债表日按照相当于未来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2"/>
        </w:rPr>
        <w:t>12</w:t>
      </w:r>
      <w:r>
        <w:rPr>
          <w:spacing w:val="-2"/>
        </w:rPr>
        <w:t>个月</w:t>
      </w:r>
      <w:r>
        <w:rPr>
          <w:spacing w:val="-62"/>
        </w:rPr>
        <w:t> </w:t>
      </w:r>
      <w:r>
        <w:rPr/>
        <w:t>内预期信用损失的金额计量该金融工具的损失准备，由此形成的损失准备的转回金额作为减值利得计入当期损益。</w:t>
      </w:r>
    </w:p>
    <w:p>
      <w:pPr>
        <w:pStyle w:val="BodyText"/>
        <w:spacing w:line="319" w:lineRule="auto" w:before="24"/>
        <w:ind w:left="833" w:right="1128" w:hanging="72"/>
        <w:jc w:val="left"/>
      </w:pPr>
      <w:r>
        <w:rPr/>
        <w:t>①信用风险显著增加 </w:t>
      </w:r>
      <w:r>
        <w:rPr>
          <w:spacing w:val="-2"/>
        </w:rPr>
        <w:t>本公司利用可获得的合理且有依据的前瞻性信息，通过比较金融工具在资产负债表日发生违约的风险与在初始确认日发</w:t>
      </w:r>
    </w:p>
    <w:p>
      <w:pPr>
        <w:pStyle w:val="BodyText"/>
        <w:spacing w:line="316" w:lineRule="auto" w:before="17"/>
        <w:ind w:left="472" w:right="1130"/>
        <w:jc w:val="both"/>
      </w:pPr>
      <w:r>
        <w:rPr>
          <w:spacing w:val="-2"/>
        </w:rPr>
        <w:t>生违约的风险，以确定金融工具的信用风险自初始确认后是否已显著增加。对于财务担保合同，本公司在应用金融工具减值</w:t>
      </w:r>
      <w:r>
        <w:rPr>
          <w:spacing w:val="-63"/>
        </w:rPr>
        <w:t> </w:t>
      </w:r>
      <w:r>
        <w:rPr>
          <w:spacing w:val="-63"/>
        </w:rPr>
      </w:r>
      <w:r>
        <w:rPr/>
        <w:t>规定时，将本公司成为做出不可撤销承诺的一方之日作为初始确认日。</w:t>
      </w:r>
    </w:p>
    <w:p>
      <w:pPr>
        <w:pStyle w:val="BodyText"/>
        <w:spacing w:line="240" w:lineRule="auto" w:before="19"/>
        <w:ind w:left="833" w:right="1128"/>
        <w:jc w:val="left"/>
      </w:pPr>
      <w:r>
        <w:rPr/>
        <w:t>本公司在评估信用风险是否显著增加时会考虑如下因素：</w:t>
      </w:r>
    </w:p>
    <w:p>
      <w:pPr>
        <w:pStyle w:val="BodyText"/>
        <w:spacing w:line="240" w:lineRule="auto" w:before="76"/>
        <w:ind w:left="761" w:right="1128"/>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63"/>
        <w:ind w:left="761" w:right="1128"/>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300" w:lineRule="auto" w:before="63"/>
        <w:ind w:left="472" w:right="1138" w:firstLine="288"/>
        <w:jc w:val="both"/>
      </w:pP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31"/>
        <w:ind w:left="761" w:right="1128"/>
        <w:jc w:val="left"/>
      </w:pPr>
      <w:r>
        <w:rPr>
          <w:rFonts w:ascii="Times New Roman" w:hAnsi="Times New Roman" w:cs="Times New Roman" w:eastAsia="Times New Roman" w:hint="default"/>
        </w:rPr>
        <w:t>4</w:t>
      </w:r>
      <w:r>
        <w:rPr/>
        <w:t>）债务人预期表现和还款行为是否发生显著变化；</w:t>
      </w:r>
    </w:p>
    <w:p>
      <w:pPr>
        <w:pStyle w:val="BodyText"/>
        <w:spacing w:line="300" w:lineRule="auto" w:before="63"/>
        <w:ind w:left="833" w:right="1128" w:hanging="72"/>
        <w:jc w:val="left"/>
      </w:pP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w:t>
      </w:r>
    </w:p>
    <w:p>
      <w:pPr>
        <w:pStyle w:val="BodyText"/>
        <w:spacing w:line="316" w:lineRule="auto" w:before="32"/>
        <w:ind w:left="472" w:right="1130"/>
        <w:jc w:val="both"/>
      </w:pPr>
      <w:r>
        <w:rPr>
          <w:spacing w:val="-2"/>
        </w:rPr>
        <w:t>未显著增加。如果金融工具的违约风险较低，借款人在短期内履行其合同现金流量义务的能力很强，并且即使较长时期内经</w:t>
      </w:r>
      <w:r>
        <w:rPr>
          <w:spacing w:val="-62"/>
        </w:rPr>
        <w:t> </w:t>
      </w:r>
      <w:r>
        <w:rPr>
          <w:spacing w:val="-62"/>
        </w:rPr>
      </w:r>
      <w:r>
        <w:rPr>
          <w:spacing w:val="-2"/>
        </w:rPr>
        <w:t>济形势和经营环境存在不利变化，但未必一定降低借款人履行其合同现金流量义务的能力，则该金融工具被视为具有较低的</w:t>
      </w:r>
      <w:r>
        <w:rPr>
          <w:spacing w:val="-64"/>
        </w:rPr>
        <w:t> </w:t>
      </w:r>
      <w:r>
        <w:rPr>
          <w:spacing w:val="-64"/>
        </w:rPr>
      </w:r>
      <w:r>
        <w:rPr/>
        <w:t>信用风险。</w:t>
      </w:r>
    </w:p>
    <w:p>
      <w:pPr>
        <w:pStyle w:val="BodyText"/>
        <w:spacing w:line="316" w:lineRule="auto" w:before="19"/>
        <w:ind w:left="833" w:right="1033" w:firstLine="24"/>
        <w:jc w:val="left"/>
      </w:pPr>
      <w:r>
        <w:rPr/>
        <w:t>②已发生信用减值的金融资产 当对金融资产预期未来现金流量具有不利影响的一项或多项事件发生时，该金融资产成为已发生信用减值的金融资产。</w:t>
      </w:r>
    </w:p>
    <w:p>
      <w:pPr>
        <w:pStyle w:val="BodyText"/>
        <w:spacing w:line="240" w:lineRule="auto" w:before="19"/>
        <w:ind w:left="472" w:right="0"/>
        <w:jc w:val="both"/>
      </w:pPr>
      <w:r>
        <w:rPr/>
        <w:t>金融资产已发生信用减值的证据包括下列可观察信息：</w:t>
      </w:r>
    </w:p>
    <w:p>
      <w:pPr>
        <w:pStyle w:val="BodyText"/>
        <w:spacing w:line="240" w:lineRule="auto" w:before="76"/>
        <w:ind w:left="761" w:right="1128"/>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63"/>
        <w:ind w:left="761" w:right="1128"/>
        <w:jc w:val="left"/>
      </w:pP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62"/>
        <w:ind w:left="761" w:right="1128"/>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spacing w:after="0" w:line="240" w:lineRule="auto"/>
        <w:jc w:val="left"/>
        <w:sectPr>
          <w:pgSz w:w="11910" w:h="16840"/>
          <w:pgMar w:header="745" w:footer="980" w:top="1060" w:bottom="1160" w:left="660" w:right="0"/>
        </w:sectPr>
      </w:pPr>
    </w:p>
    <w:p>
      <w:pPr>
        <w:spacing w:line="240" w:lineRule="auto" w:before="9"/>
        <w:rPr>
          <w:rFonts w:ascii="宋体" w:hAnsi="宋体" w:cs="宋体" w:eastAsia="宋体" w:hint="default"/>
          <w:sz w:val="25"/>
          <w:szCs w:val="25"/>
        </w:rPr>
      </w:pPr>
    </w:p>
    <w:p>
      <w:pPr>
        <w:pStyle w:val="BodyText"/>
        <w:spacing w:line="240" w:lineRule="auto"/>
        <w:ind w:left="513" w:right="1133"/>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63"/>
        <w:ind w:left="441" w:right="1133"/>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00" w:lineRule="auto" w:before="63"/>
        <w:ind w:left="513" w:right="3013" w:hanging="72"/>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pStyle w:val="BodyText"/>
        <w:spacing w:line="316" w:lineRule="auto" w:before="31"/>
        <w:ind w:left="513" w:right="1124" w:firstLine="24"/>
        <w:jc w:val="left"/>
      </w:pPr>
      <w:r>
        <w:rPr/>
        <w:t>③预期信用损失的确定 </w:t>
      </w:r>
      <w:r>
        <w:rPr>
          <w:spacing w:val="-2"/>
        </w:rPr>
        <w:t>本公司基于单项和组合评估金融工具的预期信用损失，在评估预期信用损失时，考虑有关过去事项、当前状况以及未来</w:t>
      </w:r>
    </w:p>
    <w:p>
      <w:pPr>
        <w:pStyle w:val="BodyText"/>
        <w:spacing w:line="316" w:lineRule="auto" w:before="19"/>
        <w:ind w:left="513" w:right="1033" w:hanging="361"/>
        <w:jc w:val="left"/>
      </w:pPr>
      <w:r>
        <w:rPr/>
        <w:t>经济状况预测的合理且有依据的信息。 本公司以共同信用风险特征为依据，将金融工具分为不同组合。本公司采用的共同信用风险特征包括：金融工具类型、</w:t>
      </w:r>
    </w:p>
    <w:p>
      <w:pPr>
        <w:pStyle w:val="BodyText"/>
        <w:spacing w:line="316" w:lineRule="auto" w:before="19"/>
        <w:ind w:right="1133"/>
        <w:jc w:val="left"/>
      </w:pPr>
      <w:r>
        <w:rPr>
          <w:spacing w:val="-2"/>
        </w:rPr>
        <w:t>信用风险评级、账龄组合、逾期账龄组合、合同结算周期、债务人所处行业等。相关金融工具的单项评估标准和组合信用风</w:t>
      </w:r>
      <w:r>
        <w:rPr>
          <w:spacing w:val="-67"/>
        </w:rPr>
        <w:t> </w:t>
      </w:r>
      <w:r>
        <w:rPr>
          <w:spacing w:val="-67"/>
        </w:rPr>
      </w:r>
      <w:r>
        <w:rPr/>
        <w:t>险特征详见相关金融工具的会计政策。</w:t>
      </w:r>
    </w:p>
    <w:p>
      <w:pPr>
        <w:pStyle w:val="BodyText"/>
        <w:spacing w:line="240" w:lineRule="auto" w:before="19"/>
        <w:ind w:left="513" w:right="1133"/>
        <w:jc w:val="left"/>
      </w:pPr>
      <w:r>
        <w:rPr/>
        <w:t>本公司按照下列方法确定相关金融工具的预期信用损失：</w:t>
      </w:r>
    </w:p>
    <w:p>
      <w:pPr>
        <w:pStyle w:val="BodyText"/>
        <w:spacing w:line="240" w:lineRule="auto" w:before="76"/>
        <w:ind w:left="513" w:right="1133"/>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300" w:lineRule="auto" w:before="63"/>
        <w:ind w:right="1124" w:firstLine="360"/>
        <w:jc w:val="left"/>
      </w:pPr>
      <w:r>
        <w:rPr>
          <w:rFonts w:ascii="Times New Roman" w:hAnsi="Times New Roman" w:cs="Times New Roman" w:eastAsia="Times New Roman" w:hint="default"/>
        </w:rPr>
        <w:t>2</w:t>
      </w:r>
      <w:r>
        <w:rPr/>
        <w:t>）对于财务担保合同，信用损失为本公司就该合同持有人发生的信用损失向其做出赔付的预计付款额，减去本公司预 期向该合同持有人、债务人或任何其他方收取的金额之间差额的现值。</w:t>
      </w:r>
    </w:p>
    <w:p>
      <w:pPr>
        <w:pStyle w:val="BodyText"/>
        <w:spacing w:line="300" w:lineRule="auto" w:before="31"/>
        <w:ind w:right="1124" w:firstLine="36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 与按原实际利率折现的估计未来现金流量的现值之间的差额。</w:t>
      </w:r>
    </w:p>
    <w:p>
      <w:pPr>
        <w:pStyle w:val="BodyText"/>
        <w:spacing w:line="316" w:lineRule="auto" w:before="31"/>
        <w:ind w:right="1125" w:firstLine="360"/>
        <w:jc w:val="both"/>
      </w:pPr>
      <w:r>
        <w:rPr/>
        <w:t>本公司计量金融工具预期信用损失的方法反映的因素包括：通过评价一系列可能的结果而确定的无偏概率加权平均金</w:t>
      </w:r>
      <w:r>
        <w:rPr>
          <w:spacing w:val="2"/>
        </w:rPr>
        <w:t> </w:t>
      </w:r>
      <w:r>
        <w:rPr>
          <w:spacing w:val="-2"/>
        </w:rPr>
        <w:t>额；货币时间价值；在资产负债表日无须付出不必要的额外成本或努力即可获得的有关过去事项、当前状况以及未来经济状</w:t>
      </w:r>
      <w:r>
        <w:rPr>
          <w:spacing w:val="-66"/>
        </w:rPr>
        <w:t> </w:t>
      </w:r>
      <w:r>
        <w:rPr>
          <w:spacing w:val="-66"/>
        </w:rPr>
      </w:r>
      <w:r>
        <w:rPr/>
        <w:t>况预测的合理且有依据的信息。</w:t>
      </w:r>
    </w:p>
    <w:p>
      <w:pPr>
        <w:pStyle w:val="BodyText"/>
        <w:spacing w:line="316" w:lineRule="auto" w:before="19"/>
        <w:ind w:left="513" w:right="1124" w:hanging="72"/>
        <w:jc w:val="left"/>
      </w:pPr>
      <w:r>
        <w:rPr/>
        <w:t>④减记金融资产 </w:t>
      </w:r>
      <w:r>
        <w:rPr>
          <w:spacing w:val="-2"/>
        </w:rPr>
        <w:t>当本公司不再合理预期金融资产合同现金流量能够全部或部分收回的，直接减记该金融资产的账面余额。这种减记构成</w:t>
      </w:r>
    </w:p>
    <w:p>
      <w:pPr>
        <w:pStyle w:val="BodyText"/>
        <w:spacing w:line="240" w:lineRule="auto" w:before="19"/>
        <w:ind w:right="1133"/>
        <w:jc w:val="left"/>
      </w:pPr>
      <w:r>
        <w:rPr/>
        <w:t>相关金融资产的终止确认。</w:t>
      </w:r>
    </w:p>
    <w:p>
      <w:pPr>
        <w:spacing w:line="300" w:lineRule="auto" w:before="76"/>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32"/>
        <w:ind w:right="1133"/>
        <w:jc w:val="left"/>
      </w:pPr>
      <w:r>
        <w:rPr/>
        <w:t>产负债表内列示：</w:t>
      </w:r>
    </w:p>
    <w:p>
      <w:pPr>
        <w:pStyle w:val="BodyText"/>
        <w:spacing w:line="240" w:lineRule="auto" w:before="76"/>
        <w:ind w:left="513" w:right="1133"/>
        <w:jc w:val="left"/>
      </w:pPr>
      <w:r>
        <w:rPr/>
        <w:t>①本公司具有抵销已确认金额的法定权利，且该种法定权利是当前可执行的；</w:t>
      </w:r>
    </w:p>
    <w:p>
      <w:pPr>
        <w:pStyle w:val="BodyText"/>
        <w:spacing w:line="240" w:lineRule="auto" w:before="76"/>
        <w:ind w:left="513" w:right="1133"/>
        <w:jc w:val="left"/>
      </w:pPr>
      <w:r>
        <w:rPr/>
        <w:t>②本公司计划以净额结算，或同时变现该金融资产和清偿该金融负债。</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1、应收票据" w:id="183"/>
      <w:bookmarkEnd w:id="183"/>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124"/>
        <w:jc w:val="left"/>
      </w:pPr>
      <w:r>
        <w:rPr/>
        <w:t>本公司对</w:t>
      </w:r>
      <w:r>
        <w:rPr>
          <w:spacing w:val="89"/>
        </w:rPr>
        <w:t> </w:t>
      </w:r>
      <w:r>
        <w:rPr/>
        <w:t>应收票据的预期信用损失的确定方法及会计处理方法详见本报告第十二节、五、</w:t>
      </w:r>
      <w:r>
        <w:rPr>
          <w:rFonts w:ascii="Times New Roman" w:hAnsi="Times New Roman" w:cs="Times New Roman" w:eastAsia="Times New Roman" w:hint="default"/>
        </w:rPr>
        <w:t>10</w:t>
      </w:r>
      <w:r>
        <w:rPr/>
        <w:t>、金融工具减值。 </w:t>
      </w:r>
      <w:r>
        <w:rPr>
          <w:spacing w:val="-2"/>
        </w:rPr>
        <w:t>当在单项工具层面无法以合理成本评估预期信用损失的充分证据时，本公司参考历史信用损失经验，结合当前状况以及</w:t>
      </w:r>
    </w:p>
    <w:p>
      <w:pPr>
        <w:pStyle w:val="BodyText"/>
        <w:spacing w:line="316" w:lineRule="auto" w:before="31"/>
        <w:ind w:right="1124"/>
        <w:jc w:val="left"/>
      </w:pPr>
      <w:r>
        <w:rPr>
          <w:spacing w:val="-2"/>
        </w:rPr>
        <w:t>对未来经济状况的判断，依据信用风险特征将应收票据划分为若干组合，在组合基础上计算预期信用损失。确定组合的依据</w:t>
      </w:r>
      <w:r>
        <w:rPr>
          <w:spacing w:val="-63"/>
        </w:rPr>
        <w:t> </w:t>
      </w:r>
      <w:r>
        <w:rPr>
          <w:spacing w:val="-63"/>
        </w:rPr>
      </w:r>
      <w:r>
        <w:rPr/>
        <w:t>如下：</w:t>
      </w:r>
    </w:p>
    <w:tbl>
      <w:tblPr>
        <w:tblW w:w="0" w:type="auto"/>
        <w:jc w:val="left"/>
        <w:tblInd w:w="145" w:type="dxa"/>
        <w:tblLayout w:type="fixed"/>
        <w:tblCellMar>
          <w:top w:w="0" w:type="dxa"/>
          <w:left w:w="0" w:type="dxa"/>
          <w:bottom w:w="0" w:type="dxa"/>
          <w:right w:w="0" w:type="dxa"/>
        </w:tblCellMar>
        <w:tblLook w:val="01E0"/>
      </w:tblPr>
      <w:tblGrid>
        <w:gridCol w:w="1457"/>
        <w:gridCol w:w="3634"/>
        <w:gridCol w:w="3438"/>
      </w:tblGrid>
      <w:tr>
        <w:trPr>
          <w:trHeight w:val="346"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78"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1285"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24"/>
              <w:jc w:val="left"/>
              <w:rPr>
                <w:rFonts w:ascii="宋体" w:hAnsi="宋体" w:cs="宋体" w:eastAsia="宋体" w:hint="default"/>
                <w:sz w:val="18"/>
                <w:szCs w:val="18"/>
              </w:rPr>
            </w:pPr>
            <w:r>
              <w:rPr>
                <w:rFonts w:ascii="宋体" w:hAnsi="宋体" w:cs="宋体" w:eastAsia="宋体" w:hint="default"/>
                <w:spacing w:val="24"/>
                <w:sz w:val="18"/>
                <w:szCs w:val="18"/>
              </w:rPr>
              <w:t>无风险银行承兑</w:t>
            </w:r>
            <w:r>
              <w:rPr>
                <w:rFonts w:ascii="宋体" w:hAnsi="宋体" w:cs="宋体" w:eastAsia="宋体" w:hint="default"/>
                <w:spacing w:val="-62"/>
                <w:sz w:val="18"/>
                <w:szCs w:val="18"/>
              </w:rPr>
              <w:t> </w:t>
            </w:r>
            <w:r>
              <w:rPr>
                <w:rFonts w:ascii="宋体" w:hAnsi="宋体" w:cs="宋体" w:eastAsia="宋体" w:hint="default"/>
                <w:sz w:val="18"/>
                <w:szCs w:val="18"/>
              </w:rPr>
              <w:t>票据组合</w:t>
            </w:r>
          </w:p>
        </w:tc>
        <w:tc>
          <w:tcPr>
            <w:tcW w:w="3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both"/>
              <w:rPr>
                <w:rFonts w:ascii="宋体" w:hAnsi="宋体" w:cs="宋体" w:eastAsia="宋体" w:hint="default"/>
                <w:sz w:val="18"/>
                <w:szCs w:val="18"/>
              </w:rPr>
            </w:pPr>
            <w:r>
              <w:rPr>
                <w:rFonts w:ascii="宋体" w:hAnsi="宋体" w:cs="宋体" w:eastAsia="宋体" w:hint="default"/>
                <w:sz w:val="18"/>
                <w:szCs w:val="18"/>
              </w:rPr>
              <w:t>出票人具有较高的信用评级，历史上未发生票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据违约，信用损失风险极低，在短期内履行其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支付合同现金流量义务的能力很强</w:t>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 对未来经济状况的预测，通过违约风险敞口 </w:t>
            </w:r>
            <w:r>
              <w:rPr>
                <w:rFonts w:ascii="宋体" w:hAnsi="宋体" w:cs="宋体" w:eastAsia="宋体" w:hint="default"/>
                <w:spacing w:val="8"/>
                <w:sz w:val="18"/>
                <w:szCs w:val="18"/>
              </w:rPr>
              <w:t>和未来</w:t>
            </w:r>
            <w:r>
              <w:rPr>
                <w:rFonts w:ascii="Times New Roman" w:hAnsi="Times New Roman" w:cs="Times New Roman" w:eastAsia="Times New Roman" w:hint="default"/>
                <w:spacing w:val="8"/>
                <w:sz w:val="18"/>
                <w:szCs w:val="18"/>
              </w:rPr>
              <w:t>12</w:t>
            </w:r>
            <w:r>
              <w:rPr>
                <w:rFonts w:ascii="宋体" w:hAnsi="宋体" w:cs="宋体" w:eastAsia="宋体" w:hint="default"/>
                <w:spacing w:val="8"/>
                <w:sz w:val="18"/>
                <w:szCs w:val="18"/>
              </w:rPr>
              <w:t>个月或整个存续期预期信用损失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率，计算预期信用损失</w:t>
            </w:r>
          </w:p>
        </w:tc>
      </w:tr>
      <w:tr>
        <w:trPr>
          <w:trHeight w:val="1282"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
              <w:jc w:val="left"/>
              <w:rPr>
                <w:rFonts w:ascii="宋体" w:hAnsi="宋体" w:cs="宋体" w:eastAsia="宋体" w:hint="default"/>
                <w:sz w:val="18"/>
                <w:szCs w:val="18"/>
              </w:rPr>
            </w:pPr>
            <w:r>
              <w:rPr>
                <w:rFonts w:ascii="宋体" w:hAnsi="宋体" w:cs="宋体" w:eastAsia="宋体" w:hint="default"/>
                <w:spacing w:val="24"/>
                <w:sz w:val="18"/>
                <w:szCs w:val="18"/>
              </w:rPr>
              <w:t>无风险银行之外</w:t>
            </w:r>
            <w:r>
              <w:rPr>
                <w:rFonts w:ascii="宋体" w:hAnsi="宋体" w:cs="宋体" w:eastAsia="宋体" w:hint="default"/>
                <w:spacing w:val="-62"/>
                <w:sz w:val="18"/>
                <w:szCs w:val="18"/>
              </w:rPr>
              <w:t> </w:t>
            </w:r>
            <w:r>
              <w:rPr>
                <w:rFonts w:ascii="宋体" w:hAnsi="宋体" w:cs="宋体" w:eastAsia="宋体" w:hint="default"/>
                <w:sz w:val="18"/>
                <w:szCs w:val="18"/>
              </w:rPr>
              <w:t>的承兑票据组合</w:t>
            </w:r>
          </w:p>
        </w:tc>
        <w:tc>
          <w:tcPr>
            <w:tcW w:w="3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4"/>
              <w:jc w:val="left"/>
              <w:rPr>
                <w:rFonts w:ascii="宋体" w:hAnsi="宋体" w:cs="宋体" w:eastAsia="宋体" w:hint="default"/>
                <w:sz w:val="18"/>
                <w:szCs w:val="18"/>
              </w:rPr>
            </w:pPr>
            <w:r>
              <w:rPr>
                <w:rFonts w:ascii="宋体" w:hAnsi="宋体" w:cs="宋体" w:eastAsia="宋体" w:hint="default"/>
                <w:sz w:val="18"/>
                <w:szCs w:val="18"/>
              </w:rPr>
              <w:t>以无风险银行承兑之外的银行承兑汇票和商业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承兑汇票的账龄作为信用特征</w:t>
            </w:r>
          </w:p>
        </w:tc>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 对未来经济状况的预测，根据应收款项账龄 组合与整个存续期预期信用损失率对照表， 计算预期信用损失</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2、应收账款" w:id="184"/>
      <w:bookmarkEnd w:id="184"/>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left="513" w:right="1124"/>
        <w:jc w:val="left"/>
      </w:pPr>
      <w:r>
        <w:rPr/>
        <w:t>本公司对应收账款的预期信用损失的确定方法及会计处理方法详见本报告第十二节、五、</w:t>
      </w:r>
      <w:r>
        <w:rPr>
          <w:rFonts w:ascii="Times New Roman" w:hAnsi="Times New Roman" w:cs="Times New Roman" w:eastAsia="Times New Roman" w:hint="default"/>
        </w:rPr>
        <w:t>10</w:t>
      </w:r>
      <w:r>
        <w:rPr/>
        <w:t>、金融工具减值。 本公司对在单项工具层面能以合理成本评估预期信用损失的充分证据的应收账款单独确定其信用损失。 </w:t>
      </w:r>
      <w:r>
        <w:rPr>
          <w:spacing w:val="-2"/>
        </w:rPr>
        <w:t>当在单项工具层面无法以合理成本评估预期信用损失的充分证据时，本公司参考历史信用损失经验，结合当前状况以及</w:t>
      </w:r>
    </w:p>
    <w:p>
      <w:pPr>
        <w:pStyle w:val="BodyText"/>
        <w:spacing w:line="316" w:lineRule="auto" w:before="24"/>
        <w:ind w:right="1124"/>
        <w:jc w:val="left"/>
      </w:pPr>
      <w:r>
        <w:rPr>
          <w:spacing w:val="-2"/>
        </w:rPr>
        <w:t>对未来经济状况的判断，依据信用风险特征将应收账款划分为若干组合，在组合基础上计算预期信用损失。确定组合的依据</w:t>
      </w:r>
      <w:r>
        <w:rPr>
          <w:spacing w:val="-63"/>
        </w:rPr>
        <w:t> </w:t>
      </w:r>
      <w:r>
        <w:rPr>
          <w:spacing w:val="-63"/>
        </w:rPr>
      </w:r>
      <w:r>
        <w:rPr/>
        <w:t>如下：</w:t>
      </w:r>
    </w:p>
    <w:tbl>
      <w:tblPr>
        <w:tblW w:w="0" w:type="auto"/>
        <w:jc w:val="left"/>
        <w:tblInd w:w="145" w:type="dxa"/>
        <w:tblLayout w:type="fixed"/>
        <w:tblCellMar>
          <w:top w:w="0" w:type="dxa"/>
          <w:left w:w="0" w:type="dxa"/>
          <w:bottom w:w="0" w:type="dxa"/>
          <w:right w:w="0" w:type="dxa"/>
        </w:tblCellMar>
        <w:tblLook w:val="01E0"/>
      </w:tblPr>
      <w:tblGrid>
        <w:gridCol w:w="2602"/>
        <w:gridCol w:w="3294"/>
        <w:gridCol w:w="3706"/>
      </w:tblGrid>
      <w:tr>
        <w:trPr>
          <w:trHeight w:val="346"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56"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1284"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应收合并范围内关联方往来款</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1" w:right="68"/>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 未来经济状况的预测，通过违约风险敞口和未 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个月或整个存续期预期信用损失率，计算 预期信用损失</w:t>
            </w:r>
          </w:p>
        </w:tc>
      </w:tr>
      <w:tr>
        <w:trPr>
          <w:trHeight w:val="1282"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 w:right="0"/>
              <w:jc w:val="left"/>
              <w:rPr>
                <w:rFonts w:ascii="宋体" w:hAnsi="宋体" w:cs="宋体" w:eastAsia="宋体" w:hint="default"/>
                <w:sz w:val="18"/>
                <w:szCs w:val="18"/>
              </w:rPr>
            </w:pPr>
            <w:r>
              <w:rPr>
                <w:rFonts w:ascii="宋体" w:hAnsi="宋体" w:cs="宋体" w:eastAsia="宋体" w:hint="default"/>
                <w:sz w:val="18"/>
                <w:szCs w:val="18"/>
              </w:rPr>
              <w:t>政府机构应收款项组合</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1" w:right="15"/>
              <w:jc w:val="both"/>
              <w:rPr>
                <w:rFonts w:ascii="宋体" w:hAnsi="宋体" w:cs="宋体" w:eastAsia="宋体" w:hint="default"/>
                <w:sz w:val="18"/>
                <w:szCs w:val="18"/>
              </w:rPr>
            </w:pPr>
            <w:r>
              <w:rPr>
                <w:rFonts w:ascii="宋体" w:hAnsi="宋体" w:cs="宋体" w:eastAsia="宋体" w:hint="default"/>
                <w:sz w:val="18"/>
                <w:szCs w:val="18"/>
              </w:rPr>
              <w:t>主要包括应收政府部门款项，如应收国家 电网电费、应收国家财政支付的电费补贴 款、应收出口退税等</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8"/>
              <w:ind w:left="21" w:right="68"/>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 未来经济状况的预测，通过违约风险敞口和未 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个月或整个存续期预期信用损失率，计算 预期信用损失</w:t>
            </w:r>
          </w:p>
        </w:tc>
      </w:tr>
      <w:tr>
        <w:trPr>
          <w:trHeight w:val="1284"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保证金、押金组合</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 w:right="15"/>
              <w:jc w:val="left"/>
              <w:rPr>
                <w:rFonts w:ascii="宋体" w:hAnsi="宋体" w:cs="宋体" w:eastAsia="宋体" w:hint="default"/>
                <w:sz w:val="18"/>
                <w:szCs w:val="18"/>
              </w:rPr>
            </w:pPr>
            <w:r>
              <w:rPr>
                <w:rFonts w:ascii="宋体" w:hAnsi="宋体" w:cs="宋体" w:eastAsia="宋体" w:hint="default"/>
                <w:sz w:val="18"/>
                <w:szCs w:val="18"/>
              </w:rPr>
              <w:t>主要包括应收的房屋租赁保证金、质量保 证金、合约保证金等</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1" w:right="68"/>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 未来经济状况的预测，通过违约风险敞口和未 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个月或整个存续期预期信用损失率，计算 预期信用损失</w:t>
            </w:r>
          </w:p>
        </w:tc>
      </w:tr>
      <w:tr>
        <w:trPr>
          <w:trHeight w:val="1284"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除上述组合之外的应收款项</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1" w:right="67"/>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 未来经济状况的预测，通过违约风险敞口和未 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个月或整个存续期预期信用损失率，计算 预期信用损失</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before="36"/>
        <w:ind w:right="1133"/>
        <w:jc w:val="left"/>
        <w:rPr>
          <w:b w:val="0"/>
          <w:bCs w:val="0"/>
        </w:rPr>
      </w:pPr>
      <w:bookmarkStart w:name="13、应收款项融资" w:id="185"/>
      <w:bookmarkEnd w:id="185"/>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33"/>
        <w:jc w:val="left"/>
      </w:pPr>
      <w:r>
        <w:rPr/>
        <w:t>本公司对应收款项融资的预期信用损失的确定方法及会计处理方法详见本报告第十二节、五、</w:t>
      </w:r>
      <w:r>
        <w:rPr>
          <w:rFonts w:ascii="Times New Roman" w:hAnsi="Times New Roman" w:cs="Times New Roman" w:eastAsia="Times New Roman" w:hint="default"/>
        </w:rPr>
        <w:t>10.</w:t>
      </w:r>
      <w:r>
        <w:rPr/>
        <w:t>金融工具减值。</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4、其他应收款" w:id="186"/>
      <w:bookmarkEnd w:id="186"/>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left="513" w:right="1573" w:hanging="361"/>
        <w:jc w:val="left"/>
      </w:pPr>
      <w:r>
        <w:rPr/>
        <w:t>其他应收款的预期信用损失的确定方法及会计处理方法 本公司对其他应收款的预期信用损失的确定方法及会计处理方法详见本报告第十二节、五、</w:t>
      </w:r>
      <w:r>
        <w:rPr>
          <w:rFonts w:ascii="Times New Roman" w:hAnsi="Times New Roman" w:cs="Times New Roman" w:eastAsia="Times New Roman" w:hint="default"/>
        </w:rPr>
        <w:t>10</w:t>
      </w:r>
      <w:r>
        <w:rPr/>
        <w:t>、金融工具减值。</w:t>
      </w:r>
    </w:p>
    <w:p>
      <w:pPr>
        <w:spacing w:line="240" w:lineRule="auto" w:before="10"/>
        <w:rPr>
          <w:rFonts w:ascii="宋体" w:hAnsi="宋体" w:cs="宋体" w:eastAsia="宋体" w:hint="default"/>
          <w:sz w:val="18"/>
          <w:szCs w:val="18"/>
        </w:rPr>
      </w:pPr>
    </w:p>
    <w:p>
      <w:pPr>
        <w:pStyle w:val="Heading3"/>
        <w:spacing w:line="240" w:lineRule="auto"/>
        <w:ind w:right="1133"/>
        <w:jc w:val="left"/>
        <w:rPr>
          <w:b w:val="0"/>
          <w:bCs w:val="0"/>
        </w:rPr>
      </w:pPr>
      <w:bookmarkStart w:name="15、存货" w:id="187"/>
      <w:bookmarkEnd w:id="187"/>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124" w:hanging="53"/>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316" w:lineRule="auto" w:before="31"/>
        <w:ind w:right="1133"/>
        <w:jc w:val="left"/>
      </w:pPr>
      <w:r>
        <w:rPr>
          <w:spacing w:val="-2"/>
        </w:rPr>
        <w:t>耗用的材料和物料等。主要包括原材料、周转材料、委托加工材料、在产品、自制半成品、产成品（库存商品）、发出商品</w:t>
      </w:r>
      <w:r>
        <w:rPr>
          <w:spacing w:val="-70"/>
        </w:rPr>
        <w:t> </w:t>
      </w:r>
      <w:r>
        <w:rPr>
          <w:spacing w:val="-70"/>
        </w:rPr>
      </w:r>
      <w:r>
        <w:rPr/>
        <w:t>等。</w:t>
      </w:r>
    </w:p>
    <w:p>
      <w:pPr>
        <w:spacing w:line="309" w:lineRule="auto" w:before="19"/>
        <w:ind w:left="460"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存货在取得时，按成本进行初始计量，包括采购成本、加工成本和其他成本。存货发出时按按加权平均法计价。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sz w:val="18"/>
          <w:szCs w:val="18"/>
        </w:rPr>
      </w:r>
    </w:p>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6" w:lineRule="auto"/>
        <w:ind w:right="0" w:firstLine="360"/>
        <w:jc w:val="left"/>
      </w:pPr>
      <w:r>
        <w:rPr>
          <w:spacing w:val="-2"/>
        </w:rPr>
        <w:t>期末对存货进行全面清查后，按存货的成本与可变现净值孰低提取或调整存货跌价准备。产成品、库存商品和用于出售</w:t>
      </w:r>
      <w:r>
        <w:rPr/>
        <w:t> </w:t>
      </w: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right="1129"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2"/>
        </w:rPr>
        <w:t> </w:t>
      </w:r>
      <w:r>
        <w:rPr>
          <w:spacing w:val="-62"/>
        </w:rPr>
      </w:r>
      <w:r>
        <w:rPr/>
        <w:t>货跌价准备。</w:t>
      </w:r>
    </w:p>
    <w:p>
      <w:pPr>
        <w:pStyle w:val="BodyText"/>
        <w:spacing w:line="316" w:lineRule="auto" w:before="19"/>
        <w:ind w:right="113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09" w:lineRule="auto" w:before="19"/>
        <w:ind w:left="460" w:right="770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5"/>
        <w:ind w:left="441" w:right="1133"/>
        <w:jc w:val="left"/>
      </w:pPr>
      <w:r>
        <w:rPr/>
        <w:t>①低值易耗品采用一次转销法；</w:t>
      </w:r>
    </w:p>
    <w:p>
      <w:pPr>
        <w:pStyle w:val="BodyText"/>
        <w:spacing w:line="240" w:lineRule="auto" w:before="76"/>
        <w:ind w:left="441" w:right="1133"/>
        <w:jc w:val="left"/>
      </w:pPr>
      <w:r>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6、合同资产" w:id="188"/>
      <w:bookmarkEnd w:id="188"/>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657"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7、合同成本" w:id="189"/>
      <w:bookmarkEnd w:id="189"/>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657"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8、持有待售资产" w:id="190"/>
      <w:bookmarkEnd w:id="190"/>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4273"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31"/>
        <w:ind w:left="513" w:right="1133"/>
        <w:jc w:val="left"/>
      </w:pPr>
      <w:r>
        <w:rPr/>
        <w:t>①根据类似交易中出售此类资产或处置组的惯例，在当前状况下即可立即出售；</w:t>
      </w:r>
    </w:p>
    <w:p>
      <w:pPr>
        <w:pStyle w:val="BodyText"/>
        <w:spacing w:line="316" w:lineRule="auto" w:before="76"/>
        <w:ind w:right="1131" w:firstLine="360"/>
        <w:jc w:val="both"/>
      </w:pPr>
      <w:r>
        <w:rPr>
          <w:spacing w:val="-4"/>
        </w:rPr>
        <w:t>②出售极可能发生，即本公司已经就一项出售计划作出决议，并已获得监管部门批准，且获得确定的购买承诺，预计</w:t>
      </w:r>
      <w:r>
        <w:rPr>
          <w:spacing w:val="25"/>
        </w:rPr>
        <w:t> </w:t>
      </w:r>
      <w:r>
        <w:rPr/>
        <w:t>出</w:t>
      </w:r>
      <w:r>
        <w:rPr/>
        <w:t> </w:t>
      </w:r>
      <w:r>
        <w:rPr>
          <w:spacing w:val="-2"/>
        </w:rPr>
        <w:t>售将在一年内完成。确定的购买承诺，是指本公司与其他方签订的具有法律约束力的购买协议，该协议包含交易价格、时间</w:t>
      </w:r>
      <w:r>
        <w:rPr>
          <w:spacing w:val="-64"/>
        </w:rPr>
        <w:t> </w:t>
      </w:r>
      <w:r>
        <w:rPr>
          <w:spacing w:val="-64"/>
        </w:rPr>
      </w:r>
      <w:r>
        <w:rPr/>
        <w:t>和足够严厉的违</w:t>
      </w:r>
      <w:r>
        <w:rPr>
          <w:spacing w:val="-18"/>
        </w:rPr>
        <w:t> </w:t>
      </w:r>
      <w:r>
        <w:rPr/>
        <w:t>约惩罚等重要条款，使协议出现重大调整或者撤销的可能性极小。</w:t>
      </w:r>
    </w:p>
    <w:p>
      <w:pPr>
        <w:pStyle w:val="BodyText"/>
        <w:spacing w:line="300" w:lineRule="auto" w:before="19"/>
        <w:ind w:left="513" w:right="1124" w:hanging="53"/>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本公司对于持有待售的非流动资产或处置组不计提折旧或摊销，其账面价值高于公允价值减去出售费用后的净额的，应</w:t>
      </w:r>
    </w:p>
    <w:p>
      <w:pPr>
        <w:pStyle w:val="BodyText"/>
        <w:spacing w:line="316" w:lineRule="auto" w:before="32"/>
        <w:ind w:right="1124"/>
        <w:jc w:val="left"/>
      </w:pPr>
      <w:r>
        <w:rPr>
          <w:spacing w:val="-2"/>
        </w:rPr>
        <w:t>当将账面价值减记至公允价值减去出售费用后的净额，减记的金额确认为资产减值损失，计入当期损益，同时计提持有待售</w:t>
      </w:r>
      <w:r>
        <w:rPr>
          <w:spacing w:val="-63"/>
        </w:rPr>
        <w:t> </w:t>
      </w:r>
      <w:r>
        <w:rPr>
          <w:spacing w:val="-63"/>
        </w:rPr>
      </w:r>
      <w:r>
        <w:rPr/>
        <w:t>资产减值准备。</w:t>
      </w:r>
    </w:p>
    <w:p>
      <w:pPr>
        <w:pStyle w:val="BodyText"/>
        <w:spacing w:line="316" w:lineRule="auto" w:before="19"/>
        <w:ind w:right="113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130"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3"/>
        </w:rPr>
        <w:t> </w:t>
      </w:r>
      <w:r>
        <w:rPr>
          <w:spacing w:val="-63"/>
        </w:rPr>
      </w:r>
      <w:r>
        <w:rPr/>
        <w:t>同相关会计准则规范的保险合同所产生的权利。</w:t>
      </w:r>
    </w:p>
    <w:p>
      <w:pPr>
        <w:spacing w:after="0" w:line="31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9、债权投资" w:id="191"/>
      <w:bookmarkEnd w:id="191"/>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0、其他债权投资" w:id="192"/>
      <w:bookmarkEnd w:id="192"/>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1、长期应收款" w:id="193"/>
      <w:bookmarkEnd w:id="193"/>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573"/>
        <w:jc w:val="left"/>
      </w:pPr>
      <w:r>
        <w:rPr/>
        <w:t>本公司对长期应收款的预期信用损失的确定方法及会计处理方法详见本报告第十二节、五、</w:t>
      </w:r>
      <w:r>
        <w:rPr>
          <w:rFonts w:ascii="Times New Roman" w:hAnsi="Times New Roman" w:cs="Times New Roman" w:eastAsia="Times New Roman" w:hint="default"/>
        </w:rPr>
        <w:t>10</w:t>
      </w:r>
      <w:r>
        <w:rPr/>
        <w:t>、金融工具减值。 本公司对在单项工具层面能以合理成本评估预期信用损失的充分证据的长期应收款单独确定其信用损失。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1133"/>
        <w:jc w:val="left"/>
        <w:rPr>
          <w:b w:val="0"/>
          <w:bCs w:val="0"/>
        </w:rPr>
      </w:pPr>
      <w:bookmarkStart w:name="22、长期股权投资" w:id="194"/>
      <w:bookmarkEnd w:id="194"/>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Heading5"/>
        <w:spacing w:line="240" w:lineRule="auto" w:before="0"/>
        <w:ind w:left="489" w:right="1133"/>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63"/>
        <w:ind w:right="1124" w:firstLine="360"/>
        <w:jc w:val="left"/>
      </w:pPr>
      <w:r>
        <w:rPr>
          <w:spacing w:val="-1"/>
        </w:rPr>
        <w:t>①企业合并形成的长期股权投资，具体会计政策详见第十二节、五、</w:t>
      </w:r>
      <w:r>
        <w:rPr>
          <w:rFonts w:ascii="Times New Roman" w:hAnsi="Times New Roman" w:cs="Times New Roman" w:eastAsia="Times New Roman" w:hint="default"/>
          <w:spacing w:val="-1"/>
        </w:rPr>
        <w:t>5.</w:t>
      </w:r>
      <w:r>
        <w:rPr>
          <w:spacing w:val="-1"/>
        </w:rPr>
        <w:t>同一控制下和非同一控制下企业合并的会计处理</w:t>
      </w:r>
      <w:r>
        <w:rPr/>
        <w:t> 方法。</w:t>
      </w:r>
    </w:p>
    <w:p>
      <w:pPr>
        <w:pStyle w:val="BodyText"/>
        <w:spacing w:line="316" w:lineRule="auto" w:before="31"/>
        <w:ind w:left="513" w:right="1124"/>
        <w:jc w:val="left"/>
      </w:pPr>
      <w:r>
        <w:rPr/>
        <w:t>②其他方式取得的长期股权投资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19"/>
        <w:ind w:left="513" w:right="1124"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513" w:right="1124"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124"/>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3" w:right="1133"/>
        <w:jc w:val="left"/>
      </w:pPr>
      <w:r>
        <w:rPr/>
        <w:t>通过债务重组取得的长期股权投资，其初始投资成本按照公允价值为基础确定。</w:t>
      </w:r>
    </w:p>
    <w:p>
      <w:pPr>
        <w:pStyle w:val="Heading5"/>
        <w:spacing w:line="240" w:lineRule="auto" w:before="77"/>
        <w:ind w:left="566" w:right="1133"/>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16" w:lineRule="auto" w:before="63"/>
        <w:ind w:left="513" w:right="1124"/>
        <w:jc w:val="left"/>
      </w:pPr>
      <w:r>
        <w:rPr/>
        <w:t>①成本法 </w:t>
      </w:r>
      <w:r>
        <w:rPr>
          <w:spacing w:val="-2"/>
        </w:rPr>
        <w:t>本公司能够对被投资单位实施控制的长期股权投资采用成本法核算，并按照初始投资成本计价，追加或收回投资调整长</w:t>
      </w:r>
    </w:p>
    <w:p>
      <w:pPr>
        <w:pStyle w:val="BodyText"/>
        <w:spacing w:line="316" w:lineRule="auto" w:before="19"/>
        <w:ind w:left="513" w:right="1124"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1133"/>
        <w:jc w:val="left"/>
      </w:pPr>
      <w:r>
        <w:rPr/>
        <w:t>分派的现金股利或利润确认为当期投资收益。</w:t>
      </w:r>
    </w:p>
    <w:p>
      <w:pPr>
        <w:pStyle w:val="BodyText"/>
        <w:spacing w:line="316" w:lineRule="auto" w:before="76"/>
        <w:ind w:left="513" w:right="1124"/>
        <w:jc w:val="left"/>
      </w:pPr>
      <w:r>
        <w:rPr/>
        <w:t>②权益法 </w:t>
      </w:r>
      <w:r>
        <w:rPr>
          <w:spacing w:val="-2"/>
        </w:rPr>
        <w:t>本公司对联营企业和合营企业的长期股权投资采用权益法核算；对于其中一部分通过风险投资机构、共同基金、信托公</w:t>
      </w:r>
    </w:p>
    <w:p>
      <w:pPr>
        <w:pStyle w:val="BodyText"/>
        <w:spacing w:line="316" w:lineRule="auto" w:before="19"/>
        <w:ind w:left="513" w:right="1124"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9" w:lineRule="auto" w:before="19"/>
        <w:ind w:left="513" w:right="1124"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7"/>
        <w:ind w:right="103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16" w:lineRule="auto" w:before="19"/>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right="103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hanging="361"/>
        <w:jc w:val="left"/>
      </w:pPr>
      <w:r>
        <w:rPr/>
        <w:t>务确认预计负债，计入当期投资损失。 </w:t>
      </w:r>
      <w:r>
        <w:rPr>
          <w:spacing w:val="-2"/>
        </w:rPr>
        <w:t>被投资单位以后期间实现盈利的，公司在扣除未确认的亏损分担额后，按与上述相反的顺序处理，减记已确认预计负债</w:t>
      </w:r>
    </w:p>
    <w:p>
      <w:pPr>
        <w:pStyle w:val="BodyText"/>
        <w:spacing w:line="240" w:lineRule="auto" w:before="17"/>
        <w:ind w:right="1133"/>
        <w:jc w:val="left"/>
      </w:pPr>
      <w:r>
        <w:rPr/>
        <w:t>的账面余额、恢复其他实质上构成对被投资单位净投资的长期权益及长期股权投资的账面价值后，恢复确认投资收益。</w:t>
      </w:r>
    </w:p>
    <w:p>
      <w:pPr>
        <w:pStyle w:val="Heading5"/>
        <w:spacing w:line="240" w:lineRule="auto" w:before="76"/>
        <w:ind w:left="460" w:right="113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63"/>
        <w:ind w:left="513" w:right="1124" w:hanging="72"/>
        <w:jc w:val="left"/>
      </w:pPr>
      <w:r>
        <w:rPr/>
        <w:t>①公允价值计量转权益法核算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19"/>
        <w:ind w:right="1124"/>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316" w:lineRule="auto" w:before="31"/>
        <w:ind w:right="1124"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133" w:firstLine="360"/>
        <w:jc w:val="left"/>
      </w:pPr>
      <w:r>
        <w:rPr/>
        <w:t>按权益法核算的初始投资成本小于按照追加投资后全新的持股比例计算确定的应享有被投资单位在追加投资日可辨认</w:t>
      </w:r>
      <w:r>
        <w:rPr>
          <w:spacing w:val="2"/>
        </w:rPr>
        <w:t> </w:t>
      </w:r>
      <w:r>
        <w:rPr/>
        <w:t>净资产公允价值份额之间的差额，调整长期股权投资的账面价值，并计入当期营业外收入。</w:t>
      </w:r>
    </w:p>
    <w:p>
      <w:pPr>
        <w:pStyle w:val="BodyText"/>
        <w:spacing w:line="316" w:lineRule="auto" w:before="19"/>
        <w:ind w:left="513" w:right="1124" w:hanging="72"/>
        <w:jc w:val="left"/>
      </w:pPr>
      <w:r>
        <w:rPr/>
        <w:t>②公允价值计量或权益法核算转成本法核算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19"/>
        <w:ind w:right="1124"/>
        <w:jc w:val="left"/>
      </w:pPr>
      <w:r>
        <w:rPr>
          <w:spacing w:val="-2"/>
        </w:rPr>
        <w:t>资，或原持有对联营企业、合营企业的长期股权投资，因追加投资等原因能够对非同一控制下的被投资单位实施控制的，在</w:t>
      </w:r>
      <w:r>
        <w:rPr>
          <w:spacing w:val="-64"/>
        </w:rPr>
        <w:t> </w:t>
      </w:r>
      <w:r>
        <w:rPr>
          <w:spacing w:val="-64"/>
        </w:rPr>
      </w:r>
      <w:r>
        <w:rPr/>
        <w:t>编制个别财务报表时，按照原持有的股权投资账面价值加上新增投资成本之和，作为改按成本法核算的初始投资成本。</w:t>
      </w:r>
    </w:p>
    <w:p>
      <w:pPr>
        <w:pStyle w:val="BodyText"/>
        <w:spacing w:line="316" w:lineRule="auto" w:before="19"/>
        <w:ind w:right="1124"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1124"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16" w:lineRule="auto" w:before="31"/>
        <w:ind w:left="513" w:right="1124" w:hanging="72"/>
        <w:jc w:val="left"/>
      </w:pPr>
      <w:r>
        <w:rPr/>
        <w:t>③权益法核算转公允价值计量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19"/>
        <w:ind w:right="1124"/>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pStyle w:val="BodyText"/>
        <w:spacing w:line="316" w:lineRule="auto" w:before="32"/>
        <w:ind w:right="1124"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16" w:lineRule="auto" w:before="19"/>
        <w:ind w:left="513" w:right="1124" w:hanging="72"/>
        <w:jc w:val="left"/>
      </w:pPr>
      <w:r>
        <w:rPr/>
        <w:t>④成本法转权益法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19"/>
        <w:ind w:right="0"/>
        <w:jc w:val="left"/>
      </w:pPr>
      <w:r>
        <w:rPr/>
        <w:t>被投资单位实施共同控制或施加重大影响的，改按权益法核算，并对该剩余股权视同自取得时即采用权益法核算进行调整。</w:t>
      </w:r>
    </w:p>
    <w:p>
      <w:pPr>
        <w:pStyle w:val="BodyText"/>
        <w:spacing w:line="316" w:lineRule="auto" w:before="76"/>
        <w:ind w:left="513" w:right="1124" w:hanging="72"/>
        <w:jc w:val="left"/>
      </w:pPr>
      <w:r>
        <w:rPr/>
        <w:t>⑤成本法转公允价值计量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19"/>
        <w:ind w:right="1124"/>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3" w:right="1124" w:hanging="53"/>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2"/>
        <w:ind w:right="1124"/>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right="1124"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441" w:right="1133"/>
        <w:jc w:val="left"/>
      </w:pPr>
      <w:r>
        <w:rPr/>
        <w:t>①这些交易是同时或者在考虑了彼此影响的情况下订立的；</w:t>
      </w:r>
    </w:p>
    <w:p>
      <w:pPr>
        <w:pStyle w:val="BodyText"/>
        <w:spacing w:line="240" w:lineRule="auto" w:before="76"/>
        <w:ind w:left="477" w:right="1133"/>
        <w:jc w:val="left"/>
      </w:pPr>
      <w:r>
        <w:rPr/>
        <w:t>②这些交易整体才能达成一项完整的商业结果；</w:t>
      </w:r>
    </w:p>
    <w:p>
      <w:pPr>
        <w:pStyle w:val="BodyText"/>
        <w:spacing w:line="240" w:lineRule="auto" w:before="76"/>
        <w:ind w:left="441" w:right="1133"/>
        <w:jc w:val="left"/>
      </w:pPr>
      <w:r>
        <w:rPr/>
        <w:t>③一项交易的发生取决于其他至少一项交易的发生；</w:t>
      </w:r>
    </w:p>
    <w:p>
      <w:pPr>
        <w:pStyle w:val="BodyText"/>
        <w:spacing w:line="316" w:lineRule="auto" w:before="76"/>
        <w:ind w:left="513" w:right="1124" w:hanging="72"/>
        <w:jc w:val="left"/>
      </w:pPr>
      <w:r>
        <w:rPr/>
        <w:t>④一项交易单独看是不经济的，但是和其他交易一并考虑时是经济的。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spacing w:after="0" w:line="316" w:lineRule="auto"/>
        <w:jc w:val="left"/>
        <w:sectPr>
          <w:footerReference w:type="default" r:id="rId16"/>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表进行相关会计处理：</w:t>
      </w:r>
    </w:p>
    <w:p>
      <w:pPr>
        <w:pStyle w:val="BodyText"/>
        <w:spacing w:line="312" w:lineRule="auto" w:before="77"/>
        <w:ind w:right="0" w:firstLine="360"/>
        <w:jc w:val="left"/>
      </w:pPr>
      <w:r>
        <w:rPr>
          <w:spacing w:val="-2"/>
        </w:rPr>
        <w:t>①在个别财务报表中，对于处置的股权，其账面价值与实际取得价款之间的差额计入当期损益。处置后的剩余股权能够</w:t>
      </w:r>
      <w:r>
        <w:rPr/>
        <w:t> </w:t>
      </w:r>
      <w:r>
        <w:rPr>
          <w:spacing w:val="-4"/>
        </w:rPr>
        <w:t>对被投资单位实施共同控制或施加重大影响的，改按权益法核算，并对该剩余股权视同自取得时即采用权益法核算进行调整；</w:t>
      </w:r>
      <w:r>
        <w:rPr>
          <w:spacing w:val="-44"/>
        </w:rPr>
        <w:t> </w:t>
      </w:r>
      <w:r>
        <w:rPr>
          <w:spacing w:val="-44"/>
        </w:rPr>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40"/>
        </w:rPr>
        <w:t> </w:t>
      </w:r>
      <w:r>
        <w:rPr>
          <w:spacing w:val="-40"/>
        </w:rPr>
      </w:r>
      <w:r>
        <w:rPr/>
        <w:t>的有关规定进行会计处理，其在丧失控制之日的公允价值与账面价值间的差额计入当期损益。</w:t>
      </w:r>
    </w:p>
    <w:p>
      <w:pPr>
        <w:pStyle w:val="BodyText"/>
        <w:spacing w:line="316" w:lineRule="auto" w:before="22"/>
        <w:ind w:right="1034" w:firstLine="360"/>
        <w:jc w:val="left"/>
      </w:pPr>
      <w:r>
        <w:rPr>
          <w:spacing w:val="-2"/>
        </w:rPr>
        <w:t>②在合并财务报表中，对于在丧失对子公司控制权以前的各项交易，处置价款与处置长期股权投资相应对享有子公司自</w:t>
      </w:r>
      <w:r>
        <w:rPr/>
        <w:t> </w:t>
      </w:r>
      <w:r>
        <w:rPr>
          <w:spacing w:val="-4"/>
        </w:rPr>
        <w:t>购买日或合并日开始持续计算的净资产份额之间的差额，调整资本公积（股本溢价），资本公积不足冲减的，调整留存收益；</w:t>
      </w:r>
      <w:r>
        <w:rPr>
          <w:spacing w:val="-43"/>
        </w:rPr>
        <w:t> </w:t>
      </w:r>
      <w:r>
        <w:rPr>
          <w:spacing w:val="-43"/>
        </w:rPr>
      </w:r>
      <w:r>
        <w:rPr>
          <w:spacing w:val="-2"/>
        </w:rPr>
        <w:t>在丧失对子公司控制权时，对于剩余股权，按照其在丧失控制权日的公允价值进行重新计量。处置股权取得的对价与剩余股</w:t>
      </w:r>
      <w:r>
        <w:rPr>
          <w:spacing w:val="-63"/>
        </w:rPr>
        <w:t> </w:t>
      </w:r>
      <w:r>
        <w:rPr>
          <w:spacing w:val="-63"/>
        </w:rPr>
      </w:r>
      <w:r>
        <w:rPr>
          <w:spacing w:val="-2"/>
        </w:rPr>
        <w:t>权公允价值之和，减去按原持股比例计算应享有原有子公司自购买日开始持续计算的净资产的份额之间的差额，计入丧失控</w:t>
      </w:r>
      <w:r>
        <w:rPr>
          <w:spacing w:val="-64"/>
        </w:rPr>
        <w:t> </w:t>
      </w:r>
      <w:r>
        <w:rPr>
          <w:spacing w:val="-64"/>
        </w:rPr>
      </w:r>
      <w:r>
        <w:rPr/>
        <w:t>制权当期的投资收益，同时冲减商誉。与原有子公司股权投资相关的其他综合收益等，在丧失控制权时转为当期投资收益。</w:t>
      </w:r>
    </w:p>
    <w:p>
      <w:pPr>
        <w:pStyle w:val="BodyText"/>
        <w:spacing w:line="316" w:lineRule="auto" w:before="19"/>
        <w:ind w:right="1124"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16" w:lineRule="auto" w:before="19"/>
        <w:ind w:right="1124" w:firstLine="360"/>
        <w:jc w:val="left"/>
      </w:pPr>
      <w:r>
        <w:rPr>
          <w:spacing w:val="-2"/>
        </w:rPr>
        <w:t>①在个别财务报表中，在丧失控制权之前每一次处置价款与处置的股权对应的长期股权投资账面价值之间的差额，确认</w:t>
      </w:r>
      <w:r>
        <w:rPr/>
        <w:t> 为其他综合收益，在丧失控制权时一并转入丧失控制权当期的损益。</w:t>
      </w:r>
    </w:p>
    <w:p>
      <w:pPr>
        <w:pStyle w:val="BodyText"/>
        <w:spacing w:line="316" w:lineRule="auto" w:before="19"/>
        <w:ind w:right="1124" w:firstLine="360"/>
        <w:jc w:val="left"/>
      </w:pPr>
      <w:r>
        <w:rPr>
          <w:spacing w:val="-2"/>
        </w:rPr>
        <w:t>②在合并财务报表中，在丧失控制权之前每一次处置价款与处置投资对应的享有该子公司净资产份额的差额，确认为其</w:t>
      </w:r>
      <w:r>
        <w:rPr/>
        <w:t> 他综合收益，在丧失控制权时一并转入丧失控制权当期的损益。</w:t>
      </w:r>
    </w:p>
    <w:p>
      <w:pPr>
        <w:spacing w:line="300" w:lineRule="auto" w:before="19"/>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6" w:lineRule="auto" w:before="31"/>
        <w:ind w:left="513" w:right="1124"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9"/>
        <w:ind w:right="1124"/>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19" w:lineRule="auto" w:before="19"/>
        <w:ind w:right="1131"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这些政策的制定。本公司通过以下一种或多种情形，并综合考虑所有事实和情况后，判断对被投资单位具有重大影响：①在</w:t>
      </w:r>
      <w:r>
        <w:rPr>
          <w:spacing w:val="-65"/>
        </w:rPr>
        <w:t> </w:t>
      </w:r>
      <w:r>
        <w:rPr>
          <w:spacing w:val="-65"/>
        </w:rPr>
      </w:r>
      <w:r>
        <w:rPr>
          <w:spacing w:val="-2"/>
        </w:rPr>
        <w:t>被投资单位的董事会或类似权力机构中派有代表；②参与被投资单位财务和经营政策制定过程③与被投资单位之间发生重要</w:t>
      </w:r>
      <w:r>
        <w:rPr>
          <w:spacing w:val="-64"/>
        </w:rPr>
        <w:t> </w:t>
      </w:r>
      <w:r>
        <w:rPr>
          <w:spacing w:val="-64"/>
        </w:rPr>
      </w:r>
      <w:r>
        <w:rPr/>
        <w:t>交易；④向被投资单位派出管理人员；⑤向被投资单位提供关键技术资料。</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bookmarkStart w:name="23、投资性房地产" w:id="195"/>
      <w:bookmarkEnd w:id="195"/>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4、固定资产" w:id="196"/>
      <w:bookmarkEnd w:id="196"/>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确认条件" w:id="197"/>
      <w:bookmarkEnd w:id="19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1" w:firstLine="722"/>
        <w:jc w:val="both"/>
      </w:pPr>
      <w:r>
        <w:rPr>
          <w:spacing w:val="-2"/>
        </w:rPr>
        <w:t>固定资产指为生产商品、提供劳务、出租或经营管理而持有，并且使用寿命超过一个会计年度的有形资产。固定资</w:t>
      </w:r>
      <w:r>
        <w:rPr/>
        <w:t> 产在同时满足下列条件时予以确认：</w:t>
      </w:r>
      <w:r>
        <w:rPr>
          <w:spacing w:val="2"/>
        </w:rPr>
        <w:t> </w:t>
      </w:r>
      <w:r>
        <w:rPr/>
        <w:t>①与该固定资产有关的经济利益很可能流入企业；②该固定资产的成本能够可靠地计</w:t>
      </w:r>
      <w:r>
        <w:rPr/>
        <w:t> 量。</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折旧方法" w:id="198"/>
      <w:bookmarkEnd w:id="19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4.75-3.80%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47.5-19%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融资租入固定资产的认定依据、计价和折旧方法" w:id="199"/>
      <w:bookmarkEnd w:id="19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firstLine="634"/>
        <w:jc w:val="left"/>
      </w:pPr>
      <w:r>
        <w:rPr/>
        <w:t>当本公司租入的固定资产符合下列一项或数项标准时，确认为融资租入固定资产：</w:t>
      </w:r>
      <w:r>
        <w:rPr>
          <w:spacing w:val="-51"/>
        </w:rPr>
        <w:t> </w:t>
      </w:r>
      <w:r>
        <w:rPr/>
        <w:t>①在租赁期届满时，租赁资产的</w:t>
      </w:r>
      <w:r>
        <w:rPr/>
        <w:t> 所有权转移给本公司。</w:t>
      </w:r>
      <w:r>
        <w:rPr>
          <w:spacing w:val="1"/>
        </w:rPr>
        <w:t> </w:t>
      </w:r>
      <w:r>
        <w:rPr/>
        <w:t>②本公司有购买租赁资产的选择权，所订立的购买价款预计将远低于行使选择权时租赁资产的公允</w:t>
      </w:r>
      <w:r>
        <w:rPr/>
        <w:t> </w:t>
      </w:r>
      <w:r>
        <w:rPr>
          <w:spacing w:val="-2"/>
        </w:rPr>
        <w:t>价值，因而在租赁开始日就可以合理确定本公司将会行使这种选择权。③即使资产的所有权不转移，但租赁期占租赁资产使</w:t>
      </w:r>
      <w:r>
        <w:rPr>
          <w:spacing w:val="-61"/>
        </w:rPr>
        <w:t> </w:t>
      </w:r>
      <w:r>
        <w:rPr>
          <w:spacing w:val="-61"/>
        </w:rPr>
      </w:r>
      <w:r>
        <w:rPr/>
        <w:t>用寿命的大部分。 ④本公司在租赁开始日的最低租赁付款额现值，几乎相当于租赁开始日租赁资产公允价值。</w:t>
      </w:r>
      <w:r>
        <w:rPr>
          <w:spacing w:val="-69"/>
        </w:rPr>
        <w:t> </w:t>
      </w:r>
      <w:r>
        <w:rPr/>
        <w:t>⑤租赁资产</w:t>
      </w:r>
      <w:r>
        <w:rPr/>
        <w:t> </w:t>
      </w:r>
      <w:r>
        <w:rPr>
          <w:spacing w:val="-2"/>
        </w:rPr>
        <w:t>性质特殊，如果不作较大改造，只有本公司才能使用。融资租赁租入的固定资产，按租赁开始日租赁资产公允价值与最低租</w:t>
      </w:r>
      <w:r>
        <w:rPr>
          <w:spacing w:val="-64"/>
        </w:rPr>
        <w:t> </w:t>
      </w:r>
      <w:r>
        <w:rPr>
          <w:spacing w:val="-64"/>
        </w:rPr>
      </w:r>
      <w:r>
        <w:rPr/>
        <w:t>赁付款额的现值两者中较低者，作为入账价值。最低租赁付款额作为长期应付款的入账价值，其差额作为未确认融资费用。 </w:t>
      </w:r>
      <w:r>
        <w:rPr>
          <w:spacing w:val="-2"/>
        </w:rPr>
        <w:t>在租赁谈判和签订租赁合同过程中发生的，可归属于租赁项目的手续费、律师费、差旅费、印花税等初始直接费用，计入租</w:t>
      </w:r>
      <w:r>
        <w:rPr>
          <w:spacing w:val="-67"/>
        </w:rPr>
        <w:t> </w:t>
      </w:r>
      <w:r>
        <w:rPr>
          <w:spacing w:val="-67"/>
        </w:rPr>
      </w:r>
      <w:r>
        <w:rPr>
          <w:spacing w:val="-2"/>
        </w:rPr>
        <w:t>入资产价值。未确认融资费用在租赁期内各个期间采用实际利率法进行分摊。本公司采用与自有固定资产相一致的折旧政策</w:t>
      </w:r>
      <w:r>
        <w:rPr>
          <w:spacing w:val="-64"/>
        </w:rPr>
        <w:t> </w:t>
      </w:r>
      <w:r>
        <w:rPr>
          <w:spacing w:val="-64"/>
        </w:rPr>
      </w:r>
      <w:r>
        <w:rPr>
          <w:spacing w:val="-2"/>
        </w:rPr>
        <w:t>计提融资租入固定资产折旧。能够合理确定租赁期届满时取得租赁资产所有权的，在租赁资产使用寿命内计提折旧。无法合</w:t>
      </w:r>
      <w:r>
        <w:rPr>
          <w:spacing w:val="-62"/>
        </w:rPr>
        <w:t> </w:t>
      </w:r>
      <w:r>
        <w:rPr>
          <w:spacing w:val="-62"/>
        </w:rPr>
      </w:r>
      <w:r>
        <w:rPr/>
        <w:t>理确定租赁期届满时能够取得租赁资产所有权的，在租赁期与租赁资产使用寿命两者中较短的期间内计提折旧。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25、在建工程" w:id="200"/>
      <w:bookmarkEnd w:id="200"/>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033" w:hanging="24"/>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240" w:lineRule="auto" w:before="31"/>
        <w:ind w:right="1133"/>
        <w:jc w:val="left"/>
      </w:pPr>
      <w:r>
        <w:rPr/>
        <w:t>包括工程用物资成本、人工成本、交纳的相关税费等。</w:t>
      </w:r>
    </w:p>
    <w:p>
      <w:pPr>
        <w:spacing w:line="300" w:lineRule="auto" w:before="77"/>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在建工程项目按建造该项资产达到预定可使用状态前所发生的全部支出，作为固定资产的入账价值。所建造的在建工程</w:t>
      </w:r>
    </w:p>
    <w:p>
      <w:pPr>
        <w:pStyle w:val="BodyText"/>
        <w:spacing w:line="316" w:lineRule="auto" w:before="31"/>
        <w:ind w:right="0"/>
        <w:jc w:val="left"/>
      </w:pPr>
      <w:r>
        <w:rPr>
          <w:spacing w:val="-4"/>
        </w:rPr>
        <w:t>已达到预定可使用状态，但尚未办理竣工决算的，自达到预定可使用状态之日起，根据工程预算、造价或者工程实际成本等，</w:t>
      </w:r>
      <w:r>
        <w:rPr>
          <w:spacing w:val="-46"/>
        </w:rPr>
        <w:t> </w:t>
      </w:r>
      <w:r>
        <w:rPr>
          <w:spacing w:val="-46"/>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6、借款费用" w:id="201"/>
      <w:bookmarkEnd w:id="201"/>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1124" w:hanging="2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319" w:lineRule="auto" w:before="31"/>
        <w:ind w:left="513" w:right="113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7"/>
        <w:ind w:left="513" w:right="6973" w:hanging="361"/>
        <w:jc w:val="left"/>
      </w:pPr>
      <w:r>
        <w:rPr/>
        <w:t>产、投资性房地产和存货等资产。 借款费用同时满足下列条件时开始资本化：</w:t>
      </w:r>
    </w:p>
    <w:p>
      <w:pPr>
        <w:pStyle w:val="BodyText"/>
        <w:spacing w:line="316" w:lineRule="auto" w:before="19"/>
        <w:ind w:right="1124"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133"/>
        <w:jc w:val="left"/>
      </w:pPr>
      <w:r>
        <w:rPr/>
        <w:t>②借款费用已经发生；</w:t>
      </w:r>
    </w:p>
    <w:p>
      <w:pPr>
        <w:pStyle w:val="BodyText"/>
        <w:spacing w:line="240" w:lineRule="auto" w:before="76"/>
        <w:ind w:left="513" w:right="1133"/>
        <w:jc w:val="left"/>
      </w:pPr>
      <w:r>
        <w:rPr/>
        <w:t>③为使资产达到预定可使用或者可销售状态所必要的购建或者生产活动已经开始。</w:t>
      </w:r>
    </w:p>
    <w:p>
      <w:pPr>
        <w:spacing w:line="300" w:lineRule="auto" w:before="76"/>
        <w:ind w:left="513" w:right="1573" w:hanging="2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借款费用资本化期间</w:t>
      </w:r>
      <w:r>
        <w:rPr>
          <w:rFonts w:ascii="宋体" w:hAnsi="宋体" w:cs="宋体" w:eastAsia="宋体" w:hint="default"/>
          <w:b/>
          <w:bCs/>
          <w:w w:val="99"/>
          <w:sz w:val="18"/>
          <w:szCs w:val="18"/>
        </w:rPr>
        <w:t> </w:t>
      </w:r>
      <w:r>
        <w:rPr>
          <w:rFonts w:ascii="宋体" w:hAnsi="宋体" w:cs="宋体" w:eastAsia="宋体" w:hint="default"/>
          <w:sz w:val="18"/>
          <w:szCs w:val="18"/>
        </w:rPr>
        <w:t>资本化期间，指从借款费用开始资本化时点到停止资本化时点的期间，借款费用暂停资本化的期间不包括在内。</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7"/>
        <w:ind w:right="1133"/>
        <w:jc w:val="left"/>
      </w:pPr>
      <w:r>
        <w:rPr/>
        <w:t>款费用资本化。</w:t>
      </w:r>
    </w:p>
    <w:p>
      <w:pPr>
        <w:pStyle w:val="BodyText"/>
        <w:spacing w:line="300" w:lineRule="auto" w:before="76"/>
        <w:ind w:left="513" w:right="0" w:hanging="24"/>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1124"/>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300" w:lineRule="auto" w:before="19"/>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513" w:right="1124"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513" w:right="1573" w:hanging="361"/>
        <w:jc w:val="left"/>
      </w:pPr>
      <w:r>
        <w:rPr/>
        <w:t>本化的利息金额。资本化率根据一般借款加权平均利率计算确定。 借款存在折价或者溢价的，按照实际利率法确定每一会计期间应摊销的折价或者溢价金额，调整每期利息金额。</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27、生物资产" w:id="202"/>
      <w:bookmarkEnd w:id="202"/>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85"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8、油气资产" w:id="203"/>
      <w:bookmarkEnd w:id="203"/>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85"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9、使用权资产" w:id="204"/>
      <w:bookmarkEnd w:id="204"/>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85"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0、无形资产" w:id="205"/>
      <w:bookmarkEnd w:id="205"/>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计价方法、使用寿命、减值测试" w:id="206"/>
      <w:bookmarkEnd w:id="20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124" w:hanging="53"/>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124"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124"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124"/>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1124"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1133"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300" w:lineRule="auto" w:before="18"/>
        <w:ind w:left="513" w:right="247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4" w:hanging="72"/>
        <w:jc w:val="left"/>
      </w:pPr>
      <w:r>
        <w:rPr/>
        <w:t>①使用寿命有限的无形资产 </w:t>
      </w:r>
      <w:r>
        <w:rPr>
          <w:spacing w:val="-2"/>
        </w:rPr>
        <w:t>对于使用寿命有限的无形资产，在为企业带来经济利益的期限内按直线法摊销。每期末，对使用寿命有限的无形资产的</w:t>
      </w:r>
    </w:p>
    <w:p>
      <w:pPr>
        <w:pStyle w:val="BodyText"/>
        <w:spacing w:line="316" w:lineRule="auto" w:before="17"/>
        <w:ind w:left="513" w:right="4454" w:hanging="361"/>
        <w:jc w:val="left"/>
      </w:pPr>
      <w:r>
        <w:rPr/>
        <w:t>使用寿命及摊销方法进行复核，如与原先估计数存在差异的，进行相应的调整。 经复核，本期期末无形资产的使用寿命及摊销方法与以前估计未有不同。</w:t>
      </w:r>
    </w:p>
    <w:p>
      <w:pPr>
        <w:pStyle w:val="BodyText"/>
        <w:spacing w:line="316" w:lineRule="auto" w:before="19"/>
        <w:ind w:left="513" w:right="1124" w:hanging="72"/>
        <w:jc w:val="left"/>
      </w:pPr>
      <w:r>
        <w:rPr/>
        <w:t>②使用寿命不确定的无形资产 </w:t>
      </w:r>
      <w:r>
        <w:rPr>
          <w:spacing w:val="-2"/>
        </w:rPr>
        <w:t>无法预见无形资产为企业带来经济利益期限的，视为使用寿命不确定的无形资产。对于使用寿命不确定的无形资产，在</w:t>
      </w:r>
    </w:p>
    <w:p>
      <w:pPr>
        <w:pStyle w:val="BodyText"/>
        <w:spacing w:line="316" w:lineRule="auto" w:before="19"/>
        <w:ind w:right="1130"/>
        <w:jc w:val="both"/>
      </w:pPr>
      <w:r>
        <w:rPr>
          <w:spacing w:val="-2"/>
        </w:rPr>
        <w:t>持有期间内不摊销，每期末对无形资产的寿命进行复核。如果期末重新复核后仍为不确定的，在每个会计期间继续进行减值</w:t>
      </w:r>
      <w:r>
        <w:rPr>
          <w:spacing w:val="-63"/>
        </w:rPr>
        <w:t> </w:t>
      </w:r>
      <w:r>
        <w:rPr>
          <w:spacing w:val="-63"/>
        </w:rPr>
      </w:r>
      <w:r>
        <w:rPr/>
        <w:t>测试。</w:t>
      </w:r>
    </w:p>
    <w:p>
      <w:pPr>
        <w:pStyle w:val="BodyText"/>
        <w:spacing w:line="316" w:lineRule="auto" w:before="19"/>
        <w:ind w:left="513" w:right="3033"/>
        <w:jc w:val="left"/>
      </w:pPr>
      <w:r>
        <w:rPr/>
        <w:t>经复核，该类无形资产的使用寿命仍为不确定。 无形资产的减值测试方法和减值准备计提方法详见本报告第十二节、五、</w:t>
      </w:r>
      <w:r>
        <w:rPr>
          <w:rFonts w:ascii="Times New Roman" w:hAnsi="Times New Roman" w:cs="Times New Roman" w:eastAsia="Times New Roman" w:hint="default"/>
        </w:rPr>
        <w:t>31“</w:t>
      </w:r>
      <w:r>
        <w:rPr/>
        <w:t>长期资产减值</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bookmarkStart w:name="（2）内部研究开发支出会计政策" w:id="207"/>
      <w:bookmarkEnd w:id="20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left="513" w:right="1501"/>
        <w:jc w:val="left"/>
      </w:pPr>
      <w:r>
        <w:rPr/>
        <w:t>本公司内部研究开发项目的支出分为研究阶段支出与开发阶段支出。</w:t>
      </w:r>
      <w:r>
        <w:rPr>
          <w:spacing w:val="-18"/>
        </w:rPr>
        <w:t> </w:t>
      </w:r>
      <w:r>
        <w:rPr/>
        <w:t>研究阶段的支出，于发生时计入当期损益。</w:t>
      </w:r>
      <w:r>
        <w:rPr/>
        <w:t> 开发阶段的支出同时满足下列条件的，确认为无形资产，不能满足下述条件的开发阶段的支出计入当期损益：</w:t>
      </w:r>
    </w:p>
    <w:p>
      <w:pPr>
        <w:pStyle w:val="BodyText"/>
        <w:spacing w:line="240" w:lineRule="auto" w:before="19"/>
        <w:ind w:left="513" w:right="1133"/>
        <w:jc w:val="left"/>
      </w:pPr>
      <w:r>
        <w:rPr/>
        <w:t>①完成该无形资产以使其能够使用或出售在技术上具有可行性；</w:t>
      </w:r>
    </w:p>
    <w:p>
      <w:pPr>
        <w:pStyle w:val="BodyText"/>
        <w:spacing w:line="240" w:lineRule="auto" w:before="76"/>
        <w:ind w:left="513" w:right="1133"/>
        <w:jc w:val="left"/>
      </w:pPr>
      <w:r>
        <w:rPr/>
        <w:t>②具有完成该无形资产并使用或出售的意图；</w:t>
      </w:r>
    </w:p>
    <w:p>
      <w:pPr>
        <w:pStyle w:val="BodyText"/>
        <w:spacing w:line="316" w:lineRule="auto" w:before="76"/>
        <w:ind w:right="1124"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3" w:right="1133"/>
        <w:jc w:val="left"/>
      </w:pPr>
      <w:r>
        <w:rPr/>
        <w:t>④有足够的技术、财务资源和其他资源支持，以完成该无形资产的开发，并有能力使用或出售该无形资产；</w:t>
      </w:r>
    </w:p>
    <w:p>
      <w:pPr>
        <w:pStyle w:val="BodyText"/>
        <w:spacing w:line="316" w:lineRule="auto" w:before="76"/>
        <w:ind w:right="1124" w:firstLine="360"/>
        <w:jc w:val="left"/>
      </w:pPr>
      <w:r>
        <w:rPr/>
        <w:t>⑤归属于该无形资产开发阶段的支出能够可靠地计量。 无法区分研究阶段支出和开发阶段支出的，将发生的研发支出 全部计入当期损益。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1、长期资产减值" w:id="208"/>
      <w:bookmarkEnd w:id="208"/>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4"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3" w:right="103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1131"/>
        <w:jc w:val="both"/>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1124"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513" w:right="1124"/>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2、长期待摊费用" w:id="209"/>
      <w:bookmarkEnd w:id="209"/>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4"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spacing w:after="0" w:line="30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3、合同负债" w:id="210"/>
      <w:bookmarkEnd w:id="210"/>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657"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4、职工薪酬" w:id="211"/>
      <w:bookmarkEnd w:id="211"/>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短期薪酬的会计处理方法" w:id="212"/>
      <w:bookmarkEnd w:id="21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8"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1"/>
        </w:rPr>
        <w:t> </w:t>
      </w:r>
      <w:r>
        <w:rPr>
          <w:spacing w:val="-61"/>
        </w:rPr>
      </w:r>
      <w:r>
        <w:rPr/>
        <w:t>相关资产成本和费用。</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2）离职后福利的会计处理方法" w:id="213"/>
      <w:bookmarkEnd w:id="21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51" w:firstLine="360"/>
        <w:jc w:val="both"/>
      </w:pPr>
      <w:r>
        <w:rPr/>
        <w:t>离职后福利是指本公司为获得职工提供的服务而在职工退休或与企业解除劳动关系后，提供的各种形式的报酬和福利， 短期薪酬和辞退福利除外。</w:t>
      </w:r>
    </w:p>
    <w:p>
      <w:pPr>
        <w:pStyle w:val="BodyText"/>
        <w:spacing w:line="316" w:lineRule="auto" w:before="19"/>
        <w:ind w:left="513" w:right="4453"/>
        <w:jc w:val="left"/>
      </w:pPr>
      <w:r>
        <w:rPr/>
        <w:t>本公司的离职后福利计划分类为设定提存计划。 本公司按照国家规定的标准定期缴付上述款项后，不再有其他的支付义务。</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3）辞退福利的会计处理方法" w:id="214"/>
      <w:bookmarkEnd w:id="21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5" w:firstLine="360"/>
        <w:jc w:val="both"/>
      </w:pPr>
      <w:r>
        <w:rPr/>
        <w:t>辞退福利是指本公司在职工劳动合同到期之前解除与职工的劳动关系，或者为鼓励职工自愿接受裁减而给予职工的补</w:t>
      </w:r>
      <w:r>
        <w:rPr>
          <w:spacing w:val="2"/>
        </w:rPr>
        <w:t> </w:t>
      </w:r>
      <w:r>
        <w:rPr>
          <w:spacing w:val="-2"/>
        </w:rPr>
        <w:t>偿，在本公司不能单方面撤回解除劳动关系计划或裁减建议时和确认与涉及支付辞退福利的重组相关的成本费用时两者孰早</w:t>
      </w:r>
      <w:r>
        <w:rPr>
          <w:spacing w:val="-63"/>
        </w:rPr>
        <w:t> </w:t>
      </w:r>
      <w:r>
        <w:rPr>
          <w:spacing w:val="-63"/>
        </w:rPr>
      </w:r>
      <w:r>
        <w:rPr/>
        <w:t>日，确认因解除与职工的劳动关系给予补偿而产生的负债，同时计入当期损益。</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bookmarkStart w:name="（4）其他长期职工福利的会计处理方法" w:id="215"/>
      <w:bookmarkEnd w:id="21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35、租赁负债" w:id="216"/>
      <w:bookmarkEnd w:id="216"/>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657" w:right="1133"/>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6、预计负债" w:id="217"/>
      <w:bookmarkEnd w:id="217"/>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left="513" w:right="4813" w:hanging="24"/>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20"/>
        <w:ind w:left="513" w:right="427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1130"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3" w:right="112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40" w:lineRule="auto" w:before="19"/>
        <w:ind w:right="1133"/>
        <w:jc w:val="left"/>
      </w:pPr>
      <w:r>
        <w:rPr/>
        <w:t>即上下限金额的平均数确定。</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right="1128"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1"/>
        </w:rPr>
        <w:t> </w:t>
      </w:r>
      <w:r>
        <w:rPr>
          <w:spacing w:val="-61"/>
        </w:rPr>
      </w:r>
      <w:r>
        <w:rPr/>
        <w:t>果及相关概率计算确定。</w:t>
      </w:r>
    </w:p>
    <w:p>
      <w:pPr>
        <w:pStyle w:val="BodyText"/>
        <w:spacing w:line="316" w:lineRule="auto" w:before="17"/>
        <w:ind w:right="1034"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37、股份支付" w:id="218"/>
      <w:bookmarkEnd w:id="218"/>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1933" w:hanging="2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股份支付的会计处理方法</w:t>
      </w:r>
      <w:r>
        <w:rPr>
          <w:rFonts w:ascii="宋体" w:hAnsi="宋体" w:cs="宋体" w:eastAsia="宋体" w:hint="default"/>
          <w:b/>
          <w:bCs/>
          <w:w w:val="99"/>
          <w:sz w:val="18"/>
          <w:szCs w:val="18"/>
        </w:rPr>
        <w:t> </w:t>
      </w:r>
      <w:r>
        <w:rPr>
          <w:rFonts w:ascii="宋体" w:hAnsi="宋体" w:cs="宋体" w:eastAsia="宋体" w:hint="default"/>
          <w:sz w:val="18"/>
          <w:szCs w:val="18"/>
        </w:rPr>
        <w:t>股份支付是为了获取职工或其他方提供服务而授予权益工具或者承担以权益工具为基础确定的负债的交易。</w:t>
      </w:r>
    </w:p>
    <w:p>
      <w:pPr>
        <w:pStyle w:val="BodyText"/>
        <w:spacing w:line="240" w:lineRule="auto" w:before="31"/>
        <w:ind w:right="0"/>
        <w:jc w:val="both"/>
      </w:pPr>
      <w:r>
        <w:rPr/>
        <w:t>股份支付分为以权益结算的股份支付和以现金结算的股份支付。</w:t>
      </w:r>
    </w:p>
    <w:p>
      <w:pPr>
        <w:pStyle w:val="BodyText"/>
        <w:spacing w:line="312" w:lineRule="auto" w:before="76"/>
        <w:ind w:right="1998" w:firstLine="360"/>
        <w:jc w:val="both"/>
      </w:pPr>
      <w:r>
        <w:rPr/>
        <w:t>①以权益结算的股份支付</w:t>
      </w:r>
      <w:r>
        <w:rPr>
          <w:spacing w:val="26"/>
        </w:rPr>
        <w:t> </w:t>
      </w:r>
      <w:r>
        <w:rPr/>
        <w:t>用以换取职工提供的服务的权益结算的股份支付，以授予职工权益工具在授予日</w:t>
      </w:r>
      <w:r>
        <w:rPr/>
        <w:t> </w:t>
      </w:r>
      <w:r>
        <w:rPr>
          <w:spacing w:val="-1"/>
        </w:rPr>
        <w:t>的公允价值计量。该公允价值的金额在完成等待期内的服务或达到规定业绩条件才可行权的情况下，在等待期内</w:t>
      </w:r>
      <w:r>
        <w:rPr/>
        <w:t> 以对可行权权益工具数量的最佳估计为基础，按直</w:t>
      </w:r>
      <w:r>
        <w:rPr>
          <w:spacing w:val="-10"/>
        </w:rPr>
        <w:t> </w:t>
      </w:r>
      <w:r>
        <w:rPr/>
        <w:t>线法计算计入相关成本或费用</w:t>
      </w:r>
      <w:r>
        <w:rPr>
          <w:rFonts w:ascii="Times New Roman" w:hAnsi="Times New Roman" w:cs="Times New Roman" w:eastAsia="Times New Roman" w:hint="default"/>
        </w:rPr>
        <w:t>/</w:t>
      </w:r>
      <w:r>
        <w:rPr/>
        <w:t>在授予后立即可行权时，在授 予日计入相关成本或费用，相应增加资本公积。</w:t>
      </w:r>
    </w:p>
    <w:p>
      <w:pPr>
        <w:pStyle w:val="BodyText"/>
        <w:spacing w:line="316" w:lineRule="auto" w:before="22"/>
        <w:ind w:right="2000" w:firstLine="360"/>
        <w:jc w:val="both"/>
      </w:pPr>
      <w:r>
        <w:rPr>
          <w:spacing w:val="-2"/>
        </w:rPr>
        <w:t>在等待期内每个资产负债表日，本公司根据最新取得的可行权职工人数变动等后续信息做出最佳估计，修正</w:t>
      </w:r>
      <w:r>
        <w:rPr/>
        <w:t> 预计可行权的权益工具数量。上述估计的影响计入当期相关成本或费用，并相应调整资本公积。</w:t>
      </w:r>
    </w:p>
    <w:p>
      <w:pPr>
        <w:pStyle w:val="BodyText"/>
        <w:spacing w:line="316" w:lineRule="auto" w:before="19"/>
        <w:ind w:right="1994" w:firstLine="360"/>
        <w:jc w:val="both"/>
      </w:pPr>
      <w:r>
        <w:rPr>
          <w:spacing w:val="-2"/>
        </w:rPr>
        <w:t>用以换取其他方服务的权益结算的股份支付，如果其他方服务的公允价值能够可靠计量，按照其他方服务在</w:t>
      </w:r>
      <w:r>
        <w:rPr/>
        <w:t> </w:t>
      </w:r>
      <w:r>
        <w:rPr>
          <w:spacing w:val="-1"/>
        </w:rPr>
        <w:t>取得日的公允价值计量，如果其他方服务的公允价值不能可靠计量，但权益工具的公允价值能够可靠计量的，按</w:t>
      </w:r>
      <w:r>
        <w:rPr>
          <w:spacing w:val="-86"/>
        </w:rPr>
        <w:t> </w:t>
      </w:r>
      <w:r>
        <w:rPr>
          <w:spacing w:val="-86"/>
        </w:rPr>
      </w:r>
      <w:r>
        <w:rPr/>
        <w:t>照权益工具在服务取得</w:t>
      </w:r>
      <w:r>
        <w:rPr>
          <w:spacing w:val="-18"/>
        </w:rPr>
        <w:t> </w:t>
      </w:r>
      <w:r>
        <w:rPr/>
        <w:t>日的公允价值计量，计入相关成本或费用，相应增加股东权益。</w:t>
      </w:r>
    </w:p>
    <w:p>
      <w:pPr>
        <w:pStyle w:val="BodyText"/>
        <w:spacing w:line="316" w:lineRule="auto" w:before="19"/>
        <w:ind w:right="1994" w:firstLine="360"/>
        <w:jc w:val="both"/>
      </w:pPr>
      <w:r>
        <w:rPr>
          <w:spacing w:val="-1"/>
        </w:rPr>
        <w:t>当授予权益工具的公允价值无法可靠计量时，在服务取得日、后续的每个资产负债表日以及结算日，按权益</w:t>
      </w:r>
      <w:r>
        <w:rPr/>
        <w:t> 工具的内在价值计量，内在价值变动计入当期损益。</w:t>
      </w:r>
    </w:p>
    <w:p>
      <w:pPr>
        <w:pStyle w:val="BodyText"/>
        <w:spacing w:line="319" w:lineRule="auto" w:before="19"/>
        <w:ind w:right="1889" w:firstLine="360"/>
        <w:jc w:val="left"/>
      </w:pPr>
      <w:r>
        <w:rPr/>
        <w:t>②以现金结算的股份支付</w:t>
      </w:r>
      <w:r>
        <w:rPr>
          <w:spacing w:val="5"/>
        </w:rPr>
        <w:t> </w:t>
      </w:r>
      <w:r>
        <w:rPr/>
        <w:t>以现金结算的股份支付，按照本公司承担的以股份或其他权益工具为基础确定的</w:t>
      </w:r>
      <w:r>
        <w:rPr/>
        <w:t> 负债的公允价值计量。如授予后立即可行权，在授予日计入相关成本或费用，相应增加负债；如须完成等待期内 的服务或达到规定业绩条件以后才可行权，在等待</w:t>
      </w:r>
      <w:r>
        <w:rPr>
          <w:spacing w:val="-45"/>
        </w:rPr>
        <w:t> </w:t>
      </w:r>
      <w:r>
        <w:rPr/>
        <w:t>期的每个资产负债表日，以对可行权情况的最佳估计为基础，</w:t>
      </w:r>
      <w:r>
        <w:rPr/>
        <w:t> 按照本公司承担负债的公允价值金额，将当期取得的服务计入</w:t>
      </w:r>
      <w:r>
        <w:rPr>
          <w:spacing w:val="-17"/>
        </w:rPr>
        <w:t> </w:t>
      </w:r>
      <w:r>
        <w:rPr/>
        <w:t>成本或费用，相应增加负债。</w:t>
      </w:r>
    </w:p>
    <w:p>
      <w:pPr>
        <w:pStyle w:val="BodyText"/>
        <w:spacing w:line="309" w:lineRule="auto" w:before="17"/>
        <w:ind w:left="486" w:right="1133" w:firstLine="26"/>
        <w:jc w:val="left"/>
      </w:pPr>
      <w:r>
        <w:rPr/>
        <w:t>在相关负债结算前的每个资产负债表日以及结算日，对负债的公允价值重新计量，其变动计入当期损益。 </w:t>
      </w:r>
      <w:r>
        <w:rPr>
          <w:rFonts w:ascii="Times New Roman" w:hAnsi="Times New Roman" w:cs="Times New Roman" w:eastAsia="Times New Roman" w:hint="default"/>
          <w:b/>
          <w:bCs/>
        </w:rPr>
        <w:t>(2)</w:t>
      </w:r>
      <w:r>
        <w:rPr>
          <w:rFonts w:ascii="宋体" w:hAnsi="宋体" w:cs="宋体" w:eastAsia="宋体" w:hint="default"/>
          <w:b/>
          <w:bCs/>
        </w:rPr>
        <w:t>修改、终止股份支付计划的相关会计处理</w:t>
      </w:r>
      <w:r>
        <w:rPr>
          <w:rFonts w:ascii="宋体" w:hAnsi="宋体" w:cs="宋体" w:eastAsia="宋体" w:hint="default"/>
          <w:b/>
          <w:bCs/>
          <w:w w:val="99"/>
        </w:rPr>
        <w:t> </w:t>
      </w:r>
      <w:r>
        <w:rPr>
          <w:spacing w:val="-2"/>
        </w:rPr>
        <w:t>本公司对股份支付计划进行修改时，若修改增加了所授予权益工具的公允价值，按照权益工具公允价值的增</w:t>
      </w:r>
    </w:p>
    <w:p>
      <w:pPr>
        <w:pStyle w:val="BodyText"/>
        <w:spacing w:line="316" w:lineRule="auto" w:before="24"/>
        <w:ind w:right="1999"/>
        <w:jc w:val="both"/>
      </w:pPr>
      <w:r>
        <w:rPr>
          <w:spacing w:val="2"/>
        </w:rPr>
        <w:t>加相应确认取得服务的增加。权益工具公允价值的增加是指修改前后的权益工具在修改日的公允价值之间的差</w:t>
      </w:r>
      <w:r>
        <w:rPr>
          <w:spacing w:val="-75"/>
        </w:rPr>
        <w:t> </w:t>
      </w:r>
      <w:r>
        <w:rPr>
          <w:spacing w:val="-75"/>
        </w:rPr>
      </w:r>
      <w:r>
        <w:rPr/>
        <w:t>额。若修改减少了股份支</w:t>
      </w:r>
      <w:r>
        <w:rPr>
          <w:spacing w:val="31"/>
        </w:rPr>
        <w:t> </w:t>
      </w:r>
      <w:r>
        <w:rPr/>
        <w:t>付公允价值总额或采用了其他不利于职工的方式，则仍继续对取得的服务进行会计处</w:t>
      </w:r>
      <w:r>
        <w:rPr>
          <w:spacing w:val="-84"/>
        </w:rPr>
        <w:t> </w:t>
      </w:r>
      <w:r>
        <w:rPr>
          <w:spacing w:val="-84"/>
        </w:rPr>
      </w:r>
      <w:r>
        <w:rPr/>
        <w:t>理，视同该变更从未发生，除非本公司</w:t>
      </w:r>
      <w:r>
        <w:rPr>
          <w:spacing w:val="-17"/>
        </w:rPr>
        <w:t> </w:t>
      </w:r>
      <w:r>
        <w:rPr/>
        <w:t>取消了部分或全部已授予的权益工具。</w:t>
      </w:r>
    </w:p>
    <w:p>
      <w:pPr>
        <w:pStyle w:val="BodyText"/>
        <w:spacing w:line="316" w:lineRule="auto" w:before="19"/>
        <w:ind w:right="1994" w:firstLine="360"/>
        <w:jc w:val="both"/>
      </w:pPr>
      <w:r>
        <w:rPr>
          <w:spacing w:val="-1"/>
        </w:rPr>
        <w:t>在等待期内，如果取消了授予的权益工具，本公司对取消所授予的权益性工具作为加速行权处理，将剩余等</w:t>
      </w:r>
      <w:r>
        <w:rPr/>
        <w:t> </w:t>
      </w:r>
      <w:r>
        <w:rPr>
          <w:spacing w:val="-1"/>
        </w:rPr>
        <w:t>待期内应确认的金额立即计入当期损益，同时确认资本公积。职工或其他方能够选择满足非可行权条件但在等待</w:t>
      </w:r>
      <w:r>
        <w:rPr/>
        <w:t> 期内未满足的，本公司</w:t>
      </w:r>
      <w:r>
        <w:rPr>
          <w:spacing w:val="-18"/>
        </w:rPr>
        <w:t> </w:t>
      </w:r>
      <w:r>
        <w:rPr/>
        <w:t>将其作为授予权益工具的取消处理。</w:t>
      </w:r>
    </w:p>
    <w:p>
      <w:pPr>
        <w:spacing w:line="297" w:lineRule="auto" w:before="19"/>
        <w:ind w:left="513" w:right="113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涉及本公司与本公司股东或实际控制人的股份支付交易的会计处理</w:t>
      </w:r>
      <w:r>
        <w:rPr>
          <w:rFonts w:ascii="宋体" w:hAnsi="宋体" w:cs="宋体" w:eastAsia="宋体" w:hint="default"/>
          <w:b/>
          <w:bCs/>
          <w:w w:val="99"/>
          <w:sz w:val="18"/>
          <w:szCs w:val="18"/>
        </w:rPr>
        <w:t> </w:t>
      </w:r>
      <w:r>
        <w:rPr>
          <w:rFonts w:ascii="宋体" w:hAnsi="宋体" w:cs="宋体" w:eastAsia="宋体" w:hint="default"/>
          <w:spacing w:val="-2"/>
          <w:sz w:val="18"/>
          <w:szCs w:val="18"/>
        </w:rPr>
        <w:t>涉及本公司与本公司股东或实际控制人的股份支付交易，结算企业与接受服务企业中其一在本公司内，另一</w:t>
      </w:r>
    </w:p>
    <w:p>
      <w:pPr>
        <w:pStyle w:val="BodyText"/>
        <w:spacing w:line="240" w:lineRule="auto" w:before="33"/>
        <w:ind w:right="0"/>
        <w:jc w:val="both"/>
      </w:pPr>
      <w:r>
        <w:rPr/>
        <w:t>在本公司外的，在本公司合并财务报表中按照以下规定进行会计处理：</w:t>
      </w:r>
    </w:p>
    <w:p>
      <w:pPr>
        <w:pStyle w:val="BodyText"/>
        <w:spacing w:line="316" w:lineRule="auto" w:before="76"/>
        <w:ind w:right="1994" w:firstLine="360"/>
        <w:jc w:val="both"/>
      </w:pPr>
      <w:r>
        <w:rPr>
          <w:spacing w:val="-1"/>
        </w:rPr>
        <w:t>①结算企业以其本身权益工具结算的，将该股份支付交易作为权益结算的股份支付处理；除此之外，作为现</w:t>
      </w:r>
      <w:r>
        <w:rPr/>
        <w:t> 金结算的股</w:t>
      </w:r>
      <w:r>
        <w:rPr>
          <w:spacing w:val="-18"/>
        </w:rPr>
        <w:t> </w:t>
      </w:r>
      <w:r>
        <w:rPr/>
        <w:t>份支付处理。</w:t>
      </w:r>
    </w:p>
    <w:p>
      <w:pPr>
        <w:pStyle w:val="BodyText"/>
        <w:spacing w:line="316" w:lineRule="auto" w:before="19"/>
        <w:ind w:right="1996" w:firstLine="360"/>
        <w:jc w:val="both"/>
      </w:pPr>
      <w:r>
        <w:rPr>
          <w:spacing w:val="-1"/>
        </w:rPr>
        <w:t>结算企业是接受服务企业的投资者的，按照授予日权益工具的公允价值或应承担负债的公允价值确认为对接</w:t>
      </w:r>
      <w:r>
        <w:rPr/>
        <w:t> 受服务企业的长期股权投资，同时确认资本公积（其他资本公积）或负债。</w:t>
      </w:r>
    </w:p>
    <w:p>
      <w:pPr>
        <w:pStyle w:val="BodyText"/>
        <w:spacing w:line="316" w:lineRule="auto" w:before="19"/>
        <w:ind w:right="1996" w:firstLine="360"/>
        <w:jc w:val="both"/>
      </w:pPr>
      <w:r>
        <w:rPr>
          <w:spacing w:val="-1"/>
        </w:rPr>
        <w:t>②接受服务企业没有结算义务或授予本企业职工的是其本身权益工具的，将该股份支付交易作为权益结算的</w:t>
      </w:r>
      <w:r>
        <w:rPr/>
        <w:t> </w:t>
      </w:r>
      <w:r>
        <w:rPr>
          <w:spacing w:val="-1"/>
        </w:rPr>
        <w:t>股份支付处理；接受服务企业具有结算义务且授予本企业职工的并非其本身权益工具的，将该股份支付交易作为</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33" w:hanging="361"/>
        <w:jc w:val="left"/>
      </w:pPr>
      <w:r>
        <w:rPr/>
        <w:t>现金结算的股份支付处</w:t>
      </w:r>
      <w:r>
        <w:rPr>
          <w:spacing w:val="-18"/>
        </w:rPr>
        <w:t> </w:t>
      </w:r>
      <w:r>
        <w:rPr/>
        <w:t>理。</w:t>
      </w:r>
      <w:r>
        <w:rPr/>
        <w:t> </w:t>
      </w:r>
      <w:r>
        <w:rPr>
          <w:spacing w:val="-2"/>
        </w:rPr>
        <w:t>本公司内各企业之间发生的股份支付交易，接受服务企业和结算企业不是同一企业的，在接受服务企业和结</w:t>
      </w:r>
    </w:p>
    <w:p>
      <w:pPr>
        <w:pStyle w:val="BodyText"/>
        <w:spacing w:line="240" w:lineRule="auto" w:before="17"/>
        <w:ind w:right="1133"/>
        <w:jc w:val="left"/>
      </w:pPr>
      <w:r>
        <w:rPr/>
        <w:t>算企业各自的个别财务报表中对该股份支付交易的确认和计量，比照上述原则处理。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8、优先股、永续债等其他金融工具" w:id="219"/>
      <w:bookmarkEnd w:id="219"/>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9、收入" w:id="220"/>
      <w:bookmarkEnd w:id="220"/>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300" w:lineRule="auto" w:before="101"/>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2"/>
        <w:ind w:right="112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19"/>
        <w:ind w:left="513" w:right="1133"/>
        <w:jc w:val="left"/>
      </w:pPr>
      <w:r>
        <w:rPr/>
        <w:t>收入确认的具体方法：</w:t>
      </w:r>
    </w:p>
    <w:p>
      <w:pPr>
        <w:pStyle w:val="BodyText"/>
        <w:spacing w:line="316" w:lineRule="auto" w:before="76"/>
        <w:ind w:right="1124" w:firstLine="360"/>
        <w:jc w:val="left"/>
      </w:pPr>
      <w:r>
        <w:rPr>
          <w:spacing w:val="-2"/>
        </w:rPr>
        <w:t>①内销收入：电源类产品在产品运输至客户指定地点后确认收入；逆变器根据订单约定的交货时间和交货数量及时运送</w:t>
      </w:r>
      <w:r>
        <w:rPr/>
        <w:t> 至客户指定地点并与对方对账后确认收入；光伏电站业务根据当期发电量配比电站各级补助或销售单价确认收入。</w:t>
      </w:r>
    </w:p>
    <w:p>
      <w:pPr>
        <w:pStyle w:val="BodyText"/>
        <w:spacing w:line="240" w:lineRule="auto" w:before="19"/>
        <w:ind w:left="513" w:right="1133"/>
        <w:jc w:val="left"/>
      </w:pPr>
      <w:r>
        <w:rPr/>
        <w:t>②出口收入：出口报关单经海关核准后收入确认。</w:t>
      </w:r>
    </w:p>
    <w:p>
      <w:pPr>
        <w:spacing w:line="300" w:lineRule="auto" w:before="76"/>
        <w:ind w:left="513" w:right="103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31"/>
        <w:ind w:left="513" w:right="1133"/>
        <w:jc w:val="left"/>
      </w:pPr>
      <w:r>
        <w:rPr/>
        <w:t>①利息收入金额，按照他人使用本企业货币资金的时间和实际利率计算确定。</w:t>
      </w:r>
    </w:p>
    <w:p>
      <w:pPr>
        <w:pStyle w:val="BodyText"/>
        <w:spacing w:line="240" w:lineRule="auto" w:before="76"/>
        <w:ind w:left="513" w:right="1133"/>
        <w:jc w:val="left"/>
      </w:pPr>
      <w:r>
        <w:rPr/>
        <w:t>②使用费收入金额，按照有关合同或协议约定的收费时间和方法计算确定。</w:t>
      </w:r>
    </w:p>
    <w:p>
      <w:pPr>
        <w:spacing w:line="300" w:lineRule="auto" w:before="76"/>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pacing w:val="-2"/>
          <w:sz w:val="18"/>
          <w:szCs w:val="18"/>
        </w:rPr>
        <w:t>公司销售产品或转让其他资产时，与购买方签订了所销售的产品或转让资产回购协议，根据协议条款判断销售商品是否</w:t>
      </w:r>
    </w:p>
    <w:p>
      <w:pPr>
        <w:pStyle w:val="BodyText"/>
        <w:spacing w:line="316" w:lineRule="auto" w:before="32"/>
        <w:ind w:right="1124"/>
        <w:jc w:val="left"/>
      </w:pPr>
      <w:r>
        <w:rPr>
          <w:spacing w:val="-2"/>
        </w:rPr>
        <w:t>满足收入确认条件。如售后回购属于融资交易，则在交付产品或资产时，本公司不确认销售收入。回购价款大于销售价款的</w:t>
      </w:r>
      <w:r>
        <w:rPr>
          <w:spacing w:val="-65"/>
        </w:rPr>
        <w:t> </w:t>
      </w:r>
      <w:r>
        <w:rPr>
          <w:spacing w:val="-65"/>
        </w:rPr>
      </w:r>
      <w:r>
        <w:rPr/>
        <w:t>差额，在回购期间按期计提利息，计入财务费用。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40、政府补助" w:id="221"/>
      <w:bookmarkEnd w:id="221"/>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513" w:right="1124" w:hanging="24"/>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2"/>
        </w:rPr>
        <w:t>政府补助，是本公司从政府无偿取得的货币性资产与非货币性资产。根据相关政府文件规定的补助对象，将政府补助划</w:t>
      </w:r>
    </w:p>
    <w:p>
      <w:pPr>
        <w:pStyle w:val="BodyText"/>
        <w:spacing w:line="316" w:lineRule="auto" w:before="31"/>
        <w:ind w:left="513" w:right="0" w:hanging="361"/>
        <w:jc w:val="left"/>
      </w:pPr>
      <w:r>
        <w:rPr/>
        <w:t>分为与资产相关的政府补助和与收益相关的政府补助。 </w:t>
      </w:r>
      <w:r>
        <w:rPr>
          <w:spacing w:val="-4"/>
        </w:rPr>
        <w:t>与资产相关的政府补助，是指本公司取得的、用于购建或以其他方式形成长期资产的政府补助。与收益相关的政府补助，</w:t>
      </w:r>
    </w:p>
    <w:p>
      <w:pPr>
        <w:pStyle w:val="BodyText"/>
        <w:spacing w:line="240" w:lineRule="auto" w:before="19"/>
        <w:ind w:right="1133"/>
        <w:jc w:val="left"/>
      </w:pPr>
      <w:r>
        <w:rPr/>
        <w:t>是指除与资产相关的政府补助之外的政府补助。</w:t>
      </w:r>
    </w:p>
    <w:p>
      <w:pPr>
        <w:pStyle w:val="BodyText"/>
        <w:spacing w:line="300" w:lineRule="auto" w:before="77"/>
        <w:ind w:left="513" w:right="1124" w:hanging="24"/>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对期末有证据表明公司能够符合财政扶持政策规定的相关条件且预计能够收到财政扶持资金的，按应收金额确认政府补</w:t>
      </w:r>
    </w:p>
    <w:p>
      <w:pPr>
        <w:pStyle w:val="BodyText"/>
        <w:spacing w:line="316" w:lineRule="auto" w:before="31"/>
        <w:ind w:left="513" w:right="1124" w:hanging="361"/>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300" w:lineRule="auto" w:before="19"/>
        <w:ind w:left="460" w:right="1133" w:hanging="308"/>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 </w:t>
      </w: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本公司根据经济业务的实质，确定某一类政府补助业务应当采用总额法还是净额法进行会计处理。通常情况下，本公司</w:t>
      </w:r>
    </w:p>
    <w:p>
      <w:pPr>
        <w:pStyle w:val="BodyText"/>
        <w:spacing w:line="240" w:lineRule="auto" w:before="31"/>
        <w:ind w:right="1133"/>
        <w:jc w:val="left"/>
      </w:pPr>
      <w:r>
        <w:rPr/>
        <w:t>对于同类或类似政府补助业务只选用一种方法，且对该业务一贯地运用该方法。</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056"/>
        <w:gridCol w:w="5895"/>
      </w:tblGrid>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核算内容</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5"/>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056"/>
        <w:gridCol w:w="5895"/>
      </w:tblGrid>
      <w:tr>
        <w:trPr>
          <w:trHeight w:val="336" w:hRule="exact"/>
        </w:trPr>
        <w:tc>
          <w:tcPr>
            <w:tcW w:w="3056" w:type="dxa"/>
            <w:tcBorders>
              <w:top w:val="nil" w:sz="6" w:space="0" w:color="auto"/>
              <w:left w:val="nil" w:sz="6" w:space="0" w:color="auto"/>
              <w:bottom w:val="single" w:sz="6" w:space="0" w:color="000000"/>
              <w:right w:val="nil" w:sz="6" w:space="0" w:color="auto"/>
            </w:tcBorders>
          </w:tcPr>
          <w:p>
            <w:pPr/>
          </w:p>
        </w:tc>
        <w:tc>
          <w:tcPr>
            <w:tcW w:w="5895" w:type="dxa"/>
            <w:tcBorders>
              <w:top w:val="nil" w:sz="6" w:space="0" w:color="auto"/>
              <w:left w:val="nil" w:sz="6" w:space="0" w:color="auto"/>
              <w:bottom w:val="single" w:sz="6" w:space="0" w:color="000000"/>
              <w:right w:val="nil" w:sz="6" w:space="0" w:color="auto"/>
            </w:tcBorders>
          </w:tcPr>
          <w:p>
            <w:pPr/>
          </w:p>
        </w:tc>
      </w:tr>
      <w:tr>
        <w:trPr>
          <w:trHeight w:val="348" w:hRule="exact"/>
        </w:trPr>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5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除贷款贴息外的所有政府补助</w:t>
            </w:r>
          </w:p>
        </w:tc>
      </w:tr>
    </w:tbl>
    <w:p>
      <w:pPr>
        <w:pStyle w:val="BodyText"/>
        <w:spacing w:line="316" w:lineRule="auto" w:before="8"/>
        <w:ind w:right="1034" w:firstLine="360"/>
        <w:jc w:val="left"/>
      </w:pPr>
      <w:r>
        <w:rPr/>
        <w:pict>
          <v:group style="position:absolute;margin-left:55.200001pt;margin-top:-34.588295pt;width:484.9pt;height:.1pt;mso-position-horizontal-relative:page;mso-position-vertical-relative:paragraph;z-index:-1242928" coordorigin="1104,-692" coordsize="9698,2">
            <v:shape style="position:absolute;left:1104;top:-692;width:9698;height:2" coordorigin="1104,-692" coordsize="9698,0" path="m1104,-692l10802,-692e" filled="false" stroked="true" strokeweight=".72pt" strokecolor="#000000">
              <v:path arrowok="t"/>
            </v:shape>
            <w10:wrap type="none"/>
          </v:group>
        </w:pict>
      </w:r>
      <w:r>
        <w:rPr/>
        <w:t>与资产相关的政府补助，应当冲减相关资产的账面价值或确认为递延收益。与资产相关的政府补助确认为递延收益的， 在所建造或购买资产使用寿命内按照合理、系统的方法分期计入损益。</w:t>
      </w:r>
    </w:p>
    <w:p>
      <w:pPr>
        <w:pStyle w:val="BodyText"/>
        <w:spacing w:line="316" w:lineRule="auto" w:before="19"/>
        <w:ind w:right="1124" w:firstLine="360"/>
        <w:jc w:val="left"/>
      </w:pPr>
      <w:r>
        <w:rPr>
          <w:spacing w:val="-2"/>
        </w:rPr>
        <w:t>与收益相关的政府补助，用于补偿企业以后期间的相关费用或损失的，确认为递延收益，在确认相关费用或损失的期间</w:t>
      </w:r>
      <w:r>
        <w:rPr/>
        <w:t> 计入当期损益或冲减相关成本；用于补偿企业已发生的相关费用或损失的，取得时直接计入当期损益或冲减相关成本。</w:t>
      </w:r>
    </w:p>
    <w:p>
      <w:pPr>
        <w:pStyle w:val="BodyText"/>
        <w:spacing w:line="316" w:lineRule="auto" w:before="19"/>
        <w:ind w:left="513" w:right="1033"/>
        <w:jc w:val="left"/>
      </w:pPr>
      <w:r>
        <w:rPr/>
        <w:t>与企业日常活动相关的政府补助计入其他收益或冲减相关成本费用；与企业日常活动无关的政府补助计入营业外收支。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3" w:right="1033" w:hanging="361"/>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1133"/>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1、递延所得税资产/递延所得税负债" w:id="222"/>
      <w:bookmarkEnd w:id="222"/>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4"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00" w:lineRule="auto" w:before="31"/>
        <w:ind w:left="513" w:right="1124"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31"/>
        <w:ind w:right="103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before="0"/>
        <w:ind w:right="1124"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00" w:lineRule="auto" w:before="19"/>
        <w:ind w:left="513" w:right="3373"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513" w:right="1133"/>
        <w:jc w:val="left"/>
      </w:pPr>
      <w:r>
        <w:rPr/>
        <w:t>①商誉的初始确认所形成的暂时性差异；</w:t>
      </w:r>
    </w:p>
    <w:p>
      <w:pPr>
        <w:pStyle w:val="BodyText"/>
        <w:spacing w:line="316" w:lineRule="auto" w:before="77"/>
        <w:ind w:right="1034" w:firstLine="360"/>
        <w:jc w:val="left"/>
      </w:pPr>
      <w:r>
        <w:rPr/>
        <w:t>②非企业合并形成的交易或事项，且该交易或事项发生时既不影响会计利润，也不影响应纳税所得额（或可抵扣亏损） 所形成的暂时性差异；</w:t>
      </w:r>
    </w:p>
    <w:p>
      <w:pPr>
        <w:pStyle w:val="BodyText"/>
        <w:spacing w:line="316" w:lineRule="auto" w:before="19"/>
        <w:ind w:right="1124" w:firstLine="360"/>
        <w:jc w:val="left"/>
      </w:pPr>
      <w:r>
        <w:rPr>
          <w:spacing w:val="-2"/>
        </w:rPr>
        <w:t>③对于与子公司、联营企业投资相关的应纳税暂时性差异，该暂时性差异转回的时间能够控制并且该暂时性差异在可预</w:t>
      </w:r>
      <w:r>
        <w:rPr/>
        <w:t> 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42、租赁" w:id="223"/>
      <w:bookmarkEnd w:id="223"/>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经营租赁的会计处理方法" w:id="224"/>
      <w:bookmarkEnd w:id="22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left="513" w:right="1124"/>
        <w:jc w:val="left"/>
      </w:pPr>
      <w:r>
        <w:rPr/>
        <w:t>①经营租入资产 </w:t>
      </w:r>
      <w:r>
        <w:rPr>
          <w:spacing w:val="-2"/>
        </w:rPr>
        <w:t>公司租入资产所支付的租赁费，在不扣除免租期的整个租赁期内，按直线法进行分摊，计入当期费用。公司支付的与租</w:t>
      </w:r>
    </w:p>
    <w:p>
      <w:pPr>
        <w:pStyle w:val="BodyText"/>
        <w:spacing w:line="316" w:lineRule="auto" w:before="17"/>
        <w:ind w:left="513" w:right="1124"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33"/>
        <w:jc w:val="left"/>
      </w:pPr>
      <w:r>
        <w:rPr/>
        <w:t>租赁期内分摊，计入当期费用。</w:t>
      </w:r>
    </w:p>
    <w:p>
      <w:pPr>
        <w:pStyle w:val="BodyText"/>
        <w:spacing w:line="316" w:lineRule="auto" w:before="76"/>
        <w:ind w:left="513" w:right="1124"/>
        <w:jc w:val="left"/>
      </w:pPr>
      <w:r>
        <w:rPr/>
        <w:t>②经营租出资产 </w:t>
      </w:r>
      <w:r>
        <w:rPr>
          <w:spacing w:val="-2"/>
        </w:rPr>
        <w:t>公司出租资产所收取的租赁费，在不扣除免租期的整个租赁期内，按直线法进行分摊，确认为租赁收入。公司支付的与</w:t>
      </w:r>
    </w:p>
    <w:p>
      <w:pPr>
        <w:pStyle w:val="BodyText"/>
        <w:spacing w:line="316" w:lineRule="auto" w:before="19"/>
        <w:ind w:right="1124"/>
        <w:jc w:val="left"/>
      </w:pPr>
      <w:r>
        <w:rPr>
          <w:spacing w:val="-2"/>
        </w:rPr>
        <w:t>租赁交易相关的初始直接费用，计入当期费用；如金额较大的，则予以资本化，在整个租赁期间内按照与租赁收入确认相同</w:t>
      </w:r>
      <w:r>
        <w:rPr>
          <w:spacing w:val="-65"/>
        </w:rPr>
        <w:t> </w:t>
      </w:r>
      <w:r>
        <w:rPr>
          <w:spacing w:val="-65"/>
        </w:rPr>
      </w:r>
      <w:r>
        <w:rPr/>
        <w:t>的基础分期计入当期收益。</w:t>
      </w:r>
    </w:p>
    <w:p>
      <w:pPr>
        <w:pStyle w:val="BodyText"/>
        <w:spacing w:line="240" w:lineRule="auto" w:before="18"/>
        <w:ind w:left="513" w:right="0"/>
        <w:jc w:val="left"/>
      </w:pPr>
      <w:r>
        <w:rPr/>
        <w:t>公司承担了应由承租方承担的与租赁相关的费用时，公司将该部分费用从租金收入总额中扣除，按扣除后的租金费用在</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ind w:right="1133"/>
        <w:jc w:val="left"/>
      </w:pPr>
      <w:r>
        <w:rPr/>
        <w:t>租赁期内分配。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融资租赁的会计处理方法" w:id="225"/>
      <w:bookmarkEnd w:id="22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0"/>
        <w:jc w:val="both"/>
      </w:pPr>
      <w:r>
        <w:rPr>
          <w:spacing w:val="-2"/>
        </w:rPr>
        <w:t>①融资租入资产：公司在承租开始日，将租赁资产公允价值与最低租赁付款额现值两者中较低者作为租入资产的入账价</w:t>
      </w:r>
      <w:r>
        <w:rPr/>
        <w:t> </w:t>
      </w:r>
      <w:r>
        <w:rPr>
          <w:spacing w:val="-2"/>
        </w:rPr>
        <w:t>值，将最低租赁付款额作为长期应付款的入账价值，其差额作为未确认的融资费用。融资租入资产的认定依据、计价和折旧</w:t>
      </w:r>
      <w:r>
        <w:rPr>
          <w:spacing w:val="-65"/>
        </w:rPr>
        <w:t> </w:t>
      </w:r>
      <w:r>
        <w:rPr>
          <w:spacing w:val="-65"/>
        </w:rPr>
      </w:r>
      <w:r>
        <w:rPr/>
        <w:t>方法详见本报告第十二节、五、</w:t>
      </w:r>
      <w:r>
        <w:rPr>
          <w:rFonts w:ascii="Times New Roman" w:hAnsi="Times New Roman" w:cs="Times New Roman" w:eastAsia="Times New Roman" w:hint="default"/>
        </w:rPr>
        <w:t>24.</w:t>
      </w:r>
      <w:r>
        <w:rPr/>
        <w:t>固定资产。</w:t>
      </w:r>
    </w:p>
    <w:p>
      <w:pPr>
        <w:pStyle w:val="BodyText"/>
        <w:spacing w:line="235" w:lineRule="exact" w:before="0"/>
        <w:ind w:left="513" w:right="1133"/>
        <w:jc w:val="left"/>
      </w:pPr>
      <w:r>
        <w:rPr/>
        <w:t>公司采用实际利率法对未确认的融资费用，在资产租赁期间内摊销，计入财务费用。</w:t>
      </w:r>
    </w:p>
    <w:p>
      <w:pPr>
        <w:pStyle w:val="BodyText"/>
        <w:spacing w:line="316" w:lineRule="auto" w:before="76"/>
        <w:ind w:right="0"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43、其他重要的会计政策和会计估计" w:id="226"/>
      <w:bookmarkEnd w:id="226"/>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4、重要会计政策和会计估计变更" w:id="227"/>
      <w:bookmarkEnd w:id="227"/>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会计政策变更" w:id="228"/>
      <w:bookmarkEnd w:id="22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309"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年修订的《企业会计准则第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金融工具确认和计量》、《企业会计准则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7"/>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金融资产转移》和《企业会计准</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计准则第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董事会审批通过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日起执行财政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非货币性资产交换</w:t>
            </w:r>
            <w:r>
              <w:rPr>
                <w:rFonts w:ascii="宋体" w:hAnsi="宋体" w:cs="宋体" w:eastAsia="宋体" w:hint="default"/>
                <w:spacing w:val="-92"/>
                <w:w w:val="99"/>
                <w:sz w:val="18"/>
                <w:szCs w:val="18"/>
              </w:rPr>
              <w:t>》</w:t>
            </w:r>
            <w:r>
              <w:rPr>
                <w:rFonts w:ascii="宋体" w:hAnsi="宋体" w:cs="宋体" w:eastAsia="宋体" w:hint="default"/>
                <w:w w:val="99"/>
                <w:sz w:val="18"/>
                <w:szCs w:val="18"/>
              </w:rPr>
              <w:t>，自</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9  </w:t>
            </w:r>
            <w:r>
              <w:rPr>
                <w:rFonts w:ascii="宋体" w:hAnsi="宋体" w:cs="宋体" w:eastAsia="宋体" w:hint="default"/>
                <w:w w:val="99"/>
                <w:sz w:val="18"/>
                <w:szCs w:val="18"/>
              </w:rPr>
              <w:t>年</w:t>
            </w:r>
            <w:r>
              <w:rPr>
                <w:rFonts w:ascii="宋体" w:hAnsi="宋体" w:cs="宋体" w:eastAsia="宋体" w:hint="default"/>
                <w:spacing w:val="-44"/>
                <w:w w:val="99"/>
                <w:sz w:val="18"/>
                <w:szCs w:val="18"/>
              </w:rPr>
              <w:t> </w:t>
            </w:r>
            <w:r>
              <w:rPr>
                <w:rFonts w:ascii="Times New Roman" w:hAnsi="Times New Roman" w:cs="Times New Roman" w:eastAsia="Times New Roman" w:hint="default"/>
                <w:w w:val="99"/>
                <w:sz w:val="18"/>
                <w:szCs w:val="18"/>
              </w:rPr>
              <w:t>6  </w:t>
            </w:r>
            <w:r>
              <w:rPr>
                <w:rFonts w:ascii="宋体" w:hAnsi="宋体" w:cs="宋体" w:eastAsia="宋体" w:hint="default"/>
                <w:w w:val="99"/>
                <w:sz w:val="18"/>
                <w:szCs w:val="18"/>
              </w:rPr>
              <w:t>月</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日起执行财政部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年修订的《企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Heading5"/>
        <w:spacing w:line="240" w:lineRule="auto"/>
        <w:ind w:left="537" w:right="1133"/>
        <w:jc w:val="left"/>
        <w:rPr>
          <w:b w:val="0"/>
          <w:bCs w:val="0"/>
        </w:rPr>
      </w:pPr>
      <w:r>
        <w:rPr>
          <w:rFonts w:ascii="Times New Roman" w:hAnsi="Times New Roman" w:cs="Times New Roman" w:eastAsia="Times New Roman" w:hint="default"/>
        </w:rPr>
        <w:t>1)</w:t>
      </w:r>
      <w:r>
        <w:rPr/>
        <w:t>执行新金融工具准则对本公司的影响</w:t>
      </w:r>
      <w:r>
        <w:rPr>
          <w:b w:val="0"/>
          <w:bCs w:val="0"/>
        </w:rPr>
      </w:r>
    </w:p>
    <w:p>
      <w:pPr>
        <w:pStyle w:val="BodyText"/>
        <w:spacing w:line="300" w:lineRule="auto" w:before="63"/>
        <w:ind w:right="1128" w:firstLine="420"/>
        <w:jc w:val="both"/>
      </w:pPr>
      <w:r>
        <w:rPr>
          <w:spacing w:val="-1"/>
        </w:rPr>
        <w:t>本公司自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日起执行财政部</w:t>
      </w:r>
      <w:r>
        <w:rPr>
          <w:rFonts w:ascii="Times New Roman" w:hAnsi="Times New Roman" w:cs="Times New Roman" w:eastAsia="Times New Roman" w:hint="default"/>
          <w:spacing w:val="-1"/>
        </w:rPr>
        <w:t>2017</w:t>
      </w:r>
      <w:r>
        <w:rPr>
          <w:spacing w:val="-1"/>
        </w:rPr>
        <w:t>年修订的《企业会计准则第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金融工具确认和计量》、《企业会计准则第</w:t>
      </w:r>
      <w:r>
        <w:rPr/>
        <w:t>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），变更后的会计政策详见本报告第十二节、五、重要会计政策及会计估计。</w:t>
      </w:r>
    </w:p>
    <w:p>
      <w:pPr>
        <w:pStyle w:val="BodyText"/>
        <w:spacing w:line="309" w:lineRule="auto" w:before="13"/>
        <w:ind w:right="1130" w:firstLine="42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日之前的金融工具确认和计量与新金融工具准则要求不一致的，本公司按照新金融工具准则的要求进行 </w:t>
      </w:r>
      <w:r>
        <w:rPr>
          <w:spacing w:val="-2"/>
        </w:rPr>
        <w:t>衔接调整。涉及前期比较财务报表数据与新金融工具准则要求不一致的，本公司未调整可比期间信息。金融工具原账面价值</w:t>
      </w:r>
      <w:r>
        <w:rPr>
          <w:spacing w:val="-63"/>
        </w:rPr>
        <w:t> </w:t>
      </w:r>
      <w:r>
        <w:rPr>
          <w:spacing w:val="-63"/>
        </w:rPr>
      </w:r>
      <w:r>
        <w:rPr/>
        <w:t>和新金融工具准则施行日的新账面价值之间的差额，计入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40" w:lineRule="auto" w:before="5"/>
        <w:ind w:left="513" w:right="1133"/>
        <w:jc w:val="left"/>
      </w:pPr>
      <w:r>
        <w:rPr/>
        <w:t>执行新金融工具准则对本期期初资产负债表相关项目的影响列示如下：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975"/>
        <w:gridCol w:w="1813"/>
        <w:gridCol w:w="1721"/>
        <w:gridCol w:w="1616"/>
        <w:gridCol w:w="1721"/>
        <w:gridCol w:w="1814"/>
      </w:tblGrid>
      <w:tr>
        <w:trPr>
          <w:trHeight w:val="348" w:hRule="exact"/>
        </w:trPr>
        <w:tc>
          <w:tcPr>
            <w:tcW w:w="97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1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50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81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8" w:hRule="exact"/>
        </w:trPr>
        <w:tc>
          <w:tcPr>
            <w:tcW w:w="975" w:type="dxa"/>
            <w:vMerge/>
            <w:tcBorders>
              <w:left w:val="single" w:sz="6" w:space="0" w:color="000000"/>
              <w:bottom w:val="single" w:sz="6" w:space="0" w:color="000000"/>
              <w:right w:val="single" w:sz="6" w:space="0" w:color="000000"/>
            </w:tcBorders>
          </w:tcPr>
          <w:p>
            <w:pPr/>
          </w:p>
        </w:tc>
        <w:tc>
          <w:tcPr>
            <w:tcW w:w="1813" w:type="dxa"/>
            <w:vMerge/>
            <w:tcBorders>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分类和计量影响</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7"/>
              <w:jc w:val="right"/>
              <w:rPr>
                <w:rFonts w:ascii="宋体" w:hAnsi="宋体" w:cs="宋体" w:eastAsia="宋体" w:hint="default"/>
                <w:sz w:val="18"/>
                <w:szCs w:val="18"/>
              </w:rPr>
            </w:pPr>
            <w:r>
              <w:rPr>
                <w:rFonts w:ascii="宋体" w:hAnsi="宋体" w:cs="宋体" w:eastAsia="宋体" w:hint="default"/>
                <w:sz w:val="18"/>
                <w:szCs w:val="18"/>
              </w:rPr>
              <w:t>金融资产减值影响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14" w:type="dxa"/>
            <w:vMerge/>
            <w:tcBorders>
              <w:left w:val="single" w:sz="6" w:space="0" w:color="000000"/>
              <w:bottom w:val="single" w:sz="6" w:space="0" w:color="000000"/>
              <w:right w:val="single" w:sz="6" w:space="0" w:color="000000"/>
            </w:tcBorders>
          </w:tcPr>
          <w:p>
            <w:pPr/>
          </w:p>
        </w:tc>
      </w:tr>
      <w:tr>
        <w:trPr>
          <w:trHeight w:val="346"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交易性金</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11,000,000.00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7" w:right="0"/>
              <w:jc w:val="left"/>
              <w:rPr>
                <w:rFonts w:ascii="Times New Roman" w:hAnsi="Times New Roman" w:cs="Times New Roman" w:eastAsia="Times New Roman" w:hint="default"/>
                <w:sz w:val="18"/>
                <w:szCs w:val="18"/>
              </w:rPr>
            </w:pPr>
            <w:r>
              <w:rPr>
                <w:rFonts w:ascii="Times New Roman"/>
                <w:sz w:val="18"/>
              </w:rPr>
              <w:t>11,000,000.00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58" w:right="0"/>
              <w:jc w:val="left"/>
              <w:rPr>
                <w:rFonts w:ascii="Times New Roman" w:hAnsi="Times New Roman" w:cs="Times New Roman" w:eastAsia="Times New Roman" w:hint="default"/>
                <w:sz w:val="18"/>
                <w:szCs w:val="18"/>
              </w:rPr>
            </w:pPr>
            <w:r>
              <w:rPr>
                <w:rFonts w:ascii="Times New Roman"/>
                <w:sz w:val="18"/>
              </w:rPr>
              <w:t>11,000,000.00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975"/>
        <w:gridCol w:w="1813"/>
        <w:gridCol w:w="1721"/>
        <w:gridCol w:w="1616"/>
        <w:gridCol w:w="1721"/>
        <w:gridCol w:w="1814"/>
      </w:tblGrid>
      <w:tr>
        <w:trPr>
          <w:trHeight w:val="348"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813"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5"/>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88,839,760.38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-20,063,560.10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-687,762.01</w:t>
            </w:r>
            <w:r>
              <w:rPr>
                <w:rFonts w:ascii="Times New Roman"/>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-20,751,322.11</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68,088,438.27</w:t>
            </w:r>
          </w:p>
        </w:tc>
      </w:tr>
      <w:tr>
        <w:trPr>
          <w:trHeight w:val="348"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5"/>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462,779,717.69</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-697,713.42</w:t>
            </w:r>
            <w:r>
              <w:rPr>
                <w:rFonts w:ascii="Times New Roman"/>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-697,713.42</w:t>
            </w:r>
            <w:r>
              <w:rPr>
                <w:rFonts w:ascii="Times New Roman"/>
                <w:sz w:val="18"/>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462,082,004.27</w:t>
            </w:r>
          </w:p>
        </w:tc>
      </w:tr>
      <w:tr>
        <w:trPr>
          <w:trHeight w:val="658"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5" w:firstLine="72"/>
              <w:jc w:val="left"/>
              <w:rPr>
                <w:rFonts w:ascii="宋体" w:hAnsi="宋体" w:cs="宋体" w:eastAsia="宋体" w:hint="default"/>
                <w:sz w:val="18"/>
                <w:szCs w:val="18"/>
              </w:rPr>
            </w:pPr>
            <w:r>
              <w:rPr>
                <w:rFonts w:ascii="宋体" w:hAnsi="宋体" w:cs="宋体" w:eastAsia="宋体" w:hint="default"/>
                <w:sz w:val="18"/>
                <w:szCs w:val="18"/>
              </w:rPr>
              <w:t>应收款项 融资</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20,063,560.10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20,063,560.10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20,063,560.10</w:t>
            </w:r>
          </w:p>
        </w:tc>
      </w:tr>
      <w:tr>
        <w:trPr>
          <w:trHeight w:val="660"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65" w:firstLine="72"/>
              <w:jc w:val="left"/>
              <w:rPr>
                <w:rFonts w:ascii="宋体" w:hAnsi="宋体" w:cs="宋体" w:eastAsia="宋体" w:hint="default"/>
                <w:sz w:val="18"/>
                <w:szCs w:val="18"/>
              </w:rPr>
            </w:pPr>
            <w:r>
              <w:rPr>
                <w:rFonts w:ascii="宋体" w:hAnsi="宋体" w:cs="宋体" w:eastAsia="宋体" w:hint="default"/>
                <w:sz w:val="18"/>
                <w:szCs w:val="18"/>
              </w:rPr>
              <w:t>其他应收 款</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24,750,182.74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-8,204.44</w:t>
            </w:r>
            <w:r>
              <w:rPr>
                <w:rFonts w:ascii="Times New Roman"/>
                <w:sz w:val="18"/>
              </w:rPr>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-8,204.44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24,741,978.30</w:t>
            </w:r>
          </w:p>
        </w:tc>
      </w:tr>
      <w:tr>
        <w:trPr>
          <w:trHeight w:val="658"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5" w:firstLine="72"/>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27,265,120.84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-27,265,120.84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-27,265,120.84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r>
      <w:tr>
        <w:trPr>
          <w:trHeight w:val="660"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65" w:firstLine="72"/>
              <w:jc w:val="left"/>
              <w:rPr>
                <w:rFonts w:ascii="宋体" w:hAnsi="宋体" w:cs="宋体" w:eastAsia="宋体" w:hint="default"/>
                <w:sz w:val="18"/>
                <w:szCs w:val="18"/>
              </w:rPr>
            </w:pPr>
            <w:r>
              <w:rPr>
                <w:rFonts w:ascii="宋体" w:hAnsi="宋体" w:cs="宋体" w:eastAsia="宋体" w:hint="default"/>
                <w:sz w:val="18"/>
                <w:szCs w:val="18"/>
              </w:rPr>
              <w:t>其他权益 工具投资</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16,265,120.84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16,265,120.84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16,265,120.84</w:t>
            </w:r>
          </w:p>
        </w:tc>
      </w:tr>
      <w:tr>
        <w:trPr>
          <w:trHeight w:val="661"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65" w:firstLine="72"/>
              <w:jc w:val="left"/>
              <w:rPr>
                <w:rFonts w:ascii="宋体" w:hAnsi="宋体" w:cs="宋体" w:eastAsia="宋体" w:hint="default"/>
                <w:sz w:val="18"/>
                <w:szCs w:val="18"/>
              </w:rPr>
            </w:pPr>
            <w:r>
              <w:rPr>
                <w:rFonts w:ascii="宋体" w:hAnsi="宋体" w:cs="宋体" w:eastAsia="宋体" w:hint="default"/>
                <w:sz w:val="18"/>
                <w:szCs w:val="18"/>
              </w:rPr>
              <w:t>递延所得 税资产</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31,680,898.42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284,171.60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284,171.60</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31,965,070.02</w:t>
            </w:r>
          </w:p>
        </w:tc>
      </w:tr>
      <w:tr>
        <w:trPr>
          <w:trHeight w:val="346"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57"/>
              <w:jc w:val="right"/>
              <w:rPr>
                <w:rFonts w:ascii="宋体" w:hAnsi="宋体" w:cs="宋体" w:eastAsia="宋体" w:hint="default"/>
                <w:sz w:val="18"/>
                <w:szCs w:val="18"/>
              </w:rPr>
            </w:pPr>
            <w:r>
              <w:rPr>
                <w:rFonts w:ascii="宋体" w:hAnsi="宋体" w:cs="宋体" w:eastAsia="宋体" w:hint="default"/>
                <w:b/>
                <w:bCs/>
                <w:w w:val="95"/>
                <w:sz w:val="18"/>
                <w:szCs w:val="18"/>
              </w:rPr>
              <w:t>资产合计</w:t>
            </w:r>
            <w:r>
              <w:rPr>
                <w:rFonts w:ascii="宋体" w:hAnsi="宋体" w:cs="宋体" w:eastAsia="宋体" w:hint="default"/>
                <w:sz w:val="18"/>
                <w:szCs w:val="18"/>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635,315,680.07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-1,109,508.27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-1,109,508.27</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634,206,171.80</w:t>
            </w:r>
          </w:p>
        </w:tc>
      </w:tr>
      <w:tr>
        <w:trPr>
          <w:trHeight w:val="660"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65" w:firstLine="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-156,055,794.34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34,008,022.37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-1,132,745.03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32,875,277.34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-123,180,517.00</w:t>
            </w:r>
          </w:p>
        </w:tc>
      </w:tr>
      <w:tr>
        <w:trPr>
          <w:trHeight w:val="658"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5" w:firstLine="72"/>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-34,008,022.37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-34,008,022.37</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-34,008,022.37</w:t>
            </w:r>
          </w:p>
        </w:tc>
      </w:tr>
      <w:tr>
        <w:trPr>
          <w:trHeight w:val="660"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65" w:firstLine="72"/>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1,373,644.98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23,236.76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23,236.76</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1,396,881.74</w:t>
            </w:r>
          </w:p>
        </w:tc>
      </w:tr>
      <w:tr>
        <w:trPr>
          <w:trHeight w:val="660" w:hRule="exact"/>
        </w:trPr>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57" w:firstLine="76"/>
              <w:jc w:val="left"/>
              <w:rPr>
                <w:rFonts w:ascii="宋体" w:hAnsi="宋体" w:cs="宋体" w:eastAsia="宋体" w:hint="default"/>
                <w:sz w:val="18"/>
                <w:szCs w:val="18"/>
              </w:rPr>
            </w:pPr>
            <w:r>
              <w:rPr>
                <w:rFonts w:ascii="宋体" w:hAnsi="宋体" w:cs="宋体" w:eastAsia="宋体" w:hint="default"/>
                <w:b/>
                <w:bCs/>
                <w:sz w:val="18"/>
                <w:szCs w:val="18"/>
              </w:rPr>
              <w:t>所有者权</w:t>
            </w:r>
            <w:r>
              <w:rPr>
                <w:rFonts w:ascii="宋体" w:hAnsi="宋体" w:cs="宋体" w:eastAsia="宋体" w:hint="default"/>
                <w:b/>
                <w:bCs/>
                <w:w w:val="99"/>
                <w:sz w:val="18"/>
                <w:szCs w:val="18"/>
              </w:rPr>
              <w:t> </w:t>
            </w:r>
            <w:r>
              <w:rPr>
                <w:rFonts w:ascii="宋体" w:hAnsi="宋体" w:cs="宋体" w:eastAsia="宋体" w:hint="default"/>
                <w:b/>
                <w:bCs/>
                <w:sz w:val="18"/>
                <w:szCs w:val="18"/>
              </w:rPr>
              <w:t>益合计</w:t>
            </w:r>
            <w:r>
              <w:rPr>
                <w:rFonts w:ascii="宋体" w:hAnsi="宋体" w:cs="宋体" w:eastAsia="宋体" w:hint="default"/>
                <w:sz w:val="18"/>
                <w:szCs w:val="18"/>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-154,682,149.36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-1,109,508.27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-1,109,508.27</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-155,791,657.63</w:t>
            </w:r>
          </w:p>
        </w:tc>
      </w:tr>
    </w:tbl>
    <w:p>
      <w:pPr>
        <w:spacing w:line="240" w:lineRule="auto" w:before="6"/>
        <w:rPr>
          <w:rFonts w:ascii="宋体" w:hAnsi="宋体" w:cs="宋体" w:eastAsia="宋体" w:hint="default"/>
          <w:sz w:val="6"/>
          <w:szCs w:val="6"/>
        </w:rPr>
      </w:pPr>
    </w:p>
    <w:p>
      <w:pPr>
        <w:pStyle w:val="BodyText"/>
        <w:spacing w:line="316" w:lineRule="auto"/>
        <w:ind w:right="1133" w:firstLine="288"/>
        <w:jc w:val="left"/>
      </w:pPr>
      <w:r>
        <w:rPr>
          <w:spacing w:val="-1"/>
        </w:rPr>
        <w:t>注：上表仅呈列受影响的财务报表项目，不受影响的财务报表项目不包括在内，因此所披露的小计和合计无法根据上表</w:t>
      </w:r>
      <w:r>
        <w:rPr/>
        <w:t> 中呈列的数字重新计算得出。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3"/>
        <w:jc w:val="left"/>
        <w:rPr>
          <w:b w:val="0"/>
          <w:bCs w:val="0"/>
        </w:rPr>
      </w:pPr>
      <w:bookmarkStart w:name="（2）重要会计估计变更" w:id="229"/>
      <w:bookmarkEnd w:id="22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30"/>
      <w:bookmarkEnd w:id="23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7"/>
          <w:pgSz w:w="11910" w:h="16840"/>
          <w:pgMar w:footer="980" w:header="745" w:top="1060" w:bottom="1160" w:left="980" w:right="0"/>
          <w:pgNumType w:start="120"/>
        </w:sect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0" w:right="0"/>
              <w:jc w:val="left"/>
              <w:rPr>
                <w:rFonts w:ascii="Times New Roman" w:hAnsi="Times New Roman" w:cs="Times New Roman" w:eastAsia="Times New Roman" w:hint="default"/>
                <w:sz w:val="18"/>
                <w:szCs w:val="18"/>
              </w:rPr>
            </w:pPr>
            <w:r>
              <w:rPr>
                <w:rFonts w:ascii="Times New Roman"/>
                <w:sz w:val="18"/>
              </w:rPr>
              <w:t>282,352,971.21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282,352,971.21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9"/>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88,839,760.38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68,088,438.27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-20,751,322.11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462,779,717.69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462,082,004.27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-697,713.42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20,063,560.10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20,063,560.10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1,863,239.79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1,863,239.79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24,750,182.74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24,741,978.30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-8,204.44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139,270,809.32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139,270,809.32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35,576,510.04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35,576,510.04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1,035,433,191.17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1,045,039,511.30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9,606,320.13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27,265,120.84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-27,265,120.84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4,827,808.65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4,827,808.65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122,956,056.21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122,956,056.21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16,265,120.84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16,265,120.84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409,077,159.89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409,077,159.89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26,980,625.91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26,980,625.91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21,313,149.24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21,313,149.24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31,680,898.42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31,965,070.02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284,171.60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17,824,932.91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17,824,932.91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669,515,752.07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658,799,923.67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-10,715,828.40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1,704,948,943.24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1,703,839,434.97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-1,109,508.27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222,101,360.00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223,394,354.13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255,171,958.21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255,171,958.21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514,136,582.76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514,136,582.76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12,492,155.17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12,492,155.17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28,568,758.59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28,568,758.59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15,754,401.81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15,754,401.81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24,615,263.21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23,322,269.08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1,292,994.13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23,062,107.60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23,062,107.60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1,097,963,387.35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1,097,963,387.35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33,290,129.52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33,290,129.52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4,255,160.04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4,255,160.04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12,744,948.31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12,744,948.31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50,290,237.87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50,290,237.87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1,148,253,625.22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1,148,253,625.22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274,327,707.00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274,327,707.00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411,478,059.38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411,478,059.38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-34,008,022.37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-34,008,022.37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25,571,701.00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-156,055,794.34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-123,180,517.00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32,875,277.34</w:t>
            </w: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555,321,673.04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554,188,928.01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-1,132,745.03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1,373,644.98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1,396,881.74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23,236.76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556,695,318.02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555,585,809.75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-1,109,508.27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1,704,948,943.24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1,703,839,434.97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-1,109,508.27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126,934,307.29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126,934,307.29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25,705,658.60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25,448,602.01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-257,056.59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170,707,018.70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170,527,709.28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-179,309.42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354,862.17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354,862.17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345,929,254.91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345,929,367.36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2,963,047.42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2,963,047.42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3,325,015.09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3,325,015.09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675,919,164.18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686,482,910.62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10,563,746.44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27,184,007.00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-27,184,007.00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854,470.48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854,470.48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622,363,804.12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622,363,804.12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16,184,007.00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16,184,007.00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26,773,273.26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26,773,273.26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39,199.02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39,199.02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1,642,813.44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1,642,813.44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23,485,138.07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23,550,576.10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65,438.03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15,647,289.15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15,647,289.15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717,989,994.54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707,055,432.57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-10,934,561.97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1,393,909,158.72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1,393,538,343.19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-370,815.53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222,101,360.00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223,394,354.13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123,254,192.21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123,254,192.21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15,966,603.23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15,966,603.23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3,917,363.79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3,917,363.79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4,082,999.53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4,082,999.53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288,960.85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288,960.85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200,178,214.46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198,885,220.33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1,292,994.13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6,175,105.99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6,175,105.99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578,025,600.06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578,025,600.06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4,623,157.92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4,623,157.92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4,388,410.93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4,388,410.93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10,161,568.85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10,161,568.85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588,187,168.91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588,187,168.91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274,327,707.00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274,327,707.00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438,644,178.21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438,644,178.21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-31,672,359.00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-31,672,359.00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25,571,701.00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67,178,403.60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98,479,947.07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31,301,543.47</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805,721,989.81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805,351,174.28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-370,815.53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1,393,909,158.72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1,393,538,343.19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-370,815.53</w:t>
            </w:r>
          </w:p>
        </w:tc>
      </w:tr>
    </w:tbl>
    <w:p>
      <w:pPr>
        <w:pStyle w:val="BodyText"/>
        <w:spacing w:line="240" w:lineRule="auto" w:before="49"/>
        <w:ind w:right="1133"/>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019年起执行新金融工具准则或新租赁准则追溯调整前期比较数据说明" w:id="231"/>
      <w:bookmarkEnd w:id="23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0"/>
        <w:jc w:val="left"/>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p>
    <w:p>
      <w:pPr>
        <w:pStyle w:val="BodyText"/>
        <w:spacing w:line="240" w:lineRule="auto" w:before="63"/>
        <w:ind w:right="0"/>
        <w:jc w:val="left"/>
      </w:pP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ind w:left="573" w:right="1133" w:hanging="421"/>
        <w:jc w:val="left"/>
      </w:pPr>
      <w:r>
        <w:rPr/>
        <w:t>融工具准则</w:t>
      </w:r>
      <w:r>
        <w:rPr>
          <w:rFonts w:ascii="Times New Roman" w:hAnsi="Times New Roman" w:cs="Times New Roman" w:eastAsia="Times New Roman" w:hint="default"/>
        </w:rPr>
        <w:t>&gt;</w:t>
      </w:r>
      <w:r>
        <w:rPr/>
        <w:t>），变更后的会计政策详见本报告第十二节、五、重要会计政策及会计估计。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日之前的金融工具确认和计量与新金融工具准则要求不一致的，本公司按照新金融工具准则的要求进行</w:t>
      </w:r>
    </w:p>
    <w:p>
      <w:pPr>
        <w:pStyle w:val="BodyText"/>
        <w:spacing w:line="316" w:lineRule="auto" w:before="13"/>
        <w:ind w:right="1124"/>
        <w:jc w:val="left"/>
      </w:pPr>
      <w:r>
        <w:rPr>
          <w:spacing w:val="-2"/>
        </w:rPr>
        <w:t>衔接调整。涉及前期比较财务报表数据与新金融工具准则要求不一致的，本公司未调整可比期间信息。金融工具原账面价值</w:t>
      </w:r>
      <w:r>
        <w:rPr>
          <w:spacing w:val="-63"/>
        </w:rPr>
        <w:t> </w:t>
      </w:r>
      <w:r>
        <w:rPr>
          <w:spacing w:val="-63"/>
        </w:rPr>
      </w:r>
      <w:r>
        <w:rPr/>
        <w:t>和新金融工具准则施行日的新账面价值之间的差额，计入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35" w:lineRule="exact" w:before="0"/>
        <w:ind w:left="513" w:right="1133"/>
        <w:jc w:val="left"/>
      </w:pPr>
      <w:r>
        <w:rPr/>
        <w:t>执行新金融工具准则对本期期初资产负债表相关项目的影响列示如下：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277"/>
        <w:gridCol w:w="1757"/>
        <w:gridCol w:w="1651"/>
        <w:gridCol w:w="1565"/>
        <w:gridCol w:w="1652"/>
        <w:gridCol w:w="1757"/>
      </w:tblGrid>
      <w:tr>
        <w:trPr>
          <w:trHeight w:val="348"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7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4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c>
        <w:tc>
          <w:tcPr>
            <w:tcW w:w="4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宋体" w:hAnsi="宋体" w:cs="宋体" w:eastAsia="宋体" w:hint="default"/>
                <w:sz w:val="15"/>
                <w:szCs w:val="15"/>
              </w:rPr>
            </w:pPr>
            <w:r>
              <w:rPr>
                <w:rFonts w:ascii="宋体" w:hAnsi="宋体" w:cs="宋体" w:eastAsia="宋体" w:hint="default"/>
                <w:sz w:val="15"/>
                <w:szCs w:val="15"/>
              </w:rPr>
              <w:t>累积影响金额</w:t>
            </w:r>
          </w:p>
        </w:tc>
        <w:tc>
          <w:tcPr>
            <w:tcW w:w="17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w:t>
            </w:r>
            <w:r>
              <w:rPr>
                <w:rFonts w:ascii="宋体" w:hAnsi="宋体" w:cs="宋体" w:eastAsia="宋体" w:hint="default"/>
                <w:sz w:val="15"/>
                <w:szCs w:val="15"/>
              </w:rPr>
              <w:t>月</w:t>
            </w:r>
            <w:r>
              <w:rPr>
                <w:rFonts w:ascii="Times New Roman" w:hAnsi="Times New Roman" w:cs="Times New Roman" w:eastAsia="Times New Roman" w:hint="default"/>
                <w:sz w:val="15"/>
                <w:szCs w:val="15"/>
              </w:rPr>
              <w:t>1</w:t>
            </w:r>
            <w:r>
              <w:rPr>
                <w:rFonts w:ascii="宋体" w:hAnsi="宋体" w:cs="宋体" w:eastAsia="宋体" w:hint="default"/>
                <w:sz w:val="15"/>
                <w:szCs w:val="15"/>
              </w:rPr>
              <w:t>日</w:t>
            </w:r>
          </w:p>
        </w:tc>
      </w:tr>
      <w:tr>
        <w:trPr>
          <w:trHeight w:val="346" w:hRule="exact"/>
        </w:trPr>
        <w:tc>
          <w:tcPr>
            <w:tcW w:w="1277" w:type="dxa"/>
            <w:vMerge/>
            <w:tcBorders>
              <w:left w:val="single" w:sz="6" w:space="0" w:color="000000"/>
              <w:bottom w:val="single" w:sz="6" w:space="0" w:color="000000"/>
              <w:right w:val="single" w:sz="6" w:space="0" w:color="000000"/>
            </w:tcBorders>
          </w:tcPr>
          <w:p>
            <w:pPr/>
          </w:p>
        </w:tc>
        <w:tc>
          <w:tcPr>
            <w:tcW w:w="1757" w:type="dxa"/>
            <w:vMerge/>
            <w:tcBorders>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95" w:right="0"/>
              <w:jc w:val="left"/>
              <w:rPr>
                <w:rFonts w:ascii="宋体" w:hAnsi="宋体" w:cs="宋体" w:eastAsia="宋体" w:hint="default"/>
                <w:sz w:val="15"/>
                <w:szCs w:val="15"/>
              </w:rPr>
            </w:pPr>
            <w:r>
              <w:rPr>
                <w:rFonts w:ascii="宋体" w:hAnsi="宋体" w:cs="宋体" w:eastAsia="宋体" w:hint="default"/>
                <w:sz w:val="15"/>
                <w:szCs w:val="15"/>
              </w:rPr>
              <w:t>分类和计量影响</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5" w:right="0"/>
              <w:jc w:val="left"/>
              <w:rPr>
                <w:rFonts w:ascii="宋体" w:hAnsi="宋体" w:cs="宋体" w:eastAsia="宋体" w:hint="default"/>
                <w:sz w:val="15"/>
                <w:szCs w:val="15"/>
              </w:rPr>
            </w:pPr>
            <w:r>
              <w:rPr>
                <w:rFonts w:ascii="宋体" w:hAnsi="宋体" w:cs="宋体" w:eastAsia="宋体" w:hint="default"/>
                <w:sz w:val="15"/>
                <w:szCs w:val="15"/>
              </w:rPr>
              <w:t>金融资产减值影响</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757" w:type="dxa"/>
            <w:vMerge/>
            <w:tcBorders>
              <w:left w:val="single" w:sz="6" w:space="0" w:color="000000"/>
              <w:bottom w:val="single" w:sz="6" w:space="0" w:color="000000"/>
              <w:right w:val="single" w:sz="6" w:space="0" w:color="000000"/>
            </w:tcBorders>
          </w:tcPr>
          <w:p>
            <w:pP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z w:val="15"/>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pacing w:val="-1"/>
                <w:sz w:val="15"/>
              </w:rPr>
              <w:t>11,000,000.00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z w:val="15"/>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11,000,000.00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11,000,000.00</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88,839,760.38</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-20,063,560.10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-687,762.01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-20,751,322.11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68,088,438.27</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462,779,717.69</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-697,713.42</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-697,713.42</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462,082,004.27</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应收款项融资</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20,063,560.10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20,063,560.10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20,063,560.10</w:t>
            </w:r>
          </w:p>
        </w:tc>
      </w:tr>
      <w:tr>
        <w:trPr>
          <w:trHeight w:val="34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24,750,182.74</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-8,204.44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-8,204.44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24,741,978.30</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2" w:right="144" w:firstLine="60"/>
              <w:jc w:val="left"/>
              <w:rPr>
                <w:rFonts w:ascii="宋体" w:hAnsi="宋体" w:cs="宋体" w:eastAsia="宋体" w:hint="default"/>
                <w:sz w:val="15"/>
                <w:szCs w:val="15"/>
              </w:rPr>
            </w:pPr>
            <w:r>
              <w:rPr>
                <w:rFonts w:ascii="宋体" w:hAnsi="宋体" w:cs="宋体" w:eastAsia="宋体" w:hint="default"/>
                <w:sz w:val="15"/>
                <w:szCs w:val="15"/>
              </w:rPr>
              <w:t>可供出售金融资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27,265,120.84</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-27,265,120.84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-27,265,120.84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2" w:right="144" w:firstLine="60"/>
              <w:jc w:val="left"/>
              <w:rPr>
                <w:rFonts w:ascii="宋体" w:hAnsi="宋体" w:cs="宋体" w:eastAsia="宋体" w:hint="default"/>
                <w:sz w:val="15"/>
                <w:szCs w:val="15"/>
              </w:rPr>
            </w:pPr>
            <w:r>
              <w:rPr>
                <w:rFonts w:ascii="宋体" w:hAnsi="宋体" w:cs="宋体" w:eastAsia="宋体" w:hint="default"/>
                <w:sz w:val="15"/>
                <w:szCs w:val="15"/>
              </w:rPr>
              <w:t>其他权益工具投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16,265,120.84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16,265,120.84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16,265,120.84</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31,680,898.42</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284,171.60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284,171.60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31,965,070.02</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4" w:right="0"/>
              <w:jc w:val="left"/>
              <w:rPr>
                <w:rFonts w:ascii="宋体" w:hAnsi="宋体" w:cs="宋体" w:eastAsia="宋体" w:hint="default"/>
                <w:sz w:val="15"/>
                <w:szCs w:val="15"/>
              </w:rPr>
            </w:pPr>
            <w:r>
              <w:rPr>
                <w:rFonts w:ascii="宋体" w:hAnsi="宋体" w:cs="宋体" w:eastAsia="宋体" w:hint="default"/>
                <w:b/>
                <w:bCs/>
                <w:sz w:val="15"/>
                <w:szCs w:val="15"/>
              </w:rPr>
              <w:t>资产合计</w:t>
            </w:r>
            <w:r>
              <w:rPr>
                <w:rFonts w:ascii="宋体" w:hAnsi="宋体" w:cs="宋体" w:eastAsia="宋体" w:hint="default"/>
                <w:sz w:val="15"/>
                <w:szCs w:val="15"/>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635,315,680.07</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-1,109,508.27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-1,109,508.27</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634,206,171.80</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pacing w:val="-1"/>
                <w:sz w:val="15"/>
              </w:rPr>
              <w:t>-156,055,794.34</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right"/>
              <w:rPr>
                <w:rFonts w:ascii="Times New Roman" w:hAnsi="Times New Roman" w:cs="Times New Roman" w:eastAsia="Times New Roman" w:hint="default"/>
                <w:sz w:val="15"/>
                <w:szCs w:val="15"/>
              </w:rPr>
            </w:pPr>
            <w:r>
              <w:rPr>
                <w:rFonts w:ascii="Times New Roman"/>
                <w:spacing w:val="-1"/>
                <w:sz w:val="15"/>
              </w:rPr>
              <w:t>34,008,022.37</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-1,132,745.03</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4"/>
              <w:jc w:val="right"/>
              <w:rPr>
                <w:rFonts w:ascii="Times New Roman" w:hAnsi="Times New Roman" w:cs="Times New Roman" w:eastAsia="Times New Roman" w:hint="default"/>
                <w:sz w:val="15"/>
                <w:szCs w:val="15"/>
              </w:rPr>
            </w:pPr>
            <w:r>
              <w:rPr>
                <w:rFonts w:ascii="Times New Roman"/>
                <w:spacing w:val="-1"/>
                <w:sz w:val="15"/>
              </w:rPr>
              <w:t>32,875,277.34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-123,180,517.00</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-34,008,022.37</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-34,008,022.37</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-34,008,022.37</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1,373,644.98</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23,236.76</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23,236.76</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1,396,881.74</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4"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pacing w:val="-1"/>
                <w:sz w:val="15"/>
              </w:rPr>
              <w:t>-154,682,149.36</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sz w:val="15"/>
              </w:rPr>
              <w:t>--</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-1,109,508.27</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-1,109,508.27</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spacing w:val="-1"/>
                <w:sz w:val="15"/>
              </w:rPr>
              <w:t>-155,791,657.63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316" w:lineRule="auto" w:before="0"/>
        <w:ind w:right="1133" w:firstLine="288"/>
        <w:jc w:val="left"/>
      </w:pPr>
      <w:r>
        <w:rPr>
          <w:spacing w:val="-1"/>
        </w:rPr>
        <w:t>注：上表仅呈列受影响的财务报表项目，不受影响的财务报表项目不包括在内，因此所披露的小计和合计无法根据上表</w:t>
      </w:r>
      <w:r>
        <w:rPr/>
        <w:t> 中呈列的数字重新计算得出。</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bookmarkStart w:name="45、其他" w:id="232"/>
      <w:bookmarkEnd w:id="232"/>
      <w:r>
        <w:rPr>
          <w:b w:val="0"/>
          <w:bCs w:val="0"/>
        </w:rPr>
      </w:r>
      <w:r>
        <w:rPr>
          <w:rFonts w:ascii="Times New Roman" w:hAnsi="Times New Roman" w:cs="Times New Roman" w:eastAsia="Times New Roman" w:hint="default"/>
        </w:rPr>
        <w:t>45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1" w:firstLine="360"/>
        <w:jc w:val="both"/>
      </w:pPr>
      <w:r>
        <w:rPr>
          <w:spacing w:val="-3"/>
        </w:rPr>
        <w:t>（</w:t>
      </w:r>
      <w:r>
        <w:rPr>
          <w:rFonts w:ascii="Times New Roman" w:hAnsi="Times New Roman" w:cs="Times New Roman" w:eastAsia="Times New Roman" w:hint="default"/>
          <w:spacing w:val="-3"/>
        </w:rPr>
        <w:t>1</w:t>
      </w:r>
      <w:r>
        <w:rPr>
          <w:spacing w:val="-3"/>
        </w:rPr>
        <w:t>）终止经营</w:t>
      </w:r>
      <w:r>
        <w:rPr>
          <w:spacing w:val="-58"/>
        </w:rPr>
        <w:t> </w:t>
      </w:r>
      <w:r>
        <w:rPr/>
        <w:t>终止经营，是指满足下列条件之一的已被本公司处置或划归为持有待售的、在经营和编制财务报表时能</w:t>
      </w:r>
      <w:r>
        <w:rPr/>
        <w:t> </w:t>
      </w:r>
      <w:r>
        <w:rPr>
          <w:spacing w:val="-2"/>
        </w:rPr>
        <w:t>够单独区分的组成部分：①该组成部分代表一项独立的主要业务或一个主要经营地区；②该组成部分是拟对一项独立的主要</w:t>
      </w:r>
      <w:r>
        <w:rPr>
          <w:spacing w:val="-62"/>
        </w:rPr>
        <w:t> </w:t>
      </w:r>
      <w:r>
        <w:rPr>
          <w:spacing w:val="-62"/>
        </w:rPr>
      </w:r>
      <w:r>
        <w:rPr/>
        <w:t>业务或一个主要</w:t>
      </w:r>
      <w:r>
        <w:rPr>
          <w:spacing w:val="-18"/>
        </w:rPr>
        <w:t> </w:t>
      </w:r>
      <w:r>
        <w:rPr/>
        <w:t>经营地区进行处置计划的一部分；③该组成部分是仅仅为了再出售而取得的子公司。</w:t>
      </w:r>
    </w:p>
    <w:p>
      <w:pPr>
        <w:pStyle w:val="BodyText"/>
        <w:spacing w:line="240" w:lineRule="auto" w:before="24"/>
        <w:ind w:left="513" w:right="1133"/>
        <w:jc w:val="left"/>
      </w:pPr>
      <w:r>
        <w:rPr/>
        <w:t>终止经营的会计处理方法参见本报告第十二节、五、</w:t>
      </w:r>
      <w:r>
        <w:rPr>
          <w:rFonts w:ascii="Times New Roman" w:hAnsi="Times New Roman" w:cs="Times New Roman" w:eastAsia="Times New Roman" w:hint="default"/>
        </w:rPr>
        <w:t>18“</w:t>
      </w:r>
      <w:r>
        <w:rPr/>
        <w:t>持有待售资产</w:t>
      </w:r>
      <w:r>
        <w:rPr>
          <w:rFonts w:ascii="Times New Roman" w:hAnsi="Times New Roman" w:cs="Times New Roman" w:eastAsia="Times New Roman" w:hint="default"/>
        </w:rPr>
        <w:t>”</w:t>
      </w:r>
      <w:r>
        <w:rPr/>
        <w:t>相关描述。</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）套期会计</w:t>
      </w:r>
      <w:r>
        <w:rPr>
          <w:spacing w:val="-18"/>
        </w:rPr>
        <w:t> </w:t>
      </w:r>
      <w:r>
        <w:rPr/>
        <w:t>无。</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）回购股份</w:t>
      </w:r>
      <w:r>
        <w:rPr>
          <w:spacing w:val="-18"/>
        </w:rPr>
        <w:t> </w:t>
      </w:r>
      <w:r>
        <w:rPr/>
        <w:t>无。</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）资产证券化</w:t>
      </w:r>
      <w:r>
        <w:rPr>
          <w:spacing w:val="-18"/>
        </w:rPr>
        <w:t> </w:t>
      </w: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1133"/>
        <w:jc w:val="left"/>
        <w:rPr>
          <w:b w:val="0"/>
          <w:bCs w:val="0"/>
        </w:rPr>
      </w:pPr>
      <w:bookmarkStart w:name="六、税项" w:id="233"/>
      <w:bookmarkEnd w:id="233"/>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主要税种及税率" w:id="234"/>
      <w:bookmarkEnd w:id="23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102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境内销售、提供不动产租赁服务，销售 不动产、其他应税销售服务行为、简易 计税方法、销售出口货物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或 </w:t>
            </w:r>
            <w:r>
              <w:rPr>
                <w:rFonts w:ascii="Times New Roman" w:hAnsi="Times New Roman" w:cs="Times New Roman" w:eastAsia="Times New Roman" w:hint="default"/>
                <w:sz w:val="18"/>
                <w:szCs w:val="18"/>
              </w:rPr>
              <w:t>13%</w:t>
            </w:r>
            <w:r>
              <w:rPr>
                <w:rFonts w:ascii="宋体" w:hAnsi="宋体" w:cs="宋体" w:eastAsia="宋体" w:hint="default"/>
                <w:sz w:val="18"/>
                <w:szCs w:val="18"/>
              </w:rPr>
              <w:t>或 </w:t>
            </w:r>
            <w:r>
              <w:rPr>
                <w:rFonts w:ascii="Times New Roman" w:hAnsi="Times New Roman" w:cs="Times New Roman" w:eastAsia="Times New Roman" w:hint="default"/>
                <w:sz w:val="18"/>
                <w:szCs w:val="18"/>
              </w:rPr>
              <w:t>6%</w:t>
            </w:r>
            <w:r>
              <w:rPr>
                <w:rFonts w:ascii="宋体" w:hAnsi="宋体" w:cs="宋体" w:eastAsia="宋体" w:hint="default"/>
                <w:sz w:val="18"/>
                <w:szCs w:val="18"/>
              </w:rPr>
              <w:t>或 </w:t>
            </w:r>
            <w:r>
              <w:rPr>
                <w:rFonts w:ascii="Times New Roman" w:hAnsi="Times New Roman" w:cs="Times New Roman" w:eastAsia="Times New Roman" w:hint="default"/>
                <w:sz w:val="18"/>
                <w:szCs w:val="18"/>
              </w:rPr>
              <w:t>5%</w:t>
            </w:r>
            <w:r>
              <w:rPr>
                <w:rFonts w:ascii="宋体" w:hAnsi="宋体" w:cs="宋体" w:eastAsia="宋体" w:hint="default"/>
                <w:sz w:val="18"/>
                <w:szCs w:val="18"/>
              </w:rPr>
              <w:t>或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4"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日，本公司取得深圳市科技创新委员会、深圳市财政委员会、国家税务总局深圳市税务局联合颁发的高新</w:t>
      </w:r>
      <w:r>
        <w:rPr/>
        <w:t> 技术企业证书，证书编号</w:t>
      </w:r>
      <w:r>
        <w:rPr>
          <w:rFonts w:ascii="Times New Roman" w:hAnsi="Times New Roman" w:cs="Times New Roman" w:eastAsia="Times New Roman" w:hint="default"/>
        </w:rPr>
        <w:t>GR201844200761,</w:t>
      </w:r>
      <w:r>
        <w:rPr/>
        <w:t>有效期</w:t>
      </w:r>
      <w:r>
        <w:rPr>
          <w:rFonts w:ascii="Times New Roman" w:hAnsi="Times New Roman" w:cs="Times New Roman" w:eastAsia="Times New Roman" w:hint="default"/>
        </w:rPr>
        <w:t>3</w:t>
      </w:r>
      <w:r>
        <w:rPr/>
        <w:t>年，企业所得税税率为</w:t>
      </w:r>
      <w:r>
        <w:rPr>
          <w:rFonts w:ascii="Times New Roman" w:hAnsi="Times New Roman" w:cs="Times New Roman" w:eastAsia="Times New Roman" w:hint="default"/>
        </w:rPr>
        <w:t>15%</w:t>
      </w:r>
      <w:r>
        <w:rPr/>
        <w:t>。</w:t>
      </w:r>
    </w:p>
    <w:p>
      <w:pPr>
        <w:pStyle w:val="BodyText"/>
        <w:spacing w:line="300" w:lineRule="auto" w:before="13"/>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日，茂硕电子取得深圳市科技创新委员会、深圳市财政委员会、深圳市国家税务局、深圳市地方税务局联 合颁发的高新技术企业证书，证书编号：</w:t>
      </w:r>
      <w:r>
        <w:rPr>
          <w:rFonts w:ascii="Times New Roman" w:hAnsi="Times New Roman" w:cs="Times New Roman" w:eastAsia="Times New Roman" w:hint="default"/>
        </w:rPr>
        <w:t>GR201644200630</w:t>
      </w:r>
      <w:r>
        <w:rPr/>
        <w:t>，有效期</w:t>
      </w:r>
      <w:r>
        <w:rPr>
          <w:rFonts w:ascii="Times New Roman" w:hAnsi="Times New Roman" w:cs="Times New Roman" w:eastAsia="Times New Roman" w:hint="default"/>
        </w:rPr>
        <w:t>3</w:t>
      </w:r>
      <w:r>
        <w:rPr/>
        <w:t>年，企业所得税税率为</w:t>
      </w:r>
      <w:r>
        <w:rPr>
          <w:rFonts w:ascii="Times New Roman" w:hAnsi="Times New Roman" w:cs="Times New Roman" w:eastAsia="Times New Roman" w:hint="default"/>
        </w:rPr>
        <w:t>15%</w:t>
      </w:r>
      <w:r>
        <w:rPr/>
        <w:t>。</w:t>
      </w:r>
    </w:p>
    <w:p>
      <w:pPr>
        <w:pStyle w:val="BodyText"/>
        <w:spacing w:line="300" w:lineRule="auto" w:before="13"/>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日，茂硕电气取得深圳市科技创新委员会、深圳市财政委员会、深圳市国家税务局、深圳市地方税务局联 合颁发的高新技术企业证书，证书编号：</w:t>
      </w:r>
      <w:r>
        <w:rPr>
          <w:rFonts w:ascii="Times New Roman" w:hAnsi="Times New Roman" w:cs="Times New Roman" w:eastAsia="Times New Roman" w:hint="default"/>
        </w:rPr>
        <w:t>GR201944200033</w:t>
      </w:r>
      <w:r>
        <w:rPr/>
        <w:t>，有效期</w:t>
      </w:r>
      <w:r>
        <w:rPr>
          <w:rFonts w:ascii="Times New Roman" w:hAnsi="Times New Roman" w:cs="Times New Roman" w:eastAsia="Times New Roman" w:hint="default"/>
        </w:rPr>
        <w:t>3</w:t>
      </w:r>
      <w:r>
        <w:rPr/>
        <w:t>年，企业所得税税率为</w:t>
      </w:r>
      <w:r>
        <w:rPr>
          <w:rFonts w:ascii="Times New Roman" w:hAnsi="Times New Roman" w:cs="Times New Roman" w:eastAsia="Times New Roman" w:hint="default"/>
        </w:rPr>
        <w:t>15%</w:t>
      </w:r>
      <w:r>
        <w:rPr/>
        <w:t>。</w:t>
      </w:r>
    </w:p>
    <w:p>
      <w:pPr>
        <w:pStyle w:val="BodyText"/>
        <w:spacing w:line="300" w:lineRule="auto" w:before="13"/>
        <w:ind w:right="0" w:firstLine="360"/>
        <w:jc w:val="left"/>
      </w:pPr>
      <w:r>
        <w:rPr>
          <w:spacing w:val="-7"/>
          <w:w w:val="100"/>
        </w:rPr>
        <w:t>萍乡茂硕、新余茂硕和海宁茂硕从事的行业属于</w:t>
      </w:r>
      <w:r>
        <w:rPr>
          <w:rFonts w:ascii="Times New Roman" w:hAnsi="Times New Roman" w:cs="Times New Roman" w:eastAsia="Times New Roman" w:hint="default"/>
          <w:spacing w:val="-7"/>
          <w:w w:val="100"/>
        </w:rPr>
        <w:t>“</w:t>
      </w:r>
      <w:r>
        <w:rPr>
          <w:spacing w:val="-7"/>
          <w:w w:val="100"/>
        </w:rPr>
        <w:t>国家重点扶持的公共设施项目</w:t>
      </w:r>
      <w:r>
        <w:rPr>
          <w:rFonts w:ascii="Times New Roman" w:hAnsi="Times New Roman" w:cs="Times New Roman" w:eastAsia="Times New Roman" w:hint="default"/>
          <w:spacing w:val="-7"/>
          <w:w w:val="100"/>
        </w:rPr>
        <w:t>”</w:t>
      </w:r>
      <w:r>
        <w:rPr>
          <w:spacing w:val="-7"/>
          <w:w w:val="100"/>
        </w:rPr>
        <w:t>，根据《中华人民共和国企业所得税法》，</w:t>
      </w:r>
      <w:r>
        <w:rPr/>
        <w:t> 萍乡茂硕、新余茂硕和海宁茂硕享受</w:t>
      </w:r>
      <w:r>
        <w:rPr>
          <w:rFonts w:ascii="Times New Roman" w:hAnsi="Times New Roman" w:cs="Times New Roman" w:eastAsia="Times New Roman" w:hint="default"/>
        </w:rPr>
        <w:t>“</w:t>
      </w:r>
      <w:r>
        <w:rPr/>
        <w:t>自项目取得第一笔生产经营收入所属纳税年度起，第一年至第三年免征企业所得税，</w:t>
      </w:r>
      <w:r>
        <w:rPr>
          <w:spacing w:val="-75"/>
        </w:rPr>
        <w:t> </w:t>
      </w:r>
      <w:r>
        <w:rPr>
          <w:spacing w:val="-75"/>
        </w:rPr>
      </w:r>
      <w:r>
        <w:rPr/>
        <w:t>第四年至第六年减半征收企业所得税</w:t>
      </w:r>
      <w:r>
        <w:rPr>
          <w:rFonts w:ascii="Times New Roman" w:hAnsi="Times New Roman" w:cs="Times New Roman" w:eastAsia="Times New Roman" w:hint="default"/>
        </w:rPr>
        <w:t>”</w:t>
      </w:r>
      <w:r>
        <w:rPr/>
        <w:t>的优惠政策，据此萍乡茂硕、新余茂硕</w:t>
      </w:r>
      <w:r>
        <w:rPr>
          <w:rFonts w:ascii="Times New Roman" w:hAnsi="Times New Roman" w:cs="Times New Roman" w:eastAsia="Times New Roman" w:hint="default"/>
        </w:rPr>
        <w:t>2019</w:t>
      </w:r>
      <w:r>
        <w:rPr/>
        <w:t>年度免征企业所得税，海宁茂硕</w:t>
      </w:r>
      <w:r>
        <w:rPr>
          <w:rFonts w:ascii="Times New Roman" w:hAnsi="Times New Roman" w:cs="Times New Roman" w:eastAsia="Times New Roman" w:hint="default"/>
        </w:rPr>
        <w:t>2019</w:t>
      </w:r>
      <w:r>
        <w:rPr/>
        <w:t>年度</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减半征收企业所得税。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487" w:lineRule="auto" w:before="0"/>
        <w:ind w:left="152" w:right="7863"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7"/>
      <w:bookmarkEnd w:id="237"/>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8"/>
      <w:bookmarkEnd w:id="2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295,210.42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126,716.27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179,248,714.83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119,716,862.35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70,644,775.77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162,509,392.59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250,188,701.02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282,352,971.21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4,121,875.16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4,317,881.10</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75,354,703.42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162,509,392.59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5"/>
          <w:szCs w:val="15"/>
        </w:rPr>
      </w:pPr>
    </w:p>
    <w:p>
      <w:pPr>
        <w:pStyle w:val="BodyText"/>
        <w:spacing w:line="240" w:lineRule="auto" w:before="0"/>
        <w:ind w:left="513" w:right="1133"/>
        <w:jc w:val="left"/>
      </w:pPr>
      <w:r>
        <w:rPr/>
        <w:t>其中受限制的货币资金明细如下：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069"/>
        <w:gridCol w:w="2712"/>
        <w:gridCol w:w="2715"/>
      </w:tblGrid>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44"/>
              <w:jc w:val="right"/>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40,328,154.27</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155,912,208.12</w:t>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30,000,000.00</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316,621.50</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2,215,773.64</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诉讼冻结资金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4,709,927.65</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pacing w:val="-1"/>
                <w:sz w:val="18"/>
              </w:rPr>
              <w:t>79,177.50</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远期结售汇保证金</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4,302,233.33</w:t>
            </w:r>
          </w:p>
        </w:tc>
      </w:tr>
      <w:tr>
        <w:trPr>
          <w:trHeight w:val="348" w:hRule="exact"/>
        </w:trPr>
        <w:tc>
          <w:tcPr>
            <w:tcW w:w="4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44"/>
              <w:jc w:val="right"/>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75,354,703.42</w:t>
            </w:r>
          </w:p>
        </w:tc>
        <w:tc>
          <w:tcPr>
            <w:tcW w:w="2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162,509,392.59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bookmarkStart w:name="2、交易性金融资产" w:id="239"/>
      <w:bookmarkEnd w:id="23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衍生金融资产" w:id="240"/>
      <w:bookmarkEnd w:id="24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应收票据" w:id="241"/>
      <w:bookmarkEnd w:id="24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104,425,919.66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46,047,363.25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22,052,883.33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22,041,075.02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126,478,802.99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68,088,438.27</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932"/>
        <w:gridCol w:w="797"/>
        <w:gridCol w:w="79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366.66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126,478,8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02.99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68,776,20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687,762.01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68,088,43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8.27</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无风险银行之外的 承兑票据组合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366.66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126,478,8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02.99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68,776,20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687,762.01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68,088,43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8.27</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366.66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1,277,56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126,478,8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02.99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68,776,20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687,762.01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68,088,43</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8.27</w:t>
            </w:r>
          </w:p>
        </w:tc>
      </w:tr>
    </w:tbl>
    <w:p>
      <w:pPr>
        <w:pStyle w:val="BodyText"/>
        <w:spacing w:line="240" w:lineRule="auto" w:before="49"/>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按组合计提坏账准备：无风险银行之外的承兑票据组合</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无风险银行之外的承兑票据 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127,756,366.66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1,277,563.67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127,756,366.66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1,277,563.67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left="369" w:right="-20" w:hanging="217"/>
        <w:jc w:val="left"/>
      </w:pPr>
      <w:r>
        <w:rPr/>
        <w:t>确定该组合依据的说明： 以无风险银行承兑之外的银行承兑汇票和商业承兑汇票的账龄作为信用特征</w:t>
      </w:r>
    </w:p>
    <w:p>
      <w:pPr>
        <w:pStyle w:val="BodyText"/>
        <w:spacing w:line="240" w:lineRule="auto" w:before="29"/>
        <w:ind w:right="-20"/>
        <w:jc w:val="left"/>
      </w:pP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10" w:space="2519"/>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用损失的应收票 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票据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687,762.01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589,801.66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1,277,563.67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其中：无风险银 行之外的承兑票 据组合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687,762.01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589,801.66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1,277,563.67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687,762.01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589,801.66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1,277,563.67</w:t>
            </w:r>
          </w:p>
        </w:tc>
      </w:tr>
    </w:tbl>
    <w:p>
      <w:pPr>
        <w:pStyle w:val="BodyText"/>
        <w:spacing w:line="240" w:lineRule="auto" w:before="49"/>
        <w:ind w:right="1133"/>
        <w:jc w:val="left"/>
      </w:pPr>
      <w:r>
        <w:rPr/>
        <w:t>其中本期坏账准备收回或转回金额重要的：</w:t>
      </w:r>
    </w:p>
    <w:p>
      <w:pPr>
        <w:pStyle w:val="BodyText"/>
        <w:spacing w:line="240" w:lineRule="auto" w:before="11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期末公司已质押的应收票据" w:id="244"/>
      <w:bookmarkEnd w:id="244"/>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期末公司已背书或贴现且在资产负债表日尚未到期的应收票据" w:id="245"/>
      <w:bookmarkEnd w:id="245"/>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145,811,026.24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95,373,956.77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10,633,917.46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11,636,810.64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156,444,943.70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107,010,767.41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期末公司因出票人未履约而将其转应收账款的票据" w:id="246"/>
      <w:bookmarkEnd w:id="246"/>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本期实际核销的应收票据情况" w:id="247"/>
      <w:bookmarkEnd w:id="247"/>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其中重要的应收票据核销情况：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应收账款" w:id="248"/>
      <w:bookmarkEnd w:id="24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账款分类披露" w:id="249"/>
      <w:bookmarkEnd w:id="24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63,879,2</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46.44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61,789,1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18.93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2,090,127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73,635,86</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70,902,43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2,733,436.1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494,256,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807.97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33,437,7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460,819,0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33.52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506,399,9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47,051,39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459,348,56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8.15</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449,358,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972.56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33,437,7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415,921,1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98.11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474,847,3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66.52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81.87%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47,051,39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427,795,96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8.18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政府机构应收款项 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44,897,8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35.41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44,897,83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5.41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31,552,59</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31,552,599.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558,136,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054.41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95,226,8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462,909,1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61.03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580,035,8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32.81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117,953,8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462,082,00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4.27</w:t>
            </w:r>
          </w:p>
        </w:tc>
      </w:tr>
    </w:tbl>
    <w:p>
      <w:pPr>
        <w:pStyle w:val="BodyText"/>
        <w:spacing w:line="240" w:lineRule="auto" w:before="49"/>
        <w:ind w:right="1133"/>
        <w:jc w:val="left"/>
      </w:pPr>
      <w:r>
        <w:rPr/>
        <w:t>按单项计提坏账准备：单项计提预期信用损失的应收账款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深圳骑客智能科技有限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20,507,906.59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20,507,906.59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重庆瑞耕达网络科技有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10,152,002.27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10,152,002.27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SR</w:t>
            </w:r>
            <w:r>
              <w:rPr>
                <w:rFonts w:ascii="Times New Roman"/>
                <w:spacing w:val="-1"/>
                <w:sz w:val="18"/>
              </w:rPr>
              <w:t> </w:t>
            </w:r>
            <w:r>
              <w:rPr>
                <w:rFonts w:ascii="Times New Roman"/>
                <w:spacing w:val="-2"/>
                <w:sz w:val="18"/>
              </w:rPr>
              <w:t>iLLUMINATION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5,161,030.71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5,161,030.71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3,078,242.60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2,936,117.60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北京汉能户用薄膜发电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2,795,120.25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2,795,120.25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深圳市赢新光电发展有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2,393,117.58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2,393,117.58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彩虹奥特姆</w:t>
            </w:r>
            <w:r>
              <w:rPr>
                <w:rFonts w:ascii="Times New Roman" w:hAnsi="Times New Roman" w:cs="Times New Roman" w:eastAsia="Times New Roman" w:hint="default"/>
                <w:sz w:val="18"/>
                <w:szCs w:val="18"/>
              </w:rPr>
              <w:t>(</w:t>
            </w:r>
            <w:r>
              <w:rPr>
                <w:rFonts w:ascii="宋体" w:hAnsi="宋体" w:cs="宋体" w:eastAsia="宋体" w:hint="default"/>
                <w:sz w:val="18"/>
                <w:szCs w:val="18"/>
              </w:rPr>
              <w:t>湖北</w:t>
            </w:r>
            <w:r>
              <w:rPr>
                <w:rFonts w:ascii="Times New Roman" w:hAnsi="Times New Roman" w:cs="Times New Roman" w:eastAsia="Times New Roman" w:hint="default"/>
                <w:sz w:val="18"/>
                <w:szCs w:val="18"/>
              </w:rPr>
              <w:t>)</w:t>
            </w:r>
            <w:r>
              <w:rPr>
                <w:rFonts w:ascii="宋体" w:hAnsi="宋体" w:cs="宋体" w:eastAsia="宋体" w:hint="default"/>
                <w:sz w:val="18"/>
                <w:szCs w:val="18"/>
              </w:rPr>
              <w:t>光电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2,268,641.35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2,268,641.35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辽宁宝林集团节能科技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1,860,746.07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1,860,746.07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贵州瑞凯科技有限公司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1,843,288.43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1,843,288.43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东莞市鑫诠光电技术有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1,662,583.69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1,662,583.69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山西茂硕光伏电力股份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1,534,305.00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1,074,013.50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1,428,495.50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999,946.85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斐翔供应链管理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1,262,897.49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1,262,897.49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山西广禾电力工程有限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河南茂硕电气有限公司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1,171,369.00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819,958.30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深圳异构域数字技术有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1,012,963.33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徐州市光伏宇网络技术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860,851.20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860,851.20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平定县红日光伏电力有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469,630.00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临沂金七星新能源有限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443,095.00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443,095.00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河南中云创光电科技股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416,910.00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416,910.00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陕西翼翔新能源科技有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401,940.00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浙江东能光电科技股份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398,280.00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398,280.00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5"/>
              <w:jc w:val="left"/>
              <w:rPr>
                <w:rFonts w:ascii="Times New Roman" w:hAnsi="Times New Roman" w:cs="Times New Roman" w:eastAsia="Times New Roman" w:hint="default"/>
                <w:sz w:val="18"/>
                <w:szCs w:val="18"/>
              </w:rPr>
            </w:pPr>
            <w:r>
              <w:rPr>
                <w:rFonts w:ascii="Times New Roman"/>
                <w:sz w:val="18"/>
              </w:rPr>
              <w:t>IRES ASIA</w:t>
            </w:r>
            <w:r>
              <w:rPr>
                <w:rFonts w:ascii="Times New Roman"/>
                <w:spacing w:val="-21"/>
                <w:sz w:val="18"/>
              </w:rPr>
              <w:t> </w:t>
            </w:r>
            <w:r>
              <w:rPr>
                <w:rFonts w:ascii="Times New Roman"/>
                <w:spacing w:val="-3"/>
                <w:sz w:val="18"/>
              </w:rPr>
              <w:t>PACIFIC</w:t>
            </w:r>
            <w:r>
              <w:rPr>
                <w:rFonts w:ascii="Times New Roman"/>
                <w:w w:val="99"/>
                <w:sz w:val="18"/>
              </w:rPr>
              <w:t> </w:t>
            </w:r>
            <w:r>
              <w:rPr>
                <w:rFonts w:ascii="Times New Roman"/>
                <w:sz w:val="18"/>
              </w:rPr>
              <w:t>PTY</w:t>
            </w:r>
            <w:r>
              <w:rPr>
                <w:rFonts w:ascii="Times New Roman"/>
                <w:spacing w:val="-7"/>
                <w:sz w:val="18"/>
              </w:rPr>
              <w:t> 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380,600.54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380,600.54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山东菲牛太阳能科技有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浙江上航太科新能源有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佛山市南海区璐璐电子 照明科技有限公司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309,759.84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309,759.84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63,879,246.44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61,789,118.93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按组合计提坏账准备：账龄分析法组合</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414,316,518.97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4,143,154.66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4,242,370.47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424,237.04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949,038.13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2,340,939.76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1,170,469.89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27,510,105.23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27,510,105.23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449,358,972.56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33,437,774.45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174"/>
        <w:jc w:val="left"/>
      </w:pPr>
      <w:r>
        <w:rPr/>
        <w:t>确定该组合依据的说明： 除合并范围内关联往来组合、政府机构应收款项组合之外的应收款项。</w:t>
      </w:r>
    </w:p>
    <w:p>
      <w:pPr>
        <w:spacing w:after="0" w:line="357"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按组合计提坏账准备：政府机构应收款项组合</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14,455,611.82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14,888,210.57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15,554,013.02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44,897,835.41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60" w:lineRule="auto" w:before="49"/>
        <w:ind w:right="-19"/>
        <w:jc w:val="left"/>
      </w:pPr>
      <w:r>
        <w:rPr/>
        <w:t>确定该组合依据的说明： 主要包括应收政府部门款项，如应收国家电网电费、应收国家财政支付的电费补贴款等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994" w:space="18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434,349,520.16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46,554,858.41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21,567,602.68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55,664,073.16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13,749,926.35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41,914,146.81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558,136,054.41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70,902,430.20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11,750,071.22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20,863,382.49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61,789,118.93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47,051,398.34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1,996,484.29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11,617,139.60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33,437,774.45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其中：账龄分析 法组合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47,051,398.34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1,996,484.29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11,617,139.60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33,437,774.45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117,953,828.54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11,750,071.22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1,996,484.29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32,480,522.09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95,226,893.38</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251"/>
      <w:bookmarkEnd w:id="25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32,480,522.09</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Energy Solar Pty</w:t>
            </w:r>
            <w:r>
              <w:rPr>
                <w:rFonts w:ascii="Times New Roman"/>
                <w:spacing w:val="-10"/>
                <w:sz w:val="18"/>
              </w:rPr>
              <w:t> </w:t>
            </w:r>
            <w:r>
              <w:rPr>
                <w:rFonts w:ascii="Times New Roman"/>
                <w:sz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6,675,606.29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7"/>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4"/>
                <w:sz w:val="18"/>
              </w:rPr>
              <w:t> </w:t>
            </w:r>
            <w:r>
              <w:rPr>
                <w:rFonts w:ascii="Times New Roman"/>
                <w:sz w:val="18"/>
              </w:rPr>
              <w:t>Info</w:t>
            </w:r>
            <w:r>
              <w:rPr>
                <w:rFonts w:ascii="Times New Roman"/>
                <w:w w:val="99"/>
                <w:sz w:val="18"/>
              </w:rPr>
              <w:t> </w:t>
            </w:r>
            <w:r>
              <w:rPr>
                <w:rFonts w:ascii="Times New Roman"/>
                <w:sz w:val="18"/>
              </w:rPr>
              <w:t>Corporation</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6,011,780.50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5"/>
              <w:jc w:val="left"/>
              <w:rPr>
                <w:rFonts w:ascii="Times New Roman" w:hAnsi="Times New Roman" w:cs="Times New Roman" w:eastAsia="Times New Roman" w:hint="default"/>
                <w:sz w:val="18"/>
                <w:szCs w:val="18"/>
              </w:rPr>
            </w:pPr>
            <w:r>
              <w:rPr>
                <w:rFonts w:ascii="Times New Roman"/>
                <w:sz w:val="18"/>
              </w:rPr>
              <w:t>CLOSED</w:t>
            </w:r>
            <w:r>
              <w:rPr>
                <w:rFonts w:ascii="Times New Roman"/>
                <w:spacing w:val="-1"/>
                <w:sz w:val="18"/>
              </w:rPr>
              <w:t> </w:t>
            </w:r>
            <w:r>
              <w:rPr>
                <w:rFonts w:ascii="Times New Roman"/>
                <w:sz w:val="18"/>
              </w:rPr>
              <w:t>JOIN</w:t>
            </w:r>
            <w:r>
              <w:rPr>
                <w:rFonts w:ascii="Times New Roman"/>
                <w:w w:val="99"/>
                <w:sz w:val="18"/>
              </w:rPr>
              <w:t> </w:t>
            </w:r>
            <w:r>
              <w:rPr>
                <w:rFonts w:ascii="Times New Roman"/>
                <w:sz w:val="18"/>
              </w:rPr>
              <w:t>STOCK</w:t>
            </w:r>
            <w:r>
              <w:rPr>
                <w:rFonts w:ascii="Times New Roman"/>
                <w:spacing w:val="-1"/>
                <w:sz w:val="18"/>
              </w:rPr>
              <w:t> </w:t>
            </w:r>
            <w:r>
              <w:rPr>
                <w:rFonts w:ascii="Times New Roman"/>
                <w:spacing w:val="-3"/>
                <w:sz w:val="18"/>
              </w:rPr>
              <w:t>COMPANY</w:t>
            </w:r>
            <w:r>
              <w:rPr>
                <w:rFonts w:ascii="Times New Roman"/>
                <w:w w:val="99"/>
                <w:sz w:val="18"/>
              </w:rPr>
              <w:t> </w:t>
            </w:r>
            <w:r>
              <w:rPr>
                <w:rFonts w:ascii="Times New Roman"/>
                <w:sz w:val="18"/>
              </w:rPr>
              <w:t>OPTOGAN</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2,876,780.56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湖北诺亚光电科技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2,076,456.50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0"/>
              <w:jc w:val="left"/>
              <w:rPr>
                <w:rFonts w:ascii="Times New Roman" w:hAnsi="Times New Roman" w:cs="Times New Roman" w:eastAsia="Times New Roman" w:hint="default"/>
                <w:sz w:val="18"/>
                <w:szCs w:val="18"/>
              </w:rPr>
            </w:pPr>
            <w:r>
              <w:rPr>
                <w:rFonts w:ascii="Times New Roman"/>
                <w:sz w:val="18"/>
              </w:rPr>
              <w:t>BEST</w:t>
            </w:r>
            <w:r>
              <w:rPr>
                <w:rFonts w:ascii="Times New Roman"/>
                <w:spacing w:val="-3"/>
                <w:sz w:val="18"/>
              </w:rPr>
              <w:t> CREATION</w:t>
            </w:r>
            <w:r>
              <w:rPr>
                <w:rFonts w:ascii="Times New Roman"/>
                <w:w w:val="99"/>
                <w:sz w:val="18"/>
              </w:rPr>
              <w:t> </w:t>
            </w:r>
            <w:r>
              <w:rPr>
                <w:rFonts w:ascii="Times New Roman"/>
                <w:sz w:val="18"/>
              </w:rPr>
              <w:t>TECHNOLOGY</w:t>
            </w:r>
            <w:r>
              <w:rPr>
                <w:rFonts w:ascii="Times New Roman"/>
                <w:w w:val="99"/>
                <w:sz w:val="18"/>
              </w:rPr>
              <w:t> </w:t>
            </w:r>
            <w:r>
              <w:rPr>
                <w:rFonts w:ascii="Times New Roman"/>
                <w:spacing w:val="-7"/>
                <w:sz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2,012,456.57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福建省能宝光电集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1,962,009.87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胜康高科技股份有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1,745,636.13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7"/>
              <w:jc w:val="left"/>
              <w:rPr>
                <w:rFonts w:ascii="Times New Roman" w:hAnsi="Times New Roman" w:cs="Times New Roman" w:eastAsia="Times New Roman" w:hint="default"/>
                <w:sz w:val="18"/>
                <w:szCs w:val="18"/>
              </w:rPr>
            </w:pPr>
            <w:r>
              <w:rPr>
                <w:rFonts w:ascii="Times New Roman"/>
                <w:sz w:val="18"/>
              </w:rPr>
              <w:t>PRO</w:t>
            </w:r>
            <w:r>
              <w:rPr>
                <w:rFonts w:ascii="Times New Roman"/>
                <w:spacing w:val="5"/>
                <w:sz w:val="18"/>
              </w:rPr>
              <w:t> </w:t>
            </w:r>
            <w:r>
              <w:rPr>
                <w:rFonts w:ascii="Times New Roman"/>
                <w:spacing w:val="-5"/>
                <w:sz w:val="18"/>
              </w:rPr>
              <w:t>INNOVATIVE</w:t>
            </w:r>
            <w:r>
              <w:rPr>
                <w:rFonts w:ascii="Times New Roman"/>
                <w:sz w:val="18"/>
              </w:rPr>
              <w:t> TECHNOLOGIES</w:t>
            </w:r>
          </w:p>
          <w:p>
            <w:pPr>
              <w:pStyle w:val="TableParagraph"/>
              <w:spacing w:line="208"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PVT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1,596,781.29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东莞厚街科技电业 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729,804.37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陕西易兆通新能源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720,672.60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704,456.86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北京佰能光电技术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680,036.23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东莞市贻嘉光电科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527,737.55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深圳市中景科创光 电科技有限公司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507,057.61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东莞石碣山进电子 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403,249.25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29,230,522.18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按欠款方归集的期末余额前五名的应收账款情况" w:id="252"/>
      <w:bookmarkEnd w:id="25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期末余额前五名应收账 款汇总</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170,267,180.91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30.51%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4,629,335.59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170,267,180.91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253"/>
      <w:bookmarkEnd w:id="25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转移应收账款且继续涉入形成的资产、负债金额" w:id="254"/>
      <w:bookmarkEnd w:id="25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9854"/>
        <w:jc w:val="left"/>
      </w:pPr>
      <w:r>
        <w:rPr/>
        <w:t>无 其他说明：</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bookmarkStart w:name="6、应收款项融资" w:id="255"/>
      <w:bookmarkEnd w:id="255"/>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2,448,289.42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20,063,560.10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2,448,289.42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20,063,560.10</w:t>
            </w:r>
          </w:p>
        </w:tc>
      </w:tr>
    </w:tbl>
    <w:p>
      <w:pPr>
        <w:pStyle w:val="BodyText"/>
        <w:spacing w:line="240" w:lineRule="auto" w:before="49"/>
        <w:ind w:right="1133"/>
        <w:jc w:val="left"/>
      </w:pPr>
      <w:r>
        <w:rPr/>
        <w:t>应收款项融资本期增减变动及公允价值变动情况</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如是按照预期信用损失一般模型计提应收款项融资减值准备，请参照其他应收款的披露方式披露减值准备的相关信息：</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7、预付款项" w:id="256"/>
      <w:bookmarkEnd w:id="256"/>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预付款项按账龄列示" w:id="257"/>
      <w:bookmarkEnd w:id="25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3,582,978.03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1,854,239.79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235,458.34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3,818,436.37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1,863,239.79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610" w:lineRule="atLeast" w:before="20"/>
        <w:ind w:left="573" w:right="1133" w:hanging="421"/>
        <w:jc w:val="left"/>
        <w:rPr>
          <w:rFonts w:ascii="宋体" w:hAnsi="宋体" w:cs="宋体" w:eastAsia="宋体" w:hint="default"/>
          <w:sz w:val="21"/>
          <w:szCs w:val="21"/>
        </w:rPr>
      </w:pPr>
      <w:bookmarkStart w:name="（2）按预付对象归集的期末余额前五名的预付款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本公司按预付对象归集的年末余额前五名预付账款汇总金额为</w:t>
      </w:r>
      <w:r>
        <w:rPr>
          <w:rFonts w:ascii="Times New Roman" w:hAnsi="Times New Roman" w:cs="Times New Roman" w:eastAsia="Times New Roman" w:hint="default"/>
          <w:spacing w:val="-3"/>
          <w:sz w:val="21"/>
          <w:szCs w:val="21"/>
        </w:rPr>
        <w:t>3,014,364.39</w:t>
      </w:r>
      <w:r>
        <w:rPr>
          <w:rFonts w:ascii="宋体" w:hAnsi="宋体" w:cs="宋体" w:eastAsia="宋体" w:hint="default"/>
          <w:spacing w:val="-3"/>
          <w:sz w:val="21"/>
          <w:szCs w:val="21"/>
        </w:rPr>
        <w:t>元，占预付账款年末余额合</w:t>
      </w:r>
    </w:p>
    <w:p>
      <w:pPr>
        <w:pStyle w:val="Heading4"/>
        <w:spacing w:line="240" w:lineRule="auto" w:before="21"/>
        <w:ind w:right="1133"/>
        <w:jc w:val="left"/>
      </w:pPr>
      <w:r>
        <w:rPr/>
        <w:t>计数的比例为</w:t>
      </w:r>
      <w:r>
        <w:rPr>
          <w:rFonts w:ascii="Times New Roman" w:hAnsi="Times New Roman" w:cs="Times New Roman" w:eastAsia="Times New Roman" w:hint="default"/>
        </w:rPr>
        <w:t>78.94%</w:t>
      </w:r>
      <w:r>
        <w:rPr/>
        <w:t>。</w:t>
      </w:r>
    </w:p>
    <w:p>
      <w:pPr>
        <w:pStyle w:val="BodyText"/>
        <w:spacing w:line="240" w:lineRule="auto" w:before="82"/>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8、其他应收款" w:id="259"/>
      <w:bookmarkEnd w:id="259"/>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23,439,303.05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24,741,978.30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23,439,303.05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24,741,978.30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260"/>
      <w:bookmarkEnd w:id="26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261"/>
      <w:bookmarkEnd w:id="26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262"/>
      <w:bookmarkEnd w:id="262"/>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应收股利" w:id="264"/>
      <w:bookmarkEnd w:id="26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265"/>
      <w:bookmarkEnd w:id="265"/>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的账龄超过1年的应收股利" w:id="266"/>
      <w:bookmarkEnd w:id="266"/>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坏账准备计提情况" w:id="267"/>
      <w:bookmarkEnd w:id="26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21"/>
          <w:szCs w:val="21"/>
        </w:rPr>
      </w:pPr>
    </w:p>
    <w:p>
      <w:pPr>
        <w:pStyle w:val="Heading3"/>
        <w:spacing w:line="240" w:lineRule="auto"/>
        <w:ind w:right="1133"/>
        <w:jc w:val="left"/>
        <w:rPr>
          <w:b w:val="0"/>
          <w:bCs w:val="0"/>
        </w:rPr>
      </w:pPr>
      <w:bookmarkStart w:name="（3）其他应收款" w:id="268"/>
      <w:bookmarkEnd w:id="26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269"/>
      <w:bookmarkEnd w:id="26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16,908,361.88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13,512,567.46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4,641,676.30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11,255,402.53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4,067,238.48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4,427,006.15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应收赔偿款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1,838,018.00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589,737.76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64,779.10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71,419.14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31,639,331.28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35,694,151.04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坏账准备计提情况" w:id="270"/>
      <w:bookmarkEnd w:id="27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1,457,807.28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9,494,365.46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10,952,172.74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582,836.95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3,641,218.54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4,224,055.49</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6,976,200.00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6,976,200.00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2,040,644.23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6,159,384.00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8,200,028.23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18,151,317.48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5,731,599.86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4,161,553.73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3,594,860.21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1,252,493.71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2,342,366.50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31,639,331.28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271"/>
      <w:bookmarkEnd w:id="27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4"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10,952,172.74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4,224,055.49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6,976,200.00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8,200,028.23</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10,952,172.74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4,224,055.49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6,976,200.00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8,200,028.23</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本期实际核销的其他应收款情况" w:id="272"/>
      <w:bookmarkEnd w:id="27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6,976,200.00</w:t>
            </w:r>
          </w:p>
        </w:tc>
      </w:tr>
    </w:tbl>
    <w:p>
      <w:pPr>
        <w:pStyle w:val="BodyText"/>
        <w:spacing w:line="240" w:lineRule="auto" w:before="49"/>
        <w:ind w:right="1133"/>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On-Q</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宋体" w:hAnsi="宋体" w:cs="宋体" w:eastAsia="宋体" w:hint="default"/>
                <w:sz w:val="18"/>
                <w:szCs w:val="18"/>
              </w:rPr>
              <w:t>开发客户合作费用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6,976,200.00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按欠款方归集的期末余额前五名的其他应收款情况" w:id="273"/>
      <w:bookmarkEnd w:id="27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16,908,361.88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1,999,800.00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应收赔偿款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183,801.80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25,246,179.88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5,683,601.80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274"/>
      <w:bookmarkEnd w:id="27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因金融资产转移而终止确认的其他应收款" w:id="275"/>
      <w:bookmarkEnd w:id="27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转移其他应收款且继续涉入形成的资产、负债金额" w:id="276"/>
      <w:bookmarkEnd w:id="27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9854"/>
        <w:jc w:val="left"/>
      </w:pPr>
      <w:r>
        <w:rPr/>
        <w:t>无 其他说明：</w:t>
      </w:r>
    </w:p>
    <w:p>
      <w:pPr>
        <w:spacing w:after="0" w:line="36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9、存货" w:id="277"/>
      <w:bookmarkEnd w:id="277"/>
      <w:r>
        <w:rPr>
          <w:b w:val="0"/>
          <w:bCs w:val="0"/>
        </w:rPr>
      </w:r>
      <w:r>
        <w:rPr>
          <w:rFonts w:ascii="Times New Roman" w:hAnsi="Times New Roman" w:cs="Times New Roman" w:eastAsia="Times New Roman" w:hint="default"/>
        </w:rPr>
        <w:t>9</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存货分类" w:id="278"/>
      <w:bookmarkEnd w:id="27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8"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0"/>
        <w:ind w:right="1133"/>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1133"/>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存货跌价准备和合同履约成本减值准备" w:id="279"/>
      <w:bookmarkEnd w:id="279"/>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60" w:lineRule="auto"/>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33"/>
        <w:jc w:val="left"/>
      </w:pPr>
      <w:r>
        <w:rPr/>
        <w:t>按主要项目分类：</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存货期末余额中利息资本化率的情况" w:id="280"/>
      <w:bookmarkEnd w:id="280"/>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存货受限情况" w:id="281"/>
      <w:bookmarkEnd w:id="281"/>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按项目披露受限存货情况：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存货分类" w:id="282"/>
      <w:bookmarkEnd w:id="282"/>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0"/>
        <w:ind w:right="1133"/>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9"/>
        <w:gridCol w:w="798"/>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3"/>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1133"/>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3"/>
        <w:gridCol w:w="1403"/>
      </w:tblGrid>
      <w:tr>
        <w:trPr>
          <w:trHeight w:val="715"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5" w:right="64"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1133"/>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3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6）存货跌价准备" w:id="283"/>
      <w:bookmarkEnd w:id="283"/>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60" w:lineRule="auto"/>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按主要项目分类：</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2260"/>
        <w:gridCol w:w="2791"/>
        <w:gridCol w:w="1196"/>
        <w:gridCol w:w="1063"/>
      </w:tblGrid>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8"/>
        <w:gridCol w:w="1061"/>
        <w:gridCol w:w="1330"/>
        <w:gridCol w:w="1462"/>
        <w:gridCol w:w="1196"/>
        <w:gridCol w:w="1063"/>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7）存货期末余额中利息资本化率的情况" w:id="284"/>
      <w:bookmarkEnd w:id="284"/>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8）存货受限情况" w:id="285"/>
      <w:bookmarkEnd w:id="285"/>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按项目披露受限存货情况：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9）期末建造合同形成的已完工未结算资产情况" w:id="286"/>
      <w:bookmarkEnd w:id="286"/>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0）存货分类" w:id="287"/>
      <w:bookmarkEnd w:id="287"/>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403" w:hRule="exact"/>
        </w:trPr>
        <w:tc>
          <w:tcPr>
            <w:tcW w:w="1358" w:type="dxa"/>
            <w:vMerge w:val="restart"/>
            <w:tcBorders>
              <w:top w:val="single" w:sz="4" w:space="0" w:color="000000"/>
              <w:left w:val="single" w:sz="4" w:space="0" w:color="000000"/>
              <w:right w:val="single" w:sz="12" w:space="0" w:color="FFFFFF"/>
            </w:tcBorders>
            <w:shd w:val="clear" w:color="auto" w:fill="D2D2D2"/>
          </w:tcPr>
          <w:p>
            <w:pPr/>
          </w:p>
        </w:tc>
        <w:tc>
          <w:tcPr>
            <w:tcW w:w="4113" w:type="dxa"/>
            <w:gridSpan w:val="3"/>
            <w:tcBorders>
              <w:top w:val="single" w:sz="4" w:space="0" w:color="000000"/>
              <w:left w:val="single" w:sz="12" w:space="0" w:color="FFFFFF"/>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5" w:hRule="exact"/>
        </w:trPr>
        <w:tc>
          <w:tcPr>
            <w:tcW w:w="1358" w:type="dxa"/>
            <w:vMerge/>
            <w:tcBorders>
              <w:left w:val="single" w:sz="4" w:space="0" w:color="000000"/>
              <w:bottom w:val="nil" w:sz="6" w:space="0" w:color="auto"/>
              <w:right w:val="single" w:sz="12" w:space="0" w:color="FFFFFF"/>
            </w:tcBorders>
            <w:shd w:val="clear" w:color="auto" w:fill="D2D2D2"/>
          </w:tcPr>
          <w:p>
            <w:pPr/>
          </w:p>
        </w:tc>
        <w:tc>
          <w:tcPr>
            <w:tcW w:w="1379" w:type="dxa"/>
            <w:vMerge w:val="restart"/>
            <w:tcBorders>
              <w:top w:val="single" w:sz="4" w:space="0" w:color="000000"/>
              <w:left w:val="single" w:sz="12" w:space="0" w:color="FFFFFF"/>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58" w:type="dxa"/>
            <w:vMerge w:val="restart"/>
            <w:tcBorders>
              <w:top w:val="nil" w:sz="6" w:space="0" w:color="auto"/>
              <w:left w:val="single" w:sz="4" w:space="0" w:color="000000"/>
              <w:right w:val="single" w:sz="12" w:space="0" w:color="FFFFFF"/>
            </w:tcBorders>
            <w:shd w:val="clear" w:color="auto" w:fill="D2D2D2"/>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tcBorders>
              <w:left w:val="single" w:sz="12" w:space="0" w:color="FFFFFF"/>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58" w:type="dxa"/>
            <w:vMerge/>
            <w:tcBorders>
              <w:left w:val="single" w:sz="4" w:space="0" w:color="000000"/>
              <w:bottom w:val="nil" w:sz="6" w:space="0" w:color="auto"/>
              <w:right w:val="single" w:sz="12" w:space="0" w:color="FFFFFF"/>
            </w:tcBorders>
            <w:shd w:val="clear" w:color="auto" w:fill="D2D2D2"/>
          </w:tcPr>
          <w:p>
            <w:pPr/>
          </w:p>
        </w:tc>
        <w:tc>
          <w:tcPr>
            <w:tcW w:w="1379" w:type="dxa"/>
            <w:vMerge w:val="restart"/>
            <w:tcBorders>
              <w:top w:val="nil" w:sz="6" w:space="0" w:color="auto"/>
              <w:left w:val="single" w:sz="12" w:space="0" w:color="FFFFFF"/>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1358" w:type="dxa"/>
            <w:vMerge w:val="restart"/>
            <w:tcBorders>
              <w:top w:val="nil" w:sz="6" w:space="0" w:color="auto"/>
              <w:left w:val="single" w:sz="4" w:space="0" w:color="000000"/>
              <w:right w:val="single" w:sz="12" w:space="0" w:color="FFFFFF"/>
            </w:tcBorders>
            <w:shd w:val="clear" w:color="auto" w:fill="D2D2D2"/>
          </w:tcPr>
          <w:p>
            <w:pPr/>
          </w:p>
        </w:tc>
        <w:tc>
          <w:tcPr>
            <w:tcW w:w="1379" w:type="dxa"/>
            <w:vMerge/>
            <w:tcBorders>
              <w:left w:val="single" w:sz="12" w:space="0" w:color="FFFFFF"/>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8" w:type="dxa"/>
            <w:vMerge/>
            <w:tcBorders>
              <w:left w:val="single" w:sz="4" w:space="0" w:color="000000"/>
              <w:bottom w:val="single" w:sz="4" w:space="0" w:color="000000"/>
              <w:right w:val="single" w:sz="12" w:space="0" w:color="FFFFFF"/>
            </w:tcBorders>
            <w:shd w:val="clear" w:color="auto" w:fill="D2D2D2"/>
          </w:tcPr>
          <w:p>
            <w:pPr/>
          </w:p>
        </w:tc>
        <w:tc>
          <w:tcPr>
            <w:tcW w:w="1379" w:type="dxa"/>
            <w:tcBorders>
              <w:top w:val="nil" w:sz="6" w:space="0" w:color="auto"/>
              <w:left w:val="single" w:sz="12" w:space="0" w:color="FFFFFF"/>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37,934,000.11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5,332,217.56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32,601,782.55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82,366,494.85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33,044,590.82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49,321,904.03</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12,562,192.62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12,527,746.61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14,838,440.86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14,222,018.63</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43,721,968.71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4,595,138.02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39,126,830.69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66,270,509.25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24,047,200.45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42,223,308.80</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285,910.60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23,908.06</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17,103,130.66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17,024,615.51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9,924,367.24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9,924,367.24</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12,538,439.05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1,016,297.80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11,522,141.25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15,133,080.54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13,450,690.06</w:t>
            </w:r>
          </w:p>
        </w:tc>
      </w:tr>
      <w:tr>
        <w:trPr>
          <w:trHeight w:val="403" w:hRule="exact"/>
        </w:trPr>
        <w:tc>
          <w:tcPr>
            <w:tcW w:w="1358" w:type="dxa"/>
            <w:tcBorders>
              <w:top w:val="single" w:sz="4" w:space="0" w:color="000000"/>
              <w:left w:val="single" w:sz="4" w:space="0" w:color="000000"/>
              <w:bottom w:val="single" w:sz="4" w:space="0" w:color="000000"/>
              <w:right w:val="single" w:sz="12"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7,461,347.07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7,461,347.07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10,104,612.50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10,104,612.50</w:t>
            </w:r>
          </w:p>
        </w:tc>
      </w:tr>
      <w:tr>
        <w:trPr>
          <w:trHeight w:val="40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131,366,911.66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11,066,546.74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120,300,364.92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198,923,415.84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59,652,606.52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139,270,809.32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1）存货跌价准备和合同履约成本减值准备" w:id="288"/>
      <w:bookmarkEnd w:id="288"/>
      <w:r>
        <w:rPr>
          <w:b w:val="0"/>
          <w:bCs w:val="0"/>
        </w:rPr>
      </w:r>
      <w:r>
        <w:rPr/>
        <w:t>（</w:t>
      </w:r>
      <w:r>
        <w:rPr>
          <w:rFonts w:ascii="Times New Roman" w:hAnsi="Times New Roman" w:cs="Times New Roman" w:eastAsia="Times New Roman" w:hint="default"/>
        </w:rPr>
        <w:t>11</w:t>
      </w:r>
      <w:r>
        <w:rPr/>
        <w:t>）存货跌价准备和合同履约成本减值准备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81"/>
        <w:gridCol w:w="1356"/>
        <w:gridCol w:w="1367"/>
        <w:gridCol w:w="1367"/>
        <w:gridCol w:w="1355"/>
        <w:gridCol w:w="137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22" w:type="dxa"/>
            <w:gridSpan w:val="2"/>
            <w:vMerge/>
            <w:tcBorders>
              <w:left w:val="single" w:sz="4" w:space="0" w:color="000000"/>
              <w:bottom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91" w:right="0"/>
              <w:jc w:val="left"/>
              <w:rPr>
                <w:rFonts w:ascii="Times New Roman" w:hAnsi="Times New Roman" w:cs="Times New Roman" w:eastAsia="Times New Roman" w:hint="default"/>
                <w:sz w:val="18"/>
                <w:szCs w:val="18"/>
              </w:rPr>
            </w:pPr>
            <w:r>
              <w:rPr>
                <w:rFonts w:ascii="Times New Roman"/>
                <w:sz w:val="18"/>
              </w:rPr>
              <w:t>33,044,590.82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246,229.13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27,958,602.39</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5,332,217.56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616,422.23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24,047,200.45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2,515,343.57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21,967,406.00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4,595,138.02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262,002.55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1,682,390.48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1,455,362.28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2,121,454.96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1,016,297.80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78,515.15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59,652,606.52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4,339,828.35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52,925,888.13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11,066,546.74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2）存货期末余额含有借款费用资本化金额的说明" w:id="289"/>
      <w:bookmarkEnd w:id="289"/>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3）合同履约成本本期摊销金额的说明" w:id="290"/>
      <w:bookmarkEnd w:id="290"/>
      <w:r>
        <w:rPr>
          <w:b w:val="0"/>
          <w:bCs w:val="0"/>
        </w:rPr>
      </w:r>
      <w:r>
        <w:rPr/>
        <w:t>（</w:t>
      </w:r>
      <w:r>
        <w:rPr>
          <w:rFonts w:ascii="Times New Roman" w:hAnsi="Times New Roman" w:cs="Times New Roman" w:eastAsia="Times New Roman" w:hint="default"/>
        </w:rPr>
        <w:t>13</w:t>
      </w:r>
      <w:r>
        <w:rPr/>
        <w:t>）合同履约成本本期摊销金额的说明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14）存货分类" w:id="291"/>
      <w:bookmarkEnd w:id="291"/>
      <w:r>
        <w:rPr>
          <w:b w:val="0"/>
          <w:bCs w:val="0"/>
        </w:rPr>
      </w:r>
      <w:r>
        <w:rPr/>
        <w:t>（</w:t>
      </w:r>
      <w:r>
        <w:rPr>
          <w:rFonts w:ascii="Times New Roman" w:hAnsi="Times New Roman" w:cs="Times New Roman" w:eastAsia="Times New Roman" w:hint="default"/>
        </w:rPr>
        <w:t>14</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8"/>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37,934,000.11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5,332,217.56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32,601,782.55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82,366,494.85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33,044,590.82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49,321,904.03</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12,562,192.62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12,527,746.61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14,838,440.86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14,222,018.63</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43,721,968.71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4,595,138.02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39,126,830.69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66,270,509.25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24,047,200.45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42,223,308.80</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285,910.60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23,908.06</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17,103,130.66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78,515.15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17,024,615.51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9,924,367.24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9,924,367.24</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12,538,439.05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1,016,297.80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11,522,141.25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15,133,080.54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13,450,690.06</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7,461,347.07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7,461,347.07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10,104,612.50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10,104,612.50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131,366,911.66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11,066,546.74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120,300,364.92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198,923,415.84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59,652,606.52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139,270,809.32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5）存货跌价准备" w:id="292"/>
      <w:bookmarkEnd w:id="292"/>
      <w:r>
        <w:rPr>
          <w:b w:val="0"/>
          <w:bCs w:val="0"/>
        </w:rPr>
      </w:r>
      <w:r>
        <w:rPr/>
        <w:t>（</w:t>
      </w:r>
      <w:r>
        <w:rPr>
          <w:rFonts w:ascii="Times New Roman" w:hAnsi="Times New Roman" w:cs="Times New Roman" w:eastAsia="Times New Roman" w:hint="default"/>
        </w:rPr>
        <w:t>15</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33,044,590.82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246,229.13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27,958,602.39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5,332,217.56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616,422.23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34,446.01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24,047,200.45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2,515,343.57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21,967,406.00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4,595,138.02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262,002.54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262,002.55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9,932.20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1,682,390.48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1,455,362.28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2,121,454.96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1,016,297.80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78,515.15</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59,652,606.52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4,339,828.35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52,925,888.13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11,066,546.74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6）存货期末余额含有借款费用资本化金额的说明" w:id="293"/>
      <w:bookmarkEnd w:id="293"/>
      <w:r>
        <w:rPr>
          <w:b w:val="0"/>
          <w:bCs w:val="0"/>
        </w:rPr>
      </w:r>
      <w:r>
        <w:rPr/>
        <w:t>（</w:t>
      </w:r>
      <w:r>
        <w:rPr>
          <w:rFonts w:ascii="Times New Roman" w:hAnsi="Times New Roman" w:cs="Times New Roman" w:eastAsia="Times New Roman" w:hint="default"/>
        </w:rPr>
        <w:t>16</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7）期末建造合同形成的已完工未结算资产情况" w:id="294"/>
      <w:bookmarkEnd w:id="294"/>
      <w:r>
        <w:rPr>
          <w:b w:val="0"/>
          <w:bCs w:val="0"/>
        </w:rPr>
      </w:r>
      <w:r>
        <w:rPr/>
        <w:t>（</w:t>
      </w:r>
      <w:r>
        <w:rPr>
          <w:rFonts w:ascii="Times New Roman" w:hAnsi="Times New Roman" w:cs="Times New Roman" w:eastAsia="Times New Roman" w:hint="default"/>
        </w:rPr>
        <w:t>17</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0、合同资产" w:id="295"/>
      <w:bookmarkEnd w:id="29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4"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合同资产的账面价值在本期内发生的重大变动金额和原因：</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1133"/>
        <w:jc w:val="left"/>
      </w:pPr>
      <w:r>
        <w:rPr/>
        <w:t>如是按照预期信用损失一般模型计提合同资产坏账准备，请参照其他应收款的披露方式披露坏账准备的相关信息：</w:t>
      </w:r>
    </w:p>
    <w:p>
      <w:pPr>
        <w:pStyle w:val="BodyText"/>
        <w:spacing w:line="340" w:lineRule="auto" w:before="11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1、持有待售资产" w:id="296"/>
      <w:bookmarkEnd w:id="29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2、一年内到期的非流动资产" w:id="297"/>
      <w:bookmarkEnd w:id="29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13、其他流动资产" w:id="298"/>
      <w:bookmarkEnd w:id="29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预交税款及待抵扣增值税进项税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41,326,570.05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35,576,510.04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待摊租金、保险等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363,364.97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41,689,935.02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35,576,510.04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4、债权投资" w:id="299"/>
      <w:bookmarkEnd w:id="29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重要的债权投资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bookmarkStart w:name="15、其他债权投资" w:id="300"/>
      <w:bookmarkEnd w:id="30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7"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重要的其他债权投资</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33"/>
        <w:jc w:val="left"/>
      </w:pPr>
      <w:r>
        <w:rPr/>
        <w:t>损失准备本期变动金额重大的账面余额变动情况</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bookmarkStart w:name="16、长期应收款" w:id="301"/>
      <w:bookmarkEnd w:id="30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收款情况" w:id="302"/>
      <w:bookmarkEnd w:id="30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199"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7"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7,810,851.59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7,810,851.59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4,827,808.65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4,827,808.65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1,389,148.41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1,389,148.41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1,172,191.35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1,172,191.35</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7,810,851.59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7,810,851.59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4,827,808.65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4,827,808.65</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因金融资产转移而终止确认的长期应收款" w:id="303"/>
      <w:bookmarkEnd w:id="30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转移长期应收款且继续涉入形成的资产、负债金额" w:id="304"/>
      <w:bookmarkEnd w:id="30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1003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17、长期股权投资" w:id="305"/>
      <w:bookmarkEnd w:id="30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152,934.1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-76,234.8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76,699.29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273,411.6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82,370,32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83,609,29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9.14</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新余市茂 硕海量投 资企业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8,601,577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-1,640,48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6,961,090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新余市神 木园农业 发展有限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1,081,413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-66,518.4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1,049,994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深圳市钢 盾科技有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山西茂硕 光伏电力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880,632.8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-218,932.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661,699.9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661,699.9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41"/>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122,956,0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91,887,08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24,766,87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0.74</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122,956,0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91,887,08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24,766,87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18、其他权益工具投资" w:id="306"/>
      <w:bookmarkEnd w:id="306"/>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3,843,521.55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8,983,755.00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1,224,531.00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1,224,531.00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4,373,475.00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4,373,475.00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安徽新国利英核能源有限公司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1,046,966.00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1,046,966.00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河南弘康茂硕电气科技有限公司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386,280.00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深圳前海茂硕新能源科技有限公司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81,113.84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81,113.84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深圳茂硕尚世文化传媒有限公司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佛山市南海区联合广东新光源产业创新 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深圳市迈斯达尔医疗器械有限公司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7"/>
                <w:sz w:val="18"/>
              </w:rPr>
              <w:t> </w:t>
            </w:r>
            <w:r>
              <w:rPr>
                <w:rFonts w:ascii="Times New Roman"/>
                <w:sz w:val="18"/>
              </w:rPr>
              <w:t>Corp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浙江茂硕新能源科技有限公司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11,124,887.39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16,265,120.84</w:t>
            </w:r>
          </w:p>
        </w:tc>
      </w:tr>
    </w:tbl>
    <w:p>
      <w:pPr>
        <w:pStyle w:val="BodyText"/>
        <w:spacing w:line="240" w:lineRule="auto" w:before="49"/>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19、其他非流动金融资产" w:id="307"/>
      <w:bookmarkEnd w:id="30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0、投资性房地产" w:id="308"/>
      <w:bookmarkEnd w:id="30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投资性房地产" w:id="309"/>
      <w:bookmarkEnd w:id="30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采用公允价值计量模式的投资性房地产" w:id="310"/>
      <w:bookmarkEnd w:id="31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未办妥产权证书的投资性房地产情况" w:id="311"/>
      <w:bookmarkEnd w:id="31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1、固定资产" w:id="312"/>
      <w:bookmarkEnd w:id="31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384,180,534.44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409,077,159.89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384,180,534.44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409,077,159.89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固定资产情况" w:id="313"/>
      <w:bookmarkEnd w:id="31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229,535,646.74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299,302,217.20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72,169,719.57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22,919,469.25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20,960,933.23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644,887,985.99</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5,015,421.59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3,579,243.35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914,905.07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9,509,570.01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5,015,421.59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3,579,243.35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914,905.07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9,509,570.01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4,271,731.20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2,862,572.20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3,974,111.77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1,091,077.11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1,046,682.65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13,246,174.93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4,271,731.20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3,974,111.77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1,091,077.11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1,046,682.65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10,383,602.73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2,862,572.20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2,862,572.20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225,263,915.54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296,439,645.00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73,211,029.39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25,407,635.49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20,829,155.65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641,151,381.07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30,555,945.37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38,569,224.93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22,433,929.96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14,127,913.02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14,246,314.48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119,933,327.76</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7,228,662.87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8,894,762.88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6,596,978.33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2,222,077.90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2,360,325.05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27,302,807.03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7,228,662.87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8,894,762.88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6,596,978.33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2,222,077.90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2,360,325.05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27,302,807.03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631,358.32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2,109,587.09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860,105.62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983,081.56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4,584,132.59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631,358.32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2,109,587.09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860,105.62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983,081.56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4,584,132.59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37,153,249.92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47,463,987.81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26,921,321.20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15,489,885.30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15,623,557.97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142,652,002.20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114,275,344.14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1,528,920.66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9,193.30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115,877,498.34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1,485,420.37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64,040.24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9,193.30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1,558,653.91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114,275,344.14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114,318,844.43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188,110,665.62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134,700,313.05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46,246,207.90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9,917,750.19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5,205,597.68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384,180,534.44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198,979,701.37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146,457,648.13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48,206,868.95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8,727,515.99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6,705,425.45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409,077,159.89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bookmarkStart w:name="（2）暂时闲置的固定资产情况" w:id="314"/>
      <w:bookmarkEnd w:id="31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通过融资租赁租入的固定资产情况" w:id="315"/>
      <w:bookmarkEnd w:id="31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62,848,153.24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10,294,483.26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27,542,197.15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25,011,472.83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46,996,609.03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14,973,276.18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32,023,332.85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6,843,505.25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4,048,101.06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2,795,404.19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1,968,959.32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1,590,044.16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378,915.16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118,657,226.84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30,905,904.66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27,542,197.15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60,209,125.03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通过经营租赁租出的固定资产" w:id="316"/>
      <w:bookmarkEnd w:id="31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办妥产权证书的固定资产情况" w:id="317"/>
      <w:bookmarkEnd w:id="31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9"/>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菁英家园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10,186,691.78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4"/>
              <w:jc w:val="right"/>
              <w:rPr>
                <w:rFonts w:ascii="宋体" w:hAnsi="宋体" w:cs="宋体" w:eastAsia="宋体" w:hint="default"/>
                <w:sz w:val="18"/>
                <w:szCs w:val="18"/>
              </w:rPr>
            </w:pPr>
            <w:r>
              <w:rPr>
                <w:rFonts w:ascii="宋体" w:hAnsi="宋体" w:cs="宋体" w:eastAsia="宋体" w:hint="default"/>
                <w:sz w:val="18"/>
                <w:szCs w:val="18"/>
              </w:rPr>
              <w:t>人才安居工程，目前尚无法办理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10,186,691.78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固定资产清理" w:id="318"/>
      <w:bookmarkEnd w:id="31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2、在建工程" w:id="319"/>
      <w:bookmarkEnd w:id="319"/>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在建工程情况" w:id="320"/>
      <w:bookmarkEnd w:id="32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罗家边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太 阳能光伏电站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何家边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3.44MW</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太阳能光伏电站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16,793,274.52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9,203,274.52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16,793,274.52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9,203,274.52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16,898,274.52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9,308,274.52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16,898,274.52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9,308,274.52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重要在建工程项目本期变动情况" w:id="321"/>
      <w:bookmarkEnd w:id="32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何家边</w:t>
            </w:r>
          </w:p>
          <w:p>
            <w:pPr>
              <w:pStyle w:val="TableParagraph"/>
              <w:spacing w:line="240" w:lineRule="auto" w:before="119"/>
              <w:ind w:left="24" w:right="0"/>
              <w:jc w:val="both"/>
              <w:rPr>
                <w:rFonts w:ascii="Times New Roman" w:hAnsi="Times New Roman" w:cs="Times New Roman" w:eastAsia="Times New Roman" w:hint="default"/>
                <w:sz w:val="18"/>
                <w:szCs w:val="18"/>
              </w:rPr>
            </w:pPr>
            <w:r>
              <w:rPr>
                <w:rFonts w:ascii="Times New Roman"/>
                <w:sz w:val="18"/>
              </w:rPr>
              <w:t>3.44MW</w:t>
            </w:r>
          </w:p>
          <w:p>
            <w:pPr>
              <w:pStyle w:val="TableParagraph"/>
              <w:spacing w:line="316"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太阳能 光伏电 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28,945,5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58.02%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58.02%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28,945,5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16,793,2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74.52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在建工程减值准备情况" w:id="322"/>
      <w:bookmarkEnd w:id="32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工程物资" w:id="323"/>
      <w:bookmarkEnd w:id="32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3、生产性生物资产" w:id="324"/>
      <w:bookmarkEnd w:id="32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采用成本计量模式的生产性生物资产" w:id="325"/>
      <w:bookmarkEnd w:id="32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采用公允价值计量模式的生产性生物资产" w:id="326"/>
      <w:bookmarkEnd w:id="32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24、油气资产" w:id="327"/>
      <w:bookmarkEnd w:id="32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25、使用权资产" w:id="328"/>
      <w:bookmarkEnd w:id="328"/>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6、无形资产" w:id="329"/>
      <w:bookmarkEnd w:id="329"/>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无形资产情况" w:id="330"/>
      <w:bookmarkEnd w:id="33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技术方案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29,360,000.00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11,321,648.35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50,665,670.12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1,844,306.17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1,844,306.17</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1,844,306.17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1,844,306.17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13,165,954.52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52,509,976.29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1,632,561.95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11,235,000.04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10,517,482.22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23,685,044.21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197,313.87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4,833,333.33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602,494.12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5,633,141.32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4,833,333.33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602,494.12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5,633,141.32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1,829,875.82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16,068,333.37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11,119,976.34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29,318,185.53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7,854,145.95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13,291,666.63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2,045,978.18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23,191,790.76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8,051,459.82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18,124,999.96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804,166.13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26,980,625.91</w:t>
            </w:r>
          </w:p>
        </w:tc>
      </w:tr>
    </w:tbl>
    <w:p>
      <w:pPr>
        <w:pStyle w:val="BodyText"/>
        <w:spacing w:line="240" w:lineRule="auto" w:before="49"/>
        <w:ind w:right="1133"/>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未办妥产权证书的土地使用权情况" w:id="331"/>
      <w:bookmarkEnd w:id="33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7、开发支出" w:id="332"/>
      <w:bookmarkEnd w:id="33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3"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8、商誉" w:id="333"/>
      <w:bookmarkEnd w:id="333"/>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商誉账面原值" w:id="334"/>
      <w:bookmarkEnd w:id="33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10,451,110.03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商誉减值准备" w:id="335"/>
      <w:bookmarkEnd w:id="33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10,451,110.03</w:t>
            </w:r>
          </w:p>
        </w:tc>
      </w:tr>
    </w:tbl>
    <w:p>
      <w:pPr>
        <w:pStyle w:val="BodyText"/>
        <w:spacing w:line="338" w:lineRule="auto" w:before="49"/>
        <w:ind w:right="1133"/>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1"/>
        <w:ind w:right="8594"/>
        <w:jc w:val="left"/>
      </w:pPr>
      <w:r>
        <w:rPr/>
        <w:t>商誉减值测试的影响 其他说明</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bookmarkStart w:name="29、长期待摊费用" w:id="336"/>
      <w:bookmarkEnd w:id="33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15,253,657.43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241,110.63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3,566,241.18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11,928,526.88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土地租金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3,812,393.75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355,429.54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3,456,964.21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728,363.81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427,796.36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300,567.45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系统项目实施 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1,197,740.86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436,443.48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761,297.38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320,993.39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662,749.99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241,266.36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742,477.02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21,313,149.24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903,860.62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5,027,176.92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17,189,832.94</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0、递延所得税资产/递延所得税负债" w:id="337"/>
      <w:bookmarkEnd w:id="33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未经抵销的递延所得税资产" w:id="338"/>
      <w:bookmarkEnd w:id="33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111,486,960.93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16,836,389.92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137,381,182.25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20,702,961.61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9,453,426.96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1,737,647.75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7,784,372.48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1,670,627.04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60,274,404.17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9,041,160.63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30,596,508.95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4,589,476.34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29,417,192.45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4,412,578.87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26,337,759.00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3,950,663.85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7,270,827.33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1,090,624.10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2,292,780.26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343,917.04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5,339,495.68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800,924.35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4,716,160.93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707,424.14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2,215,448.06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430,306.08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225,457,755.58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34,349,631.70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209,108,763.87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31,965,070.02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未经抵销的递延所得税负债" w:id="339"/>
      <w:bookmarkEnd w:id="33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3）以抵销后净额列示的递延所得税资产或负债" w:id="340"/>
      <w:bookmarkEnd w:id="34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34,349,631.70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31,965,070.02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未确认递延所得税资产明细" w:id="341"/>
      <w:bookmarkEnd w:id="34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168,958,420.75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217,436,491.14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102,618,340.96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103,839,279.16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9,587,471.90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9,731,063.37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5,544,814.50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8,028,787.38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3,185,186.98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1,962,379.78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289,894,235.09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340,998,000.83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未确认递延所得税资产的可抵扣亏损将于以下年度到期" w:id="342"/>
      <w:bookmarkEnd w:id="34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5,470,660.20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9,954,180.66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16,862,586.94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9,124,083.79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9,213,872.82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23,326,638.99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29,761,473.55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42,316,831.14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42,530,685.65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17,896,606.38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102,618,340.96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103,839,279.16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1、其他非流动资产" w:id="343"/>
      <w:bookmarkEnd w:id="34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创意大厦使用权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14,669,333.55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15,647,289.15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2,177,643.76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14,713,073.55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17,824,932.91</w:t>
            </w:r>
          </w:p>
        </w:tc>
      </w:tr>
    </w:tbl>
    <w:p>
      <w:pPr>
        <w:pStyle w:val="BodyText"/>
        <w:spacing w:line="240" w:lineRule="auto" w:before="49"/>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2、短期借款" w:id="344"/>
      <w:bookmarkEnd w:id="34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短期借款分类" w:id="345"/>
      <w:bookmarkEnd w:id="34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50,101,360.00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1,292,994.13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银行承兑汇票贴现款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17,472,309.30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157,711,834.30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223,394,354.13</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已逾期未偿还的短期借款情况" w:id="346"/>
      <w:bookmarkEnd w:id="34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3、交易性金融负债" w:id="347"/>
      <w:bookmarkEnd w:id="347"/>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4、衍生金融负债" w:id="348"/>
      <w:bookmarkEnd w:id="348"/>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5、应付票据" w:id="349"/>
      <w:bookmarkEnd w:id="349"/>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255,171,958.21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255,171,958.21</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6、应付账款" w:id="350"/>
      <w:bookmarkEnd w:id="350"/>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账款列示" w:id="351"/>
      <w:bookmarkEnd w:id="35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521,843,278.05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447,738,417.20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应付加工费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20,950,735.17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22,642,992.86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3,234,028.03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2,954,025.72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1,964,308.13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37,528,953.67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3,222,380.35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136,440.98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49,812.96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548,714,830.97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514,136,582.76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应付账款" w:id="352"/>
      <w:bookmarkEnd w:id="35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厦门法拉电子股份有限公司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2,438,997.82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材料款暂未结算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深圳市春明精密科技有限公司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2,394,792.28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加工费暂未结算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临沂昱通新能源科技有限公司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材料款暂未结算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亿豪五金机电（深圳）有限公司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1,165,125.91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材料款暂未结算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深圳市明正宏电子有限公司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1,133,417.38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材料款暂未结算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8,375,808.43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7、预收款项" w:id="353"/>
      <w:bookmarkEnd w:id="353"/>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1）预收款项列示" w:id="354"/>
      <w:bookmarkEnd w:id="35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13,213,784.27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12,492,155.17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13,213,784.27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12,492,155.17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预收款项" w:id="355"/>
      <w:bookmarkEnd w:id="355"/>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3）期末建造合同形成的已结算未完工项目情况" w:id="356"/>
      <w:bookmarkEnd w:id="35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8、合同负债" w:id="357"/>
      <w:bookmarkEnd w:id="357"/>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39、应付职工薪酬" w:id="358"/>
      <w:bookmarkEnd w:id="358"/>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付职工薪酬列示" w:id="359"/>
      <w:bookmarkEnd w:id="3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28,568,758.59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177,479,621.85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175,780,020.08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30,268,360.36</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6,270,343.20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6,264,761.63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5,581.57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28,568,758.59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183,763,465.05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182,058,281.71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30,273,941.93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短期薪酬列示" w:id="360"/>
      <w:bookmarkEnd w:id="3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28,541,694.92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169,165,253.69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167,491,364.49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30,215,584.12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3,803,265.78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3,803,265.78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1,767,444.67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1,765,405.53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2,039.14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1,527,594.65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1,525,801.11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1,793.54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84,035.92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155,814.10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155,642.25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171.85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2,284,205.10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2,283,205.10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27,063.67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459,452.61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436,779.18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49,737.10</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28,568,758.59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177,479,621.85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175,780,020.08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30,268,360.36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设定提存计划列示" w:id="361"/>
      <w:bookmarkEnd w:id="3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6,161,828.49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6,156,442.49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5,386.00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108,514.71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6,270,343.20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6,264,761.63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5,581.57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0、应交税费" w:id="362"/>
      <w:bookmarkEnd w:id="362"/>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6,266,696.39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12,401,876.14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2,040,850.52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366,517.15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160,579.93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214,447.73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532,035.31</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93,111.27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259,409.43</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240,869.90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121,394.42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118,780.58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7,348,316.26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15,754,401.81</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1、其他应付款" w:id="363"/>
      <w:bookmarkEnd w:id="36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32,406,978.57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23,322,269.08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32,406,978.57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23,322,269.08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付利息" w:id="364"/>
      <w:bookmarkEnd w:id="36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应付股利" w:id="365"/>
      <w:bookmarkEnd w:id="36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3）其他应付款" w:id="366"/>
      <w:bookmarkEnd w:id="36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按款项性质列示其他应付款" w:id="367"/>
      <w:bookmarkEnd w:id="36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14,809,017.75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7,237,859.20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票据贴现款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7,049,398.88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1,745,929.92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5,106,426.80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6,111,146.48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2,345,162.13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2,302,725.52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1,268,941.07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1,082,363.66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应付技术使用费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675,632.63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应付食堂费用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法院判决诉讼费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952,454.17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211,790.13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32,406,978.57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23,322,269.08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账龄超过1年的重要其他应付款" w:id="368"/>
      <w:bookmarkEnd w:id="368"/>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2、持有待售负债" w:id="369"/>
      <w:bookmarkEnd w:id="369"/>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3、一年内到期的非流动负债" w:id="370"/>
      <w:bookmarkEnd w:id="37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35,361,226.79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23,062,107.60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35,361,226.79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23,062,107.60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4、其他流动负债" w:id="371"/>
      <w:bookmarkEnd w:id="37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5、长期借款" w:id="372"/>
      <w:bookmarkEnd w:id="37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借款分类" w:id="373"/>
      <w:bookmarkEnd w:id="37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594"/>
        <w:jc w:val="left"/>
      </w:pPr>
      <w:r>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46、应付债券" w:id="374"/>
      <w:bookmarkEnd w:id="37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付债券" w:id="375"/>
      <w:bookmarkEnd w:id="37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2）应付债券的增减变动（不包括划分为金融负债的优先股、永续债等其他金融工具）" w:id="376"/>
      <w:bookmarkEnd w:id="37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可转换公司债券的转股条件、转股时间说明" w:id="377"/>
      <w:bookmarkEnd w:id="37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划分为金融负债的其他金融工具说明" w:id="378"/>
      <w:bookmarkEnd w:id="37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57"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47、租赁负债" w:id="379"/>
      <w:bookmarkEnd w:id="379"/>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8、长期应付款" w:id="380"/>
      <w:bookmarkEnd w:id="380"/>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30,722,371.20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33,290,129.52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30,722,371.20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33,290,129.52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按款项性质列示长期应付款" w:id="381"/>
      <w:bookmarkEnd w:id="38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66,083,597.99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56,352,237.12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35,361,226.79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23,062,107.60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30,722,371.20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33,290,129.52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专项应付款" w:id="382"/>
      <w:bookmarkEnd w:id="38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9、长期应付职工薪酬" w:id="383"/>
      <w:bookmarkEnd w:id="383"/>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长期应付职工薪酬表" w:id="384"/>
      <w:bookmarkEnd w:id="38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设定受益计划变动情况" w:id="385"/>
      <w:bookmarkEnd w:id="38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设定受益计划义务现值：</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设定受益计划净负债（净资产）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0、预计负债" w:id="386"/>
      <w:bookmarkEnd w:id="38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8"/>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1,201,184.00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合同纠纷</w:t>
            </w:r>
          </w:p>
        </w:tc>
      </w:tr>
      <w:tr>
        <w:trPr>
          <w:trHeight w:val="317"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9,486,514.31</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3,053,976.04</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茂硕电子和茂硕电气销售的 产品附有质保期，按照销售额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计提质量保证金</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10,456,014.31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4,255,160.04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1、递延收益" w:id="387"/>
      <w:bookmarkEnd w:id="38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12,744,948.31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4,520,638.13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10,884,310.18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12,744,948.31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4,520,638.13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10,884,310.18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大功率智能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电源驱 动生产项目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7,807,400.29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2,434,714.02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5,372,686.27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深圳集中供 电智能驱动 工程实验室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3,925,152.99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894,747.19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2,951,405.80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463,257.94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97,184.21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366,073.73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98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照明驱 动电源重点 实验室</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驱动电 源生产线智 能化升级改 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327,750.00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327,750.00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智能光伏功 率优化器的 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221,387.09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49,258.86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172,128.23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深圳集中供 电智能驱动 工程实验室 配套项目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157,760.82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1,352,239.18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技术改造倍 增专企业技 术中心组建 和提升项目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480,223.03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669,776.97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12,744,948.31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4,441,638.13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10,884,310.18</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2154"/>
        <w:jc w:val="left"/>
      </w:pPr>
      <w:r>
        <w:rPr/>
        <w:t>其他说明： 其他变动中，属于本期返还的政府补助共计</w:t>
      </w:r>
      <w:r>
        <w:rPr>
          <w:rFonts w:ascii="Times New Roman" w:hAnsi="Times New Roman" w:cs="Times New Roman" w:eastAsia="Times New Roman" w:hint="default"/>
        </w:rPr>
        <w:t>79,000.00</w:t>
      </w:r>
      <w:r>
        <w:rPr/>
        <w:t>元，原因为政府收回离线</w:t>
      </w:r>
      <w:r>
        <w:rPr>
          <w:rFonts w:ascii="Times New Roman" w:hAnsi="Times New Roman" w:cs="Times New Roman" w:eastAsia="Times New Roman" w:hint="default"/>
        </w:rPr>
        <w:t>AOI</w:t>
      </w:r>
      <w:r>
        <w:rPr/>
        <w:t>自动光学检测设备补助款。</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bookmarkStart w:name="52、其他非流动负债" w:id="388"/>
      <w:bookmarkEnd w:id="38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3、股本" w:id="389"/>
      <w:bookmarkEnd w:id="389"/>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274,327,707.00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274,327,707.00</w:t>
            </w:r>
          </w:p>
        </w:tc>
      </w:tr>
    </w:tbl>
    <w:p>
      <w:pPr>
        <w:pStyle w:val="BodyText"/>
        <w:spacing w:line="240" w:lineRule="auto" w:before="49"/>
        <w:ind w:right="11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4、其他权益工具" w:id="390"/>
      <w:bookmarkEnd w:id="39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期末发行在外的优先股、永续债等其他金融工具基本情况" w:id="391"/>
      <w:bookmarkEnd w:id="39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2）期末发行在外的优先股、永续债等金融工具变动情况表" w:id="392"/>
      <w:bookmarkEnd w:id="39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55、资本公积" w:id="393"/>
      <w:bookmarkEnd w:id="39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383,499,045.04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383,499,045.04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27,979,014.34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27,979,014.34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411,478,059.38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411,478,059.38</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6、库存股" w:id="394"/>
      <w:bookmarkEnd w:id="39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7、其他综合收益" w:id="395"/>
      <w:bookmarkEnd w:id="39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6"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8"/>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-34,008,022.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-143,591.47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-4,225,606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-38,233,</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629.33</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其中：其他权益工具投资公允价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-34,008,022.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-143,591.47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-38,233,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629.33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6"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-34,008,022.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-4,369,198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-143,591.47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-38,233,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629.33</w:t>
            </w: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8、专项储备" w:id="396"/>
      <w:bookmarkEnd w:id="39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9、盈余公积" w:id="397"/>
      <w:bookmarkEnd w:id="39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25,571,701.00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25,571,701.00</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0、未分配利润" w:id="398"/>
      <w:bookmarkEnd w:id="39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-156,055,794.34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99,705,204.83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32,875,277.34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-123,180,517.00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99,705,204.83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66,527,398.75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-255,760,999.17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加：其他综合收益结转留存收益</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-143,591.47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-56,796,709.72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-156,055,794.34</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32,875,277.34</w:t>
      </w:r>
      <w:r>
        <w:rPr>
          <w:rFonts w:ascii="Times New Roman" w:hAnsi="Times New Roman" w:cs="Times New Roman" w:eastAsia="Times New Roman" w:hint="default"/>
          <w:spacing w:val="-2"/>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bookmarkStart w:name="61、营业收入和营业成本" w:id="399"/>
      <w:bookmarkEnd w:id="39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1,236,279,349.85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953,141,850.61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1,326,973,014.83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1,072,928,830.61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11,567,759.72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9,174,575.65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10,802,094.27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11,167,337.98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1,247,847,109.57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962,316,426.26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1,337,775,109.10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1,084,096,168.59</w:t>
            </w:r>
          </w:p>
        </w:tc>
      </w:tr>
    </w:tbl>
    <w:p>
      <w:pPr>
        <w:pStyle w:val="BodyText"/>
        <w:spacing w:line="240" w:lineRule="auto" w:before="49"/>
        <w:ind w:right="1133"/>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bookmarkStart w:name="62、税金及附加" w:id="400"/>
      <w:bookmarkEnd w:id="40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2,741,272.96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3,183,358.89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2,271,821.92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2,513,307.23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1,514,768.04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1,514,768.03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81,377.40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999,787.05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1,222,908.54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7,609,321.48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8,515,850.17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3、销售费用" w:id="401"/>
      <w:bookmarkEnd w:id="40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21,103,359.47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27,220,571.38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11,937,062.99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15,622,276.42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9,253,773.04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16,623,340.15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售后品质费用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15,819,699.35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11,241,031.16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4,842,682.88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5,654,241.51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2,288,177.28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3,536,610.20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1,027,630.96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2,160,733.01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947,876.76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低值易耗品与材料费用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1,469,660.91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804,268.36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3,406,331.77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3,921,014.61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72,306,691.55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87,731,963.56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4、管理费用" w:id="402"/>
      <w:bookmarkEnd w:id="40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36,919,854.22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32,722,857.12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12,058,548.04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10,375,428.83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6,261,838.29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6,689,246.47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2,943,800.61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3,489,832.06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4,371,257.30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3,771,432.05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2,521,973.24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2,088,558.47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2,144,683.90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1,409,600.78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1,774,137.22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952,454.17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7,500,223.41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6,903,510.52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76,295,882.27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70,912,140.81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5、研发费用" w:id="403"/>
      <w:bookmarkEnd w:id="40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30,209,976.53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29,732,299.75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长期资产摊销额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5,268,694.42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5,976,941.30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4,971,524.20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9,995,755.17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3,626,066.98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3,652,542.94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2,110,103.54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2,494,824.49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1,643,515.62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2,948,807.11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燃料动力费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609,804.29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487,057.22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337,544.13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266,176.19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426,044.52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770,495.34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268,132.29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1,115,318.95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1,883,052.26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50,318,593.18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58,476,084.06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6、财务费用" w:id="404"/>
      <w:bookmarkEnd w:id="40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22,850,201.31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20,895,082.78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2,017,970.74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-3,159,361.87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-6,603,930.68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1,018,508.47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-2,028,852.24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-755,939.80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16,591,401.43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12,535,750.03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67、其他收益" w:id="405"/>
      <w:bookmarkEnd w:id="40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12,117,741.38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12,024,004.73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12,140,810.48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12,050,005.68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8、投资收益" w:id="406"/>
      <w:bookmarkEnd w:id="40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-763,202.44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1,231,972.47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130,826.98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-2,995,611.11</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7,143,880.11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7,775.98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144,089.22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8,956,080.63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-1,689,749.42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9、净敞口套期收益" w:id="407"/>
      <w:bookmarkEnd w:id="40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0、公允价值变动收益" w:id="408"/>
      <w:bookmarkEnd w:id="40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-2,060,800.00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71、信用减值损失" w:id="409"/>
      <w:bookmarkEnd w:id="40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-14,567,444.08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-14,567,444.08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2、资产减值损失" w:id="410"/>
      <w:bookmarkEnd w:id="41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-60,247,452.01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-4,339,828.35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-44,546,150.16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-22,382,162.37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-24,105,170.75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-115,877,498.34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-9,308,274.52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-8,826,474.75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-5,001,528.34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-285,293,182.90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3、资产处置收益" w:id="411"/>
      <w:bookmarkEnd w:id="41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2,210,946.43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-3,400,390.11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-427,451.20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2,210,946.43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-3,827,841.31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4、营业外收入" w:id="412"/>
      <w:bookmarkEnd w:id="41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879,160.12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773,189.66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879,160.12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630,240.04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1,838,018.00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630,240.04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保险赔款收入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143,931.05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143,931.05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306,460.95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30,177.65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306,460.95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159,983.01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254,986.90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159,983.01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2,119,775.17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2,909,400.21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2,119,775.17</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5、营业外支出" w:id="413"/>
      <w:bookmarkEnd w:id="41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372,611.21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613,276.13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372,611.21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17,130.36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17,130.36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8,704,259.74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96,943.49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96,943.49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538,485.06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9,507,909.93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538,485.06</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6、所得税费用" w:id="414"/>
      <w:bookmarkEnd w:id="41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所得税费用表" w:id="415"/>
      <w:bookmarkEnd w:id="4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4,342,018.44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4,156,793.99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-1,613,526.66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-2,932,979.41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1,223,814.58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会计利润与所得税费用调整过程" w:id="416"/>
      <w:bookmarkEnd w:id="4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67,728,948.63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10,159,342.29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4,340,742.14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9,797.72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285,180.89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276,772.31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-3,331,251.92</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3,670,924.66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-5,889,705.59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本期核销前期未确认递延所得税资产的减值准备影响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-6,792,785.11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-525.62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2,728,491.78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7290" w:firstLine="0"/>
        <w:jc w:val="left"/>
        <w:rPr>
          <w:rFonts w:ascii="宋体" w:hAnsi="宋体" w:cs="宋体" w:eastAsia="宋体" w:hint="default"/>
          <w:sz w:val="21"/>
          <w:szCs w:val="21"/>
        </w:rPr>
      </w:pPr>
      <w:bookmarkStart w:name="77、其他综合收益" w:id="417"/>
      <w:bookmarkEnd w:id="417"/>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详见附注第十二节，五，</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其他综合收益。 </w:t>
      </w:r>
      <w:bookmarkStart w:name="78、现金流量表项目" w:id="418"/>
      <w:bookmarkEnd w:id="418"/>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33"/>
        <w:jc w:val="left"/>
        <w:rPr>
          <w:b w:val="0"/>
          <w:bCs w:val="0"/>
        </w:rPr>
      </w:pPr>
      <w:bookmarkStart w:name="（1）收到的其他与经营活动有关的现金" w:id="419"/>
      <w:bookmarkEnd w:id="4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10,104,414.04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9,908,570.23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5,547,720.45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8,292,963.55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2,017,970.74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17,354,394.56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20,219,504.52</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支付的其他与经营活动有关的现金" w:id="420"/>
      <w:bookmarkEnd w:id="4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31,993,899.00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42,672,646.32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23,156,917.72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27,299,302.91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4,041,527.60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4,285,504.23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9,228,405.33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7,182,382.63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1,018,508.47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126,267.48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支付受限货币资金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4,709,927.65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73,886,470.95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82,584,612.04</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收到的其他与投资活动有关的现金" w:id="421"/>
      <w:bookmarkEnd w:id="42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收回拆出资金及利息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20,092,894.69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20,092,894.69</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支付的其他与投资活动有关的现金" w:id="422"/>
      <w:bookmarkEnd w:id="42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与投资相关的费用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1,517,724.18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资金拆出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22,047,375.07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23,565,099.25</w:t>
            </w:r>
          </w:p>
        </w:tc>
      </w:tr>
    </w:tbl>
    <w:p>
      <w:pPr>
        <w:pStyle w:val="BodyText"/>
        <w:spacing w:line="240" w:lineRule="auto" w:before="49"/>
        <w:ind w:right="1133"/>
        <w:jc w:val="left"/>
      </w:pPr>
      <w:r>
        <w:rPr/>
        <w:t>支付的其他与投资活动有关的现金说明：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5）收到的其他与筹资活动有关的现金" w:id="423"/>
      <w:bookmarkEnd w:id="42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227,628,879.97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280,896,470.98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融资租赁收到的现金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不符合终止确认票据贴现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6,912,828.37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1,745,929.92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收退回的筹资费用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274,541,708.34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322,942,400.90</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33"/>
        <w:jc w:val="left"/>
        <w:rPr>
          <w:b w:val="0"/>
          <w:bCs w:val="0"/>
        </w:rPr>
      </w:pPr>
      <w:bookmarkStart w:name="（6）支付的其他与筹资活动有关的现金" w:id="424"/>
      <w:bookmarkEnd w:id="42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135,764,263.15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325,968,434.01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39,599,516.87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13,784,248.40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70,766,700.00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177,763,781.44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410,519,383.41</w:t>
            </w: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79、现金流量表补充资料" w:id="425"/>
      <w:bookmarkEnd w:id="42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现金流量表补充资料" w:id="426"/>
      <w:bookmarkEnd w:id="4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65,000,456.85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-273,136,740.37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19,568,972.42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285,293,182.90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27,302,807.03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35,683,397.79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5,633,141.32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5,871,830.02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5,027,176.92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6,564,859.74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90.749969pt;width:151.25pt;height:20.65pt;mso-position-horizontal-relative:page;mso-position-vertical-relative:page;z-index:-1242880" coordorigin="4467,5815" coordsize="3025,413">
            <v:group style="position:absolute;left:4478;top:5826;width:2;height:392" coordorigin="4478,5826" coordsize="2,392">
              <v:shape style="position:absolute;left:4478;top:5826;width:2;height:392" coordorigin="4478,5826" coordsize="0,392" path="m4478,5826l4478,6217e" filled="false" stroked="true" strokeweight="1.08pt" strokecolor="#ffffff">
                <v:path arrowok="t"/>
              </v:shape>
            </v:group>
            <v:group style="position:absolute;left:4489;top:5826;width:3003;height:392" coordorigin="4489,5826" coordsize="3003,392">
              <v:shape style="position:absolute;left:4489;top:5826;width:3003;height:392" coordorigin="4489,5826" coordsize="3003,392" path="m4489,6217l7492,6217,7492,5826,4489,5826,4489,621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39"/>
        <w:gridCol w:w="202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-2,210,946.43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3,827,841.31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372,611.21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610,276.13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2,060,800.00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21,717,971.31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24,183,791.70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-8,956,080.63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1,689,749.42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-1,613,526.66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-2,768,127.03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66" w:right="0"/>
              <w:jc w:val="left"/>
              <w:rPr>
                <w:rFonts w:ascii="Times New Roman" w:hAnsi="Times New Roman" w:cs="Times New Roman" w:eastAsia="Times New Roman" w:hint="default"/>
                <w:sz w:val="18"/>
                <w:szCs w:val="18"/>
              </w:rPr>
            </w:pPr>
            <w:r>
              <w:rPr>
                <w:rFonts w:ascii="Times New Roman"/>
                <w:sz w:val="18"/>
              </w:rPr>
              <w:t>14,630,616.04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11,543,302.01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-28,100,339.82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-41,794,907.66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-83,966,662.93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20,097,496.21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7,350,854.27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-1,882,958.20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41,757,050.90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77,843,793.97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37,940,618.96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33,290,129.52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174,833,997.60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119,843,578.62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119,843,578.62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194,924,014.68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54,990,418.98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-75,080,436.06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支付的取得子公司的现金净额" w:id="427"/>
      <w:bookmarkEnd w:id="42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本期收到的处置子公司的现金净额" w:id="428"/>
      <w:bookmarkEnd w:id="42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现金和现金等价物的构成" w:id="429"/>
      <w:bookmarkEnd w:id="42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174,833,997.60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119,843,578.62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295,210.42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126,716.27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174,538,787.18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119,716,862.35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174,833,997.60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119,843,578.62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80、所有者权益变动表项目注释" w:id="430"/>
      <w:bookmarkEnd w:id="430"/>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431"/>
      <w:bookmarkEnd w:id="431"/>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70,644,775.77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223,377,383.41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7,854,145.95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4,709,927.65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未决诉讼冻结</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306,586,232.78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2、外币货币性项目" w:id="432"/>
      <w:bookmarkEnd w:id="43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外币货币性项目" w:id="433"/>
      <w:bookmarkEnd w:id="43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5,203,330.03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36,299,470.96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95,918.49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9.1502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200,273.98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26,112,967.59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182,169,284.50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6,182.06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1,851,706.40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1,658,758.59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17,454.03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588,905.78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4,108,324.50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17,352.18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bookmarkStart w:name="（2）境外经营实体说明，包括对于重要的境外经营实体，应披露其境外主要经营地、记账" w:id="434"/>
      <w:bookmarkEnd w:id="43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83、套期" w:id="435"/>
      <w:bookmarkEnd w:id="435"/>
      <w:r>
        <w:rPr>
          <w:b w:val="0"/>
          <w:bCs w:val="0"/>
        </w:rPr>
      </w:r>
      <w:r>
        <w:rPr>
          <w:rFonts w:ascii="Times New Roman" w:hAnsi="Times New Roman" w:cs="Times New Roman" w:eastAsia="Times New Roman" w:hint="default"/>
        </w:rPr>
        <w:t>83</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4、政府补助" w:id="436"/>
      <w:bookmarkEnd w:id="436"/>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政府补助基本情况" w:id="437"/>
      <w:bookmarkEnd w:id="43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4,441,638.13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7,676,103.25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7,676,103.25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减：退回的政府补助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10,257,103.25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12,196,741.38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政府补助退回情况" w:id="438"/>
      <w:bookmarkEnd w:id="43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深圳集中供电智能驱动工程实验室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AOI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设备撤资</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487" w:lineRule="auto" w:before="120"/>
        <w:ind w:left="152" w:right="8330" w:firstLine="0"/>
        <w:jc w:val="left"/>
        <w:rPr>
          <w:rFonts w:ascii="宋体" w:hAnsi="宋体" w:cs="宋体" w:eastAsia="宋体" w:hint="default"/>
          <w:sz w:val="21"/>
          <w:szCs w:val="21"/>
        </w:rPr>
      </w:pPr>
      <w:bookmarkStart w:name="85、其他" w:id="439"/>
      <w:bookmarkEnd w:id="439"/>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40"/>
      <w:bookmarkEnd w:id="440"/>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41"/>
      <w:bookmarkEnd w:id="44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2"/>
        <w:ind w:right="1133"/>
        <w:jc w:val="left"/>
        <w:rPr>
          <w:b w:val="0"/>
          <w:bCs w:val="0"/>
        </w:rPr>
      </w:pPr>
      <w:bookmarkStart w:name="（1）本期发生的非同一控制下企业合并" w:id="442"/>
      <w:bookmarkEnd w:id="44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2）合并成本及商誉" w:id="443"/>
      <w:bookmarkEnd w:id="44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3"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5;width:2;height:395" coordorigin="23,15" coordsize="2,395">
              <v:shape style="position:absolute;left:23;top:15;width:2;height:395" coordorigin="23,15" coordsize="0,395" path="m23,15l23,409e" filled="false" stroked="true" strokeweight="1.08pt" strokecolor="#d2d2d2">
                <v:path arrowok="t"/>
              </v:shape>
            </v:group>
            <v:group style="position:absolute;left:4775;top:15;width:2;height:395" coordorigin="4775,15" coordsize="2,395">
              <v:shape style="position:absolute;left:4775;top:15;width:2;height:395" coordorigin="4775,15" coordsize="0,395" path="m4775,15l4775,409e" filled="false" stroked="true" strokeweight="1.2pt" strokecolor="#d2d2d2">
                <v:path arrowok="t"/>
              </v:shape>
            </v:group>
            <v:group style="position:absolute;left:34;top:15;width:4729;height:395" coordorigin="34,15" coordsize="4729,395">
              <v:shape style="position:absolute;left:34;top:15;width:4729;height:395" coordorigin="34,15" coordsize="4729,395" path="m34,409l4763,409,4763,15,34,15,34,409xe" filled="true" fillcolor="#d2d2d2" stroked="false">
                <v:path arrowok="t"/>
                <v:fill type="solid"/>
              </v:shape>
            </v:group>
            <v:group style="position:absolute;left:4807;top:15;width:2;height:395" coordorigin="4807,15" coordsize="2,395">
              <v:shape style="position:absolute;left:4807;top:15;width:2;height:395" coordorigin="4807,15" coordsize="0,395" path="m4807,15l4807,409e" filled="false" stroked="true" strokeweight="1.08pt" strokecolor="#d2d2d2">
                <v:path arrowok="t"/>
              </v:shape>
            </v:group>
            <v:group style="position:absolute;left:9559;top:15;width:2;height:395" coordorigin="9559,15" coordsize="2,395">
              <v:shape style="position:absolute;left:9559;top:15;width:2;height:395" coordorigin="9559,15" coordsize="0,395" path="m9559,15l9559,409e" filled="false" stroked="true" strokeweight="1.2pt" strokecolor="#d2d2d2">
                <v:path arrowok="t"/>
              </v:shape>
            </v:group>
            <v:group style="position:absolute;left:4818;top:15;width:4729;height:395" coordorigin="4818,15" coordsize="4729,395">
              <v:shape style="position:absolute;left:4818;top:15;width:4729;height:395" coordorigin="4818,15" coordsize="4729,395" path="m4818,409l9547,409,9547,15,4818,15,4818,409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783;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6074"/>
        <w:jc w:val="left"/>
      </w:pPr>
      <w:r>
        <w:rPr/>
        <w:t>合并成本公允价值的确定方法、或有对价及其变动的说明： 大额商誉形成的主要原因：</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被购买方于购买日可辨认资产、负债" w:id="444"/>
      <w:bookmarkEnd w:id="44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445"/>
      <w:bookmarkEnd w:id="44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46"/>
      <w:bookmarkEnd w:id="44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47"/>
      <w:bookmarkEnd w:id="44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48"/>
      <w:bookmarkEnd w:id="44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49"/>
      <w:bookmarkEnd w:id="44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4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合并成本" w:id="450"/>
      <w:bookmarkEnd w:id="45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4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ind w:right="859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3）合并日被合并方资产、负债的账面价值" w:id="451"/>
      <w:bookmarkEnd w:id="45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d2d2d2">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d2d2d2">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2;width:3190;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9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ind w:right="7514"/>
        <w:jc w:val="left"/>
      </w:pPr>
      <w:r>
        <w:rPr/>
        <w:t>企业合并中承担的被合并方的或有负债： 其他说明：</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反向购买" w:id="452"/>
      <w:bookmarkEnd w:id="45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bookmarkStart w:name="4、处置子公司" w:id="453"/>
      <w:bookmarkEnd w:id="45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bookmarkStart w:name="5、其他原因的合并范围变动" w:id="454"/>
      <w:bookmarkEnd w:id="45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7" w:lineRule="auto" w:before="118"/>
        <w:ind w:left="152" w:right="8104" w:firstLine="0"/>
        <w:jc w:val="left"/>
        <w:rPr>
          <w:rFonts w:ascii="宋体" w:hAnsi="宋体" w:cs="宋体" w:eastAsia="宋体" w:hint="default"/>
          <w:sz w:val="21"/>
          <w:szCs w:val="21"/>
        </w:rPr>
      </w:pPr>
      <w:bookmarkStart w:name="6、其他" w:id="455"/>
      <w:bookmarkEnd w:id="4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56"/>
      <w:bookmarkEnd w:id="456"/>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bookmarkStart w:name="（1）企业集团的构成" w:id="458"/>
      <w:bookmarkEnd w:id="45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深圳茂硕新能源 技术研究院有限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惠州茂硕能源科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6" w:lineRule="auto" w:before="77"/>
              <w:ind w:left="24" w:right="75"/>
              <w:jc w:val="left"/>
              <w:rPr>
                <w:rFonts w:ascii="宋体" w:hAnsi="宋体" w:cs="宋体" w:eastAsia="宋体" w:hint="default"/>
                <w:sz w:val="18"/>
                <w:szCs w:val="18"/>
              </w:rPr>
            </w:pPr>
            <w:r>
              <w:rPr>
                <w:rFonts w:ascii="宋体" w:hAnsi="宋体" w:cs="宋体" w:eastAsia="宋体" w:hint="default"/>
                <w:sz w:val="18"/>
                <w:szCs w:val="18"/>
              </w:rPr>
              <w:t>（香港）国际有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海宁茂硕诺华能 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深圳茂硕电气有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新余茂硕新能源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萍乡茂硕新能源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灵武市茂硕新能 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江苏茂硕新能源 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加码技术有限公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宁夏茂硕富寅能 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茂硕科技有限公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瑞盈茂硕融资租 赁（深圳）有限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河北茂硕燚晶光 伏电力开发有限 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电气设备销售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1133"/>
        <w:jc w:val="left"/>
      </w:pPr>
      <w:r>
        <w:rPr/>
        <w:t>在子公司的持股比例不同于表决权比例的说明：</w:t>
      </w:r>
    </w:p>
    <w:p>
      <w:pPr>
        <w:spacing w:line="240" w:lineRule="auto" w:before="0"/>
        <w:rPr>
          <w:rFonts w:ascii="宋体" w:hAnsi="宋体" w:cs="宋体" w:eastAsia="宋体" w:hint="default"/>
          <w:sz w:val="15"/>
          <w:szCs w:val="15"/>
        </w:rPr>
      </w:pPr>
    </w:p>
    <w:p>
      <w:pPr>
        <w:pStyle w:val="BodyText"/>
        <w:spacing w:line="240" w:lineRule="auto" w:before="0"/>
        <w:ind w:left="518" w:right="1133"/>
        <w:jc w:val="left"/>
      </w:pPr>
      <w:r>
        <w:rPr>
          <w:rFonts w:ascii="Times New Roman" w:hAnsi="Times New Roman" w:cs="Times New Roman" w:eastAsia="Times New Roman" w:hint="default"/>
        </w:rPr>
        <w:t>*</w:t>
      </w:r>
      <w:r>
        <w:rPr/>
        <w:t>茂硕电源通过控股子公司茂硕电气间持有河北茂硕燚晶光伏电力开发有限公司</w:t>
      </w:r>
      <w:r>
        <w:rPr>
          <w:rFonts w:ascii="Times New Roman" w:hAnsi="Times New Roman" w:cs="Times New Roman" w:eastAsia="Times New Roman" w:hint="default"/>
        </w:rPr>
        <w:t>40.57%</w:t>
      </w:r>
      <w:r>
        <w:rPr/>
        <w:t>的股权。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before="0"/>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bookmarkStart w:name="（2）重要的非全资子公司" w:id="459"/>
      <w:bookmarkEnd w:id="45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1"/>
              <w:jc w:val="left"/>
              <w:rPr>
                <w:rFonts w:ascii="宋体" w:hAnsi="宋体" w:cs="宋体" w:eastAsia="宋体" w:hint="default"/>
                <w:sz w:val="18"/>
                <w:szCs w:val="18"/>
              </w:rPr>
            </w:pPr>
            <w:r>
              <w:rPr>
                <w:rFonts w:ascii="宋体" w:hAnsi="宋体" w:cs="宋体" w:eastAsia="宋体" w:hint="default"/>
                <w:sz w:val="18"/>
                <w:szCs w:val="18"/>
              </w:rPr>
              <w:t>海宁茂硕诺华能源有限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29.40%</w:t>
            </w:r>
          </w:p>
        </w:tc>
        <w:tc>
          <w:tcPr>
            <w:tcW w:w="1913"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1,038,408.59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10,065,914.12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-2,564,968.41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-10,197,679.60</w:t>
            </w:r>
          </w:p>
        </w:tc>
      </w:tr>
    </w:tbl>
    <w:p>
      <w:pPr>
        <w:pStyle w:val="BodyText"/>
        <w:spacing w:line="240" w:lineRule="auto" w:before="49"/>
        <w:ind w:right="1133"/>
        <w:jc w:val="left"/>
      </w:pPr>
      <w:r>
        <w:rPr/>
        <w:t>子公司少数股东的持股比例不同于表决权比例的说明：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3）重要非全资子公司的主要财务信息" w:id="460"/>
      <w:bookmarkEnd w:id="46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海宁茂 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5,733,71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54,569,5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60,303,2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26,065,4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26,065,4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12,664,5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58,062,3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70,726,8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39,996,4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78.63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39,996,4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78.63</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茂硕电 气</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8,505,39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1,421,13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9,926,53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57,392,4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2,387,81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59,780,2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30,474,0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2,645,97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33,120,0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68,449,8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42.49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2,132,58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70,582,4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25.36</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12,985,867.5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3,532,002.01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3,532,002.01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12,689,637.1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18,675,815.0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-27,086,702.7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-27,086,702.7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18,233,739.4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10,610,640.2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-12,540,255.5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-12,540,255.5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-503,384.23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76,426,509.3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-45,054,049.0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-45,054,049.0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-1,291,678.48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使用企业集团资产和清偿企业集团债务的重大限制" w:id="461"/>
      <w:bookmarkEnd w:id="46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向纳入合并财务报表范围的结构化主体提供的财务支持或其他支持" w:id="462"/>
      <w:bookmarkEnd w:id="46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在子公司的所有者权益份额发生变化且仍控制子公司的交易" w:id="463"/>
      <w:bookmarkEnd w:id="46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在子公司所有者权益份额发生变化的情况说明" w:id="464"/>
      <w:bookmarkEnd w:id="46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2）交易对于少数股东权益及归属于母公司所有者权益的影响" w:id="465"/>
      <w:bookmarkEnd w:id="46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3、在合营安排或联营企业中的权益" w:id="466"/>
      <w:bookmarkEnd w:id="46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重要的合营企业或联营企业" w:id="467"/>
      <w:bookmarkEnd w:id="46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7"/>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2）重要合营企业的主要财务信息" w:id="468"/>
      <w:bookmarkEnd w:id="46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重要联营企业的主要财务信息" w:id="469"/>
      <w:bookmarkEnd w:id="46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方正达</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方正达</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220,602,619.98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328,180,554.56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138,314,101.58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115,163,757.51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358,916,721.56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443,344,312.07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157,546,500.79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184,787,023.72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3,783,333.45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4,050,000.08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161,329,834.24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188,837,023.80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197,586,887.32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254,507,288.27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43,943,323.74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56,602,420.91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83,609,295.80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82,370,325.46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372,662,906.69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418,451,790.03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5,994,696.39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10,393,655.93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5,994,696.39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10,393,655.93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不重要的合营企业和联营企业的汇总财务信息" w:id="470"/>
      <w:bookmarkEnd w:id="47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8,277,816.52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40,585,730.75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-2,002,172.79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-1,041,317.19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-2,002,172.79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-1,041,317.19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合营企业或联营企业向本公司转移资金的能力存在重大限制的说明" w:id="471"/>
      <w:bookmarkEnd w:id="47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合营企业或联营企业发生的超额亏损" w:id="472"/>
      <w:bookmarkEnd w:id="47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与合营企业投资相关的未确认承诺" w:id="473"/>
      <w:bookmarkEnd w:id="47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8）与合营企业或联营企业投资相关的或有负债" w:id="474"/>
      <w:bookmarkEnd w:id="47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重要的共同经营" w:id="475"/>
      <w:bookmarkEnd w:id="47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5、在未纳入合并财务报表范围的结构化主体中的权益" w:id="476"/>
      <w:bookmarkEnd w:id="47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6、其他" w:id="477"/>
      <w:bookmarkEnd w:id="477"/>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78"/>
      <w:bookmarkEnd w:id="478"/>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0"/>
        <w:jc w:val="both"/>
      </w:pPr>
      <w:r>
        <w:rPr>
          <w:spacing w:val="-2"/>
        </w:rPr>
        <w:t>本公司的主要金融工具包括货币资金、股权投资、借款、应收款项、应付款项等。在日常活动中面临各种金融工具的风</w:t>
      </w:r>
      <w:r>
        <w:rPr/>
        <w:t> </w:t>
      </w:r>
      <w:r>
        <w:rPr>
          <w:spacing w:val="-2"/>
        </w:rPr>
        <w:t>险，主要包括信用风险、流动性风险、市场风险（主要为利率风险）。本公司整体的风险管理计划针对金融市场的不可预见</w:t>
      </w:r>
      <w:r>
        <w:rPr>
          <w:spacing w:val="-67"/>
        </w:rPr>
        <w:t> </w:t>
      </w:r>
      <w:r>
        <w:rPr>
          <w:spacing w:val="-67"/>
        </w:rPr>
      </w:r>
      <w:r>
        <w:rPr/>
        <w:t>性，力求减少对本公司财务业绩的潜在不利影响。</w:t>
      </w:r>
    </w:p>
    <w:p>
      <w:pPr>
        <w:pStyle w:val="BodyText"/>
        <w:spacing w:line="300" w:lineRule="auto" w:before="19"/>
        <w:ind w:left="513" w:right="1124" w:hanging="53"/>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信用风险是指交易对手未能履行合同义务而导致本公司产生财务损失的风险，管理层已制定适当的信用政策，并且不断</w:t>
      </w:r>
    </w:p>
    <w:p>
      <w:pPr>
        <w:pStyle w:val="BodyText"/>
        <w:spacing w:line="316" w:lineRule="auto" w:before="31"/>
        <w:ind w:left="513" w:right="1124" w:hanging="361"/>
        <w:jc w:val="left"/>
      </w:pPr>
      <w:r>
        <w:rPr/>
        <w:t>监察信用风险的敞口。 </w:t>
      </w:r>
      <w:r>
        <w:rPr>
          <w:spacing w:val="-2"/>
        </w:rPr>
        <w:t>本公司已采取政策只与信用良好的交易对手进行交易。另外，本公司基于对客户的财务状况、从第三方获取担保的可能</w:t>
      </w:r>
    </w:p>
    <w:p>
      <w:pPr>
        <w:pStyle w:val="BodyText"/>
        <w:spacing w:line="316" w:lineRule="auto" w:before="19"/>
        <w:ind w:right="1130"/>
        <w:jc w:val="both"/>
      </w:pPr>
      <w:r>
        <w:rPr>
          <w:spacing w:val="-2"/>
        </w:rPr>
        <w:t>性、信用记录及其它因素诸如目前市场状况等评估客户的信用资质并设置相应信用期。本公司对应收票据、应收账款余额及</w:t>
      </w:r>
      <w:r>
        <w:rPr>
          <w:spacing w:val="-63"/>
        </w:rPr>
        <w:t> </w:t>
      </w:r>
      <w:r>
        <w:rPr>
          <w:spacing w:val="-63"/>
        </w:rPr>
      </w:r>
      <w:r>
        <w:rPr>
          <w:spacing w:val="-2"/>
        </w:rPr>
        <w:t>收回情况进行持续监控，对于信用记录不良的客户，本公司会采用书面催款、缩短信用期或取消信用期等方式，以确保本公</w:t>
      </w:r>
      <w:r>
        <w:rPr>
          <w:spacing w:val="-65"/>
        </w:rPr>
        <w:t> </w:t>
      </w:r>
      <w:r>
        <w:rPr>
          <w:spacing w:val="-65"/>
        </w:rPr>
      </w:r>
      <w:r>
        <w:rPr>
          <w:spacing w:val="-2"/>
        </w:rPr>
        <w:t>司不致面临重大信用损失。此外，本公司于每个资产负债表日审核金融资产的回收情况，以确保相关金融资产计提了充分的</w:t>
      </w:r>
      <w:r>
        <w:rPr>
          <w:spacing w:val="-63"/>
        </w:rPr>
        <w:t> </w:t>
      </w:r>
      <w:r>
        <w:rPr>
          <w:spacing w:val="-63"/>
        </w:rPr>
      </w:r>
      <w:r>
        <w:rPr/>
        <w:t>预期信用损失准备。</w:t>
      </w:r>
    </w:p>
    <w:p>
      <w:pPr>
        <w:pStyle w:val="BodyText"/>
        <w:spacing w:line="316" w:lineRule="auto" w:before="19"/>
        <w:ind w:right="1131" w:firstLine="360"/>
        <w:jc w:val="both"/>
      </w:pPr>
      <w:r>
        <w:rPr>
          <w:spacing w:val="-2"/>
        </w:rPr>
        <w:t>本公司其他金融资产包括货币资金、其他应收款等，这些金融资产的信用风险源自于交易对手违约，最大信用风险敞口</w:t>
      </w:r>
      <w:r>
        <w:rPr/>
        <w:t> 为资产负债表中每项金融资产的账面金额。</w:t>
      </w:r>
    </w:p>
    <w:p>
      <w:pPr>
        <w:pStyle w:val="BodyText"/>
        <w:spacing w:line="319" w:lineRule="auto" w:before="19"/>
        <w:ind w:right="1130" w:firstLine="360"/>
        <w:jc w:val="both"/>
      </w:pPr>
      <w:r>
        <w:rPr>
          <w:spacing w:val="-2"/>
        </w:rPr>
        <w:t>本公司持有的货币资金主要存放于国有控股银行和其他大中型商业银行等金融机构，管理层认为这些商业银行具备较高</w:t>
      </w:r>
      <w:r>
        <w:rPr/>
        <w:t> </w:t>
      </w:r>
      <w:r>
        <w:rPr>
          <w:spacing w:val="-2"/>
        </w:rPr>
        <w:t>信誉和资产状况，不存在重大的信用风险，不会产生因对方单位违约而导致的任何重大损失。本公司的政策是根据各知名金</w:t>
      </w:r>
      <w:r>
        <w:rPr>
          <w:spacing w:val="-63"/>
        </w:rPr>
        <w:t> </w:t>
      </w:r>
      <w:r>
        <w:rPr>
          <w:spacing w:val="-63"/>
        </w:rPr>
      </w:r>
      <w:r>
        <w:rPr/>
        <w:t>融机构的市场信誉、经营规模及财务背景来控制存放当中的存款金额，以限制对任何单个金融机构的信用风险金额。</w:t>
      </w:r>
    </w:p>
    <w:p>
      <w:pPr>
        <w:pStyle w:val="BodyText"/>
        <w:spacing w:line="312" w:lineRule="auto" w:before="17"/>
        <w:ind w:right="1129" w:firstLine="360"/>
        <w:jc w:val="both"/>
      </w:pPr>
      <w:r>
        <w:rPr>
          <w:spacing w:val="-2"/>
        </w:rPr>
        <w:t>作为本公司信用风险资产管理的一部分，本公司利用账龄来评估应收账款和其他应收款的减值损失。本公司的应收账款</w:t>
      </w:r>
      <w:r>
        <w:rPr/>
        <w:t> </w:t>
      </w:r>
      <w:r>
        <w:rPr>
          <w:spacing w:val="-2"/>
        </w:rPr>
        <w:t>和其他应收款涉及大量客户，账龄信息可以反映这些客户对于应收账款和其他应收款的偿付能力和坏账风险。本公司根据历</w:t>
      </w:r>
      <w:r>
        <w:rPr>
          <w:spacing w:val="-63"/>
        </w:rPr>
        <w:t> </w:t>
      </w:r>
      <w:r>
        <w:rPr>
          <w:spacing w:val="-63"/>
        </w:rPr>
      </w:r>
      <w:r>
        <w:rPr>
          <w:spacing w:val="-2"/>
        </w:rPr>
        <w:t>史数据计算不同账龄期间的历史实际坏账率，并考虑了当前及未来经济状况的预测，如国家</w:t>
      </w:r>
      <w:r>
        <w:rPr>
          <w:rFonts w:ascii="Times New Roman" w:hAnsi="Times New Roman" w:cs="Times New Roman" w:eastAsia="Times New Roman" w:hint="default"/>
          <w:spacing w:val="-2"/>
        </w:rPr>
        <w:t>GDP</w:t>
      </w:r>
      <w:r>
        <w:rPr>
          <w:spacing w:val="-2"/>
        </w:rPr>
        <w:t>增速、基建投资总额、国家</w:t>
      </w:r>
      <w:r>
        <w:rPr>
          <w:spacing w:val="-63"/>
        </w:rPr>
        <w:t> </w:t>
      </w:r>
      <w:r>
        <w:rPr>
          <w:spacing w:val="-63"/>
        </w:rPr>
      </w:r>
      <w:r>
        <w:rPr/>
        <w:t>货币政策等前瞻性信息进行调整得出预期损失率。</w:t>
      </w:r>
    </w:p>
    <w:p>
      <w:pPr>
        <w:pStyle w:val="BodyText"/>
        <w:spacing w:line="240" w:lineRule="auto" w:before="22"/>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日，相关资产的账面余额与预期信用减值损失情况如下：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498"/>
        <w:gridCol w:w="2919"/>
        <w:gridCol w:w="2825"/>
      </w:tblGrid>
      <w:tr>
        <w:trPr>
          <w:trHeight w:val="348"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8"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54" w:right="0"/>
              <w:jc w:val="left"/>
              <w:rPr>
                <w:rFonts w:ascii="Times New Roman" w:hAnsi="Times New Roman" w:cs="Times New Roman" w:eastAsia="Times New Roman" w:hint="default"/>
                <w:sz w:val="18"/>
                <w:szCs w:val="18"/>
              </w:rPr>
            </w:pPr>
            <w:r>
              <w:rPr>
                <w:rFonts w:ascii="Times New Roman"/>
                <w:sz w:val="18"/>
              </w:rPr>
              <w:t>127,756,366.66</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43" w:right="0"/>
              <w:jc w:val="left"/>
              <w:rPr>
                <w:rFonts w:ascii="Times New Roman" w:hAnsi="Times New Roman" w:cs="Times New Roman" w:eastAsia="Times New Roman" w:hint="default"/>
                <w:sz w:val="18"/>
                <w:szCs w:val="18"/>
              </w:rPr>
            </w:pPr>
            <w:r>
              <w:rPr>
                <w:rFonts w:ascii="Times New Roman"/>
                <w:sz w:val="18"/>
              </w:rPr>
              <w:t>1,277,563.67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498"/>
        <w:gridCol w:w="2919"/>
        <w:gridCol w:w="2825"/>
      </w:tblGrid>
      <w:tr>
        <w:trPr>
          <w:trHeight w:val="348"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558,136,054.41</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95,226,893.38</w:t>
            </w:r>
          </w:p>
        </w:tc>
      </w:tr>
      <w:tr>
        <w:trPr>
          <w:trHeight w:val="346"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31,639,331.28</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8,200,028.23</w:t>
            </w:r>
          </w:p>
        </w:tc>
      </w:tr>
      <w:tr>
        <w:trPr>
          <w:trHeight w:val="348"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长期应收款（含一年内到期的款项）</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7,810,851.59</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3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725,342,603.94</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104,704,485.28</w:t>
            </w:r>
          </w:p>
        </w:tc>
      </w:tr>
    </w:tbl>
    <w:p>
      <w:pPr>
        <w:spacing w:line="240" w:lineRule="auto" w:before="5"/>
        <w:rPr>
          <w:rFonts w:ascii="宋体" w:hAnsi="宋体" w:cs="宋体" w:eastAsia="宋体" w:hint="default"/>
          <w:sz w:val="6"/>
          <w:szCs w:val="6"/>
        </w:rPr>
      </w:pPr>
    </w:p>
    <w:p>
      <w:pPr>
        <w:pStyle w:val="BodyText"/>
        <w:spacing w:line="316" w:lineRule="auto"/>
        <w:ind w:right="1133" w:firstLine="360"/>
        <w:jc w:val="left"/>
      </w:pPr>
      <w:r>
        <w:rPr>
          <w:spacing w:val="-2"/>
        </w:rPr>
        <w:t>本公司的主要客户具有可靠及良好的信誉，因此，本公司认为该等客户并无重大信用风险。由于本公司的客户广泛，因</w:t>
      </w:r>
      <w:r>
        <w:rPr/>
        <w:t> 此没有重大的信用集中风险。</w:t>
      </w:r>
    </w:p>
    <w:p>
      <w:pPr>
        <w:pStyle w:val="BodyText"/>
        <w:spacing w:line="300" w:lineRule="auto" w:before="19"/>
        <w:ind w:left="513" w:right="1124" w:hanging="53"/>
        <w:jc w:val="left"/>
      </w:pP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流动性风险是指本公司在履行以交付现金或其他金融资产的方式结算的义务时发生资金短缺的风险。本公司下属成员企</w:t>
      </w:r>
    </w:p>
    <w:p>
      <w:pPr>
        <w:pStyle w:val="BodyText"/>
        <w:spacing w:line="316" w:lineRule="auto" w:before="31"/>
        <w:ind w:right="1130"/>
        <w:jc w:val="both"/>
      </w:pPr>
      <w:r>
        <w:rPr>
          <w:spacing w:val="-2"/>
        </w:rPr>
        <w:t>业各自负责其现金流量预测。公司财务部门基于各成员企业的现金流量预测结果，在公司层面持续监控公司短期和长期的资</w:t>
      </w:r>
      <w:r>
        <w:rPr>
          <w:spacing w:val="-64"/>
        </w:rPr>
        <w:t> </w:t>
      </w:r>
      <w:r>
        <w:rPr>
          <w:spacing w:val="-64"/>
        </w:rPr>
      </w:r>
      <w:r>
        <w:rPr>
          <w:spacing w:val="-2"/>
        </w:rPr>
        <w:t>金需求，以确保维持充裕的现金储备；同时持续监控是否符合借款协议的规定，从主要金融机构获得提供足够备用资金的承</w:t>
      </w:r>
      <w:r>
        <w:rPr>
          <w:spacing w:val="-63"/>
        </w:rPr>
        <w:t> </w:t>
      </w:r>
      <w:r>
        <w:rPr>
          <w:spacing w:val="-63"/>
        </w:rPr>
      </w:r>
      <w:r>
        <w:rPr/>
        <w:t>诺，以满足短期和长期的资金需求。</w:t>
      </w:r>
    </w:p>
    <w:p>
      <w:pPr>
        <w:pStyle w:val="BodyText"/>
        <w:spacing w:line="240" w:lineRule="auto" w:before="19"/>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日，本公司金融负债以未折现的合同现金流量按合同剩余期限列示如下：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738"/>
        <w:gridCol w:w="1616"/>
        <w:gridCol w:w="1805"/>
        <w:gridCol w:w="1582"/>
        <w:gridCol w:w="1580"/>
        <w:gridCol w:w="1042"/>
      </w:tblGrid>
      <w:tr>
        <w:trPr>
          <w:trHeight w:val="346" w:hRule="exact"/>
        </w:trPr>
        <w:tc>
          <w:tcPr>
            <w:tcW w:w="173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2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738" w:type="dxa"/>
            <w:vMerge/>
            <w:tcBorders>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6"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157,711,834.30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157,711,834.30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140,000,000.00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140,000,000.00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548,714,830.97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548,714,830.97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32,406,978.57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32,406,978.57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r>
      <w:tr>
        <w:trPr>
          <w:trHeight w:val="660"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1" w:right="19"/>
              <w:jc w:val="left"/>
              <w:rPr>
                <w:rFonts w:ascii="宋体" w:hAnsi="宋体" w:cs="宋体" w:eastAsia="宋体" w:hint="default"/>
                <w:sz w:val="18"/>
                <w:szCs w:val="18"/>
              </w:rPr>
            </w:pPr>
            <w:r>
              <w:rPr>
                <w:rFonts w:ascii="宋体" w:hAnsi="宋体" w:cs="宋体" w:eastAsia="宋体" w:hint="default"/>
                <w:spacing w:val="6"/>
                <w:sz w:val="18"/>
                <w:szCs w:val="18"/>
              </w:rPr>
              <w:t>长期应付款（含一年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内到期的款项）</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66,083,597.99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35,361,226.79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23,462,918.47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7,259,452.73</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944,917,241.83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914,194,870.63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23,462,918.47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7,259,452.73</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pStyle w:val="Heading5"/>
        <w:spacing w:line="300" w:lineRule="auto"/>
        <w:ind w:left="460" w:right="9513"/>
        <w:jc w:val="left"/>
        <w:rPr>
          <w:b w:val="0"/>
          <w:bCs w:val="0"/>
        </w:rPr>
      </w:pPr>
      <w:r>
        <w:rPr>
          <w:rFonts w:ascii="Times New Roman" w:hAnsi="Times New Roman" w:cs="Times New Roman" w:eastAsia="Times New Roman" w:hint="default"/>
        </w:rPr>
        <w:t>3.</w:t>
      </w:r>
      <w:r>
        <w:rPr/>
        <w:t>市场风险</w:t>
      </w:r>
      <w:r>
        <w:rPr>
          <w:w w:val="99"/>
        </w:rPr>
        <w:t> </w:t>
      </w:r>
      <w:r>
        <w:rPr>
          <w:rFonts w:ascii="Times New Roman" w:hAnsi="Times New Roman" w:cs="Times New Roman" w:eastAsia="Times New Roman" w:hint="default"/>
        </w:rPr>
        <w:t>(1)</w:t>
      </w:r>
      <w:r>
        <w:rPr/>
        <w:t>汇率风险</w:t>
      </w:r>
      <w:r>
        <w:rPr>
          <w:b w:val="0"/>
          <w:bCs w:val="0"/>
        </w:rPr>
      </w:r>
    </w:p>
    <w:p>
      <w:pPr>
        <w:pStyle w:val="BodyText"/>
        <w:spacing w:line="316" w:lineRule="auto" w:before="13"/>
        <w:ind w:right="1132" w:firstLine="360"/>
        <w:jc w:val="both"/>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资产和负债及外币交易的计价货币主要为美元和港币）依然存在汇率风险。本公司财务部门负责监控公司外币交易和外币资</w:t>
      </w:r>
      <w:r>
        <w:rPr>
          <w:spacing w:val="-64"/>
        </w:rPr>
        <w:t> </w:t>
      </w:r>
      <w:r>
        <w:rPr>
          <w:spacing w:val="-64"/>
        </w:rPr>
      </w:r>
      <w:r>
        <w:rPr/>
        <w:t>产及负债的规模，以最大程度降低面临的汇率风险；</w:t>
      </w:r>
    </w:p>
    <w:p>
      <w:pPr>
        <w:pStyle w:val="BodyText"/>
        <w:spacing w:line="240" w:lineRule="auto" w:before="19"/>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60"/>
        <w:gridCol w:w="1465"/>
        <w:gridCol w:w="1231"/>
        <w:gridCol w:w="893"/>
        <w:gridCol w:w="1299"/>
        <w:gridCol w:w="1042"/>
        <w:gridCol w:w="1421"/>
      </w:tblGrid>
      <w:tr>
        <w:trPr>
          <w:trHeight w:val="348" w:hRule="exact"/>
        </w:trPr>
        <w:tc>
          <w:tcPr>
            <w:tcW w:w="14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8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460" w:type="dxa"/>
            <w:vMerge/>
            <w:tcBorders>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宋体" w:hAnsi="宋体" w:cs="宋体" w:eastAsia="宋体" w:hint="default"/>
                <w:sz w:val="18"/>
                <w:szCs w:val="18"/>
              </w:rPr>
            </w:pPr>
            <w:r>
              <w:rPr>
                <w:rFonts w:ascii="宋体" w:hAnsi="宋体" w:cs="宋体" w:eastAsia="宋体" w:hint="default"/>
                <w:sz w:val="18"/>
                <w:szCs w:val="18"/>
              </w:rPr>
              <w:t>欧元项目</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35" w:right="60" w:hanging="272"/>
              <w:jc w:val="left"/>
              <w:rPr>
                <w:rFonts w:ascii="宋体" w:hAnsi="宋体" w:cs="宋体" w:eastAsia="宋体" w:hint="default"/>
                <w:sz w:val="18"/>
                <w:szCs w:val="18"/>
              </w:rPr>
            </w:pPr>
            <w:r>
              <w:rPr>
                <w:rFonts w:ascii="宋体" w:hAnsi="宋体" w:cs="宋体" w:eastAsia="宋体" w:hint="default"/>
                <w:sz w:val="18"/>
                <w:szCs w:val="18"/>
              </w:rPr>
              <w:t>澳大利亚币 项目</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465"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1"/>
                <w:sz w:val="18"/>
              </w:rPr>
              <w:t>36,299,470.96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95,918.49</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
              <w:jc w:val="right"/>
              <w:rPr>
                <w:rFonts w:ascii="Times New Roman" w:hAnsi="Times New Roman" w:cs="Times New Roman" w:eastAsia="Times New Roman" w:hint="default"/>
                <w:sz w:val="18"/>
                <w:szCs w:val="18"/>
              </w:rPr>
            </w:pPr>
            <w:r>
              <w:rPr>
                <w:rFonts w:ascii="Times New Roman"/>
                <w:spacing w:val="-1"/>
                <w:sz w:val="18"/>
              </w:rPr>
              <w:t>455.77</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200,273.98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36,596,119.20</w:t>
            </w:r>
          </w:p>
        </w:tc>
      </w:tr>
      <w:tr>
        <w:trPr>
          <w:trHeight w:val="34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182,169,284.50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1,658,758.59</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6,182.06</w:t>
            </w:r>
          </w:p>
        </w:tc>
        <w:tc>
          <w:tcPr>
            <w:tcW w:w="1299"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183,834,225.15</w:t>
            </w: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1"/>
                <w:sz w:val="18"/>
              </w:rPr>
              <w:t>17,454.03</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17,454.03</w:t>
            </w: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218,486,209.49</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1,754,677.08</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6,182.06</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
              <w:jc w:val="right"/>
              <w:rPr>
                <w:rFonts w:ascii="Times New Roman" w:hAnsi="Times New Roman" w:cs="Times New Roman" w:eastAsia="Times New Roman" w:hint="default"/>
                <w:sz w:val="18"/>
                <w:szCs w:val="18"/>
              </w:rPr>
            </w:pPr>
            <w:r>
              <w:rPr>
                <w:rFonts w:ascii="Times New Roman"/>
                <w:spacing w:val="-1"/>
                <w:sz w:val="18"/>
              </w:rPr>
              <w:t>455.77</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200,273.98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220,447,798.38</w:t>
            </w:r>
          </w:p>
        </w:tc>
      </w:tr>
      <w:tr>
        <w:trPr>
          <w:trHeight w:val="34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4,108,324.50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4,108,324.50</w:t>
            </w: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1"/>
                <w:sz w:val="18"/>
              </w:rPr>
              <w:t>17,352.18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17,352.18</w:t>
            </w:r>
          </w:p>
        </w:tc>
      </w:tr>
      <w:tr>
        <w:trPr>
          <w:trHeight w:val="34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pacing w:val="-1"/>
                <w:sz w:val="18"/>
              </w:rPr>
              <w:t>4,125,676.68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4,125,676.68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ind w:left="513" w:right="1120"/>
        <w:jc w:val="left"/>
      </w:pPr>
      <w:r>
        <w:rPr/>
        <w:t>敏感性分析： </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日，对于本公司各类外币金融资产和外币金融负债，如果人民币对外币升值或贬值</w:t>
      </w:r>
      <w:r>
        <w:rPr>
          <w:rFonts w:ascii="Times New Roman" w:hAnsi="Times New Roman" w:cs="Times New Roman" w:eastAsia="Times New Roman" w:hint="default"/>
          <w:spacing w:val="-1"/>
        </w:rPr>
        <w:t>10%</w:t>
      </w:r>
      <w:r>
        <w:rPr>
          <w:spacing w:val="-1"/>
        </w:rPr>
        <w:t>，其他因素保</w:t>
      </w:r>
    </w:p>
    <w:p>
      <w:pPr>
        <w:pStyle w:val="BodyText"/>
        <w:spacing w:line="246" w:lineRule="exact" w:before="0"/>
        <w:ind w:right="1133"/>
        <w:jc w:val="left"/>
      </w:pPr>
      <w:r>
        <w:rPr/>
        <w:t>持不变，则本公司将减少或增加净利润约</w:t>
      </w:r>
      <w:r>
        <w:rPr>
          <w:rFonts w:ascii="Times New Roman" w:hAnsi="Times New Roman" w:cs="Times New Roman" w:eastAsia="Times New Roman" w:hint="default"/>
        </w:rPr>
        <w:t>21,632,212.17</w:t>
      </w:r>
      <w:r>
        <w:rPr/>
        <w:t>元（</w:t>
      </w:r>
      <w:r>
        <w:rPr>
          <w:rFonts w:ascii="Times New Roman" w:hAnsi="Times New Roman" w:cs="Times New Roman" w:eastAsia="Times New Roman" w:hint="default"/>
        </w:rPr>
        <w:t>2018</w:t>
      </w:r>
      <w:r>
        <w:rPr/>
        <w:t>年度约</w:t>
      </w:r>
      <w:r>
        <w:rPr>
          <w:rFonts w:ascii="Times New Roman" w:hAnsi="Times New Roman" w:cs="Times New Roman" w:eastAsia="Times New Roman" w:hint="default"/>
        </w:rPr>
        <w:t>17,415,254.13</w:t>
      </w:r>
      <w:r>
        <w:rPr/>
        <w:t>元</w:t>
      </w:r>
      <w:r>
        <w:rPr>
          <w:rFonts w:ascii="Times New Roman" w:hAnsi="Times New Roman" w:cs="Times New Roman" w:eastAsia="Times New Roman" w:hint="default"/>
        </w:rPr>
        <w:t>)</w:t>
      </w:r>
      <w:r>
        <w:rPr/>
        <w:t>。</w:t>
      </w:r>
    </w:p>
    <w:p>
      <w:pPr>
        <w:pStyle w:val="BodyText"/>
        <w:spacing w:line="300" w:lineRule="auto" w:before="63"/>
        <w:ind w:left="513" w:right="1124" w:hanging="53"/>
        <w:jc w:val="left"/>
      </w:pPr>
      <w:r>
        <w:rPr>
          <w:rFonts w:ascii="Times New Roman" w:hAnsi="Times New Roman" w:cs="Times New Roman" w:eastAsia="Times New Roman" w:hint="default"/>
          <w:b/>
          <w:bCs/>
        </w:rPr>
        <w:t>(2)</w:t>
      </w:r>
      <w:r>
        <w:rPr>
          <w:rFonts w:ascii="宋体" w:hAnsi="宋体" w:cs="宋体" w:eastAsia="宋体" w:hint="default"/>
          <w:b/>
          <w:bCs/>
        </w:rPr>
        <w:t>利率风险</w:t>
      </w:r>
      <w:r>
        <w:rPr>
          <w:rFonts w:ascii="宋体" w:hAnsi="宋体" w:cs="宋体" w:eastAsia="宋体" w:hint="default"/>
          <w:b/>
          <w:bCs/>
          <w:w w:val="99"/>
        </w:rPr>
        <w:t> </w:t>
      </w:r>
      <w:r>
        <w:rPr>
          <w:spacing w:val="-2"/>
        </w:rPr>
        <w:t>本公司的利率风险主要产生于银行借款。浮动利率的金融负债使本公司面临现金流量利率风险，固定利率的金融负债使</w:t>
      </w:r>
    </w:p>
    <w:p>
      <w:pPr>
        <w:pStyle w:val="BodyText"/>
        <w:spacing w:line="316" w:lineRule="auto" w:before="31"/>
        <w:ind w:left="513" w:right="1124" w:hanging="361"/>
        <w:jc w:val="left"/>
      </w:pPr>
      <w:r>
        <w:rPr/>
        <w:t>本公司面临公允价值利率风险。本公司根据当时的市场环境来决定固定利率及浮动利率合同的相对比例。 </w:t>
      </w:r>
      <w:r>
        <w:rPr>
          <w:spacing w:val="-2"/>
        </w:rPr>
        <w:t>本公司财务部门持续监控公司利率水平。利率上升会增加新增带息债务的成本以及本公司尚未付清的以浮动利率计息的</w:t>
      </w:r>
    </w:p>
    <w:p>
      <w:pPr>
        <w:pStyle w:val="BodyText"/>
        <w:spacing w:line="316" w:lineRule="auto" w:before="19"/>
        <w:ind w:right="1124"/>
        <w:jc w:val="left"/>
      </w:pPr>
      <w:r>
        <w:rPr>
          <w:spacing w:val="-2"/>
        </w:rPr>
        <w:t>带息债务的利息支出，并对本公司的财务业绩产生重大的不利影响，管理层会依据最新的市场状况及时做出调整，这些调整</w:t>
      </w:r>
      <w:r>
        <w:rPr>
          <w:spacing w:val="-62"/>
        </w:rPr>
        <w:t> </w:t>
      </w:r>
      <w:r>
        <w:rPr>
          <w:spacing w:val="-62"/>
        </w:rPr>
      </w:r>
      <w:r>
        <w:rPr/>
        <w:t>可能是进行利率互换的安排来降低利率风险。</w:t>
      </w:r>
    </w:p>
    <w:p>
      <w:pPr>
        <w:pStyle w:val="BodyText"/>
        <w:spacing w:line="240" w:lineRule="auto" w:before="19"/>
        <w:ind w:left="513" w:right="1133"/>
        <w:jc w:val="left"/>
      </w:pPr>
      <w:r>
        <w:rPr/>
        <w:t>①本年度公司无利率互换安排。</w:t>
      </w:r>
    </w:p>
    <w:p>
      <w:pPr>
        <w:pStyle w:val="BodyText"/>
        <w:spacing w:line="240" w:lineRule="auto" w:before="76"/>
        <w:ind w:left="513" w:right="1133"/>
        <w:jc w:val="left"/>
      </w:pPr>
      <w:r>
        <w:rPr/>
        <w:t>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日，本公司无长期带息债务主要为人民币计价的浮动利率合同。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bookmarkStart w:name="十一、公允价值的披露" w:id="479"/>
      <w:bookmarkEnd w:id="479"/>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以公允价值计量的资产和负债的期末公允价值" w:id="480"/>
      <w:bookmarkEnd w:id="48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3,843,521.55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7,281,365.84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11,124,887.39</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2,448,289.42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2,448,289.42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10,000,000.00</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5"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持续和非持续第一层次公允价值计量项目市价的确定依据" w:id="481"/>
      <w:bookmarkEnd w:id="48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3、持续和非持续第二层次公允价值计量项目，采用的估值技术和重要参数的定性及定量信" w:id="482"/>
      <w:bookmarkEnd w:id="48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持续和非持续第三层次公允价值计量项目，采用的估值技术和重要参数的定性及定量信" w:id="483"/>
      <w:bookmarkEnd w:id="48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5、持续的第三层次公允价值计量项目，期初与期末账面价值间的调节信息及不可观察参数" w:id="484"/>
      <w:bookmarkEnd w:id="48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6、持续的公允价值计量项目，本期内发生各层级之间转换的，转换的原因及确定转换时点" w:id="485"/>
      <w:bookmarkEnd w:id="48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本期内发生的估值技术变更及变更原因" w:id="486"/>
      <w:bookmarkEnd w:id="48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bookmarkStart w:name="8、不以公允价值计量的金融资产和金融负债的公允价值情况" w:id="487"/>
      <w:bookmarkEnd w:id="48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88"/>
      <w:bookmarkEnd w:id="48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89"/>
      <w:bookmarkEnd w:id="489"/>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90"/>
      <w:bookmarkEnd w:id="4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34.88%</w:t>
            </w:r>
          </w:p>
        </w:tc>
      </w:tr>
    </w:tbl>
    <w:p>
      <w:pPr>
        <w:pStyle w:val="BodyText"/>
        <w:spacing w:line="240" w:lineRule="auto" w:before="49"/>
        <w:ind w:right="1133"/>
        <w:jc w:val="left"/>
      </w:pPr>
      <w:r>
        <w:rPr/>
        <w:t>本企业的母公司情况的说明</w:t>
      </w:r>
    </w:p>
    <w:p>
      <w:pPr>
        <w:spacing w:line="240" w:lineRule="auto" w:before="0"/>
        <w:rPr>
          <w:rFonts w:ascii="宋体" w:hAnsi="宋体" w:cs="宋体" w:eastAsia="宋体" w:hint="default"/>
          <w:sz w:val="15"/>
          <w:szCs w:val="15"/>
        </w:rPr>
      </w:pPr>
    </w:p>
    <w:p>
      <w:pPr>
        <w:pStyle w:val="BodyText"/>
        <w:spacing w:line="240" w:lineRule="auto" w:before="0"/>
        <w:ind w:left="518" w:right="0"/>
        <w:jc w:val="left"/>
      </w:pPr>
      <w:r>
        <w:rPr/>
        <w:t>注：顾永德直接持有本公司</w:t>
      </w:r>
      <w:r>
        <w:rPr>
          <w:rFonts w:ascii="Times New Roman" w:hAnsi="Times New Roman" w:cs="Times New Roman" w:eastAsia="Times New Roman" w:hint="default"/>
        </w:rPr>
        <w:t>30.64%</w:t>
      </w:r>
      <w:r>
        <w:rPr/>
        <w:t>的股份，并通过深圳德旺投资发展有限公司持有本公司</w:t>
      </w:r>
      <w:r>
        <w:rPr>
          <w:rFonts w:ascii="Times New Roman" w:hAnsi="Times New Roman" w:cs="Times New Roman" w:eastAsia="Times New Roman" w:hint="default"/>
        </w:rPr>
        <w:t>4.24%</w:t>
      </w:r>
      <w:r>
        <w:rPr/>
        <w:t>的股份，合计持有公司</w:t>
      </w:r>
    </w:p>
    <w:p>
      <w:pPr>
        <w:pStyle w:val="BodyText"/>
        <w:spacing w:line="240" w:lineRule="auto" w:before="60"/>
        <w:ind w:right="1133"/>
        <w:jc w:val="left"/>
      </w:pPr>
      <w:r>
        <w:rPr>
          <w:rFonts w:ascii="Times New Roman" w:hAnsi="Times New Roman" w:cs="Times New Roman" w:eastAsia="Times New Roman" w:hint="default"/>
        </w:rPr>
        <w:t>34.88%</w:t>
      </w:r>
      <w:r>
        <w:rPr/>
        <w:t>股权。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before="0"/>
        <w:ind w:right="8414"/>
        <w:jc w:val="left"/>
      </w:pPr>
      <w:r>
        <w:rPr/>
        <w:t>本企业最终控制方是顾永德。 其他说明：</w:t>
      </w:r>
    </w:p>
    <w:p>
      <w:pPr>
        <w:spacing w:line="240" w:lineRule="auto" w:before="2"/>
        <w:rPr>
          <w:rFonts w:ascii="宋体" w:hAnsi="宋体" w:cs="宋体" w:eastAsia="宋体" w:hint="default"/>
          <w:sz w:val="20"/>
          <w:szCs w:val="20"/>
        </w:rPr>
      </w:pPr>
    </w:p>
    <w:p>
      <w:pPr>
        <w:spacing w:line="547" w:lineRule="auto" w:before="0"/>
        <w:ind w:left="152" w:right="5284" w:firstLine="0"/>
        <w:jc w:val="left"/>
        <w:rPr>
          <w:rFonts w:ascii="宋体" w:hAnsi="宋体" w:cs="宋体" w:eastAsia="宋体" w:hint="default"/>
          <w:sz w:val="21"/>
          <w:szCs w:val="21"/>
        </w:rPr>
      </w:pPr>
      <w:bookmarkStart w:name="2、本企业的子公司情况" w:id="491"/>
      <w:bookmarkEnd w:id="4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本企业子公司的情况详见附注第十二节、九、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92"/>
      <w:bookmarkEnd w:id="49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2294"/>
        <w:jc w:val="left"/>
      </w:pPr>
      <w:r>
        <w:rPr/>
        <w:t>本企业重要的合营或联营企业详见附注第十二节、九、</w:t>
      </w:r>
      <w:r>
        <w:rPr>
          <w:rFonts w:ascii="Times New Roman" w:hAnsi="Times New Roman" w:cs="Times New Roman" w:eastAsia="Times New Roman" w:hint="default"/>
        </w:rPr>
        <w:t>3“</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0"/>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4、其他关联方情况" w:id="493"/>
      <w:bookmarkEnd w:id="49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顾永德持有其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7"/>
                <w:sz w:val="18"/>
              </w:rPr>
              <w:t> </w:t>
            </w:r>
            <w:r>
              <w:rPr>
                <w:rFonts w:ascii="Times New Roman"/>
                <w:sz w:val="18"/>
              </w:rPr>
              <w:t>Corporation</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香港茂硕持有其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持有本公司控股子公司海宁茂硕</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29.40%</w:t>
            </w:r>
            <w:r>
              <w:rPr>
                <w:rFonts w:ascii="宋体" w:hAnsi="宋体" w:cs="宋体" w:eastAsia="宋体" w:hint="default"/>
                <w:sz w:val="18"/>
                <w:szCs w:val="18"/>
              </w:rPr>
              <w:t>的股份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的股份、顾永德任董事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茂硕电气持有其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深圳前海茂硕新能源科技有限公司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本公司控股子公司茂硕新能源持有其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19.95%</w:t>
            </w:r>
            <w:r>
              <w:rPr>
                <w:rFonts w:ascii="宋体" w:hAnsi="宋体" w:cs="宋体" w:eastAsia="宋体" w:hint="default"/>
                <w:sz w:val="18"/>
                <w:szCs w:val="18"/>
              </w:rPr>
              <w:t>的股份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深圳市迈斯达尔医疗器械有限公司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的股份</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4.95%</w:t>
            </w:r>
            <w:r>
              <w:rPr>
                <w:rFonts w:ascii="宋体" w:hAnsi="宋体" w:cs="宋体" w:eastAsia="宋体" w:hint="default"/>
                <w:sz w:val="18"/>
                <w:szCs w:val="18"/>
              </w:rPr>
              <w:t>的股份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山西茂硕光伏电力股份有限公司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本公司控股子公司茂硕电气持有其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24.60%</w:t>
            </w:r>
            <w:r>
              <w:rPr>
                <w:rFonts w:ascii="宋体" w:hAnsi="宋体" w:cs="宋体" w:eastAsia="宋体" w:hint="default"/>
                <w:sz w:val="18"/>
                <w:szCs w:val="18"/>
              </w:rPr>
              <w:t>的股份</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5、关联交易情况" w:id="494"/>
      <w:bookmarkEnd w:id="49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购销商品、提供和接受劳务的关联交易" w:id="495"/>
      <w:bookmarkEnd w:id="49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15,562,864.35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12,849,129.85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1,398,163.00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596,591.59</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海宁市诺耶科华太 阳能电力工程有限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1,670,849.45</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15,562,864.35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16,514,733.89</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6" w:right="0"/>
              <w:jc w:val="left"/>
              <w:rPr>
                <w:rFonts w:ascii="Times New Roman" w:hAnsi="Times New Roman" w:cs="Times New Roman" w:eastAsia="Times New Roman" w:hint="default"/>
                <w:sz w:val="18"/>
                <w:szCs w:val="18"/>
              </w:rPr>
            </w:pPr>
            <w:r>
              <w:rPr>
                <w:rFonts w:ascii="Times New Roman"/>
                <w:sz w:val="18"/>
              </w:rPr>
              <w:t>160,253.29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5" w:right="0"/>
              <w:jc w:val="left"/>
              <w:rPr>
                <w:rFonts w:ascii="Times New Roman" w:hAnsi="Times New Roman" w:cs="Times New Roman" w:eastAsia="Times New Roman" w:hint="default"/>
                <w:sz w:val="18"/>
                <w:szCs w:val="18"/>
              </w:rPr>
            </w:pPr>
            <w:r>
              <w:rPr>
                <w:rFonts w:ascii="Times New Roman"/>
                <w:sz w:val="18"/>
              </w:rPr>
              <w:t>1,286,292.74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5,708,097.24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1,762,302.55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160,253.29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8,756,692.53</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2）关联受托管理/承包及委托管理/出包情况" w:id="496"/>
      <w:bookmarkEnd w:id="49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3）关联租赁情况" w:id="497"/>
      <w:bookmarkEnd w:id="49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6,246.40</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深圳前海茂硕新能源科技有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22,247.60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28,494.00</w:t>
            </w:r>
          </w:p>
        </w:tc>
      </w:tr>
    </w:tbl>
    <w:p>
      <w:pPr>
        <w:pStyle w:val="BodyText"/>
        <w:spacing w:line="240" w:lineRule="auto" w:before="49"/>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4）关联担保情况" w:id="498"/>
      <w:bookmarkEnd w:id="49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茂 硕电气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r>
              <w:rPr>
                <w:rFonts w:ascii="Times New Roman" w:hAnsi="Times New Roman" w:cs="Times New Roman" w:eastAsia="Times New Roman" w:hint="default"/>
                <w:sz w:val="18"/>
                <w:szCs w:val="18"/>
              </w:rPr>
              <w:t>/</w:t>
            </w:r>
            <w:r>
              <w:rPr>
                <w:rFonts w:ascii="宋体" w:hAnsi="宋体" w:cs="宋体" w:eastAsia="宋体" w:hint="default"/>
                <w:sz w:val="18"/>
                <w:szCs w:val="18"/>
              </w:rPr>
              <w:t>周莉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加 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关联担保情况说明</w:t>
      </w:r>
    </w:p>
    <w:p>
      <w:pPr>
        <w:pStyle w:val="BodyText"/>
        <w:spacing w:line="240" w:lineRule="auto" w:before="115"/>
        <w:ind w:right="1133"/>
        <w:jc w:val="left"/>
      </w:pPr>
      <w:r>
        <w:rPr>
          <w:rFonts w:ascii="Times New Roman" w:hAnsi="Times New Roman" w:cs="Times New Roman" w:eastAsia="Times New Roman" w:hint="default"/>
        </w:rPr>
        <w:t>*</w:t>
      </w:r>
      <w:r>
        <w:rPr/>
        <w:t>本公司与茂硕电子共同为惠州茂硕提供担保。</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5）关联方资金拆借" w:id="499"/>
      <w:bookmarkEnd w:id="49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关联方资产转让、债务重组情况" w:id="500"/>
      <w:bookmarkEnd w:id="50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关键管理人员报酬" w:id="501"/>
      <w:bookmarkEnd w:id="50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6,096,605.81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8）其他关联交易" w:id="502"/>
      <w:bookmarkEnd w:id="50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6、关联方应收应付款项" w:id="503"/>
      <w:bookmarkEnd w:id="50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项目" w:id="504"/>
      <w:bookmarkEnd w:id="50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湖南茂硕电气有限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1,428,495.50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999,946.85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2,604,980.50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125,936.53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山西茂硕光伏电力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1,534,305.00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1,074,013.50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3,407,320.00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125,627.50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河南茂硕电气有限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3,167,834.00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158,391.70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5"/>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4"/>
                <w:sz w:val="18"/>
              </w:rPr>
              <w:t> </w:t>
            </w:r>
            <w:r>
              <w:rPr>
                <w:rFonts w:ascii="Times New Roman"/>
                <w:sz w:val="18"/>
              </w:rPr>
              <w:t>Info</w:t>
            </w:r>
            <w:r>
              <w:rPr>
                <w:rFonts w:ascii="Times New Roman"/>
                <w:w w:val="99"/>
                <w:sz w:val="18"/>
              </w:rPr>
              <w:t> </w:t>
            </w:r>
            <w:r>
              <w:rPr>
                <w:rFonts w:ascii="Times New Roman"/>
                <w:sz w:val="18"/>
              </w:rPr>
              <w:t>Corporation</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7,157,343.92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5,921,967.93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1,956.20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78.51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海宁市诺耶科华太 阳能电力工程有限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1,838,018.00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183,801.80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深圳前海茂硕新能 源科技有限公司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应付项目" w:id="505"/>
      <w:bookmarkEnd w:id="50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10,470,136.27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7,603,749.28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1,186,981.66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1,186,981.66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海宁市诺耶科华太阳能电力 工程有限公司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2,694,860.00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深圳市迈斯达尔医疗器械有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7、关联方承诺" w:id="506"/>
      <w:bookmarkEnd w:id="50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507"/>
      <w:bookmarkEnd w:id="5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08"/>
      <w:bookmarkEnd w:id="508"/>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9"/>
      <w:bookmarkEnd w:id="5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以权益结算的股份支付情况" w:id="510"/>
      <w:bookmarkEnd w:id="51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bookmarkStart w:name="3、以现金结算的股份支付情况" w:id="511"/>
      <w:bookmarkEnd w:id="51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512"/>
      <w:bookmarkEnd w:id="512"/>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5"/>
        <w:ind w:left="152" w:right="8345" w:firstLine="0"/>
        <w:jc w:val="left"/>
        <w:rPr>
          <w:rFonts w:ascii="宋体" w:hAnsi="宋体" w:cs="宋体" w:eastAsia="宋体" w:hint="default"/>
          <w:sz w:val="21"/>
          <w:szCs w:val="21"/>
        </w:rPr>
      </w:pPr>
      <w:bookmarkStart w:name="5、其他" w:id="513"/>
      <w:bookmarkEnd w:id="51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14"/>
      <w:bookmarkEnd w:id="514"/>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5"/>
      <w:bookmarkEnd w:id="5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360" w:lineRule="auto" w:before="102"/>
        <w:ind w:left="152" w:right="6959" w:firstLine="0"/>
        <w:jc w:val="left"/>
        <w:rPr>
          <w:rFonts w:ascii="宋体" w:hAnsi="宋体" w:cs="宋体" w:eastAsia="宋体" w:hint="default"/>
          <w:sz w:val="18"/>
          <w:szCs w:val="18"/>
        </w:rPr>
      </w:pPr>
      <w:r>
        <w:rPr/>
        <w:pict>
          <v:shape style="position:absolute;margin-left:56.279999pt;margin-top:37.93174pt;width:419.65pt;height:122.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6"/>
                    <w:gridCol w:w="2472"/>
                    <w:gridCol w:w="2473"/>
                  </w:tblGrid>
                  <w:tr>
                    <w:trPr>
                      <w:trHeight w:val="348"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72"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z w:val="18"/>
                          </w:rPr>
                          <w:t>--</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7,615,838.69</w:t>
                        </w:r>
                      </w:p>
                    </w:tc>
                  </w:tr>
                  <w:tr>
                    <w:trPr>
                      <w:trHeight w:val="346"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8,123,597.67</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8,521,653.95</w:t>
                        </w:r>
                      </w:p>
                    </w:tc>
                  </w:tr>
                  <w:tr>
                    <w:trPr>
                      <w:trHeight w:val="348"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8,615,844.06</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9,050,962.69</w:t>
                        </w:r>
                      </w:p>
                    </w:tc>
                  </w:tr>
                  <w:tr>
                    <w:trPr>
                      <w:trHeight w:val="349"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9,626,752.65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10,127,405.85</w:t>
                        </w:r>
                      </w:p>
                    </w:tc>
                  </w:tr>
                  <w:tr>
                    <w:trPr>
                      <w:trHeight w:val="346" w:hRule="exact"/>
                    </w:trPr>
                    <w:tc>
                      <w:tcPr>
                        <w:tcW w:w="3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2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11,992,578.44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12,637,025.19</w:t>
                        </w:r>
                      </w:p>
                    </w:tc>
                  </w:tr>
                </w:tbl>
                <w:p>
                  <w:pPr/>
                </w:p>
              </w:txbxContent>
            </v:textbox>
            <w10:wrap type="none"/>
          </v:shape>
        </w:pict>
      </w:r>
      <w:r>
        <w:rPr>
          <w:rFonts w:ascii="宋体" w:hAnsi="宋体" w:cs="宋体" w:eastAsia="宋体" w:hint="default"/>
          <w:sz w:val="18"/>
          <w:szCs w:val="18"/>
        </w:rPr>
        <w:t>资产负债表日存在的重要承诺 </w:t>
      </w:r>
      <w:r>
        <w:rPr>
          <w:rFonts w:ascii="宋体" w:hAnsi="宋体" w:cs="宋体" w:eastAsia="宋体" w:hint="default"/>
          <w:b/>
          <w:bCs/>
          <w:sz w:val="18"/>
          <w:szCs w:val="18"/>
        </w:rPr>
        <w:t>已签订的正在或准备履行的租赁合同及财务影响</w:t>
      </w:r>
      <w:r>
        <w:rPr>
          <w:rFonts w:ascii="宋体" w:hAnsi="宋体" w:cs="宋体" w:eastAsia="宋体" w:hint="default"/>
          <w:sz w:val="18"/>
          <w:szCs w:val="18"/>
        </w:rPr>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bookmarkStart w:name="2、或有事项" w:id="516"/>
      <w:bookmarkEnd w:id="5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资产负债表日存在的重要或有事项" w:id="517"/>
      <w:bookmarkEnd w:id="51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spacing w:line="316" w:lineRule="auto" w:before="0"/>
        <w:ind w:left="518" w:right="1133"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对外提供债务担保形成的或有事项及其财务影响</w:t>
      </w:r>
      <w:r>
        <w:rPr>
          <w:rFonts w:ascii="宋体" w:hAnsi="宋体" w:cs="宋体" w:eastAsia="宋体" w:hint="default"/>
          <w:b/>
          <w:bCs/>
          <w:w w:val="99"/>
          <w:sz w:val="18"/>
          <w:szCs w:val="18"/>
        </w:rPr>
        <w:t> </w:t>
      </w:r>
      <w:r>
        <w:rPr>
          <w:rFonts w:ascii="宋体" w:hAnsi="宋体" w:cs="宋体" w:eastAsia="宋体" w:hint="default"/>
          <w:spacing w:val="-2"/>
          <w:sz w:val="18"/>
          <w:szCs w:val="18"/>
        </w:rPr>
        <w:t>为关联方提供担保详见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本报告第十二节、十二、关联方及关联交易之</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。除存在上述或有事项外，截止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p>
      <w:pPr>
        <w:pStyle w:val="BodyText"/>
        <w:spacing w:line="248" w:lineRule="exact" w:before="0"/>
        <w:ind w:right="1133"/>
        <w:jc w:val="left"/>
      </w:pPr>
      <w:r>
        <w:rPr/>
        <w:t>月</w:t>
      </w:r>
      <w:r>
        <w:rPr>
          <w:rFonts w:ascii="Times New Roman" w:hAnsi="Times New Roman" w:cs="Times New Roman" w:eastAsia="Times New Roman" w:hint="default"/>
        </w:rPr>
        <w:t>31</w:t>
      </w:r>
      <w:r>
        <w:rPr/>
        <w:t>日，本公司无其他应披露未披露的重要或有事项。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33"/>
        <w:jc w:val="left"/>
        <w:rPr>
          <w:b w:val="0"/>
          <w:bCs w:val="0"/>
        </w:rPr>
      </w:pPr>
      <w:bookmarkStart w:name="（2）公司没有需要披露的重要或有事项，也应予以说明" w:id="518"/>
      <w:bookmarkEnd w:id="51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bookmarkStart w:name="3、其他" w:id="519"/>
      <w:bookmarkEnd w:id="5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20"/>
      <w:bookmarkEnd w:id="520"/>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21"/>
      <w:bookmarkEnd w:id="5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2、利润分配情况" w:id="522"/>
      <w:bookmarkEnd w:id="52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销售退回" w:id="523"/>
      <w:bookmarkEnd w:id="52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其他资产负债表日后事项说明" w:id="524"/>
      <w:bookmarkEnd w:id="52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left="518" w:right="1133" w:firstLine="7"/>
        <w:jc w:val="left"/>
      </w:pPr>
      <w:r>
        <w:rPr/>
        <w:t>新型冠状病毒感染的肺炎疫情的影响 新型冠状病毒感染的肺炎疫情</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月在全国爆发。为防控新冠疫情，全国各地政府均出台</w:t>
      </w:r>
    </w:p>
    <w:p>
      <w:pPr>
        <w:pStyle w:val="BodyText"/>
        <w:spacing w:line="233" w:lineRule="exact" w:before="0"/>
        <w:ind w:right="1133"/>
        <w:jc w:val="left"/>
      </w:pPr>
      <w:r>
        <w:rPr/>
        <w:t>了新冠疫情防控措施。新冠疫情及相应的防控措施对公司的正常生产经营造成了一定的影响，具体情况如下：</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5283"/>
        <w:gridCol w:w="3224"/>
      </w:tblGrid>
      <w:tr>
        <w:trPr>
          <w:trHeight w:val="355" w:hRule="exact"/>
        </w:trPr>
        <w:tc>
          <w:tcPr>
            <w:tcW w:w="5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受影响的具体情况</w:t>
            </w:r>
          </w:p>
        </w:tc>
        <w:tc>
          <w:tcPr>
            <w:tcW w:w="3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对财务状况和经营成果的影响</w:t>
            </w:r>
          </w:p>
        </w:tc>
      </w:tr>
      <w:tr>
        <w:trPr>
          <w:trHeight w:val="662" w:hRule="exact"/>
        </w:trPr>
        <w:tc>
          <w:tcPr>
            <w:tcW w:w="52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1" w:right="-37"/>
              <w:jc w:val="left"/>
              <w:rPr>
                <w:rFonts w:ascii="宋体" w:hAnsi="宋体" w:cs="宋体" w:eastAsia="宋体" w:hint="default"/>
                <w:sz w:val="18"/>
                <w:szCs w:val="18"/>
              </w:rPr>
            </w:pPr>
            <w:r>
              <w:rPr>
                <w:rFonts w:ascii="宋体" w:hAnsi="宋体" w:cs="宋体" w:eastAsia="宋体" w:hint="default"/>
                <w:spacing w:val="-4"/>
                <w:sz w:val="18"/>
                <w:szCs w:val="18"/>
              </w:rPr>
              <w:t>对生产的影响：公司主要生产经营地位于广东省，受新冠疫情影响，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公司春节后复工时间由原</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日延迟至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224" w:type="dxa"/>
            <w:vMerge w:val="restart"/>
            <w:tcBorders>
              <w:top w:val="single" w:sz="12" w:space="0" w:color="000000"/>
              <w:left w:val="single" w:sz="6" w:space="0" w:color="000000"/>
              <w:right w:val="single" w:sz="6" w:space="0" w:color="000000"/>
            </w:tcBorders>
          </w:tcPr>
          <w:p>
            <w:pPr>
              <w:pStyle w:val="TableParagraph"/>
              <w:spacing w:line="316" w:lineRule="auto" w:before="8"/>
              <w:ind w:left="21" w:right="17"/>
              <w:jc w:val="left"/>
              <w:rPr>
                <w:rFonts w:ascii="宋体" w:hAnsi="宋体" w:cs="宋体" w:eastAsia="宋体" w:hint="default"/>
                <w:sz w:val="18"/>
                <w:szCs w:val="18"/>
              </w:rPr>
            </w:pPr>
            <w:r>
              <w:rPr>
                <w:rFonts w:ascii="宋体" w:hAnsi="宋体" w:cs="宋体" w:eastAsia="宋体" w:hint="default"/>
                <w:spacing w:val="-4"/>
                <w:sz w:val="18"/>
                <w:szCs w:val="18"/>
              </w:rPr>
              <w:t>影响程度将取决于疫情防控的情况、持续</w:t>
            </w:r>
            <w:r>
              <w:rPr>
                <w:rFonts w:ascii="宋体" w:hAnsi="宋体" w:cs="宋体" w:eastAsia="宋体" w:hint="default"/>
                <w:sz w:val="18"/>
                <w:szCs w:val="18"/>
              </w:rPr>
              <w:t> 时间以及政府各项防控措施的实施</w:t>
            </w:r>
          </w:p>
        </w:tc>
      </w:tr>
      <w:tr>
        <w:trPr>
          <w:trHeight w:val="665" w:hRule="exact"/>
        </w:trPr>
        <w:tc>
          <w:tcPr>
            <w:tcW w:w="528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1" w:right="25"/>
              <w:jc w:val="left"/>
              <w:rPr>
                <w:rFonts w:ascii="宋体" w:hAnsi="宋体" w:cs="宋体" w:eastAsia="宋体" w:hint="default"/>
                <w:sz w:val="18"/>
                <w:szCs w:val="18"/>
              </w:rPr>
            </w:pPr>
            <w:r>
              <w:rPr>
                <w:rFonts w:ascii="宋体" w:hAnsi="宋体" w:cs="宋体" w:eastAsia="宋体" w:hint="default"/>
                <w:sz w:val="18"/>
                <w:szCs w:val="18"/>
              </w:rPr>
              <w:t>对销售的影响：新冠疫情对全国以及国外整体经济运行造成一定影 响，从而可能在一定程度上影响公司产品的销售</w:t>
            </w:r>
          </w:p>
        </w:tc>
        <w:tc>
          <w:tcPr>
            <w:tcW w:w="3224" w:type="dxa"/>
            <w:vMerge/>
            <w:tcBorders>
              <w:left w:val="single" w:sz="6" w:space="0" w:color="000000"/>
              <w:bottom w:val="single" w:sz="12" w:space="0" w:color="000000"/>
              <w:right w:val="single" w:sz="6" w:space="0" w:color="000000"/>
            </w:tcBorders>
          </w:tcPr>
          <w:p>
            <w:pPr/>
          </w:p>
        </w:tc>
      </w:tr>
    </w:tbl>
    <w:p>
      <w:pPr>
        <w:spacing w:line="240" w:lineRule="auto" w:before="5"/>
        <w:rPr>
          <w:rFonts w:ascii="宋体" w:hAnsi="宋体" w:cs="宋体" w:eastAsia="宋体" w:hint="default"/>
          <w:sz w:val="6"/>
          <w:szCs w:val="6"/>
        </w:rPr>
      </w:pPr>
    </w:p>
    <w:p>
      <w:pPr>
        <w:pStyle w:val="BodyText"/>
        <w:spacing w:line="316" w:lineRule="auto"/>
        <w:ind w:left="513" w:right="2289" w:firstLine="4"/>
        <w:jc w:val="left"/>
      </w:pPr>
      <w:r>
        <w:rPr/>
        <w:t>本公司将继续密切关注新冠疫情发展情况，积极应对其对本公司财务状况、经营成果产生的不利影响。 截至财务报告批准报出日止，本公司无其他应披露未披露的重大资产负债表日后事项。</w:t>
      </w:r>
    </w:p>
    <w:p>
      <w:pPr>
        <w:spacing w:after="0" w:line="31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left="472" w:right="1128"/>
        <w:jc w:val="left"/>
        <w:rPr>
          <w:b w:val="0"/>
          <w:bCs w:val="0"/>
        </w:rPr>
      </w:pPr>
      <w:bookmarkStart w:name="十六、其他重要事项" w:id="525"/>
      <w:bookmarkEnd w:id="525"/>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472" w:right="1128"/>
        <w:jc w:val="left"/>
        <w:rPr>
          <w:b w:val="0"/>
          <w:bCs w:val="0"/>
        </w:rPr>
      </w:pPr>
      <w:bookmarkStart w:name="1、前期会计差错更正" w:id="526"/>
      <w:bookmarkEnd w:id="52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72" w:right="1128"/>
        <w:jc w:val="left"/>
        <w:rPr>
          <w:b w:val="0"/>
          <w:bCs w:val="0"/>
        </w:rPr>
      </w:pPr>
      <w:bookmarkStart w:name="（1）追溯重述法" w:id="527"/>
      <w:bookmarkEnd w:id="52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left="472" w:right="1128"/>
        <w:jc w:val="left"/>
        <w:rPr>
          <w:b w:val="0"/>
          <w:bCs w:val="0"/>
        </w:rPr>
      </w:pPr>
      <w:bookmarkStart w:name="（2）未来适用法" w:id="528"/>
      <w:bookmarkEnd w:id="52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left="472" w:right="1128"/>
        <w:jc w:val="left"/>
        <w:rPr>
          <w:b w:val="0"/>
          <w:bCs w:val="0"/>
        </w:rPr>
      </w:pPr>
      <w:bookmarkStart w:name="2、债务重组" w:id="529"/>
      <w:bookmarkEnd w:id="5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1128"/>
        <w:jc w:val="left"/>
        <w:rPr>
          <w:b w:val="0"/>
          <w:bCs w:val="0"/>
        </w:rPr>
      </w:pPr>
      <w:bookmarkStart w:name="3、资产置换" w:id="530"/>
      <w:bookmarkEnd w:id="5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472" w:right="1128"/>
        <w:jc w:val="left"/>
        <w:rPr>
          <w:b w:val="0"/>
          <w:bCs w:val="0"/>
        </w:rPr>
      </w:pPr>
      <w:bookmarkStart w:name="（1）非货币性资产交换" w:id="531"/>
      <w:bookmarkEnd w:id="53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1128"/>
        <w:jc w:val="left"/>
        <w:rPr>
          <w:b w:val="0"/>
          <w:bCs w:val="0"/>
        </w:rPr>
      </w:pPr>
      <w:bookmarkStart w:name="（2）其他资产置换" w:id="532"/>
      <w:bookmarkEnd w:id="53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2" w:right="1128"/>
        <w:jc w:val="left"/>
        <w:rPr>
          <w:b w:val="0"/>
          <w:bCs w:val="0"/>
        </w:rPr>
      </w:pPr>
      <w:bookmarkStart w:name="4、年金计划" w:id="533"/>
      <w:bookmarkEnd w:id="53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1128"/>
        <w:jc w:val="left"/>
        <w:rPr>
          <w:b w:val="0"/>
          <w:bCs w:val="0"/>
        </w:rPr>
      </w:pPr>
      <w:bookmarkStart w:name="5、终止经营" w:id="534"/>
      <w:bookmarkEnd w:id="53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left="472"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left="472" w:right="1128"/>
        <w:jc w:val="left"/>
        <w:rPr>
          <w:b w:val="0"/>
          <w:bCs w:val="0"/>
        </w:rPr>
      </w:pPr>
      <w:bookmarkStart w:name="6、分部信息" w:id="535"/>
      <w:bookmarkEnd w:id="53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72" w:right="1128"/>
        <w:jc w:val="left"/>
        <w:rPr>
          <w:b w:val="0"/>
          <w:bCs w:val="0"/>
        </w:rPr>
      </w:pPr>
      <w:bookmarkStart w:name="（1）报告分部的确定依据与会计政策" w:id="536"/>
      <w:bookmarkEnd w:id="53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spacing w:line="300" w:lineRule="auto" w:before="0"/>
        <w:ind w:left="833" w:right="1128" w:hanging="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）报告分部的确定依据与会计政策</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本公司以内部组织结构、管理要求、内部报告制度为依据确定经营分部。本公司的经营分部是指同时满足下列条件的组</w:t>
      </w:r>
    </w:p>
    <w:p>
      <w:pPr>
        <w:pStyle w:val="BodyText"/>
        <w:spacing w:line="240" w:lineRule="auto" w:before="31"/>
        <w:ind w:left="472" w:right="1128"/>
        <w:jc w:val="left"/>
      </w:pPr>
      <w:r>
        <w:rPr/>
        <w:t>成部分：</w:t>
      </w:r>
    </w:p>
    <w:p>
      <w:pPr>
        <w:pStyle w:val="BodyText"/>
        <w:spacing w:line="240" w:lineRule="auto" w:before="76"/>
        <w:ind w:left="112" w:right="1128"/>
        <w:jc w:val="left"/>
      </w:pPr>
      <w:r>
        <w:rPr>
          <w:rFonts w:ascii="宋体" w:hAnsi="宋体" w:cs="宋体" w:eastAsia="宋体" w:hint="default"/>
        </w:rPr>
        <w:t>1.</w:t>
      </w:r>
      <w:r>
        <w:rPr>
          <w:rFonts w:ascii="宋体" w:hAnsi="宋体" w:cs="宋体" w:eastAsia="宋体" w:hint="default"/>
          <w:spacing w:val="89"/>
        </w:rPr>
        <w:t> </w:t>
      </w:r>
      <w:r>
        <w:rPr/>
        <w:t>该组成部分能够在日常活动中产生收入、发生费用；</w:t>
      </w:r>
    </w:p>
    <w:p>
      <w:pPr>
        <w:pStyle w:val="BodyText"/>
        <w:spacing w:line="240" w:lineRule="auto" w:before="76"/>
        <w:ind w:left="112" w:right="1128"/>
        <w:jc w:val="left"/>
      </w:pPr>
      <w:r>
        <w:rPr>
          <w:rFonts w:ascii="宋体" w:hAnsi="宋体" w:cs="宋体" w:eastAsia="宋体" w:hint="default"/>
        </w:rPr>
        <w:t>2.</w:t>
      </w:r>
      <w:r>
        <w:rPr>
          <w:rFonts w:ascii="宋体" w:hAnsi="宋体" w:cs="宋体" w:eastAsia="宋体" w:hint="default"/>
          <w:spacing w:val="89"/>
        </w:rPr>
        <w:t> </w:t>
      </w:r>
      <w:r>
        <w:rPr/>
        <w:t>管理层能够定期评价该组成部分的经营成果，以决定向其配置资源、评价其业绩；</w:t>
      </w:r>
    </w:p>
    <w:p>
      <w:pPr>
        <w:pStyle w:val="BodyText"/>
        <w:spacing w:line="240" w:lineRule="auto" w:before="76"/>
        <w:ind w:left="112" w:right="1128"/>
        <w:jc w:val="left"/>
      </w:pPr>
      <w:r>
        <w:rPr>
          <w:rFonts w:ascii="宋体" w:hAnsi="宋体" w:cs="宋体" w:eastAsia="宋体" w:hint="default"/>
        </w:rPr>
        <w:t>3.</w:t>
      </w:r>
      <w:r>
        <w:rPr>
          <w:rFonts w:ascii="宋体" w:hAnsi="宋体" w:cs="宋体" w:eastAsia="宋体" w:hint="default"/>
          <w:spacing w:val="89"/>
        </w:rPr>
        <w:t> </w:t>
      </w:r>
      <w:r>
        <w:rPr/>
        <w:t>能够取得该组成部分的财务状况、经营成果和现金流量等有关会计信息。</w:t>
      </w:r>
    </w:p>
    <w:p>
      <w:pPr>
        <w:spacing w:after="0" w:line="240" w:lineRule="auto"/>
        <w:jc w:val="left"/>
        <w:sectPr>
          <w:footerReference w:type="default" r:id="rId18"/>
          <w:pgSz w:w="11910" w:h="16840"/>
          <w:pgMar w:footer="980" w:header="745" w:top="1060" w:bottom="1160" w:left="660" w:right="0"/>
        </w:sectPr>
      </w:pPr>
    </w:p>
    <w:p>
      <w:pPr>
        <w:spacing w:line="240" w:lineRule="auto" w:before="9"/>
        <w:rPr>
          <w:rFonts w:ascii="宋体" w:hAnsi="宋体" w:cs="宋体" w:eastAsia="宋体" w:hint="default"/>
          <w:sz w:val="25"/>
          <w:szCs w:val="25"/>
        </w:rPr>
      </w:pPr>
    </w:p>
    <w:p>
      <w:pPr>
        <w:pStyle w:val="BodyText"/>
        <w:spacing w:line="240" w:lineRule="auto"/>
        <w:ind w:left="513" w:right="1133"/>
        <w:jc w:val="left"/>
      </w:pPr>
      <w:r>
        <w:rPr/>
        <w:t>本公司以经营分部为基础确定报告分部，满足下列条件之一的经营分部确定为报告分部：</w:t>
      </w:r>
    </w:p>
    <w:p>
      <w:pPr>
        <w:pStyle w:val="BodyText"/>
        <w:spacing w:line="240" w:lineRule="auto" w:before="77"/>
        <w:ind w:left="441" w:right="1133"/>
        <w:jc w:val="left"/>
      </w:pPr>
      <w:r>
        <w:rPr/>
        <w:t>①</w:t>
      </w:r>
      <w:r>
        <w:rPr>
          <w:spacing w:val="-18"/>
        </w:rPr>
        <w:t> </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316" w:lineRule="auto" w:before="63"/>
        <w:ind w:right="1133" w:firstLine="288"/>
        <w:jc w:val="left"/>
      </w:pPr>
      <w:r>
        <w:rPr>
          <w:spacing w:val="-1"/>
        </w:rPr>
        <w:t>②该分部的分部利润（亏损）的绝对额，占所有盈利分部利润合计额或者所有亏损分部亏损合计额的绝对额两者中较大</w:t>
      </w:r>
      <w:r>
        <w:rPr/>
        <w:t> 者的</w:t>
      </w:r>
      <w:r>
        <w:rPr>
          <w:rFonts w:ascii="Times New Roman" w:hAnsi="Times New Roman" w:cs="Times New Roman" w:eastAsia="Times New Roman" w:hint="default"/>
        </w:rPr>
        <w:t>10%</w:t>
      </w:r>
      <w:r>
        <w:rPr/>
        <w:t>或者以上。</w:t>
      </w:r>
    </w:p>
    <w:p>
      <w:pPr>
        <w:pStyle w:val="BodyText"/>
        <w:spacing w:line="300" w:lineRule="auto" w:before="0"/>
        <w:ind w:right="1117" w:firstLine="360"/>
        <w:jc w:val="left"/>
      </w:pPr>
      <w:r>
        <w:rPr>
          <w:spacing w:val="-1"/>
        </w:rPr>
        <w:t>按上述会计政策确定的报告分部的经营分部的对外交易收入合计额占合并总收入的比重未达到</w:t>
      </w:r>
      <w:r>
        <w:rPr>
          <w:rFonts w:ascii="Times New Roman" w:hAnsi="Times New Roman" w:cs="Times New Roman" w:eastAsia="Times New Roman" w:hint="default"/>
          <w:spacing w:val="-1"/>
        </w:rPr>
        <w:t>75%</w:t>
      </w:r>
      <w:r>
        <w:rPr>
          <w:spacing w:val="-1"/>
        </w:rPr>
        <w:t>时，增加报告分部的</w:t>
      </w:r>
      <w:r>
        <w:rPr/>
        <w:t> 数量，按下述规定将其他未作为报告分部的经营分部纳入报告分部的范围，直到该比重达到</w:t>
      </w:r>
      <w:r>
        <w:rPr>
          <w:rFonts w:ascii="Times New Roman" w:hAnsi="Times New Roman" w:cs="Times New Roman" w:eastAsia="Times New Roman" w:hint="default"/>
        </w:rPr>
        <w:t>75%</w:t>
      </w:r>
      <w:r>
        <w:rPr/>
        <w:t>：</w:t>
      </w:r>
    </w:p>
    <w:p>
      <w:pPr>
        <w:pStyle w:val="BodyText"/>
        <w:spacing w:line="240" w:lineRule="auto" w:before="13"/>
        <w:ind w:left="441" w:right="1133"/>
        <w:jc w:val="left"/>
      </w:pPr>
      <w:r>
        <w:rPr/>
        <w:t>①将管理层认为披露该经营分部信息对会计信息使用者有用的经营分部确定为报告分部；</w:t>
      </w:r>
    </w:p>
    <w:p>
      <w:pPr>
        <w:pStyle w:val="BodyText"/>
        <w:spacing w:line="316" w:lineRule="auto" w:before="76"/>
        <w:ind w:right="1133" w:firstLine="288"/>
        <w:jc w:val="left"/>
      </w:pPr>
      <w:r>
        <w:rPr>
          <w:spacing w:val="-1"/>
        </w:rPr>
        <w:t>②将该经营分部与一个或一个以上的具有相似经济特征、满足经营分部合并条件的其他经营分部合并，作为一个报告分</w:t>
      </w:r>
      <w:r>
        <w:rPr/>
        <w:t> 部。</w:t>
      </w:r>
    </w:p>
    <w:p>
      <w:pPr>
        <w:spacing w:line="309" w:lineRule="auto" w:before="19"/>
        <w:ind w:left="460" w:right="1133" w:firstLine="52"/>
        <w:jc w:val="left"/>
        <w:rPr>
          <w:rFonts w:ascii="宋体" w:hAnsi="宋体" w:cs="宋体" w:eastAsia="宋体" w:hint="default"/>
          <w:sz w:val="18"/>
          <w:szCs w:val="18"/>
        </w:rPr>
      </w:pPr>
      <w:r>
        <w:rPr>
          <w:rFonts w:ascii="宋体" w:hAnsi="宋体" w:cs="宋体" w:eastAsia="宋体" w:hint="default"/>
          <w:sz w:val="18"/>
          <w:szCs w:val="18"/>
        </w:rPr>
        <w:t>分部间转移价格参照市场价格确定，与各分部共同使用的资产、相关的费用按照收入比例在不同的分部之间分配。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）本公司确定报告分部考虑的因素、报告分部的产品和劳务的类型</w:t>
      </w:r>
      <w:r>
        <w:rPr>
          <w:rFonts w:ascii="宋体" w:hAnsi="宋体" w:cs="宋体" w:eastAsia="宋体" w:hint="default"/>
          <w:b/>
          <w:bCs/>
          <w:w w:val="99"/>
          <w:sz w:val="18"/>
          <w:szCs w:val="18"/>
        </w:rPr>
        <w:t> </w:t>
      </w:r>
      <w:r>
        <w:rPr>
          <w:rFonts w:ascii="宋体" w:hAnsi="宋体" w:cs="宋体" w:eastAsia="宋体" w:hint="default"/>
          <w:sz w:val="18"/>
          <w:szCs w:val="18"/>
        </w:rPr>
        <w:t>根据本公司的内部组织结构、管理要求及内部报告制度，本公司的经营业务划分为</w:t>
      </w:r>
      <w:r>
        <w:rPr>
          <w:rFonts w:ascii="Times New Roman" w:hAnsi="Times New Roman" w:cs="Times New Roman" w:eastAsia="Times New Roman" w:hint="default"/>
          <w:sz w:val="18"/>
          <w:szCs w:val="18"/>
        </w:rPr>
        <w:t>3</w:t>
      </w:r>
      <w:r>
        <w:rPr>
          <w:rFonts w:ascii="宋体" w:hAnsi="宋体" w:cs="宋体" w:eastAsia="宋体" w:hint="default"/>
          <w:sz w:val="18"/>
          <w:szCs w:val="18"/>
        </w:rPr>
        <w:t>个经营分部，本公司的管理层定期</w:t>
      </w:r>
    </w:p>
    <w:p>
      <w:pPr>
        <w:pStyle w:val="BodyText"/>
        <w:spacing w:line="307" w:lineRule="auto" w:before="5"/>
        <w:ind w:right="1044"/>
        <w:jc w:val="left"/>
      </w:pPr>
      <w:r>
        <w:rPr/>
        <w:t>评价这些分部的经营成果，以决定向其分配资源及评价其业绩。在经营分部的基础上本公司确定了</w:t>
      </w:r>
      <w:r>
        <w:rPr>
          <w:rFonts w:ascii="Times New Roman" w:hAnsi="Times New Roman" w:cs="Times New Roman" w:eastAsia="Times New Roman" w:hint="default"/>
        </w:rPr>
        <w:t>3</w:t>
      </w:r>
      <w:r>
        <w:rPr/>
        <w:t>个报告分部，分别为电</w:t>
      </w:r>
      <w:r>
        <w:rPr>
          <w:spacing w:val="-82"/>
        </w:rPr>
        <w:t> </w:t>
      </w:r>
      <w:r>
        <w:rPr>
          <w:spacing w:val="-2"/>
        </w:rPr>
        <w:t>源业务部、逆变器业务部、光伏电站业务部。这些报告分部是以产品类别为基础确定的。电源业务部提供的主要产品及劳务</w:t>
      </w:r>
      <w:r>
        <w:rPr>
          <w:spacing w:val="-64"/>
        </w:rPr>
        <w:t> </w:t>
      </w:r>
      <w:r>
        <w:rPr>
          <w:spacing w:val="-64"/>
        </w:rPr>
      </w:r>
      <w:r>
        <w:rPr/>
        <w:t>为消费电子类电源、</w:t>
      </w:r>
      <w:r>
        <w:rPr>
          <w:rFonts w:ascii="Times New Roman" w:hAnsi="Times New Roman" w:cs="Times New Roman" w:eastAsia="Times New Roman" w:hint="default"/>
        </w:rPr>
        <w:t>LED</w:t>
      </w:r>
      <w:r>
        <w:rPr/>
        <w:t>驱动电源的生产与销售；逆变器业务部提供的主要产品及劳务为太阳能光伏逆变器的生产和销售； 光伏电站业务部提供的主要产品及劳务为太阳能光伏发电系统的设计、开发、投资、建设和经营。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6"/>
        <w:ind w:right="1133"/>
        <w:jc w:val="left"/>
        <w:rPr>
          <w:b w:val="0"/>
          <w:bCs w:val="0"/>
        </w:rPr>
      </w:pPr>
      <w:bookmarkStart w:name="（2）报告分部的财务信息" w:id="537"/>
      <w:bookmarkEnd w:id="53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电源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120,622.81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124,784.70</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94,186.19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96,231.65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179,963.69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22,817.28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163,769.64</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98,994.82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25,711.05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-30,053.75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101,710.36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公司无报告分部的，或者不能披露各报告分部的资产总额和负债总额的，应说明原因" w:id="538"/>
      <w:bookmarkEnd w:id="53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4）其他说明" w:id="539"/>
      <w:bookmarkEnd w:id="53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7、其他对投资者决策有影响的重要交易和事项" w:id="540"/>
      <w:bookmarkEnd w:id="54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6" w:firstLine="360"/>
        <w:jc w:val="both"/>
      </w:pPr>
      <w:r>
        <w:rPr>
          <w:spacing w:val="-2"/>
        </w:rPr>
        <w:t>公司控股股东、实际控制人顾永德先生及其一致行动人深圳德旺投资发展有限公司于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日与江西省省属国有</w:t>
      </w:r>
      <w:r>
        <w:rPr/>
        <w:t> </w:t>
      </w:r>
      <w:r>
        <w:rPr>
          <w:spacing w:val="-1"/>
        </w:rPr>
        <w:t>企业资产经营</w:t>
      </w:r>
      <w:r>
        <w:rPr>
          <w:rFonts w:ascii="Times New Roman" w:hAnsi="Times New Roman" w:cs="Times New Roman" w:eastAsia="Times New Roman" w:hint="default"/>
          <w:spacing w:val="-1"/>
        </w:rPr>
        <w:t>(</w:t>
      </w:r>
      <w:r>
        <w:rPr>
          <w:spacing w:val="-1"/>
        </w:rPr>
        <w:t>控股</w:t>
      </w:r>
      <w:r>
        <w:rPr>
          <w:rFonts w:ascii="Times New Roman" w:hAnsi="Times New Roman" w:cs="Times New Roman" w:eastAsia="Times New Roman" w:hint="default"/>
          <w:spacing w:val="-1"/>
        </w:rPr>
        <w:t>)</w:t>
      </w:r>
      <w:r>
        <w:rPr>
          <w:spacing w:val="-1"/>
        </w:rPr>
        <w:t>有限公司签署了《股份转让意向协议》，顾永德先生及其一致行动人拟向江西省省属国有企业资产经营</w:t>
      </w:r>
      <w:r>
        <w:rPr>
          <w:spacing w:val="-59"/>
        </w:rPr>
        <w:t> </w:t>
      </w:r>
      <w:r>
        <w:rPr>
          <w:spacing w:val="-59"/>
        </w:rPr>
      </w:r>
      <w:r>
        <w:rPr>
          <w:rFonts w:ascii="Times New Roman" w:hAnsi="Times New Roman" w:cs="Times New Roman" w:eastAsia="Times New Roman" w:hint="default"/>
          <w:spacing w:val="-2"/>
        </w:rPr>
        <w:t>(</w:t>
      </w:r>
      <w:r>
        <w:rPr>
          <w:spacing w:val="-2"/>
        </w:rPr>
        <w:t>控股</w:t>
      </w:r>
      <w:r>
        <w:rPr>
          <w:rFonts w:ascii="Times New Roman" w:hAnsi="Times New Roman" w:cs="Times New Roman" w:eastAsia="Times New Roman" w:hint="default"/>
          <w:spacing w:val="-2"/>
        </w:rPr>
        <w:t>)</w:t>
      </w:r>
      <w:r>
        <w:rPr>
          <w:spacing w:val="-2"/>
        </w:rPr>
        <w:t>有限公司或其指定主体转让合计不低于</w:t>
      </w:r>
      <w:r>
        <w:rPr>
          <w:rFonts w:ascii="Times New Roman" w:hAnsi="Times New Roman" w:cs="Times New Roman" w:eastAsia="Times New Roman" w:hint="default"/>
          <w:spacing w:val="-2"/>
        </w:rPr>
        <w:t>68,500,000</w:t>
      </w:r>
      <w:r>
        <w:rPr>
          <w:spacing w:val="-2"/>
        </w:rPr>
        <w:t>股股票，占公司总股本不低于</w:t>
      </w:r>
      <w:r>
        <w:rPr>
          <w:rFonts w:ascii="Times New Roman" w:hAnsi="Times New Roman" w:cs="Times New Roman" w:eastAsia="Times New Roman" w:hint="default"/>
          <w:spacing w:val="-2"/>
        </w:rPr>
        <w:t>25%</w:t>
      </w:r>
      <w:r>
        <w:rPr>
          <w:spacing w:val="-2"/>
        </w:rPr>
        <w:t>，如达成一致意见且股权转让成功</w:t>
      </w:r>
      <w:r>
        <w:rPr>
          <w:spacing w:val="-53"/>
        </w:rPr>
        <w:t> </w:t>
      </w:r>
      <w:r>
        <w:rPr>
          <w:spacing w:val="-53"/>
        </w:rPr>
      </w:r>
      <w:r>
        <w:rPr/>
        <w:t>后江西省省属国有企业资产经营</w:t>
      </w:r>
      <w:r>
        <w:rPr>
          <w:rFonts w:ascii="Times New Roman" w:hAnsi="Times New Roman" w:cs="Times New Roman" w:eastAsia="Times New Roman" w:hint="default"/>
        </w:rPr>
        <w:t>(</w:t>
      </w:r>
      <w:r>
        <w:rPr/>
        <w:t>控股</w:t>
      </w:r>
      <w:r>
        <w:rPr>
          <w:rFonts w:ascii="Times New Roman" w:hAnsi="Times New Roman" w:cs="Times New Roman" w:eastAsia="Times New Roman" w:hint="default"/>
        </w:rPr>
        <w:t>)</w:t>
      </w:r>
      <w:r>
        <w:rPr/>
        <w:t>有限公司或其指定主体将取得公司的实际控制权。</w:t>
      </w:r>
    </w:p>
    <w:p>
      <w:pPr>
        <w:spacing w:after="0" w:line="300" w:lineRule="auto"/>
        <w:jc w:val="both"/>
        <w:sectPr>
          <w:footerReference w:type="default" r:id="rId19"/>
          <w:pgSz w:w="11910" w:h="16840"/>
          <w:pgMar w:footer="980" w:header="745" w:top="1060" w:bottom="1160" w:left="980" w:right="0"/>
          <w:pgNumType w:start="201"/>
        </w:sectPr>
      </w:pPr>
    </w:p>
    <w:p>
      <w:pPr>
        <w:spacing w:line="240" w:lineRule="auto" w:before="10"/>
        <w:rPr>
          <w:rFonts w:ascii="宋体" w:hAnsi="宋体" w:cs="宋体" w:eastAsia="宋体" w:hint="default"/>
          <w:sz w:val="24"/>
          <w:szCs w:val="24"/>
        </w:rPr>
      </w:pPr>
    </w:p>
    <w:p>
      <w:pPr>
        <w:spacing w:line="487" w:lineRule="auto" w:before="36"/>
        <w:ind w:left="152" w:right="6899" w:firstLine="0"/>
        <w:jc w:val="left"/>
        <w:rPr>
          <w:rFonts w:ascii="宋体" w:hAnsi="宋体" w:cs="宋体" w:eastAsia="宋体" w:hint="default"/>
          <w:sz w:val="21"/>
          <w:szCs w:val="21"/>
        </w:rPr>
      </w:pPr>
      <w:bookmarkStart w:name="8、其他" w:id="541"/>
      <w:bookmarkEnd w:id="5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42"/>
      <w:bookmarkEnd w:id="542"/>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43"/>
      <w:bookmarkEnd w:id="5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33"/>
        <w:jc w:val="left"/>
        <w:rPr>
          <w:b w:val="0"/>
          <w:bCs w:val="0"/>
        </w:rPr>
      </w:pPr>
      <w:bookmarkStart w:name="（1）应收账款分类披露" w:id="544"/>
      <w:bookmarkEnd w:id="5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20,117,7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97.93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19,611,3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16.27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33,656,53</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32,421,15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1,235,375.9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222,371,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022.50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27,724,7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194,646,2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207,345,3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41.75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86.03%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38,053,00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169,292,33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187,197,</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604.15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27,724,7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159,472,8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51.73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180,792,5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94.05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38,053,00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142,739,58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5.59</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35,173,4</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18.35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35,173,41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8.35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26,552,74</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26,552,747.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242,488,</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820.43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47,336,0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195,152,7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51.74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241,001,8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73.87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70,474,16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170,527,70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9.28</w:t>
            </w:r>
          </w:p>
        </w:tc>
      </w:tr>
    </w:tbl>
    <w:p>
      <w:pPr>
        <w:pStyle w:val="BodyText"/>
        <w:spacing w:line="240" w:lineRule="auto" w:before="49"/>
        <w:ind w:right="1133"/>
        <w:jc w:val="left"/>
      </w:pPr>
      <w:r>
        <w:rPr/>
        <w:t>按单项计提坏账准备：单项计提预期信用损失的应收账款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重庆瑞耕达网络科技有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10,152,002.27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10,152,002.27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SR</w:t>
            </w:r>
            <w:r>
              <w:rPr>
                <w:rFonts w:ascii="Times New Roman"/>
                <w:spacing w:val="-1"/>
                <w:sz w:val="18"/>
              </w:rPr>
              <w:t> </w:t>
            </w:r>
            <w:r>
              <w:rPr>
                <w:rFonts w:ascii="Times New Roman"/>
                <w:spacing w:val="-2"/>
                <w:sz w:val="18"/>
              </w:rPr>
              <w:t>iLLUMINATION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3,492,402.99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3,492,402.99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辽宁宝林集团节能科技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1,860,746.07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1,860,746.07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贵州瑞凯科技有限公司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1,843,288.43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1,843,288.43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斐翔供应链管理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1,262,897.49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1,262,897.49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深圳异构域数字技术有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1,012,963.33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预计无法全额收回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深圳骑客智能科技有限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363,280.00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363,280.00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130,217.35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130,217.35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20,117,797.93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19,611,316.27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33"/>
        <w:jc w:val="left"/>
      </w:pPr>
      <w:r>
        <w:rPr/>
        <w:t>按组合计提坏账准备：账龄分析法组合</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157,145,171.01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1,571,451.71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2,476,116.54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247,611.65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701,957.34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140,391.47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2,218,123.34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1,109,061.67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24,656,235.92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24,656,235.92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187,197,604.15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27,724,752.42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357" w:lineRule="auto" w:before="49"/>
        <w:ind w:right="-20"/>
        <w:jc w:val="left"/>
      </w:pPr>
      <w:r>
        <w:rPr/>
        <w:t>确定该组合依据的说明： 除合并范围内关联往来组合、政府机构应收款项组合之外的应收款项。 按组合计提坏账准备：关联方组合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733" w:space="30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16,669,442.26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1,815,176.09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4,624,305.03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12,064,494.97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35,173,418.35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49"/>
        <w:ind w:right="-20"/>
        <w:jc w:val="left"/>
      </w:pPr>
      <w:r>
        <w:rPr/>
        <w:t>确定该组合依据的说明： 应收合并范围内关联方往来款。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673" w:space="61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174,859,577.77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17,912,776.99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5,326,262.38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44,390,203.29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5,710,526.33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38,679,676.96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242,488,820.43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本期计提、收回或转回的坏账准备情况" w:id="545"/>
      <w:bookmarkEnd w:id="5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32,421,156.13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624,245.18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13,434,085.04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19,611,316.27</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38,053,008.46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749,181.48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11,077,437.52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27,724,752.42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其中：账龄分析 法组合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38,053,008.46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749,181.48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11,077,437.52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27,724,752.42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70,474,164.59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1,373,426.66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24,511,522.56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47,336,068.69</w:t>
            </w:r>
          </w:p>
        </w:tc>
      </w:tr>
    </w:tbl>
    <w:p>
      <w:pPr>
        <w:pStyle w:val="BodyText"/>
        <w:spacing w:line="240" w:lineRule="auto" w:before="49"/>
        <w:ind w:right="1133"/>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3）本期实际核销的应收账款情况" w:id="546"/>
      <w:bookmarkEnd w:id="5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24,511,522.56</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6"/>
                <w:sz w:val="18"/>
              </w:rPr>
              <w:t> </w:t>
            </w:r>
            <w:r>
              <w:rPr>
                <w:rFonts w:ascii="Times New Roman"/>
                <w:sz w:val="18"/>
              </w:rPr>
              <w:t>Corp</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6,011,780.50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34"/>
              <w:jc w:val="left"/>
              <w:rPr>
                <w:rFonts w:ascii="Times New Roman" w:hAnsi="Times New Roman" w:cs="Times New Roman" w:eastAsia="Times New Roman" w:hint="default"/>
                <w:sz w:val="18"/>
                <w:szCs w:val="18"/>
              </w:rPr>
            </w:pPr>
            <w:r>
              <w:rPr>
                <w:rFonts w:ascii="Times New Roman"/>
                <w:sz w:val="18"/>
              </w:rPr>
              <w:t>CLOSED</w:t>
            </w:r>
            <w:r>
              <w:rPr>
                <w:rFonts w:ascii="Times New Roman"/>
                <w:spacing w:val="-1"/>
                <w:sz w:val="18"/>
              </w:rPr>
              <w:t> </w:t>
            </w:r>
            <w:r>
              <w:rPr>
                <w:rFonts w:ascii="Times New Roman"/>
                <w:sz w:val="18"/>
              </w:rPr>
              <w:t>JOIN</w:t>
            </w:r>
            <w:r>
              <w:rPr>
                <w:rFonts w:ascii="Times New Roman"/>
                <w:w w:val="99"/>
                <w:sz w:val="18"/>
              </w:rPr>
              <w:t> </w:t>
            </w:r>
            <w:r>
              <w:rPr>
                <w:rFonts w:ascii="Times New Roman"/>
                <w:sz w:val="18"/>
              </w:rPr>
              <w:t>STOCK</w:t>
            </w:r>
            <w:r>
              <w:rPr>
                <w:rFonts w:ascii="Times New Roman"/>
                <w:spacing w:val="-2"/>
                <w:sz w:val="18"/>
              </w:rPr>
              <w:t> </w:t>
            </w:r>
            <w:r>
              <w:rPr>
                <w:rFonts w:ascii="Times New Roman"/>
                <w:spacing w:val="-3"/>
                <w:sz w:val="18"/>
              </w:rPr>
              <w:t>COMPANY</w:t>
            </w:r>
            <w:r>
              <w:rPr>
                <w:rFonts w:ascii="Times New Roman"/>
                <w:w w:val="99"/>
                <w:sz w:val="18"/>
              </w:rPr>
              <w:t> </w:t>
            </w:r>
            <w:r>
              <w:rPr>
                <w:rFonts w:ascii="Times New Roman"/>
                <w:sz w:val="18"/>
              </w:rPr>
              <w:t>OPTOGAN</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2,876,780.56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湖北诺亚光电科技有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51"/>
              <w:jc w:val="left"/>
              <w:rPr>
                <w:rFonts w:ascii="Times New Roman" w:hAnsi="Times New Roman" w:cs="Times New Roman" w:eastAsia="Times New Roman" w:hint="default"/>
                <w:sz w:val="18"/>
                <w:szCs w:val="18"/>
              </w:rPr>
            </w:pPr>
            <w:r>
              <w:rPr>
                <w:rFonts w:ascii="Times New Roman"/>
                <w:sz w:val="18"/>
              </w:rPr>
              <w:t>BEST</w:t>
            </w:r>
            <w:r>
              <w:rPr>
                <w:rFonts w:ascii="Times New Roman"/>
                <w:spacing w:val="-4"/>
                <w:sz w:val="18"/>
              </w:rPr>
              <w:t> </w:t>
            </w:r>
            <w:r>
              <w:rPr>
                <w:rFonts w:ascii="Times New Roman"/>
                <w:spacing w:val="-3"/>
                <w:sz w:val="18"/>
              </w:rPr>
              <w:t>CREATION</w:t>
            </w:r>
            <w:r>
              <w:rPr>
                <w:rFonts w:ascii="Times New Roman"/>
                <w:w w:val="99"/>
                <w:sz w:val="18"/>
              </w:rPr>
              <w:t> </w:t>
            </w:r>
            <w:r>
              <w:rPr>
                <w:rFonts w:ascii="Times New Roman"/>
                <w:sz w:val="18"/>
              </w:rPr>
              <w:t>TECHNOLOGY</w:t>
            </w:r>
            <w:r>
              <w:rPr>
                <w:rFonts w:ascii="Times New Roman"/>
                <w:spacing w:val="-9"/>
                <w:sz w:val="18"/>
              </w:rPr>
              <w:t> </w:t>
            </w:r>
            <w:r>
              <w:rPr>
                <w:rFonts w:ascii="Times New Roman"/>
                <w:spacing w:val="-7"/>
                <w:sz w:val="18"/>
              </w:rPr>
              <w:t>LTD</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2,012,456.57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福建省能宝光电集团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胜康高科技股份有限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1,745,636.13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6"/>
              <w:jc w:val="left"/>
              <w:rPr>
                <w:rFonts w:ascii="Times New Roman" w:hAnsi="Times New Roman" w:cs="Times New Roman" w:eastAsia="Times New Roman" w:hint="default"/>
                <w:sz w:val="18"/>
                <w:szCs w:val="18"/>
              </w:rPr>
            </w:pPr>
            <w:r>
              <w:rPr>
                <w:rFonts w:ascii="Times New Roman"/>
                <w:sz w:val="18"/>
              </w:rPr>
              <w:t>PRO</w:t>
            </w:r>
            <w:r>
              <w:rPr>
                <w:rFonts w:ascii="Times New Roman"/>
                <w:spacing w:val="5"/>
                <w:sz w:val="18"/>
              </w:rPr>
              <w:t> </w:t>
            </w:r>
            <w:r>
              <w:rPr>
                <w:rFonts w:ascii="Times New Roman"/>
                <w:spacing w:val="-5"/>
                <w:sz w:val="18"/>
              </w:rPr>
              <w:t>INNOVATIVE</w:t>
            </w:r>
            <w:r>
              <w:rPr>
                <w:rFonts w:ascii="Times New Roman"/>
                <w:sz w:val="18"/>
              </w:rPr>
              <w:t> TECHNOLOGIES</w:t>
            </w:r>
          </w:p>
          <w:p>
            <w:pPr>
              <w:pStyle w:val="TableParagraph"/>
              <w:spacing w:line="21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PVT</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1,596,781.29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东莞厚街科技电业厂</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729,804.37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704,456.86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北京佰能光电技术有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680,036.23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东莞市贻嘉光电科技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527,737.55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深圳市中景科创光电 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507,057.61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东莞石碣山进电子厂</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403,249.25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21,834,243.29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4）按欠款方归集的期末余额前五名的应收账款情况" w:id="547"/>
      <w:bookmarkEnd w:id="5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期末余额前五名应收账款汇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121,010,855.71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1,210,108.55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总</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121,010,855.71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49.90%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5）因金融资产转移而终止确认的应收账款" w:id="548"/>
      <w:bookmarkEnd w:id="54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6）转移应收账款且继续涉入形成的资产、负债金额" w:id="549"/>
      <w:bookmarkEnd w:id="54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985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2、其他应收款" w:id="550"/>
      <w:bookmarkEnd w:id="5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378,934,431.90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345,929,367.36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378,934,431.90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345,929,367.36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应收利息" w:id="551"/>
      <w:bookmarkEnd w:id="55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应收利息分类" w:id="552"/>
      <w:bookmarkEnd w:id="55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bookmarkStart w:name="2）重要逾期利息" w:id="553"/>
      <w:bookmarkEnd w:id="55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bookmarkStart w:name="3）坏账准备计提情况" w:id="554"/>
      <w:bookmarkEnd w:id="55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应收股利" w:id="555"/>
      <w:bookmarkEnd w:id="55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bookmarkStart w:name="1）应收股利分类" w:id="556"/>
      <w:bookmarkEnd w:id="55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重要的账龄超过1年的应收股利" w:id="557"/>
      <w:bookmarkEnd w:id="557"/>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坏账准备计提情况" w:id="558"/>
      <w:bookmarkEnd w:id="55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bookmarkStart w:name="（3）其他应收款" w:id="559"/>
      <w:bookmarkEnd w:id="55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其他应收款按款项性质分类情况" w:id="560"/>
      <w:bookmarkEnd w:id="56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374,825,057.83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341,439,910.83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2,603,943.14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2,681,207.81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2,524,630.95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2,624,630.95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66,250.01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380,002,231.92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346,811,999.60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坏账准备计提情况" w:id="561"/>
      <w:bookmarkEnd w:id="56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772,071.44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110,560.80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882,632.24</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185,167.78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185,167.78</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957,239.22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110,560.80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1,067,800.02</w:t>
            </w:r>
          </w:p>
        </w:tc>
      </w:tr>
    </w:tbl>
    <w:p>
      <w:pPr>
        <w:pStyle w:val="BodyText"/>
        <w:spacing w:line="240" w:lineRule="auto" w:before="49"/>
        <w:ind w:right="1133"/>
        <w:jc w:val="left"/>
      </w:pPr>
      <w:r>
        <w:rPr/>
        <w:t>损失准备本期变动金额重大的账面余额变动情况</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0"/>
        </w:sect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534" w:space="72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167,162,961.32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15,430,042.12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24,412,601.98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172,996,626.50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171,191,752.16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1,804,874.34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380,002,231.92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本期计提、收回或转回的坏账准备情况" w:id="562"/>
      <w:bookmarkEnd w:id="56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882,632.24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185,167.78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1,067,800.02</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882,632.24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185,167.78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1,067,800.02</w:t>
            </w:r>
          </w:p>
        </w:tc>
      </w:tr>
    </w:tbl>
    <w:p>
      <w:pPr>
        <w:pStyle w:val="BodyText"/>
        <w:spacing w:line="240" w:lineRule="auto" w:before="49"/>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4）本期实际核销的其他应收款情况" w:id="563"/>
      <w:bookmarkEnd w:id="56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5）按欠款方归集的期末余额前五名的其他应收款情况" w:id="564"/>
      <w:bookmarkEnd w:id="56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7"/>
        <w:gridCol w:w="1603"/>
      </w:tblGrid>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36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80"/>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120,766,214.77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79,979,535.89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66,891,318.92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60,215,834.96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34,474,554.00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362,327,458.54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涉及政府补助的应收款项" w:id="565"/>
      <w:bookmarkEnd w:id="56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7）因金融资产转移而终止确认的其他应收款" w:id="566"/>
      <w:bookmarkEnd w:id="56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bookmarkStart w:name="8）转移其他应收款且继续涉入形成的资产、负债金额" w:id="567"/>
      <w:bookmarkEnd w:id="56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985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bookmarkStart w:name="3、长期股权投资" w:id="568"/>
      <w:bookmarkEnd w:id="56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565,867,892.30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59,461,595.30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506,406,297.00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565,867,892.30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59,461,595.30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506,406,297.00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111,356,240.39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24,105,170.75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87,251,069.64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140,062,677.87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24,105,170.75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115,957,507.12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677,224,132.69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83,566,766.05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593,657,366.64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705,930,570.17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83,566,766.05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622,363,804.12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1）对子公司投资" w:id="569"/>
      <w:bookmarkEnd w:id="56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深圳茂硕新能 源技术研究院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深圳茂硕电子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30,637,000.00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30,637,000.00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惠州茂硕能源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351,536,700.0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351,536,700.00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6" w:lineRule="auto" w:before="76"/>
              <w:ind w:left="24" w:right="20"/>
              <w:jc w:val="left"/>
              <w:rPr>
                <w:rFonts w:ascii="宋体" w:hAnsi="宋体" w:cs="宋体" w:eastAsia="宋体" w:hint="default"/>
                <w:sz w:val="18"/>
                <w:szCs w:val="18"/>
              </w:rPr>
            </w:pPr>
            <w:r>
              <w:rPr>
                <w:rFonts w:ascii="宋体" w:hAnsi="宋体" w:cs="宋体" w:eastAsia="宋体" w:hint="default"/>
                <w:spacing w:val="-7"/>
                <w:sz w:val="18"/>
                <w:szCs w:val="18"/>
              </w:rPr>
              <w:t>（香港）国际有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34,058,882.65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34,058,882.65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瑞盈茂硕融资 </w:t>
            </w:r>
            <w:r>
              <w:rPr>
                <w:rFonts w:ascii="宋体" w:hAnsi="宋体" w:cs="宋体" w:eastAsia="宋体" w:hint="default"/>
                <w:spacing w:val="-7"/>
                <w:sz w:val="18"/>
                <w:szCs w:val="18"/>
              </w:rPr>
              <w:t>租赁（深圳）有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46,154,074.35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46,154,074.35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海宁茂硕诺华 能源有限公司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19,019,640.00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19,019,640.00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16,280,360.00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深圳茂硕电气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33,181,235.30</w:t>
            </w: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加码技术有限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506,406,297.0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506,406,297.00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59,461,595.30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2）对联营、合营企业投资" w:id="570"/>
      <w:bookmarkEnd w:id="57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76,699.29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273,411.6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85,935,40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1,238,970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87,174,37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23,831,75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9.14</w:t>
            </w:r>
          </w:p>
        </w:tc>
      </w:tr>
      <w:tr>
        <w:trPr>
          <w:trHeight w:val="129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115,957,5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1,177,748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87,251,06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115,957,5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29,869,17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1,177,748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87,251,06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24,105,17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3）其他说明" w:id="571"/>
      <w:bookmarkEnd w:id="57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4、营业收入和营业成本" w:id="572"/>
      <w:bookmarkEnd w:id="57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367,451,760.66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321,475,543.34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620,438,163.35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541,562,194.33</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29,824,561.35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2,327,388.89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4,915,535.02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2,179,593.51</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397,276,322.01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323,802,932.23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625,353,698.37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543,741,787.84</w:t>
            </w:r>
          </w:p>
        </w:tc>
      </w:tr>
    </w:tbl>
    <w:p>
      <w:pPr>
        <w:pStyle w:val="BodyText"/>
        <w:spacing w:line="240" w:lineRule="auto" w:before="49"/>
        <w:ind w:right="1133"/>
        <w:jc w:val="left"/>
      </w:pPr>
      <w:r>
        <w:rPr/>
        <w:t>是否已执行新收入准则</w:t>
      </w:r>
    </w:p>
    <w:p>
      <w:pPr>
        <w:pStyle w:val="BodyText"/>
        <w:spacing w:line="338" w:lineRule="auto" w:before="117"/>
        <w:ind w:right="9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bookmarkStart w:name="5、投资收益" w:id="573"/>
      <w:bookmarkEnd w:id="57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1,162,735.54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1,587,977.51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130,826.98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3,730,362.52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1,517,777.51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bookmarkStart w:name="6、其他" w:id="574"/>
      <w:bookmarkEnd w:id="574"/>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75"/>
      <w:bookmarkEnd w:id="575"/>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bookmarkStart w:name="1、当期非经常性损益明细表" w:id="576"/>
      <w:bookmarkEnd w:id="57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1,969,162.20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12,117,741.38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7,775.98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7,143,880.11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1,976,970.42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2,010,420.49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758,659.67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22,446,449.93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bookmarkStart w:name="2、净资产收益率及每股收益" w:id="577"/>
      <w:bookmarkEnd w:id="57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r>
      <w:tr>
        <w:trPr>
          <w:trHeight w:val="71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bookmarkStart w:name="3、境内外会计准则下会计数据差异" w:id="578"/>
      <w:bookmarkEnd w:id="57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bookmarkStart w:name="（1）同时按照国际会计准则与按中国会计准则披露的财务报告中净利润和净资产差异情况" w:id="579"/>
      <w:bookmarkEnd w:id="57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bookmarkStart w:name="（2）同时按照境外会计准则与按中国会计准则披露的财务报告中净利润和净资产差异情况" w:id="580"/>
      <w:bookmarkEnd w:id="58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bookmarkStart w:name="（3）境内外会计准则下会计数据差异原因说明，对已经境外审计机构审计的数据进行差异" w:id="581"/>
      <w:bookmarkEnd w:id="58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bookmarkStart w:name="4、其他" w:id="582"/>
      <w:bookmarkEnd w:id="58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第十三节 备查文件目录" w:id="583"/>
      <w:bookmarkEnd w:id="583"/>
      <w:r>
        <w:rPr>
          <w:b w:val="0"/>
          <w:bCs w:val="0"/>
        </w:rPr>
      </w:r>
      <w:bookmarkStart w:name="_bookmark12" w:id="584"/>
      <w:bookmarkEnd w:id="584"/>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1133"/>
        <w:jc w:val="left"/>
      </w:pPr>
      <w:r>
        <w:rPr>
          <w:rFonts w:ascii="Times New Roman" w:hAnsi="Times New Roman" w:cs="Times New Roman" w:eastAsia="Times New Roman" w:hint="default"/>
        </w:rPr>
        <w:t>1</w:t>
      </w:r>
      <w:r>
        <w:rPr/>
        <w:t>、载有公司董事长签署的</w:t>
      </w:r>
      <w:r>
        <w:rPr>
          <w:rFonts w:ascii="Times New Roman" w:hAnsi="Times New Roman" w:cs="Times New Roman" w:eastAsia="Times New Roman" w:hint="default"/>
        </w:rPr>
        <w:t>2019</w:t>
      </w:r>
      <w:r>
        <w:rPr/>
        <w:t>年年度报告正本。</w:t>
      </w:r>
    </w:p>
    <w:p>
      <w:pPr>
        <w:pStyle w:val="BodyText"/>
        <w:spacing w:line="240" w:lineRule="auto" w:before="63"/>
        <w:ind w:right="1133"/>
        <w:jc w:val="left"/>
      </w:pPr>
      <w:r>
        <w:rPr>
          <w:rFonts w:ascii="Times New Roman" w:hAnsi="Times New Roman" w:cs="Times New Roman" w:eastAsia="Times New Roman" w:hint="default"/>
        </w:rPr>
        <w:t>2</w:t>
      </w:r>
      <w:r>
        <w:rPr/>
        <w:t>、载有公司负责人、主管会计工作负责人及会计机构负责人签名并盖章的财务报表。</w:t>
      </w:r>
    </w:p>
    <w:p>
      <w:pPr>
        <w:pStyle w:val="BodyText"/>
        <w:spacing w:line="240" w:lineRule="auto" w:before="63"/>
        <w:ind w:right="1133"/>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right="1133"/>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20" w:lineRule="exact"/>
        <w:ind w:left="6953" w:right="0" w:firstLine="0"/>
        <w:rPr>
          <w:rFonts w:ascii="宋体" w:hAnsi="宋体" w:cs="宋体" w:eastAsia="宋体" w:hint="default"/>
          <w:sz w:val="2"/>
          <w:szCs w:val="2"/>
        </w:rPr>
      </w:pPr>
      <w:r>
        <w:rPr>
          <w:rFonts w:ascii="宋体" w:hAnsi="宋体" w:cs="宋体" w:eastAsia="宋体" w:hint="default"/>
          <w:sz w:val="2"/>
          <w:szCs w:val="2"/>
        </w:rPr>
        <w:pict>
          <v:group style="width:142.3pt;height:.45pt;mso-position-horizontal-relative:char;mso-position-vertical-relative:line" coordorigin="0,0" coordsize="2846,9">
            <v:group style="position:absolute;left:4;top:4;width:2838;height:2" coordorigin="4,4" coordsize="2838,2">
              <v:shape style="position:absolute;left:4;top:4;width:2838;height:2" coordorigin="4,4" coordsize="2838,0" path="m4,4l2841,4e" filled="false" stroked="true" strokeweight=".4224pt" strokecolor="#000000">
                <v:path arrowok="t"/>
              </v:shape>
            </v:group>
          </v:group>
        </w:pict>
      </w:r>
      <w:r>
        <w:rPr>
          <w:rFonts w:ascii="宋体" w:hAnsi="宋体" w:cs="宋体" w:eastAsia="宋体" w:hint="default"/>
          <w:sz w:val="2"/>
          <w:szCs w:val="2"/>
        </w:rPr>
      </w:r>
    </w:p>
    <w:p>
      <w:pPr>
        <w:pStyle w:val="Heading4"/>
        <w:spacing w:line="273" w:lineRule="auto"/>
        <w:ind w:left="6975" w:right="1130"/>
        <w:jc w:val="center"/>
      </w:pPr>
      <w:r>
        <w:rPr/>
        <w:t>法定代表人：</w:t>
      </w:r>
      <w:r>
        <w:rPr>
          <w:spacing w:val="-21"/>
        </w:rPr>
        <w:t> </w:t>
      </w:r>
      <w:r>
        <w:rPr/>
        <w:t>顾永德（签章）</w:t>
      </w:r>
      <w:r>
        <w:rPr>
          <w:w w:val="100"/>
        </w:rPr>
        <w:t> </w:t>
      </w:r>
      <w:r>
        <w:rPr/>
        <w:t>茂硕电源科技股份有限公司</w:t>
      </w:r>
      <w:r>
        <w:rPr>
          <w:w w:val="100"/>
        </w:rPr>
        <w:t> </w:t>
      </w:r>
      <w:r>
        <w:rPr/>
        <w:t>二〇二〇年四月二十日</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312" type="#_x0000_t75" stroked="false">
          <v:imagedata r:id="rId1" o:title=""/>
        </v:shape>
      </w:pict>
    </w:r>
    <w:r>
      <w:rPr/>
      <w:pict>
        <v:shape style="position:absolute;margin-left:533.099976pt;margin-top:795.637939pt;width:6.5pt;height:11pt;mso-position-horizontal-relative:page;mso-position-vertical-relative:page;z-index:-12432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264" type="#_x0000_t75" stroked="false">
          <v:imagedata r:id="rId1" o:title=""/>
        </v:shape>
      </w:pict>
    </w:r>
    <w:r>
      <w:rPr/>
      <w:pict>
        <v:shape style="position:absolute;margin-left:527.659973pt;margin-top:781.933899pt;width:13.15pt;height:11pt;mso-position-horizontal-relative:page;mso-position-vertical-relative:page;z-index:-12432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216" type="#_x0000_t75" stroked="false">
          <v:imagedata r:id="rId1" o:title=""/>
        </v:shape>
      </w:pict>
    </w:r>
    <w:r>
      <w:rPr/>
      <w:pict>
        <v:shape style="position:absolute;margin-left:524.099976pt;margin-top:781.933899pt;width:15.7pt;height:11pt;mso-position-horizontal-relative:page;mso-position-vertical-relative:page;z-index:-12431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168" type="#_x0000_t75" stroked="false">
          <v:imagedata r:id="rId1" o:title=""/>
        </v:shape>
      </w:pict>
    </w:r>
    <w:r>
      <w:rPr/>
      <w:pict>
        <v:shape style="position:absolute;margin-left:523.099976pt;margin-top:781.933899pt;width:17.7pt;height:11pt;mso-position-horizontal-relative:page;mso-position-vertical-relative:page;z-index:-12431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120" type="#_x0000_t75" stroked="false">
          <v:imagedata r:id="rId1" o:title=""/>
        </v:shape>
      </w:pict>
    </w:r>
    <w:r>
      <w:rPr/>
      <w:pict>
        <v:shape style="position:absolute;margin-left:523.460022pt;margin-top:781.933899pt;width:17.3pt;height:11pt;mso-position-horizontal-relative:page;mso-position-vertical-relative:page;z-index:-12430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072" type="#_x0000_t75" stroked="false">
          <v:imagedata r:id="rId1" o:title=""/>
        </v:shape>
      </w:pict>
    </w:r>
    <w:r>
      <w:rPr/>
      <w:pict>
        <v:shape style="position:absolute;margin-left:523.099976pt;margin-top:781.933899pt;width:17.7pt;height:11pt;mso-position-horizontal-relative:page;mso-position-vertical-relative:page;z-index:-12430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3024" type="#_x0000_t75" stroked="false">
          <v:imagedata r:id="rId1" o:title=""/>
        </v:shape>
      </w:pict>
    </w:r>
    <w:r>
      <w:rPr/>
      <w:pict>
        <v:shape style="position:absolute;margin-left:524.099976pt;margin-top:781.933899pt;width:15.7pt;height:11pt;mso-position-horizontal-relative:page;mso-position-vertical-relative:page;z-index:-12430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42976" type="#_x0000_t75" stroked="false">
          <v:imagedata r:id="rId1" o:title=""/>
        </v:shape>
      </w:pict>
    </w:r>
    <w:r>
      <w:rPr/>
      <w:pict>
        <v:shape style="position:absolute;margin-left:523.099976pt;margin-top:781.933899pt;width:17.7pt;height:11pt;mso-position-horizontal-relative:page;mso-position-vertical-relative:page;z-index:-12429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243336" type="#_x0000_t202" filled="false" stroked="false">
          <v:textbox inset="0,0,0,0">
            <w:txbxContent>
              <w:p>
                <w:pPr>
                  <w:pStyle w:val="BodyText"/>
                  <w:spacing w:line="214" w:lineRule="exact" w:before="0"/>
                  <w:ind w:left="20" w:right="0"/>
                  <w:jc w:val="left"/>
                </w:pPr>
                <w:r>
                  <w:rPr/>
                  <w:t>茂硕电源科技股份有限公司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9"/>
      <w:ind w:left="152"/>
    </w:pPr>
    <w:rPr>
      <w:rFonts w:ascii="宋体" w:hAnsi="宋体" w:eastAsia="宋体"/>
      <w:sz w:val="21"/>
      <w:szCs w:val="21"/>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15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2"/>
      <w:ind w:left="152"/>
      <w:outlineLvl w:val="4"/>
    </w:pPr>
    <w:rPr>
      <w:rFonts w:ascii="宋体" w:hAnsi="宋体" w:eastAsia="宋体"/>
      <w:sz w:val="21"/>
      <w:szCs w:val="21"/>
    </w:rPr>
  </w:style>
  <w:style w:styleId="Heading5" w:type="paragraph">
    <w:name w:val="Heading 5"/>
    <w:basedOn w:val="Normal"/>
    <w:uiPriority w:val="1"/>
    <w:qFormat/>
    <w:pPr>
      <w:spacing w:before="44"/>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osopower.com/" TargetMode="External"/><Relationship Id="rId9" Type="http://schemas.openxmlformats.org/officeDocument/2006/relationships/hyperlink" Target="mailto:GYD@mosopower.com" TargetMode="External"/><Relationship Id="rId10" Type="http://schemas.openxmlformats.org/officeDocument/2006/relationships/hyperlink" Target="mailto:yaoyao.zhu@mosopower.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茂硕电源科技股份有限公司</dc:creator>
  <dc:title>茂硕电源科技股份有限公司2019年年度报告全文</dc:title>
  <dcterms:created xsi:type="dcterms:W3CDTF">2020-05-19T05:30:26Z</dcterms:created>
  <dcterms:modified xsi:type="dcterms:W3CDTF">2020-05-19T05:30:26Z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2020-05-18T00:00:00Z</vt:filetime>
  </property>
</Properties>
</file>