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22" w:right="1140" w:bottom="984" w:left="3761" w:header="0" w:footer="3" w:gutter="0"/>
          <w:pgNumType w:start="1"/>
          <w:cols w:space="720"/>
          <w:noEndnote/>
          <w:rtlGutter w:val="0"/>
          <w:docGrid w:linePitch="360"/>
        </w:sectPr>
      </w:pPr>
    </w:p>
    <w:p>
      <w:pPr>
        <w:pStyle w:val="Style6"/>
        <w:keepNext w:val="0"/>
        <w:keepLines w:val="0"/>
        <w:framePr w:w="4373" w:h="432" w:wrap="none" w:vAnchor="text" w:hAnchor="page" w:x="3762" w:y="21"/>
        <w:widowControl w:val="0"/>
        <w:shd w:val="clear" w:color="auto" w:fill="auto"/>
        <w:bidi w:val="0"/>
        <w:spacing w:before="0" w:after="0" w:line="240" w:lineRule="auto"/>
        <w:ind w:left="0" w:right="0" w:firstLine="0"/>
        <w:jc w:val="center"/>
      </w:pPr>
      <w:r>
        <w:rPr>
          <w:color w:val="000000"/>
          <w:spacing w:val="0"/>
          <w:w w:val="100"/>
          <w:position w:val="0"/>
        </w:rPr>
        <w:t>茂硕电源科技股份有限公司</w:t>
      </w:r>
    </w:p>
    <w:p>
      <w:pPr>
        <w:pStyle w:val="Style8"/>
        <w:keepNext w:val="0"/>
        <w:keepLines w:val="0"/>
        <w:framePr w:w="2366" w:h="408" w:wrap="none" w:vAnchor="text" w:hAnchor="page" w:x="4761" w:y="846"/>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framePr w:w="1872" w:h="413" w:wrap="none" w:vAnchor="text" w:hAnchor="page" w:x="5001" w:y="7249"/>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22" w:right="1140" w:bottom="984" w:left="3761" w:header="0" w:footer="3" w:gutter="0"/>
          <w:cols w:space="720"/>
          <w:noEndnote/>
          <w:rtlGutter w:val="0"/>
          <w:docGrid w:linePitch="360"/>
        </w:sectPr>
      </w:pPr>
    </w:p>
    <w:p>
      <w:pPr>
        <w:pStyle w:val="Style14"/>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2" w:lineRule="exact"/>
        <w:ind w:left="0" w:right="0"/>
        <w:jc w:val="both"/>
      </w:pPr>
      <w:bookmarkStart w:id="3" w:name="bookmark3"/>
      <w:r>
        <w:rPr>
          <w:color w:val="000000"/>
          <w:spacing w:val="0"/>
          <w:w w:val="100"/>
          <w:position w:val="0"/>
        </w:rPr>
        <w:t>公司董事会、监事会及除以下存在异议声明的董事、监事、高级管理人员 外的其他董事、监事、高级管理人员均保证年度报告内容的真实、准确、完整, 不存在虚假记载、误导性陈述或重大遗漏，并承担个别和连带的法律责任。</w:t>
      </w:r>
      <w:bookmarkEnd w:id="3"/>
    </w:p>
    <w:p>
      <w:pPr>
        <w:pStyle w:val="Style16"/>
        <w:keepNext w:val="0"/>
        <w:keepLines w:val="0"/>
        <w:widowControl w:val="0"/>
        <w:shd w:val="clear" w:color="auto" w:fill="auto"/>
        <w:bidi w:val="0"/>
        <w:spacing w:before="0"/>
        <w:ind w:left="0" w:right="0"/>
        <w:jc w:val="both"/>
      </w:pPr>
      <w:r>
        <w:rPr>
          <w:color w:val="000000"/>
          <w:spacing w:val="0"/>
          <w:w w:val="100"/>
          <w:position w:val="0"/>
        </w:rPr>
        <w:t>公司负责人王浩涛、主管会计工作负责人楚长征及会计机构负责人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秦利红声明：保证本年度报告中财务报告的真实、准确、完整。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34" w:lineRule="exact"/>
        <w:ind w:left="0" w:right="0"/>
        <w:jc w:val="both"/>
        <w:rPr>
          <w:sz w:val="30"/>
          <w:szCs w:val="30"/>
        </w:rPr>
      </w:pPr>
      <w:r>
        <w:rPr>
          <w:color w:val="000000"/>
          <w:spacing w:val="0"/>
          <w:w w:val="100"/>
          <w:position w:val="0"/>
          <w:sz w:val="28"/>
          <w:szCs w:val="28"/>
        </w:rPr>
        <w:t>本年度报告内容所涉及的未来计划、发展战略等前瞻性描述，不构成公司 对投资者的实质承诺，敬请投资者注意投资风险</w:t>
      </w:r>
      <w:r>
        <w:rPr>
          <w:color w:val="000000"/>
          <w:spacing w:val="0"/>
          <w:w w:val="100"/>
          <w:position w:val="0"/>
          <w:sz w:val="30"/>
          <w:szCs w:val="30"/>
        </w:rPr>
        <w:t>！</w:t>
      </w:r>
    </w:p>
    <w:p>
      <w:pPr>
        <w:pStyle w:val="Style16"/>
        <w:keepNext w:val="0"/>
        <w:keepLines w:val="0"/>
        <w:widowControl w:val="0"/>
        <w:shd w:val="clear" w:color="auto" w:fill="auto"/>
        <w:bidi w:val="0"/>
        <w:spacing w:before="0"/>
        <w:ind w:left="0" w:right="0"/>
        <w:jc w:val="both"/>
      </w:pPr>
      <w:r>
        <w:rPr>
          <w:color w:val="000000"/>
          <w:spacing w:val="0"/>
          <w:w w:val="100"/>
          <w:position w:val="0"/>
        </w:rPr>
        <w:t>公司可能面临的风险详见本报告第四节、经营情况讨论与分析九、公司未 来发展的展望（五）未来可能面临的风险提示。</w:t>
      </w:r>
    </w:p>
    <w:p>
      <w:pPr>
        <w:pStyle w:val="Style16"/>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40" w:right="970"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420" w:after="154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3" w:tooltip="Current Document">
        <w:r>
          <w:rPr>
            <w:color w:val="000000"/>
            <w:spacing w:val="0"/>
            <w:w w:val="100"/>
            <w:position w:val="0"/>
            <w:sz w:val="17"/>
            <w:szCs w:val="17"/>
          </w:rPr>
          <w:t>第三节 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81"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14</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79"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31</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52"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48</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449"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54</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09"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55</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13" w:tooltip="Current Document">
        <w:r>
          <w:rPr>
            <w:color w:val="000000"/>
            <w:spacing w:val="0"/>
            <w:w w:val="100"/>
            <w:position w:val="0"/>
            <w:sz w:val="17"/>
            <w:szCs w:val="17"/>
          </w:rPr>
          <w:t>第九节董事、监事、高级管理人员和员工情况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56</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560" w:tooltip="Current Document">
        <w:r>
          <w:rPr>
            <w:color w:val="000000"/>
            <w:spacing w:val="0"/>
            <w:w w:val="100"/>
            <w:position w:val="0"/>
            <w:sz w:val="17"/>
            <w:szCs w:val="17"/>
          </w:rPr>
          <w:t>第十节公司治理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66</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643"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72</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647"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73</w:t>
        </w:r>
      </w:hyperlink>
    </w:p>
    <w:p>
      <w:pPr>
        <w:pStyle w:val="Style20"/>
        <w:keepNext w:val="0"/>
        <w:keepLines w:val="0"/>
        <w:widowControl w:val="0"/>
        <w:shd w:val="clear" w:color="auto" w:fill="auto"/>
        <w:tabs>
          <w:tab w:leader="dot" w:pos="9611" w:val="right"/>
        </w:tabs>
        <w:bidi w:val="0"/>
        <w:spacing w:before="0" w:line="240" w:lineRule="auto"/>
        <w:ind w:left="0" w:right="0" w:firstLine="0"/>
        <w:jc w:val="left"/>
        <w:rPr>
          <w:sz w:val="18"/>
          <w:szCs w:val="18"/>
        </w:rPr>
      </w:pPr>
      <w:hyperlink w:anchor="bookmark2455"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212</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母公司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济南市国资委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济南市人民政府国有资产监督管理委员会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产发融盛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济南产发融盛股权投资有限公司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德旺投资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深圳德旺投资发展有限公司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深圳茂硕电子科技有限公司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香港茂硕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茂硕能源科技（香港）国际有限公司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香港加码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茂硕研究院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深圳茂硕新能源技术研究院有限公司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海宁茂硕诺华能源有限公司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茂硕新能源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瑞盈茂硕融资租赁（深圳）有限公司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山西茂硕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山西茂硕光伏电力股份有限公司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深圳茂硕投资发展有限公司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钢盾科技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深圳市钢盾科技有限公司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前海九派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深圳市前海九派资本管理合伙企业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新余茂硕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新余茂硕新能源科技有限公司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国利英核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安徽新国利英核能源有限公司，原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浙江国利英核能源有限公司</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华智测控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深圳华智测控技术有限公司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弘康茂硕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河南弘康茂硕电气有限公司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深圳茂硕电气有限公司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方正达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湖南省方正达电子科技有限公司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萍乡茂硕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萍乡茂硕新能源科技有限公司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开关电源、消费电子电源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为各类消费电子产品提供所需电力的装置，属于消费电子产品必需配 件；为公司主营产品之一</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FPC</w:t>
            </w:r>
            <w:r>
              <w:rPr>
                <w:color w:val="000000"/>
                <w:spacing w:val="0"/>
                <w:w w:val="100"/>
                <w:position w:val="0"/>
              </w:rPr>
              <w:t>、</w:t>
            </w:r>
            <w:r>
              <w:rPr>
                <w:color w:val="000000"/>
                <w:spacing w:val="0"/>
                <w:w w:val="100"/>
                <w:position w:val="0"/>
              </w:rPr>
              <w:t>柔性印制电路板、柔性电路板或柔性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组装电子零件用的基板，是在柔性基材上按预定设计形成点间连接及</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线路板</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印制元件的印制板</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茂硕电源科技股份有限公司公司章程</w:t>
            </w:r>
          </w:p>
        </w:tc>
      </w:tr>
    </w:tbl>
    <w:p>
      <w:pPr>
        <w:sectPr>
          <w:footnotePr>
            <w:pos w:val="pageBottom"/>
            <w:numFmt w:val="decimal"/>
            <w:numRestart w:val="continuous"/>
          </w:footnotePr>
          <w:pgSz w:w="11900" w:h="16840"/>
          <w:pgMar w:top="1441" w:right="1141" w:bottom="1571" w:left="1087"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7"/>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Moso Power Supply Technology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Moso Power</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王浩涛</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广东省深圳市南山区松白路关外小白芒桑泰工业园</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深圳市南山区西丽松白路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号茂硕科技园</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mo sopower. com</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 so @mo sopower. com</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朱瑶瑶</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深圳市南山区西丽松白路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号茂硕科 技园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深圳市南山区西丽松白路</w:t>
            </w:r>
            <w:r>
              <w:rPr>
                <w:rFonts w:ascii="Times New Roman" w:eastAsia="Times New Roman" w:hAnsi="Times New Roman" w:cs="Times New Roman"/>
                <w:color w:val="000000"/>
                <w:spacing w:val="0"/>
                <w:w w:val="100"/>
                <w:position w:val="0"/>
                <w:sz w:val="18"/>
                <w:szCs w:val="18"/>
              </w:rPr>
              <w:t>1061</w:t>
            </w:r>
            <w:r>
              <w:rPr>
                <w:color w:val="000000"/>
                <w:spacing w:val="0"/>
                <w:w w:val="100"/>
                <w:position w:val="0"/>
              </w:rPr>
              <w:t>号茂硕科 技园</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0755-27659888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wanghaotao @</w:t>
            </w:r>
            <w:r>
              <w:rPr>
                <w:rFonts w:ascii="Times New Roman" w:eastAsia="Times New Roman" w:hAnsi="Times New Roman" w:cs="Times New Roman"/>
                <w:color w:val="000000"/>
                <w:spacing w:val="0"/>
                <w:w w:val="100"/>
                <w:position w:val="0"/>
                <w:sz w:val="18"/>
                <w:szCs w:val="18"/>
              </w:rPr>
              <w:t>jncfjt.com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"mailto:yaoyao.zhu@mosopower.com" </w:instrText>
            </w:r>
            <w:r>
              <w:fldChar w:fldCharType="separate"/>
            </w:r>
            <w:r>
              <w:rPr>
                <w:rFonts w:ascii="Times New Roman" w:eastAsia="Times New Roman" w:hAnsi="Times New Roman" w:cs="Times New Roman"/>
                <w:color w:val="000000"/>
                <w:spacing w:val="0"/>
                <w:w w:val="100"/>
                <w:position w:val="0"/>
                <w:sz w:val="18"/>
                <w:szCs w:val="18"/>
              </w:rPr>
              <w:t>yaoyao.zhu@mosopower.com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91440300786559921G</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481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5"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日，公司原控股股东深圳德旺投资发展有限公司（以下简称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德旺 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与顾永德先生签署了《股权转让合同》，德旺投资为顾永德先生的全资控 股公司，德旺投资将其持有的茂硕电源无限售流通股</w:t>
            </w:r>
            <w:r>
              <w:rPr>
                <w:rFonts w:ascii="Times New Roman" w:eastAsia="Times New Roman" w:hAnsi="Times New Roman" w:cs="Times New Roman"/>
                <w:color w:val="000000"/>
                <w:spacing w:val="0"/>
                <w:w w:val="100"/>
                <w:position w:val="0"/>
                <w:sz w:val="18"/>
                <w:szCs w:val="18"/>
              </w:rPr>
              <w:t>49,200,347</w:t>
            </w:r>
            <w:r>
              <w:rPr>
                <w:color w:val="000000"/>
                <w:spacing w:val="0"/>
                <w:w w:val="100"/>
                <w:position w:val="0"/>
              </w:rPr>
              <w:t>股协议转让给公 司实际控制人顾永德先生，顾永德先生为公司控股股东。</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日，公司原控股股东、实际控制人顾永德先生及其一致行动人 德旺投资与济南产发融盛股权投资有限公司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以下简称“产发融盛”</w:t>
            </w:r>
            <w:r>
              <w:rPr>
                <w:color w:val="000000"/>
                <w:spacing w:val="0"/>
                <w:w w:val="100"/>
                <w:position w:val="0"/>
                <w:sz w:val="18"/>
                <w:szCs w:val="18"/>
              </w:rPr>
              <w:t>）</w:t>
            </w:r>
            <w:r>
              <w:rPr>
                <w:color w:val="000000"/>
                <w:spacing w:val="0"/>
                <w:w w:val="100"/>
                <w:position w:val="0"/>
              </w:rPr>
              <w:t>签署了《股 份转让协议》、《表决权委托协议》：产发融盛通过协议转让方式受让顾永德先生直 接持有的茂硕电源</w:t>
            </w:r>
            <w:r>
              <w:rPr>
                <w:rFonts w:ascii="Times New Roman" w:eastAsia="Times New Roman" w:hAnsi="Times New Roman" w:cs="Times New Roman"/>
                <w:color w:val="000000"/>
                <w:spacing w:val="0"/>
                <w:w w:val="100"/>
                <w:position w:val="0"/>
                <w:sz w:val="18"/>
                <w:szCs w:val="18"/>
              </w:rPr>
              <w:t>7.66%</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21,011,887</w:t>
            </w:r>
            <w:r>
              <w:rPr>
                <w:color w:val="000000"/>
                <w:spacing w:val="0"/>
                <w:w w:val="100"/>
                <w:position w:val="0"/>
              </w:rPr>
              <w:t>股）、德旺投资持有的茂硕 电源</w:t>
            </w:r>
            <w:r>
              <w:rPr>
                <w:rFonts w:ascii="Times New Roman" w:eastAsia="Times New Roman" w:hAnsi="Times New Roman" w:cs="Times New Roman"/>
                <w:color w:val="000000"/>
                <w:spacing w:val="0"/>
                <w:w w:val="100"/>
                <w:position w:val="0"/>
                <w:sz w:val="18"/>
                <w:szCs w:val="18"/>
              </w:rPr>
              <w:t>4.24%</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11,639,653</w:t>
            </w:r>
            <w:r>
              <w:rPr>
                <w:color w:val="000000"/>
                <w:spacing w:val="0"/>
                <w:w w:val="100"/>
                <w:position w:val="0"/>
              </w:rPr>
              <w:t>股），总计茂硕电源</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的股份（数量 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股），同时，顾永德将其持有的茂硕电源</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 xml:space="preserve">股份（数量为 </w:t>
            </w:r>
            <w:r>
              <w:rPr>
                <w:rFonts w:ascii="Times New Roman" w:eastAsia="Times New Roman" w:hAnsi="Times New Roman" w:cs="Times New Roman"/>
                <w:color w:val="000000"/>
                <w:spacing w:val="0"/>
                <w:w w:val="100"/>
                <w:position w:val="0"/>
                <w:sz w:val="18"/>
                <w:szCs w:val="18"/>
              </w:rPr>
              <w:t>40,045,302</w:t>
            </w:r>
            <w:r>
              <w:rPr>
                <w:color w:val="000000"/>
                <w:spacing w:val="0"/>
                <w:w w:val="100"/>
                <w:position w:val="0"/>
              </w:rPr>
              <w:t>股）的表决权无条件不可撤销地委托给产发融盛行使。截至目前，产 发融盛持有茂硕电源</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 xml:space="preserve">股），受托行使茂硕电源 </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40,045,302</w:t>
            </w:r>
            <w:r>
              <w:rPr>
                <w:color w:val="000000"/>
                <w:spacing w:val="0"/>
                <w:w w:val="100"/>
                <w:position w:val="0"/>
              </w:rPr>
              <w:t>股），合计拥有茂硕电源</w:t>
            </w:r>
            <w:r>
              <w:rPr>
                <w:rFonts w:ascii="Times New Roman" w:eastAsia="Times New Roman" w:hAnsi="Times New Roman" w:cs="Times New Roman"/>
                <w:color w:val="000000"/>
                <w:spacing w:val="0"/>
                <w:w w:val="100"/>
                <w:position w:val="0"/>
                <w:sz w:val="18"/>
                <w:szCs w:val="18"/>
              </w:rPr>
              <w:t>26.50%</w:t>
            </w:r>
            <w:r>
              <w:rPr>
                <w:color w:val="000000"/>
                <w:spacing w:val="0"/>
                <w:w w:val="100"/>
                <w:position w:val="0"/>
              </w:rPr>
              <w:t>股份（数量 为</w:t>
            </w:r>
            <w:r>
              <w:rPr>
                <w:rFonts w:ascii="Times New Roman" w:eastAsia="Times New Roman" w:hAnsi="Times New Roman" w:cs="Times New Roman"/>
                <w:color w:val="000000"/>
                <w:spacing w:val="0"/>
                <w:w w:val="100"/>
                <w:position w:val="0"/>
                <w:sz w:val="18"/>
                <w:szCs w:val="18"/>
              </w:rPr>
              <w:t>72,696,842</w:t>
            </w:r>
            <w:r>
              <w:rPr>
                <w:color w:val="000000"/>
                <w:spacing w:val="0"/>
                <w:w w:val="100"/>
                <w:position w:val="0"/>
              </w:rPr>
              <w:t>股）的表决权。产发融盛为公司单一拥有表决权比例最大的股东， 为公司的控股股东，济南市国资委为茂硕电源的最终控制人。</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王建华、万海青</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追溯调整或重述原因</w:t>
      </w:r>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会计政策变更</w:t>
      </w:r>
    </w:p>
    <w:tbl>
      <w:tblPr>
        <w:tblOverlap w:val="never"/>
        <w:jc w:val="center"/>
        <w:tblLayout w:type="fixed"/>
      </w:tblPr>
      <w:tblGrid>
        <w:gridCol w:w="2366"/>
        <w:gridCol w:w="1200"/>
        <w:gridCol w:w="1205"/>
        <w:gridCol w:w="1200"/>
        <w:gridCol w:w="1200"/>
        <w:gridCol w:w="1200"/>
        <w:gridCol w:w="1214"/>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bl>
    <w:p>
      <w:pPr>
        <w:spacing w:lineRule="exact" w:line="1"/>
        <w:rPr>
          <w:sz w:val="2"/>
          <w:szCs w:val="2"/>
        </w:rPr>
      </w:pPr>
      <w:r>
        <w:br w:type="page"/>
      </w:r>
    </w:p>
    <w:tbl>
      <w:tblPr>
        <w:tblOverlap w:val="never"/>
        <w:jc w:val="center"/>
        <w:tblLayout w:type="fixed"/>
      </w:tblPr>
      <w:tblGrid>
        <w:gridCol w:w="2366"/>
        <w:gridCol w:w="1200"/>
        <w:gridCol w:w="1205"/>
        <w:gridCol w:w="1200"/>
        <w:gridCol w:w="1200"/>
        <w:gridCol w:w="1200"/>
        <w:gridCol w:w="121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1,234,958,706.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1,247,847,109.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1,247,847,109.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1,337,775,109.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1,337,775,109.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62,868,342.32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66,527,398.75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66,527,398.75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-255,760,999.1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-255,760,999.1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41,019,839.12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44,080,948.82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44,080,948.82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-255,794,949.2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-255,794,949.2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47,709,872.12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41,757,050.90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41,757,050.90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77,843,793.97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77,843,793.97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本年末比上年 末增减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1,731,517,323.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1,633,310,676.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1,633,310,676.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1,704,948,943.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1,703,839,434.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归属于上市公司股东的净资 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692,948,478.33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616,347,128.33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616,347,128.33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555,321,673.04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554,188,928.01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会计政策变更的原因及会计差错更正的情况</w:t>
      </w:r>
    </w:p>
    <w:p>
      <w:pPr>
        <w:pStyle w:val="Style31"/>
        <w:keepNext w:val="0"/>
        <w:keepLines w:val="0"/>
        <w:widowControl w:val="0"/>
        <w:shd w:val="clear" w:color="auto" w:fill="auto"/>
        <w:bidi w:val="0"/>
        <w:spacing w:before="0" w:after="0" w:line="322"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收入》，变更后的会计政策详见本报告 第十二节、五、重要会计政策及会计估计。</w:t>
      </w:r>
    </w:p>
    <w:p>
      <w:pPr>
        <w:pStyle w:val="Style31"/>
        <w:keepNext w:val="0"/>
        <w:keepLines w:val="0"/>
        <w:widowControl w:val="0"/>
        <w:shd w:val="clear" w:color="auto" w:fill="auto"/>
        <w:bidi w:val="0"/>
        <w:spacing w:before="0" w:after="0" w:line="321" w:lineRule="exact"/>
        <w:ind w:left="0" w:right="0" w:firstLine="280"/>
        <w:jc w:val="left"/>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 报表其他相关项目金额，对可比期间信息不予调整。在执行新收入准则时，本公司仅对首次执行日尚未执行完成的合同的累 计影响数进行调整；对于最早可比期间期初之前或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 最终安排，识别已履行的和尚未履行的履约义务、确定交易价格以及在已履行的和尚未履行的履约义务之间分摊交易价格。 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2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21"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360" w:line="32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、境内外会计准则下会计数据差异</w:t>
      </w:r>
      <w:bookmarkEnd w:id="32"/>
      <w:bookmarkEnd w:id="33"/>
      <w:bookmarkEnd w:id="35"/>
    </w:p>
    <w:p>
      <w:pPr>
        <w:pStyle w:val="Style34"/>
        <w:keepNext/>
        <w:keepLines/>
        <w:widowControl w:val="0"/>
        <w:shd w:val="clear" w:color="auto" w:fill="auto"/>
        <w:bidi w:val="0"/>
        <w:spacing w:before="0" w:after="20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、同时按照国际会计准则与按照中国会计准则披露的财务报告中净利润和净资产差异情况</w:t>
      </w:r>
      <w:bookmarkEnd w:id="36"/>
      <w:bookmarkEnd w:id="37"/>
      <w:bookmarkEnd w:id="39"/>
    </w:p>
    <w:p>
      <w:pPr>
        <w:pStyle w:val="Style31"/>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公司报告期不存在按照国际会计准则与按照中国会计准则披露的财务报告中净利润和净资产差异情况。</w:t>
      </w:r>
      <w:r>
        <w:br w:type="page"/>
      </w:r>
    </w:p>
    <w:p>
      <w:pPr>
        <w:pStyle w:val="Style34"/>
        <w:keepNext/>
        <w:keepLines/>
        <w:widowControl w:val="0"/>
        <w:shd w:val="clear" w:color="auto" w:fill="auto"/>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、同时按照境外会计准则与按照中国会计准则披露的财务报告中净利润和净资产差异情况</w:t>
      </w:r>
      <w:bookmarkEnd w:id="40"/>
      <w:bookmarkEnd w:id="41"/>
      <w:bookmarkEnd w:id="43"/>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、分季度主要财务指标</w:t>
      </w:r>
      <w:bookmarkEnd w:id="44"/>
      <w:bookmarkEnd w:id="45"/>
      <w:bookmarkEnd w:id="4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202,641,772.52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331,244,891.43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334,383,921.29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366,688,121.46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7,425,170.85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22,973,986.96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21,147,363.64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11,321,820.87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1,897,545.82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18,619,561.44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17,350,928.00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3,151,803.86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10,798,527.20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-20,135,709.11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44,542,164.94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12,504,889.09</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876,936.04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1,969,162.20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-7,433,728.55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18,787,890.41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12,117,741.38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13,704,004.73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523,404.45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150,328.77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144,089.22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3,340,555.46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7,143,880.11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-8,704,259.74</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246,300.00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-2,060,800.00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1,276,376.20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1,156,901.52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1,976,970.42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2,742,027.10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2,096,117.40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2,010,420.49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795,007.02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758,659.67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21,848,503.20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22,446,449.93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33,950.04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087" w:bottom="1508" w:left="104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52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7"/>
        <w:keepNext/>
        <w:keepLines/>
        <w:widowControl w:val="0"/>
        <w:shd w:val="clear" w:color="auto" w:fill="auto"/>
        <w:bidi w:val="0"/>
        <w:spacing w:before="0" w:after="96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消费电子电源和</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电源是公司的主营业务，公司在该领域经过多年的大力发展，已成为全球领先的电源解决方案供应 商和国内电源行业的标志性企业。</w:t>
      </w:r>
    </w:p>
    <w:p>
      <w:pPr>
        <w:pStyle w:val="Style31"/>
        <w:keepNext w:val="0"/>
        <w:keepLines w:val="0"/>
        <w:widowControl w:val="0"/>
        <w:shd w:val="clear" w:color="auto" w:fill="auto"/>
        <w:bidi w:val="0"/>
        <w:spacing w:before="0" w:after="0" w:line="313" w:lineRule="exact"/>
        <w:ind w:left="0" w:right="0"/>
        <w:jc w:val="both"/>
      </w:pPr>
      <w:r>
        <w:rPr>
          <w:b/>
          <w:bCs/>
          <w:color w:val="000000"/>
          <w:spacing w:val="0"/>
          <w:w w:val="100"/>
          <w:position w:val="0"/>
        </w:rPr>
        <w:t>消费电子类电源方面：</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消费电子类电源是指为各类消费电子产品提供所需电力转换的装置,属于消费电子产品必需配件，广泛应用于移动终端、 家庭娱乐等应用领域。</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公司消费电子类电源产品应用领域涵盖网络通信、安防、移动终端、医疗器械、电动工具、小家电、</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机、打印机、 打标机、无人机、显示器、电机驱动、二三轮电动车、共享充电宝领域等，尤其在高端机顶盒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网络通讯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安防等电源市场方 面在全球占有领先地位。经过多年的积累</w:t>
      </w:r>
      <w:r>
        <w:rPr>
          <w:color w:val="000000"/>
          <w:spacing w:val="0"/>
          <w:w w:val="100"/>
          <w:position w:val="0"/>
          <w:sz w:val="18"/>
          <w:szCs w:val="18"/>
        </w:rPr>
        <w:t>，</w:t>
      </w:r>
      <w:r>
        <w:rPr>
          <w:color w:val="000000"/>
          <w:spacing w:val="0"/>
          <w:w w:val="100"/>
          <w:position w:val="0"/>
        </w:rPr>
        <w:t>公司凭借先进的产品技术、优质的产品质量、自动智能化快速批量制造和快速准 确响应客户需求的能力，赢得了稳定的国际大客户群体，公司市场份额不断扩大。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研发中心完成</w:t>
      </w:r>
      <w:r>
        <w:rPr>
          <w:rFonts w:ascii="Times New Roman" w:eastAsia="Times New Roman" w:hAnsi="Times New Roman" w:cs="Times New Roman"/>
          <w:color w:val="000000"/>
          <w:spacing w:val="0"/>
          <w:w w:val="100"/>
          <w:position w:val="0"/>
          <w:sz w:val="18"/>
          <w:szCs w:val="18"/>
        </w:rPr>
        <w:t>5W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250W</w:t>
      </w:r>
      <w:r>
        <w:rPr>
          <w:color w:val="000000"/>
          <w:spacing w:val="0"/>
          <w:w w:val="100"/>
          <w:position w:val="0"/>
        </w:rPr>
        <w:t>系列消费电子类电源的标准化升级动作，产品实现了自动化智能生产，缩短了交付客 户的时间；同时突破并完成了由中小功率产品向大功率产品的开发升级（最大达到</w:t>
      </w:r>
      <w:r>
        <w:rPr>
          <w:rFonts w:ascii="Times New Roman" w:eastAsia="Times New Roman" w:hAnsi="Times New Roman" w:cs="Times New Roman"/>
          <w:color w:val="000000"/>
          <w:spacing w:val="0"/>
          <w:w w:val="100"/>
          <w:position w:val="0"/>
          <w:sz w:val="18"/>
          <w:szCs w:val="18"/>
        </w:rPr>
        <w:t>2500W</w:t>
      </w:r>
      <w:r>
        <w:rPr>
          <w:color w:val="000000"/>
          <w:spacing w:val="0"/>
          <w:w w:val="100"/>
          <w:position w:val="0"/>
        </w:rPr>
        <w:t>激光设备电源），从传统电源转向 全数字化电源的设计，逐步完善了公司单个功能电源到智能系统的多元化产品。公司继续执行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一个中心、两个重点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 战略，即以客户满意为中心，重点抓公司系列产品的标准化、重点抓</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 xml:space="preserve">客户定制产品的个性化；通过中小功率产品的标准 化（针对不同应用领域），来实现设计优化、成本优化、工艺优化、品质优化，从而保障公司基本面的市场竞争能力，通过 </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客户定制产品的个性化来实现性价比最高产品的输出，提升公司盈利能力；同时，通过电源新技术的研究开发、对新材 料的应用，设计出一系列高性能的前沿电源产品，铺设了未来电源领域领导者的基础。</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电源方面：</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驱动电源是把电源供应转换为特定的电压电流以驱动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发光的电力转换器，大功率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驱动电源主要用于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 灯、隧道灯、工矿灯、地铁（轻轨）灯及景观亮化等户外大功率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照明设备等，其功能是将交流电转换成直流电，同时完 成与大功率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电压与电流的匹配。</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电源板块以大功率驱动电源为主，产品范围涵盖道路照明驱动、工业照明驱动、景观照明驱动、轨道交通照明 驱动、大功率应用照明驱动（如植物照明、体育场馆照明、</w:t>
      </w:r>
      <w:r>
        <w:rPr>
          <w:rFonts w:ascii="Times New Roman" w:eastAsia="Times New Roman" w:hAnsi="Times New Roman" w:cs="Times New Roman"/>
          <w:color w:val="000000"/>
          <w:spacing w:val="0"/>
          <w:w w:val="100"/>
          <w:position w:val="0"/>
          <w:sz w:val="18"/>
          <w:szCs w:val="18"/>
        </w:rPr>
        <w:t>UV LED</w:t>
      </w:r>
      <w:r>
        <w:rPr>
          <w:color w:val="000000"/>
          <w:spacing w:val="0"/>
          <w:w w:val="100"/>
          <w:position w:val="0"/>
        </w:rPr>
        <w:t>固化）等应用领域。报告期内，结合国内新基建大背景， 在行业率先发布首款数字化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智慧灯杆供配电与管理整体解决方案领航者</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rPr>
        <w:t xml:space="preserve">助力智慧城市建设；道路照明领域，完善了 </w:t>
      </w:r>
      <w:r>
        <w:rPr>
          <w:rFonts w:ascii="Times New Roman" w:eastAsia="Times New Roman" w:hAnsi="Times New Roman" w:cs="Times New Roman"/>
          <w:color w:val="000000"/>
          <w:spacing w:val="0"/>
          <w:w w:val="100"/>
          <w:position w:val="0"/>
          <w:sz w:val="18"/>
          <w:szCs w:val="18"/>
        </w:rPr>
        <w:t>X6 480-600W</w:t>
      </w:r>
      <w:r>
        <w:rPr>
          <w:color w:val="000000"/>
          <w:spacing w:val="0"/>
          <w:w w:val="100"/>
          <w:position w:val="0"/>
        </w:rPr>
        <w:t>系列大功率段产品。同时，针对欧盟市场，开发符合</w:t>
      </w:r>
      <w:r>
        <w:rPr>
          <w:rFonts w:ascii="Times New Roman" w:eastAsia="Times New Roman" w:hAnsi="Times New Roman" w:cs="Times New Roman"/>
          <w:color w:val="000000"/>
          <w:spacing w:val="0"/>
          <w:w w:val="100"/>
          <w:position w:val="0"/>
          <w:sz w:val="18"/>
          <w:szCs w:val="18"/>
        </w:rPr>
        <w:t xml:space="preserve">Zhaga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要求的</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可编程电源，加大力度拓展欧洲市场； 工业照明，推出了</w:t>
      </w:r>
      <w:r>
        <w:rPr>
          <w:rFonts w:ascii="Times New Roman" w:eastAsia="Times New Roman" w:hAnsi="Times New Roman" w:cs="Times New Roman"/>
          <w:color w:val="000000"/>
          <w:spacing w:val="0"/>
          <w:w w:val="100"/>
          <w:position w:val="0"/>
          <w:sz w:val="18"/>
          <w:szCs w:val="18"/>
        </w:rPr>
        <w:t>G6</w:t>
      </w:r>
      <w:r>
        <w:rPr>
          <w:color w:val="000000"/>
          <w:spacing w:val="0"/>
          <w:w w:val="100"/>
          <w:position w:val="0"/>
        </w:rPr>
        <w:t>系列非隔离电源；景观照明，结合新国标的要求，正式立项了</w:t>
      </w:r>
      <w:r>
        <w:rPr>
          <w:rFonts w:ascii="Times New Roman" w:eastAsia="Times New Roman" w:hAnsi="Times New Roman" w:cs="Times New Roman"/>
          <w:color w:val="000000"/>
          <w:spacing w:val="0"/>
          <w:w w:val="100"/>
          <w:position w:val="0"/>
          <w:sz w:val="18"/>
          <w:szCs w:val="18"/>
        </w:rPr>
        <w:t>V6E</w:t>
      </w:r>
      <w:r>
        <w:rPr>
          <w:color w:val="000000"/>
          <w:spacing w:val="0"/>
          <w:w w:val="100"/>
          <w:position w:val="0"/>
        </w:rPr>
        <w:t>系列；轨道交通照明，发布了全新 的</w:t>
      </w:r>
      <w:r>
        <w:rPr>
          <w:rFonts w:ascii="Times New Roman" w:eastAsia="Times New Roman" w:hAnsi="Times New Roman" w:cs="Times New Roman"/>
          <w:color w:val="000000"/>
          <w:spacing w:val="0"/>
          <w:w w:val="100"/>
          <w:position w:val="0"/>
          <w:sz w:val="18"/>
          <w:szCs w:val="18"/>
        </w:rPr>
        <w:t>XUP</w:t>
      </w:r>
      <w:r>
        <w:rPr>
          <w:color w:val="000000"/>
          <w:spacing w:val="0"/>
          <w:w w:val="100"/>
          <w:position w:val="0"/>
        </w:rPr>
        <w:t>系列智能驱动，功率为</w:t>
      </w:r>
      <w:r>
        <w:rPr>
          <w:rFonts w:ascii="Times New Roman" w:eastAsia="Times New Roman" w:hAnsi="Times New Roman" w:cs="Times New Roman"/>
          <w:color w:val="000000"/>
          <w:spacing w:val="0"/>
          <w:w w:val="100"/>
          <w:position w:val="0"/>
          <w:sz w:val="18"/>
          <w:szCs w:val="18"/>
        </w:rPr>
        <w:t xml:space="preserve">12 </w:t>
      </w:r>
      <w:r>
        <w:rPr>
          <w:rFonts w:ascii="Times New Roman" w:eastAsia="Times New Roman" w:hAnsi="Times New Roman" w:cs="Times New Roman"/>
          <w:color w:val="000000"/>
          <w:spacing w:val="0"/>
          <w:w w:val="100"/>
          <w:position w:val="0"/>
          <w:sz w:val="18"/>
          <w:szCs w:val="18"/>
        </w:rPr>
        <w:t>W~54W</w:t>
      </w:r>
      <w:r>
        <w:rPr>
          <w:color w:val="000000"/>
          <w:spacing w:val="0"/>
          <w:w w:val="100"/>
          <w:position w:val="0"/>
          <w:sz w:val="18"/>
          <w:szCs w:val="18"/>
        </w:rPr>
        <w:t>，</w:t>
      </w:r>
      <w:r>
        <w:rPr>
          <w:color w:val="000000"/>
          <w:spacing w:val="0"/>
          <w:w w:val="100"/>
          <w:position w:val="0"/>
        </w:rPr>
        <w:t>进一步提升了茂硕在此细分领域的竞争力；在大功率应用方面，主要是结合植物照 明、体育场馆照明、</w:t>
      </w:r>
      <w:r>
        <w:rPr>
          <w:rFonts w:ascii="Times New Roman" w:eastAsia="Times New Roman" w:hAnsi="Times New Roman" w:cs="Times New Roman"/>
          <w:color w:val="000000"/>
          <w:spacing w:val="0"/>
          <w:w w:val="100"/>
          <w:position w:val="0"/>
          <w:sz w:val="18"/>
          <w:szCs w:val="18"/>
        </w:rPr>
        <w:t>UV LED</w:t>
      </w:r>
      <w:r>
        <w:rPr>
          <w:color w:val="000000"/>
          <w:spacing w:val="0"/>
          <w:w w:val="100"/>
          <w:position w:val="0"/>
        </w:rPr>
        <w:t>固化等照明领域立项了</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P1H</w:t>
      </w:r>
      <w:r>
        <w:rPr>
          <w:color w:val="000000"/>
          <w:spacing w:val="0"/>
          <w:w w:val="100"/>
          <w:position w:val="0"/>
        </w:rPr>
        <w:t>系列大功率智慧驱动，功率高达</w:t>
      </w:r>
      <w:r>
        <w:rPr>
          <w:rFonts w:ascii="Times New Roman" w:eastAsia="Times New Roman" w:hAnsi="Times New Roman" w:cs="Times New Roman"/>
          <w:color w:val="000000"/>
          <w:spacing w:val="0"/>
          <w:w w:val="100"/>
          <w:position w:val="0"/>
          <w:sz w:val="18"/>
          <w:szCs w:val="18"/>
        </w:rPr>
        <w:t>1200W</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未来，茂硕将重点保持在大功率照明智能驱动上的优势，持续迭代与完善产品线，将茂硕打造全球行业标杆企业。同时， 将以新基建与智慧城市的建设为大背景，结合</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技术的应用，搭载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信号基站的智慧灯杆也势必会迎来新一轮应用高 潮。茂硕将顺势而为，以智慧灯杆为载体，结合自身的技术优势，持续完善与开发相应的电源解决方案，助力国家新型基础 设施建设。</w:t>
      </w:r>
    </w:p>
    <w:p>
      <w:pPr>
        <w:pStyle w:val="Style27"/>
        <w:keepNext/>
        <w:keepLines/>
        <w:widowControl w:val="0"/>
        <w:shd w:val="clear" w:color="auto" w:fill="auto"/>
        <w:bidi w:val="0"/>
        <w:spacing w:before="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二</w:t>
      </w:r>
      <w:bookmarkEnd w:id="62"/>
      <w:r>
        <w:rPr>
          <w:color w:val="000000"/>
          <w:spacing w:val="0"/>
          <w:w w:val="100"/>
          <w:position w:val="0"/>
          <w:sz w:val="24"/>
          <w:szCs w:val="24"/>
        </w:rPr>
        <w:t>、主要资产重大变化情况</w:t>
      </w:r>
      <w:bookmarkEnd w:id="60"/>
      <w:bookmarkEnd w:id="61"/>
      <w:bookmarkEnd w:id="63"/>
    </w:p>
    <w:p>
      <w:pPr>
        <w:pStyle w:val="Style34"/>
        <w:keepNext/>
        <w:keepLines/>
        <w:widowControl w:val="0"/>
        <w:shd w:val="clear" w:color="auto" w:fill="auto"/>
        <w:bidi w:val="0"/>
        <w:spacing w:before="0" w:after="32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1</w:t>
      </w:r>
      <w:bookmarkEnd w:id="66"/>
      <w:r>
        <w:rPr>
          <w:color w:val="000000"/>
          <w:spacing w:val="0"/>
          <w:w w:val="100"/>
          <w:position w:val="0"/>
        </w:rPr>
        <w:t>、主要资产重大变化情况</w:t>
      </w:r>
      <w:bookmarkEnd w:id="64"/>
      <w:bookmarkEnd w:id="65"/>
      <w:bookmarkEnd w:id="67"/>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2</w:t>
      </w:r>
      <w:bookmarkEnd w:id="70"/>
      <w:r>
        <w:rPr>
          <w:color w:val="000000"/>
          <w:spacing w:val="0"/>
          <w:w w:val="100"/>
          <w:position w:val="0"/>
        </w:rPr>
        <w:t>、主要境外资产情况</w:t>
      </w:r>
      <w:bookmarkEnd w:id="68"/>
      <w:bookmarkEnd w:id="69"/>
      <w:bookmarkEnd w:id="71"/>
    </w:p>
    <w:p>
      <w:pPr>
        <w:pStyle w:val="Style31"/>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三</w:t>
      </w:r>
      <w:bookmarkEnd w:id="74"/>
      <w:r>
        <w:rPr>
          <w:color w:val="000000"/>
          <w:spacing w:val="0"/>
          <w:w w:val="100"/>
          <w:position w:val="0"/>
          <w:sz w:val="24"/>
          <w:szCs w:val="24"/>
        </w:rPr>
        <w:t>、核心竞争力分析</w:t>
      </w:r>
      <w:bookmarkEnd w:id="72"/>
      <w:bookmarkEnd w:id="73"/>
      <w:bookmarkEnd w:id="75"/>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报告期内，公司通过内生增长，进一步优化在研发技术、产品质量、品牌管理等方面的核心竞争力。</w:t>
      </w:r>
    </w:p>
    <w:p>
      <w:pPr>
        <w:pStyle w:val="Style31"/>
        <w:keepNext w:val="0"/>
        <w:keepLines w:val="0"/>
        <w:widowControl w:val="0"/>
        <w:shd w:val="clear" w:color="auto" w:fill="auto"/>
        <w:bidi w:val="0"/>
        <w:spacing w:before="0" w:after="0" w:line="313" w:lineRule="exact"/>
        <w:ind w:left="0" w:right="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）业内领先的技术研发能力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茂硕电源及子公司茂硕电子、茂硕电气均是国家级高新技术企业，公司秉承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技术创新、产品为王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的理念，十分重视产 品的研发及创新，公司聘请了资深电源专家和国内知名大学专家共同主导研发，重点加强产品研发过程中的质量管控与可靠 性验证，开发标准化的智能电源产品，结合</w:t>
      </w:r>
      <w:r>
        <w:rPr>
          <w:rFonts w:ascii="Times New Roman" w:eastAsia="Times New Roman" w:hAnsi="Times New Roman" w:cs="Times New Roman"/>
          <w:color w:val="000000"/>
          <w:spacing w:val="0"/>
          <w:w w:val="100"/>
          <w:position w:val="0"/>
          <w:sz w:val="18"/>
          <w:szCs w:val="18"/>
        </w:rPr>
        <w:t>IPD</w:t>
      </w:r>
      <w:r>
        <w:rPr>
          <w:color w:val="000000"/>
          <w:spacing w:val="0"/>
          <w:w w:val="100"/>
          <w:position w:val="0"/>
        </w:rPr>
        <w:t>集成产品设计理念，缩减了产品开发周期和开发成本，进一步提升产品的竞 争力。</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经过多年的技术攻关和生产实践；公司在研发方面取得了长足的进步：</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消费电子类电源方面，报告期内，研发技术骨干已经完成开关电源</w:t>
      </w:r>
      <w:r>
        <w:rPr>
          <w:rFonts w:ascii="Times New Roman" w:eastAsia="Times New Roman" w:hAnsi="Times New Roman" w:cs="Times New Roman"/>
          <w:color w:val="000000"/>
          <w:spacing w:val="0"/>
          <w:w w:val="100"/>
          <w:position w:val="0"/>
          <w:sz w:val="18"/>
          <w:szCs w:val="18"/>
        </w:rPr>
        <w:t>5W-250W</w:t>
      </w:r>
      <w:r>
        <w:rPr>
          <w:color w:val="000000"/>
          <w:spacing w:val="0"/>
          <w:w w:val="100"/>
          <w:position w:val="0"/>
        </w:rPr>
        <w:t>等一系列标准型产品，共完成新产品开发 共</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个系列；完成安规认证升级与取证共</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个系列，并完成多款</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客户定制电源的开发设计，同时完成或预研了多款新应 用领域的定制产品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基础设计项目：①</w:t>
      </w:r>
      <w:r>
        <w:rPr>
          <w:rFonts w:ascii="Times New Roman" w:eastAsia="Times New Roman" w:hAnsi="Times New Roman" w:cs="Times New Roman"/>
          <w:color w:val="000000"/>
          <w:spacing w:val="0"/>
          <w:w w:val="100"/>
          <w:position w:val="0"/>
          <w:sz w:val="18"/>
          <w:szCs w:val="18"/>
        </w:rPr>
        <w:t>300W</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500W</w:t>
      </w:r>
      <w:r>
        <w:rPr>
          <w:color w:val="000000"/>
          <w:spacing w:val="0"/>
          <w:w w:val="100"/>
          <w:position w:val="0"/>
        </w:rPr>
        <w:t>系列户外储能电源项目；②</w:t>
      </w:r>
      <w:r>
        <w:rPr>
          <w:rFonts w:ascii="Times New Roman" w:eastAsia="Times New Roman" w:hAnsi="Times New Roman" w:cs="Times New Roman"/>
          <w:color w:val="000000"/>
          <w:spacing w:val="0"/>
          <w:w w:val="100"/>
          <w:position w:val="0"/>
          <w:sz w:val="18"/>
          <w:szCs w:val="18"/>
        </w:rPr>
        <w:t>2KW</w:t>
      </w:r>
      <w:r>
        <w:rPr>
          <w:color w:val="000000"/>
          <w:spacing w:val="0"/>
          <w:w w:val="100"/>
          <w:position w:val="0"/>
        </w:rPr>
        <w:t>通讯智能充电柜项目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智能低速电动车充 换电电源等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r>
        <w:rPr>
          <w:rFonts w:ascii="Times New Roman" w:eastAsia="Times New Roman" w:hAnsi="Times New Roman" w:cs="Times New Roman"/>
          <w:color w:val="000000"/>
          <w:spacing w:val="0"/>
          <w:w w:val="100"/>
          <w:position w:val="0"/>
          <w:sz w:val="18"/>
          <w:szCs w:val="18"/>
        </w:rPr>
        <w:t>60W-600W</w:t>
      </w:r>
      <w:r>
        <w:rPr>
          <w:color w:val="000000"/>
          <w:spacing w:val="0"/>
          <w:w w:val="100"/>
          <w:position w:val="0"/>
        </w:rPr>
        <w:t>工控电源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激光打印机等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；④</w:t>
      </w:r>
      <w:r>
        <w:rPr>
          <w:rFonts w:ascii="Times New Roman" w:eastAsia="Times New Roman" w:hAnsi="Times New Roman" w:cs="Times New Roman"/>
          <w:color w:val="000000"/>
          <w:spacing w:val="0"/>
          <w:w w:val="100"/>
          <w:position w:val="0"/>
          <w:sz w:val="18"/>
          <w:szCs w:val="18"/>
        </w:rPr>
        <w:t>1400W~2200W</w:t>
      </w:r>
      <w:r>
        <w:rPr>
          <w:color w:val="000000"/>
          <w:spacing w:val="0"/>
          <w:w w:val="100"/>
          <w:position w:val="0"/>
        </w:rPr>
        <w:t>系列区块链电源、⑤采用新氮化镓技术的</w:t>
      </w:r>
      <w:r>
        <w:rPr>
          <w:rFonts w:ascii="Times New Roman" w:eastAsia="Times New Roman" w:hAnsi="Times New Roman" w:cs="Times New Roman"/>
          <w:color w:val="000000"/>
          <w:spacing w:val="0"/>
          <w:w w:val="100"/>
          <w:position w:val="0"/>
          <w:sz w:val="18"/>
          <w:szCs w:val="18"/>
        </w:rPr>
        <w:t>PD</w:t>
      </w:r>
      <w:r>
        <w:rPr>
          <w:color w:val="000000"/>
          <w:spacing w:val="0"/>
          <w:w w:val="100"/>
          <w:position w:val="0"/>
        </w:rPr>
        <w:t>快速充 电器、⑥服务器电源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冗余电源，⑦共享充电宝领域电源等共享物联网，进一步扩展了公司消费类电源的覆盖领域；</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驱动电源方面，坚持报告期内，聚焦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户照明驱动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道路照明、大功率照明、工业照明、景观照 明、轨道交通照明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驱动细分领域；在产品方向：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）紧跟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技术的大规模商业化应用</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智慧灯杆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驱动产品为引领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保持公 司在道路照明领域长期积累的优势，在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月广州国际照明展会期间，茂硕率先发布了行业数字化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智慧灯杆供配电 与管理整体解决方案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领航者</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。该产品以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归一化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设计理念为基础，强调规格的可自定义性，具有集中式、标准化、智 能化、高可靠的特点。为以多功能灯杆为载体的应用终端提供供电、管理及通讯等功能，助力智慧城市建设。领航者</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是 高度集成的一体化电源管理单元，具有强大的拓展、兼容能力。智能化是领航者</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的核心，能够实现能源管理、智能配电、 远程控制、升级与维护等功能。所有外挂设备的信息能够通过</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对接网关连接云平台，运行数据实时上传至云端。同时， 可通过远程控制高效解决</w:t>
      </w:r>
      <w:r>
        <w:rPr>
          <w:rFonts w:ascii="Times New Roman" w:eastAsia="Times New Roman" w:hAnsi="Times New Roman" w:cs="Times New Roman"/>
          <w:color w:val="000000"/>
          <w:spacing w:val="0"/>
          <w:w w:val="100"/>
          <w:position w:val="0"/>
          <w:sz w:val="18"/>
          <w:szCs w:val="18"/>
        </w:rPr>
        <w:t>BUG</w:t>
      </w:r>
      <w:r>
        <w:rPr>
          <w:color w:val="000000"/>
          <w:spacing w:val="0"/>
          <w:w w:val="100"/>
          <w:position w:val="0"/>
        </w:rPr>
        <w:t>或产品功能升级，省时省力，管理更轻松，维护更简单。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）大力发展大功率照明驱动产品， 积极进入植物灯、球场灯、</w:t>
      </w:r>
      <w:r>
        <w:rPr>
          <w:rFonts w:ascii="Times New Roman" w:eastAsia="Times New Roman" w:hAnsi="Times New Roman" w:cs="Times New Roman"/>
          <w:color w:val="000000"/>
          <w:spacing w:val="0"/>
          <w:w w:val="100"/>
          <w:position w:val="0"/>
          <w:sz w:val="18"/>
          <w:szCs w:val="18"/>
        </w:rPr>
        <w:t>UV LED</w:t>
      </w:r>
      <w:r>
        <w:rPr>
          <w:color w:val="000000"/>
          <w:spacing w:val="0"/>
          <w:w w:val="100"/>
          <w:position w:val="0"/>
        </w:rPr>
        <w:t>灯新兴驱动市场，发布了</w:t>
      </w:r>
      <w:r>
        <w:rPr>
          <w:rFonts w:ascii="Times New Roman" w:eastAsia="Times New Roman" w:hAnsi="Times New Roman" w:cs="Times New Roman"/>
          <w:color w:val="000000"/>
          <w:spacing w:val="0"/>
          <w:w w:val="100"/>
          <w:position w:val="0"/>
          <w:sz w:val="18"/>
          <w:szCs w:val="18"/>
        </w:rPr>
        <w:t>X6</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480-600W</w:t>
      </w:r>
      <w:r>
        <w:rPr>
          <w:color w:val="000000"/>
          <w:spacing w:val="0"/>
          <w:w w:val="100"/>
          <w:position w:val="0"/>
        </w:rPr>
        <w:t>系列智能电源，立项了</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P1H</w:t>
      </w:r>
      <w:r>
        <w:rPr>
          <w:color w:val="000000"/>
          <w:spacing w:val="0"/>
          <w:w w:val="100"/>
          <w:position w:val="0"/>
        </w:rPr>
        <w:t>系列</w:t>
      </w:r>
      <w:r>
        <w:rPr>
          <w:rFonts w:ascii="Times New Roman" w:eastAsia="Times New Roman" w:hAnsi="Times New Roman" w:cs="Times New Roman"/>
          <w:color w:val="000000"/>
          <w:spacing w:val="0"/>
          <w:w w:val="100"/>
          <w:position w:val="0"/>
          <w:sz w:val="18"/>
          <w:szCs w:val="18"/>
        </w:rPr>
        <w:t xml:space="preserve">320W-680W </w:t>
      </w:r>
      <w:r>
        <w:rPr>
          <w:color w:val="000000"/>
          <w:spacing w:val="0"/>
          <w:w w:val="100"/>
          <w:position w:val="0"/>
        </w:rPr>
        <w:t>大功率驱动，拓展了产品范围，为实现年度营销计划夯实了基础。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）推出新一代工业照明</w:t>
      </w:r>
      <w:r>
        <w:rPr>
          <w:rFonts w:ascii="Times New Roman" w:eastAsia="Times New Roman" w:hAnsi="Times New Roman" w:cs="Times New Roman"/>
          <w:color w:val="000000"/>
          <w:spacing w:val="0"/>
          <w:w w:val="100"/>
          <w:position w:val="0"/>
          <w:sz w:val="18"/>
          <w:szCs w:val="18"/>
        </w:rPr>
        <w:t>G6</w:t>
      </w:r>
      <w:r>
        <w:rPr>
          <w:color w:val="000000"/>
          <w:spacing w:val="0"/>
          <w:w w:val="100"/>
          <w:position w:val="0"/>
        </w:rPr>
        <w:t>系列，该系列产品覆盖</w:t>
      </w:r>
      <w:r>
        <w:rPr>
          <w:rFonts w:ascii="Times New Roman" w:eastAsia="Times New Roman" w:hAnsi="Times New Roman" w:cs="Times New Roman"/>
          <w:color w:val="000000"/>
          <w:spacing w:val="0"/>
          <w:w w:val="100"/>
          <w:position w:val="0"/>
          <w:sz w:val="18"/>
          <w:szCs w:val="18"/>
        </w:rPr>
        <w:t>60~200W</w:t>
      </w:r>
      <w:r>
        <w:rPr>
          <w:color w:val="000000"/>
          <w:spacing w:val="0"/>
          <w:w w:val="100"/>
          <w:position w:val="0"/>
        </w:rPr>
        <w:t xml:space="preserve">， </w:t>
      </w:r>
      <w:r>
        <w:rPr>
          <w:color w:val="000000"/>
          <w:spacing w:val="0"/>
          <w:w w:val="100"/>
          <w:position w:val="0"/>
        </w:rPr>
        <w:t>采用非隔离无频闪设计，</w:t>
      </w:r>
      <w:r>
        <w:rPr>
          <w:rFonts w:ascii="Times New Roman" w:eastAsia="Times New Roman" w:hAnsi="Times New Roman" w:cs="Times New Roman"/>
          <w:color w:val="000000"/>
          <w:spacing w:val="0"/>
          <w:w w:val="100"/>
          <w:position w:val="0"/>
          <w:sz w:val="18"/>
          <w:szCs w:val="18"/>
        </w:rPr>
        <w:t>0-10V/PWM</w:t>
      </w:r>
      <w:r>
        <w:rPr>
          <w:color w:val="000000"/>
          <w:spacing w:val="0"/>
          <w:w w:val="100"/>
          <w:position w:val="0"/>
        </w:rPr>
        <w:t>多合一调光，满足数字可寻址照明接口要求（</w:t>
      </w:r>
      <w:r>
        <w:rPr>
          <w:rFonts w:ascii="Times New Roman" w:eastAsia="Times New Roman" w:hAnsi="Times New Roman" w:cs="Times New Roman"/>
          <w:color w:val="000000"/>
          <w:spacing w:val="0"/>
          <w:w w:val="100"/>
          <w:position w:val="0"/>
          <w:sz w:val="18"/>
          <w:szCs w:val="18"/>
        </w:rPr>
        <w:t>DALI-2</w:t>
      </w:r>
      <w:r>
        <w:rPr>
          <w:color w:val="000000"/>
          <w:spacing w:val="0"/>
          <w:w w:val="100"/>
          <w:position w:val="0"/>
        </w:rPr>
        <w:t>）</w:t>
      </w:r>
      <w:r>
        <w:rPr>
          <w:color w:val="000000"/>
          <w:spacing w:val="0"/>
          <w:w w:val="100"/>
          <w:position w:val="0"/>
        </w:rPr>
        <w:t>，可提供</w:t>
      </w:r>
      <w:r>
        <w:rPr>
          <w:rFonts w:ascii="Times New Roman" w:eastAsia="Times New Roman" w:hAnsi="Times New Roman" w:cs="Times New Roman"/>
          <w:color w:val="000000"/>
          <w:spacing w:val="0"/>
          <w:w w:val="100"/>
          <w:position w:val="0"/>
          <w:sz w:val="18"/>
          <w:szCs w:val="18"/>
        </w:rPr>
        <w:t>12V/0.2A</w:t>
      </w:r>
      <w:r>
        <w:rPr>
          <w:color w:val="000000"/>
          <w:spacing w:val="0"/>
          <w:w w:val="100"/>
          <w:position w:val="0"/>
        </w:rPr>
        <w:t>辅助输出为 智能外设供电，是行业首款真正实现关断无余辉的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驱动电源产品。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）继续深耕轨道交通照明市场，推出的全新的</w:t>
      </w:r>
      <w:r>
        <w:rPr>
          <w:rFonts w:ascii="Times New Roman" w:eastAsia="Times New Roman" w:hAnsi="Times New Roman" w:cs="Times New Roman"/>
          <w:color w:val="000000"/>
          <w:spacing w:val="0"/>
          <w:w w:val="100"/>
          <w:position w:val="0"/>
          <w:sz w:val="18"/>
          <w:szCs w:val="18"/>
        </w:rPr>
        <w:t xml:space="preserve">XUP </w:t>
      </w:r>
      <w:r>
        <w:rPr>
          <w:color w:val="000000"/>
          <w:spacing w:val="0"/>
          <w:w w:val="100"/>
          <w:position w:val="0"/>
        </w:rPr>
        <w:t>系列，功率覆盖</w:t>
      </w:r>
      <w:r>
        <w:rPr>
          <w:rFonts w:ascii="Times New Roman" w:eastAsia="Times New Roman" w:hAnsi="Times New Roman" w:cs="Times New Roman"/>
          <w:color w:val="000000"/>
          <w:spacing w:val="0"/>
          <w:w w:val="100"/>
          <w:position w:val="0"/>
          <w:sz w:val="18"/>
          <w:szCs w:val="18"/>
        </w:rPr>
        <w:t>12-54W</w:t>
      </w:r>
      <w:r>
        <w:rPr>
          <w:color w:val="000000"/>
          <w:spacing w:val="0"/>
          <w:w w:val="100"/>
          <w:position w:val="0"/>
          <w:sz w:val="18"/>
          <w:szCs w:val="18"/>
        </w:rPr>
        <w:t>，</w:t>
      </w:r>
      <w:r>
        <w:rPr>
          <w:color w:val="000000"/>
          <w:spacing w:val="0"/>
          <w:w w:val="100"/>
          <w:position w:val="0"/>
        </w:rPr>
        <w:t>同样满足最新的满足数字可寻址照明接口要求</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DALI-2</w:t>
      </w:r>
      <w:r>
        <w:rPr>
          <w:color w:val="000000"/>
          <w:spacing w:val="0"/>
          <w:w w:val="100"/>
          <w:position w:val="0"/>
        </w:rPr>
        <w:t>）</w:t>
      </w:r>
      <w:r>
        <w:rPr>
          <w:color w:val="000000"/>
          <w:spacing w:val="0"/>
          <w:w w:val="100"/>
          <w:position w:val="0"/>
        </w:rPr>
        <w:t>，进一步丰富了该领域的产品线，提升了 产品竞争力，可广泛用于轨道交通类公共照明领域，典型如地铁、机场、高铁站等公共照明的智能化控制。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）顺应产业发 </w:t>
      </w:r>
      <w:r>
        <w:rPr>
          <w:color w:val="000000"/>
          <w:spacing w:val="0"/>
          <w:w w:val="100"/>
          <w:position w:val="0"/>
        </w:rPr>
        <w:t>展大势，加大智能照明产品力度，开发并发布了基于欧洲市场的</w:t>
      </w:r>
      <w:r>
        <w:rPr>
          <w:rFonts w:ascii="Times New Roman" w:eastAsia="Times New Roman" w:hAnsi="Times New Roman" w:cs="Times New Roman"/>
          <w:color w:val="000000"/>
          <w:spacing w:val="0"/>
          <w:w w:val="100"/>
          <w:position w:val="0"/>
          <w:sz w:val="18"/>
          <w:szCs w:val="18"/>
        </w:rPr>
        <w:t>U6</w:t>
      </w:r>
      <w:r>
        <w:rPr>
          <w:color w:val="000000"/>
          <w:spacing w:val="0"/>
          <w:w w:val="100"/>
          <w:position w:val="0"/>
        </w:rPr>
        <w:t>系列，除了延续茂硕的特征性功能如限功率恒流输出、 离线编程外，还满足</w:t>
      </w:r>
      <w:r>
        <w:rPr>
          <w:rFonts w:ascii="Times New Roman" w:eastAsia="Times New Roman" w:hAnsi="Times New Roman" w:cs="Times New Roman"/>
          <w:color w:val="000000"/>
          <w:spacing w:val="0"/>
          <w:w w:val="100"/>
          <w:position w:val="0"/>
          <w:sz w:val="18"/>
          <w:szCs w:val="18"/>
        </w:rPr>
        <w:t>DALI-2</w:t>
      </w:r>
      <w:r>
        <w:rPr>
          <w:color w:val="000000"/>
          <w:spacing w:val="0"/>
          <w:w w:val="100"/>
          <w:position w:val="0"/>
        </w:rPr>
        <w:t>、</w:t>
      </w:r>
      <w:r>
        <w:rPr>
          <w:color w:val="000000"/>
          <w:spacing w:val="0"/>
          <w:w w:val="100"/>
          <w:position w:val="0"/>
        </w:rPr>
        <w:t>符合</w:t>
      </w:r>
      <w:r>
        <w:rPr>
          <w:rFonts w:ascii="Times New Roman" w:eastAsia="Times New Roman" w:hAnsi="Times New Roman" w:cs="Times New Roman"/>
          <w:color w:val="000000"/>
          <w:spacing w:val="0"/>
          <w:w w:val="100"/>
          <w:position w:val="0"/>
          <w:sz w:val="18"/>
          <w:szCs w:val="18"/>
        </w:rPr>
        <w:t xml:space="preserve">Zhaga Book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,兼容</w:t>
      </w:r>
      <w:r>
        <w:rPr>
          <w:rFonts w:ascii="Times New Roman" w:eastAsia="Times New Roman" w:hAnsi="Times New Roman" w:cs="Times New Roman"/>
          <w:color w:val="000000"/>
          <w:spacing w:val="0"/>
          <w:w w:val="100"/>
          <w:position w:val="0"/>
          <w:sz w:val="18"/>
          <w:szCs w:val="18"/>
        </w:rPr>
        <w:t>Class I &amp;Class II</w:t>
      </w:r>
      <w:r>
        <w:rPr>
          <w:color w:val="000000"/>
          <w:spacing w:val="0"/>
          <w:w w:val="100"/>
          <w:position w:val="0"/>
        </w:rPr>
        <w:t>二种绝缘系统。该系列产品以市场为导向，强调用 户体验，提供了二种自定义参数的方法，其一是通过</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 xml:space="preserve">近场通信实现编程，无需接上市电即可实现。其二是配套开发了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通过手机实现二次配置。操作更简单，更灵活。在参数上，提升高防雷指标到线对线</w:t>
      </w:r>
      <w:r>
        <w:rPr>
          <w:rFonts w:ascii="Times New Roman" w:eastAsia="Times New Roman" w:hAnsi="Times New Roman" w:cs="Times New Roman"/>
          <w:color w:val="000000"/>
          <w:spacing w:val="0"/>
          <w:w w:val="100"/>
          <w:position w:val="0"/>
          <w:sz w:val="18"/>
          <w:szCs w:val="18"/>
        </w:rPr>
        <w:t>6KV</w:t>
      </w:r>
      <w:r>
        <w:rPr>
          <w:color w:val="000000"/>
          <w:spacing w:val="0"/>
          <w:w w:val="100"/>
          <w:position w:val="0"/>
        </w:rPr>
        <w:t>，线对地</w:t>
      </w:r>
      <w:r>
        <w:rPr>
          <w:rFonts w:ascii="Times New Roman" w:eastAsia="Times New Roman" w:hAnsi="Times New Roman" w:cs="Times New Roman"/>
          <w:color w:val="000000"/>
          <w:spacing w:val="0"/>
          <w:w w:val="100"/>
          <w:position w:val="0"/>
          <w:sz w:val="18"/>
          <w:szCs w:val="18"/>
        </w:rPr>
        <w:t>10KV</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这几个系列产品是在对客户、地域需求的深度理解后规划开发出来的产品，可以分别满足客户现在和将来产品升级的期 望，且满足北美、欧洲及亚太地区不同的产品需求，通过结构及功能的创新大大提升产品的竞争力，同时在行业中首次采用 数字编程技术，大大提升产品的标准化程度，给客户在使用上带来极大的便利。</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企业以助推产业发展为己任，积极参与相关标准的制定，助力产业有序发展，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年，参与了国家标准《室外作业场地 照明设计标准》（标准号：</w:t>
      </w:r>
      <w:r>
        <w:rPr>
          <w:rFonts w:ascii="Times New Roman" w:eastAsia="Times New Roman" w:hAnsi="Times New Roman" w:cs="Times New Roman"/>
          <w:color w:val="000000"/>
          <w:spacing w:val="0"/>
          <w:w w:val="100"/>
          <w:position w:val="0"/>
          <w:sz w:val="18"/>
          <w:szCs w:val="18"/>
        </w:rPr>
        <w:t>GB 50582—2010</w:t>
      </w:r>
      <w:r>
        <w:rPr>
          <w:color w:val="000000"/>
          <w:spacing w:val="0"/>
          <w:w w:val="100"/>
          <w:position w:val="0"/>
        </w:rPr>
        <w:t>）</w:t>
      </w:r>
      <w:r>
        <w:rPr>
          <w:color w:val="000000"/>
          <w:spacing w:val="0"/>
          <w:w w:val="100"/>
          <w:position w:val="0"/>
        </w:rPr>
        <w:t>的修订工作，该标准目前己完成报批并将于近期发布。本标准适用于新建、 改建和扩建的民用机场、铁路、港口码头、造（修）船厂、石油化工工厂、加油站、发电厂、变电站、动力和热力工厂、建 筑工地、停车场、供水和污水处理厂、物流货场等用地红线范围内的室外作业场地功能照明设计。本标准的修订对于提升室 外作业场地光环境质量和管理精细化水平，推动室外作业场地照明的数字化、智能化，降低照明能耗，引导</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技术创新应 用，推动产业转型升级具有重要意义。</w:t>
      </w:r>
    </w:p>
    <w:p>
      <w:pPr>
        <w:pStyle w:val="Style31"/>
        <w:keepNext w:val="0"/>
        <w:keepLines w:val="0"/>
        <w:widowControl w:val="0"/>
        <w:shd w:val="clear" w:color="auto" w:fill="auto"/>
        <w:tabs>
          <w:tab w:pos="765" w:val="left"/>
        </w:tabs>
        <w:bidi w:val="0"/>
        <w:spacing w:before="0" w:after="0" w:line="312" w:lineRule="exact"/>
        <w:ind w:left="0" w:right="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产品质量优势</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卓越设计、稳定可靠；持续改进，客户满意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的质量方针，对产品的质量方面严格把关，专业的质量中心 负责实施质量管理体系工作，按照国际质量体系标准，实行涵盖整个公司业务的质量管理控制。公司及子公司先后通过 </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ISO45001</w:t>
      </w:r>
      <w:r>
        <w:rPr>
          <w:color w:val="000000"/>
          <w:spacing w:val="0"/>
          <w:w w:val="100"/>
          <w:position w:val="0"/>
        </w:rPr>
        <w:t>职业健康安全体系认证和</w:t>
      </w:r>
      <w:r>
        <w:rPr>
          <w:rFonts w:ascii="Times New Roman" w:eastAsia="Times New Roman" w:hAnsi="Times New Roman" w:cs="Times New Roman"/>
          <w:color w:val="000000"/>
          <w:spacing w:val="0"/>
          <w:w w:val="100"/>
          <w:position w:val="0"/>
          <w:sz w:val="18"/>
          <w:szCs w:val="18"/>
        </w:rPr>
        <w:t>CSR</w:t>
      </w:r>
      <w:r>
        <w:rPr>
          <w:color w:val="000000"/>
          <w:spacing w:val="0"/>
          <w:w w:val="100"/>
          <w:position w:val="0"/>
        </w:rPr>
        <w:t>企业社会责任认证，同时， 公司已取得世界权威机构颁发的</w:t>
      </w:r>
      <w:r>
        <w:rPr>
          <w:rFonts w:ascii="Times New Roman" w:eastAsia="Times New Roman" w:hAnsi="Times New Roman" w:cs="Times New Roman"/>
          <w:color w:val="000000"/>
          <w:spacing w:val="0"/>
          <w:w w:val="100"/>
          <w:position w:val="0"/>
          <w:sz w:val="18"/>
          <w:szCs w:val="18"/>
        </w:rPr>
        <w:t>UL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C-UL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ENEC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w:t>
      </w:r>
      <w:r>
        <w:rPr>
          <w:color w:val="000000"/>
          <w:spacing w:val="0"/>
          <w:w w:val="100"/>
          <w:position w:val="0"/>
        </w:rPr>
        <w:t>等多个国家和地区 的安全认证。公司所有电源产品满足世界最新能效标准和</w:t>
      </w:r>
      <w:r>
        <w:rPr>
          <w:rFonts w:ascii="Times New Roman" w:eastAsia="Times New Roman" w:hAnsi="Times New Roman" w:cs="Times New Roman"/>
          <w:color w:val="000000"/>
          <w:spacing w:val="0"/>
          <w:w w:val="100"/>
          <w:position w:val="0"/>
          <w:sz w:val="18"/>
          <w:szCs w:val="18"/>
        </w:rPr>
        <w:t>ROHS,REACH</w:t>
      </w:r>
      <w:r>
        <w:rPr>
          <w:color w:val="000000"/>
          <w:spacing w:val="0"/>
          <w:w w:val="100"/>
          <w:position w:val="0"/>
        </w:rPr>
        <w:t>等环保要求。</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对于品质近乎苛刻的要求是茂硕人坚持不懈的追求，茂硕拥有总占地面积</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多平方米、投资超过</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万元的国家级第 三方检测中心，全面导入</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实验室管理体系。该检测中心被认定为深圳市企业技术中心，承担了多个省市级重大技术攻 关项目。</w:t>
      </w:r>
    </w:p>
    <w:p>
      <w:pPr>
        <w:pStyle w:val="Style31"/>
        <w:keepNext w:val="0"/>
        <w:keepLines w:val="0"/>
        <w:widowControl w:val="0"/>
        <w:shd w:val="clear" w:color="auto" w:fill="auto"/>
        <w:tabs>
          <w:tab w:pos="765" w:val="left"/>
        </w:tabs>
        <w:bidi w:val="0"/>
        <w:spacing w:before="0" w:after="0" w:line="312" w:lineRule="exact"/>
        <w:ind w:left="0" w:right="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品牌影响力</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品牌是企业的软实力，更是企业的核心竞争力。公司一直把建立和完善企业的品牌形象做为长期发展战略的重要组成部 分，公司以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品牌电源、诚信共赢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为基调，紧紧围绕品牌定位、品牌差异化、品牌可持续、品牌文化等四大方面，整合内外 资源，加大对公司、产品、客户等多元化宣传的力度，形成了有效的品牌壁垒。</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公司拥有的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“MOSO”</w:t>
      </w:r>
      <w:r>
        <w:rPr>
          <w:color w:val="000000"/>
          <w:spacing w:val="0"/>
          <w:w w:val="100"/>
          <w:position w:val="0"/>
        </w:rPr>
        <w:t>商标被国家工商行政管理总局商标评审委员会认定为『中国驰名商标』，并通过『广东省 著名商标』延续认定，实现自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年起连续两届获得认定；企业坚持以技术创新做为公司发展的动力引擎，积极参与前沿技 术的研究，参与国家级、省级及市级的科技攻关项目，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年度《大功率长寿命高性能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驱动电源核心技术及产业化》获 得中国产学研合作促进会产学研合作创新成果二等奖，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年获得上市公司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公司治理奖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已成为行业知名品牌，已经得到市场和客户的广泛认可，在同行中已经享有较高的知名度和美誉度。</w:t>
      </w:r>
    </w:p>
    <w:p>
      <w:pPr>
        <w:pStyle w:val="Style31"/>
        <w:keepNext w:val="0"/>
        <w:keepLines w:val="0"/>
        <w:widowControl w:val="0"/>
        <w:shd w:val="clear" w:color="auto" w:fill="auto"/>
        <w:tabs>
          <w:tab w:pos="765" w:val="left"/>
        </w:tabs>
        <w:bidi w:val="0"/>
        <w:spacing w:before="0" w:after="0" w:line="312" w:lineRule="exact"/>
        <w:ind w:left="0" w:right="0"/>
        <w:jc w:val="both"/>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管理团队优势</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首先，公司一直以来重视对内部人才的培养和人才梯队建设，并通过引进行业内的专业顶尖人才，来激发团队成员的潜 能和核心竞争力；公司核心管理团队成员综合素养高，有着极强的专业能力和丰富的行业经验，为公司在基层人才的培育方 面奠定了坚实的基础。其次，团队在发展过程中，经过相互学习、相互包容、实时调整和不断创新，形成了主动、高效、开 放、阳光的团体，能迅速的解决问题，达到共同的目标。最后，公司在激励机制上作了深入改革，特别是推行的利润分享激 励机制后，明确激励目标，让团队与个人的责权利得到统一，更有效地激发管理团队的主观能动性和拼博精神，从而也提升 了团队所有人员的工作执行力和责任感。公司在激励机制方面的改革和有效实施，将更有利于留住和吸引优秀人才，提高团 队的忠诚度及归属感，为公司创造更多的价值。</w:t>
      </w:r>
    </w:p>
    <w:p>
      <w:pPr>
        <w:pStyle w:val="Style14"/>
        <w:keepNext/>
        <w:keepLines/>
        <w:widowControl w:val="0"/>
        <w:shd w:val="clear" w:color="auto" w:fill="auto"/>
        <w:bidi w:val="0"/>
        <w:spacing w:before="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7"/>
        <w:keepNext/>
        <w:keepLines/>
        <w:widowControl w:val="0"/>
        <w:shd w:val="clear" w:color="auto" w:fill="auto"/>
        <w:bidi w:val="0"/>
        <w:spacing w:before="0" w:after="260" w:line="240" w:lineRule="auto"/>
        <w:ind w:left="0" w:right="0" w:firstLine="0"/>
        <w:jc w:val="both"/>
      </w:pPr>
      <w:bookmarkStart w:id="83" w:name="bookmark83"/>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、概述</w:t>
      </w:r>
      <w:bookmarkEnd w:id="84"/>
      <w:bookmarkEnd w:id="85"/>
      <w:bookmarkEnd w:id="87"/>
      <w:bookmarkEnd w:id="83"/>
    </w:p>
    <w:p>
      <w:pPr>
        <w:pStyle w:val="Style31"/>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年，疫情在全球爆发，国际形势中不稳定不确定因素增多，世界经济形势复杂严峻。面对突如其来的疫情、世界经 济深度衰退等多重严重冲击，公司继续围绕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专注电源、聚焦主业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的发展战略，深耕主营业务，秉持高质量健康发展的经营 理念，坚持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创新技术、产品为王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的经营策略，聚焦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的战略布局，贯彻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创新技术奔智能、拓宽市场获增量、 提升质量稳根基、精细管理保利润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的经营方针开展各项工作。</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年度实现营业总收入</w:t>
      </w:r>
      <w:r>
        <w:rPr>
          <w:rFonts w:ascii="Times New Roman" w:eastAsia="Times New Roman" w:hAnsi="Times New Roman" w:cs="Times New Roman"/>
          <w:color w:val="000000"/>
          <w:spacing w:val="0"/>
          <w:w w:val="100"/>
          <w:position w:val="0"/>
          <w:sz w:val="18"/>
          <w:szCs w:val="18"/>
        </w:rPr>
        <w:t>12.35</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0.64</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2.54%</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0.63</w:t>
      </w:r>
      <w:r>
        <w:rPr>
          <w:color w:val="000000"/>
          <w:spacing w:val="0"/>
          <w:w w:val="100"/>
          <w:position w:val="0"/>
        </w:rPr>
        <w:t>亿元，同比下 降</w:t>
      </w:r>
      <w:r>
        <w:rPr>
          <w:rFonts w:ascii="Times New Roman" w:eastAsia="Times New Roman" w:hAnsi="Times New Roman" w:cs="Times New Roman"/>
          <w:color w:val="000000"/>
          <w:spacing w:val="0"/>
          <w:w w:val="100"/>
          <w:position w:val="0"/>
          <w:sz w:val="18"/>
          <w:szCs w:val="18"/>
        </w:rPr>
        <w:t xml:space="preserve">6.71% </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sz w:val="18"/>
          <w:szCs w:val="18"/>
        </w:rPr>
        <w:t>0.63</w:t>
      </w:r>
      <w:r>
        <w:rPr>
          <w:color w:val="000000"/>
          <w:spacing w:val="0"/>
          <w:w w:val="100"/>
          <w:position w:val="0"/>
        </w:rPr>
        <w:t>亿元，同比下降</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jc w:val="both"/>
      </w:pPr>
      <w:bookmarkStart w:id="88" w:name="bookmark88"/>
      <w:r>
        <w:rPr>
          <w:rFonts w:ascii="Times New Roman" w:eastAsia="Times New Roman" w:hAnsi="Times New Roman" w:cs="Times New Roman"/>
          <w:b/>
          <w:bCs/>
          <w:color w:val="000000"/>
          <w:spacing w:val="0"/>
          <w:w w:val="100"/>
          <w:position w:val="0"/>
          <w:sz w:val="18"/>
          <w:szCs w:val="18"/>
        </w:rPr>
        <w:t>1</w:t>
      </w:r>
      <w:bookmarkEnd w:id="88"/>
      <w:r>
        <w:rPr>
          <w:b/>
          <w:bCs/>
          <w:color w:val="000000"/>
          <w:spacing w:val="0"/>
          <w:w w:val="100"/>
          <w:position w:val="0"/>
        </w:rPr>
        <w:t>、坚持聚焦电源主业、做大做强主业</w:t>
      </w:r>
    </w:p>
    <w:p>
      <w:pPr>
        <w:pStyle w:val="Style31"/>
        <w:keepNext w:val="0"/>
        <w:keepLines w:val="0"/>
        <w:widowControl w:val="0"/>
        <w:numPr>
          <w:ilvl w:val="0"/>
          <w:numId w:val="1"/>
        </w:numPr>
        <w:shd w:val="clear" w:color="auto" w:fill="auto"/>
        <w:tabs>
          <w:tab w:pos="726" w:val="left"/>
        </w:tabs>
        <w:bidi w:val="0"/>
        <w:spacing w:before="0" w:after="0" w:line="312" w:lineRule="exact"/>
        <w:ind w:left="0" w:right="0"/>
        <w:jc w:val="both"/>
      </w:pPr>
      <w:bookmarkStart w:id="89" w:name="bookmark89"/>
      <w:bookmarkEnd w:id="89"/>
      <w:r>
        <w:rPr>
          <w:color w:val="000000"/>
          <w:spacing w:val="0"/>
          <w:w w:val="100"/>
          <w:position w:val="0"/>
        </w:rPr>
        <w:t>、强化消费电子电源产品优势，扩展产品先进应用领域。</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消费电子电源实现销售收入</w:t>
      </w:r>
      <w:r>
        <w:rPr>
          <w:rFonts w:ascii="Times New Roman" w:eastAsia="Times New Roman" w:hAnsi="Times New Roman" w:cs="Times New Roman"/>
          <w:color w:val="000000"/>
          <w:spacing w:val="0"/>
          <w:w w:val="100"/>
          <w:position w:val="0"/>
          <w:sz w:val="18"/>
          <w:szCs w:val="18"/>
        </w:rPr>
        <w:t>7.15</w:t>
      </w:r>
      <w:r>
        <w:rPr>
          <w:color w:val="000000"/>
          <w:spacing w:val="0"/>
          <w:w w:val="100"/>
          <w:position w:val="0"/>
        </w:rPr>
        <w:t>亿元，较去年同期下降</w:t>
      </w:r>
      <w:r>
        <w:rPr>
          <w:rFonts w:ascii="Times New Roman" w:eastAsia="Times New Roman" w:hAnsi="Times New Roman" w:cs="Times New Roman"/>
          <w:color w:val="000000"/>
          <w:spacing w:val="0"/>
          <w:w w:val="100"/>
          <w:position w:val="0"/>
          <w:sz w:val="18"/>
          <w:szCs w:val="18"/>
        </w:rPr>
        <w:t>7.81%</w:t>
      </w:r>
      <w:r>
        <w:rPr>
          <w:color w:val="000000"/>
          <w:spacing w:val="0"/>
          <w:w w:val="100"/>
          <w:position w:val="0"/>
        </w:rPr>
        <w:t>；实现产品毛利率</w:t>
      </w:r>
      <w:r>
        <w:rPr>
          <w:rFonts w:ascii="Times New Roman" w:eastAsia="Times New Roman" w:hAnsi="Times New Roman" w:cs="Times New Roman"/>
          <w:color w:val="000000"/>
          <w:spacing w:val="0"/>
          <w:w w:val="100"/>
          <w:position w:val="0"/>
          <w:sz w:val="18"/>
          <w:szCs w:val="18"/>
        </w:rPr>
        <w:t>16.51%</w:t>
      </w:r>
      <w:r>
        <w:rPr>
          <w:color w:val="000000"/>
          <w:spacing w:val="0"/>
          <w:w w:val="100"/>
          <w:position w:val="0"/>
        </w:rPr>
        <w:t xml:space="preserve">,较去年同期下降 </w:t>
      </w:r>
      <w:r>
        <w:rPr>
          <w:rFonts w:ascii="Times New Roman" w:eastAsia="Times New Roman" w:hAnsi="Times New Roman" w:cs="Times New Roman"/>
          <w:color w:val="000000"/>
          <w:spacing w:val="0"/>
          <w:w w:val="100"/>
          <w:position w:val="0"/>
          <w:sz w:val="18"/>
          <w:szCs w:val="18"/>
        </w:rPr>
        <w:t>3.32%</w:t>
      </w:r>
      <w:r>
        <w:rPr>
          <w:color w:val="000000"/>
          <w:spacing w:val="0"/>
          <w:w w:val="100"/>
          <w:position w:val="0"/>
        </w:rPr>
        <w:t>。其中，受新收入准则要求将运输费计入营业成本影响毛利率</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，剔除运输费影响，产品毛利率</w:t>
      </w:r>
      <w:r>
        <w:rPr>
          <w:rFonts w:ascii="Times New Roman" w:eastAsia="Times New Roman" w:hAnsi="Times New Roman" w:cs="Times New Roman"/>
          <w:color w:val="000000"/>
          <w:spacing w:val="0"/>
          <w:w w:val="100"/>
          <w:position w:val="0"/>
          <w:sz w:val="18"/>
          <w:szCs w:val="18"/>
        </w:rPr>
        <w:t>17.64%</w:t>
      </w:r>
      <w:r>
        <w:rPr>
          <w:color w:val="000000"/>
          <w:spacing w:val="0"/>
          <w:w w:val="100"/>
          <w:position w:val="0"/>
        </w:rPr>
        <w:t>，较去年 同期下降</w:t>
      </w:r>
      <w:r>
        <w:rPr>
          <w:rFonts w:ascii="Times New Roman" w:eastAsia="Times New Roman" w:hAnsi="Times New Roman" w:cs="Times New Roman"/>
          <w:color w:val="000000"/>
          <w:spacing w:val="0"/>
          <w:w w:val="100"/>
          <w:position w:val="0"/>
          <w:sz w:val="18"/>
          <w:szCs w:val="18"/>
        </w:rPr>
        <w:t>2.19%</w:t>
      </w:r>
      <w:r>
        <w:rPr>
          <w:color w:val="000000"/>
          <w:spacing w:val="0"/>
          <w:w w:val="100"/>
          <w:position w:val="0"/>
        </w:rPr>
        <w:t>。</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报告期内，公司致力于挖掘优质客户订单，以优质的产品质量和快速响应客户需求的能力，聚焦做好高毛利客户产品立 项、开发工作，提升主要客户销售额及毛利贡献，形成稳定优质的大客户群体。产品结构方面，公司研发中心将传统的消费 电子类电源产品(适配器、充电器)，通过标准化升级改造，完成了能效升级与自动化制造工艺升级，升级后的产品符合当 前国际最高能效等级要求，同时，大力推广电源标准化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部件标准化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物料通用化，进一步提升产品的兼容性，优化成本及供 应商的培养，从而提升产品市场竞争能力及盈利能力。</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在产品技术上，公司产品从</w:t>
      </w:r>
      <w:r>
        <w:rPr>
          <w:rFonts w:ascii="Times New Roman" w:eastAsia="Times New Roman" w:hAnsi="Times New Roman" w:cs="Times New Roman"/>
          <w:color w:val="000000"/>
          <w:spacing w:val="0"/>
          <w:w w:val="100"/>
          <w:position w:val="0"/>
          <w:sz w:val="18"/>
          <w:szCs w:val="18"/>
        </w:rPr>
        <w:t>SSR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PSR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FLYBACK</w:t>
      </w:r>
      <w:r>
        <w:rPr>
          <w:color w:val="000000"/>
          <w:spacing w:val="0"/>
          <w:w w:val="100"/>
          <w:position w:val="0"/>
        </w:rPr>
        <w:t>，方案扩展到同步整流技术、</w:t>
      </w:r>
      <w:r>
        <w:rPr>
          <w:rFonts w:ascii="Times New Roman" w:eastAsia="Times New Roman" w:hAnsi="Times New Roman" w:cs="Times New Roman"/>
          <w:color w:val="000000"/>
          <w:spacing w:val="0"/>
          <w:w w:val="100"/>
          <w:position w:val="0"/>
          <w:sz w:val="18"/>
          <w:szCs w:val="18"/>
        </w:rPr>
        <w:t>PFC+LLC</w:t>
      </w:r>
      <w:r>
        <w:rPr>
          <w:color w:val="000000"/>
          <w:spacing w:val="0"/>
          <w:w w:val="100"/>
          <w:position w:val="0"/>
        </w:rPr>
        <w:t>谐振，单极性</w:t>
      </w:r>
      <w:r>
        <w:rPr>
          <w:rFonts w:ascii="Times New Roman" w:eastAsia="Times New Roman" w:hAnsi="Times New Roman" w:cs="Times New Roman"/>
          <w:color w:val="000000"/>
          <w:spacing w:val="0"/>
          <w:w w:val="100"/>
          <w:position w:val="0"/>
          <w:sz w:val="18"/>
          <w:szCs w:val="18"/>
        </w:rPr>
        <w:t>PFC</w:t>
      </w:r>
      <w:r>
        <w:rPr>
          <w:color w:val="000000"/>
          <w:spacing w:val="0"/>
          <w:w w:val="100"/>
          <w:position w:val="0"/>
        </w:rPr>
        <w:t>，</w:t>
      </w:r>
      <w:r>
        <w:rPr>
          <w:color w:val="000000"/>
          <w:spacing w:val="0"/>
          <w:w w:val="100"/>
          <w:position w:val="0"/>
        </w:rPr>
        <w:t>氮化镓, 智能充电，以及平面变压器最新前卫技术。产品应用领域也由传统的机顶盒、网通、安防、显示器，医疗等领域扩展到电动 工具、激光设备、户外储能、工业控制、共享充电宝、电机驱动、小家电产品等领域，使得公司产品更多元化。公司对产业 结构进一步整合并新成立智能显示产品线，</w:t>
      </w:r>
      <w:r>
        <w:rPr>
          <w:rFonts w:ascii="Times New Roman" w:eastAsia="Times New Roman" w:hAnsi="Times New Roman" w:cs="Times New Roman"/>
          <w:color w:val="000000"/>
          <w:spacing w:val="0"/>
          <w:w w:val="100"/>
          <w:position w:val="0"/>
          <w:sz w:val="18"/>
          <w:szCs w:val="18"/>
        </w:rPr>
        <w:t>CCC</w:t>
      </w:r>
      <w:r>
        <w:rPr>
          <w:color w:val="000000"/>
          <w:spacing w:val="0"/>
          <w:w w:val="100"/>
          <w:position w:val="0"/>
        </w:rPr>
        <w:t>周边产品线，工业电源产品线，在保证产品质量基础上，通过拓展产品应用 领域、技术创新、流程优化、物料招标、智能制造，最大限度地优化整合企业现有资源，提升企业竞争力。</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公司产品凭借技术先进与质量过硬，与国内外众多知名企业建立了战略合作伙伴关系，形成了自己稳定的客户群体，公司在 稳固现有国际大客户的同时，不断提升客户服务质量，进一步提升了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品牌的影响力。</w:t>
      </w:r>
    </w:p>
    <w:p>
      <w:pPr>
        <w:pStyle w:val="Style31"/>
        <w:keepNext w:val="0"/>
        <w:keepLines w:val="0"/>
        <w:widowControl w:val="0"/>
        <w:numPr>
          <w:ilvl w:val="0"/>
          <w:numId w:val="1"/>
        </w:numPr>
        <w:shd w:val="clear" w:color="auto" w:fill="auto"/>
        <w:tabs>
          <w:tab w:pos="726" w:val="left"/>
        </w:tabs>
        <w:bidi w:val="0"/>
        <w:spacing w:before="0" w:after="0" w:line="312" w:lineRule="exact"/>
        <w:ind w:left="0" w:right="0"/>
        <w:jc w:val="both"/>
      </w:pPr>
      <w:bookmarkStart w:id="90" w:name="bookmark90"/>
      <w:bookmarkEnd w:id="90"/>
      <w:r>
        <w:rPr>
          <w:color w:val="000000"/>
          <w:spacing w:val="0"/>
          <w:w w:val="100"/>
          <w:position w:val="0"/>
        </w:rPr>
        <w:t>、发展</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电源产品，增加利润创造点。</w:t>
      </w:r>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电源实现销售收入</w:t>
      </w:r>
      <w:r>
        <w:rPr>
          <w:rFonts w:ascii="Times New Roman" w:eastAsia="Times New Roman" w:hAnsi="Times New Roman" w:cs="Times New Roman"/>
          <w:color w:val="000000"/>
          <w:spacing w:val="0"/>
          <w:w w:val="100"/>
          <w:position w:val="0"/>
          <w:sz w:val="18"/>
          <w:szCs w:val="18"/>
        </w:rPr>
        <w:t>4.76</w:t>
      </w:r>
      <w:r>
        <w:rPr>
          <w:color w:val="000000"/>
          <w:spacing w:val="0"/>
          <w:w w:val="100"/>
          <w:position w:val="0"/>
        </w:rPr>
        <w:t>亿元，较去年同期提升</w:t>
      </w:r>
      <w:r>
        <w:rPr>
          <w:rFonts w:ascii="Times New Roman" w:eastAsia="Times New Roman" w:hAnsi="Times New Roman" w:cs="Times New Roman"/>
          <w:color w:val="000000"/>
          <w:spacing w:val="0"/>
          <w:w w:val="100"/>
          <w:position w:val="0"/>
          <w:sz w:val="18"/>
          <w:szCs w:val="18"/>
        </w:rPr>
        <w:t>14.71%</w:t>
      </w:r>
      <w:r>
        <w:rPr>
          <w:color w:val="000000"/>
          <w:spacing w:val="0"/>
          <w:w w:val="100"/>
          <w:position w:val="0"/>
        </w:rPr>
        <w:t>；实现产品毛利率</w:t>
      </w:r>
      <w:r>
        <w:rPr>
          <w:rFonts w:ascii="Times New Roman" w:eastAsia="Times New Roman" w:hAnsi="Times New Roman" w:cs="Times New Roman"/>
          <w:color w:val="000000"/>
          <w:spacing w:val="0"/>
          <w:w w:val="100"/>
          <w:position w:val="0"/>
          <w:sz w:val="18"/>
          <w:szCs w:val="18"/>
        </w:rPr>
        <w:t>24.43%</w:t>
      </w:r>
      <w:r>
        <w:rPr>
          <w:color w:val="000000"/>
          <w:spacing w:val="0"/>
          <w:w w:val="100"/>
          <w:position w:val="0"/>
        </w:rPr>
        <w:t>，较去年同期下降</w:t>
      </w:r>
      <w:r>
        <w:rPr>
          <w:rFonts w:ascii="Times New Roman" w:eastAsia="Times New Roman" w:hAnsi="Times New Roman" w:cs="Times New Roman"/>
          <w:color w:val="000000"/>
          <w:spacing w:val="0"/>
          <w:w w:val="100"/>
          <w:position w:val="0"/>
          <w:sz w:val="18"/>
          <w:szCs w:val="18"/>
        </w:rPr>
        <w:t>0.73%</w:t>
      </w:r>
      <w:r>
        <w:rPr>
          <w:color w:val="000000"/>
          <w:spacing w:val="0"/>
          <w:w w:val="100"/>
          <w:position w:val="0"/>
        </w:rPr>
        <w:t>。 其中，受新收入准则要求将运输费计入营业成本影响毛利率</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,剔除运输费影响，产品毛利率</w:t>
      </w:r>
      <w:r>
        <w:rPr>
          <w:rFonts w:ascii="Times New Roman" w:eastAsia="Times New Roman" w:hAnsi="Times New Roman" w:cs="Times New Roman"/>
          <w:color w:val="000000"/>
          <w:spacing w:val="0"/>
          <w:w w:val="100"/>
          <w:position w:val="0"/>
          <w:sz w:val="18"/>
          <w:szCs w:val="18"/>
        </w:rPr>
        <w:t>25.56%</w:t>
      </w:r>
      <w:r>
        <w:rPr>
          <w:color w:val="000000"/>
          <w:spacing w:val="0"/>
          <w:w w:val="100"/>
          <w:position w:val="0"/>
        </w:rPr>
        <w:t xml:space="preserve">,较去年同期提升 </w:t>
      </w:r>
      <w:r>
        <w:rPr>
          <w:rFonts w:ascii="Times New Roman" w:eastAsia="Times New Roman" w:hAnsi="Times New Roman" w:cs="Times New Roman"/>
          <w:color w:val="000000"/>
          <w:spacing w:val="0"/>
          <w:w w:val="100"/>
          <w:position w:val="0"/>
          <w:sz w:val="18"/>
          <w:szCs w:val="18"/>
        </w:rPr>
        <w:t>0.40%</w:t>
      </w:r>
      <w:r>
        <w:rPr>
          <w:color w:val="000000"/>
          <w:spacing w:val="0"/>
          <w:w w:val="100"/>
          <w:position w:val="0"/>
        </w:rPr>
        <w:t>，趋于平稳。</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电源板块以户外大功率驱动电源为主，聚焦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户照明驱动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深耕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道路照明、大功率照明、工业照 明、景观照明、轨道交通照明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驱动细分领域；紧跟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技术的大规模商业化应用</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智慧灯杆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驱动产品为引领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保持公司在道 路照明领域长期积累的优势；大力发展''大功率照明</w:t>
      </w:r>
      <w:r>
        <w:rPr>
          <w:rFonts w:ascii="Times New Roman" w:eastAsia="Times New Roman" w:hAnsi="Times New Roman" w:cs="Times New Roman"/>
          <w:color w:val="000000"/>
          <w:spacing w:val="0"/>
          <w:w w:val="100"/>
          <w:position w:val="0"/>
          <w:sz w:val="18"/>
          <w:szCs w:val="18"/>
        </w:rPr>
        <w:t>"600W-3000W</w:t>
      </w:r>
      <w:r>
        <w:rPr>
          <w:color w:val="000000"/>
          <w:spacing w:val="0"/>
          <w:w w:val="100"/>
          <w:position w:val="0"/>
        </w:rPr>
        <w:t>驱动产品，积极进入植物灯、球场灯、</w:t>
      </w:r>
      <w:r>
        <w:rPr>
          <w:rFonts w:ascii="Times New Roman" w:eastAsia="Times New Roman" w:hAnsi="Times New Roman" w:cs="Times New Roman"/>
          <w:color w:val="000000"/>
          <w:spacing w:val="0"/>
          <w:w w:val="100"/>
          <w:position w:val="0"/>
          <w:sz w:val="18"/>
          <w:szCs w:val="18"/>
        </w:rPr>
        <w:t>UV LED</w:t>
      </w:r>
      <w:r>
        <w:rPr>
          <w:color w:val="000000"/>
          <w:spacing w:val="0"/>
          <w:w w:val="100"/>
          <w:position w:val="0"/>
        </w:rPr>
        <w:t>灯新兴驱 动市场；推出新一代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道路照明、工业照明、景观照明、轨道交通照明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驱动全系列产品；积极进入智能照明领域，在完善智 能照明控制方案，关注用户体验，强调通过技术的创新而给用户带来极致体验，以此赢得客户与市场。报告期内，茂硕率先 发布了行业首款数字化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智慧灯杆供配电与管理整体解决方案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领航者</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 xml:space="preserve">。该产品具有集中式、标准化、智能化、高可靠 的特点。为以多功能灯杆为载体的应用终端提供供电、管理及通讯等功能，助力智慧城市建设。同时完善了轨道交通产品线 </w:t>
      </w:r>
      <w:r>
        <w:rPr>
          <w:rFonts w:ascii="Times New Roman" w:eastAsia="Times New Roman" w:hAnsi="Times New Roman" w:cs="Times New Roman"/>
          <w:color w:val="000000"/>
          <w:spacing w:val="0"/>
          <w:w w:val="100"/>
          <w:position w:val="0"/>
          <w:sz w:val="18"/>
          <w:szCs w:val="18"/>
        </w:rPr>
        <w:t>XUP</w:t>
      </w:r>
      <w:r>
        <w:rPr>
          <w:color w:val="000000"/>
          <w:spacing w:val="0"/>
          <w:w w:val="100"/>
          <w:position w:val="0"/>
        </w:rPr>
        <w:t>，巩固了在此领域的核心竞争力。另外，结合国内国际双循环新发展格局，开发并发布了基于欧洲市场的</w:t>
      </w:r>
      <w:r>
        <w:rPr>
          <w:rFonts w:ascii="Times New Roman" w:eastAsia="Times New Roman" w:hAnsi="Times New Roman" w:cs="Times New Roman"/>
          <w:color w:val="000000"/>
          <w:spacing w:val="0"/>
          <w:w w:val="100"/>
          <w:position w:val="0"/>
          <w:sz w:val="18"/>
          <w:szCs w:val="18"/>
        </w:rPr>
        <w:t>U6</w:t>
      </w:r>
      <w:r>
        <w:rPr>
          <w:color w:val="000000"/>
          <w:spacing w:val="0"/>
          <w:w w:val="100"/>
          <w:position w:val="0"/>
        </w:rPr>
        <w:t>系列，该 系列除延续了茂硕的特征性功能如限功率恒流输出、离线编程外，还满足</w:t>
      </w:r>
      <w:r>
        <w:rPr>
          <w:rFonts w:ascii="Times New Roman" w:eastAsia="Times New Roman" w:hAnsi="Times New Roman" w:cs="Times New Roman"/>
          <w:color w:val="000000"/>
          <w:spacing w:val="0"/>
          <w:w w:val="100"/>
          <w:position w:val="0"/>
          <w:sz w:val="18"/>
          <w:szCs w:val="18"/>
        </w:rPr>
        <w:t>DALI-2</w:t>
      </w:r>
      <w:r>
        <w:rPr>
          <w:color w:val="000000"/>
          <w:spacing w:val="0"/>
          <w:w w:val="100"/>
          <w:position w:val="0"/>
        </w:rPr>
        <w:t>、</w:t>
      </w:r>
      <w:r>
        <w:rPr>
          <w:color w:val="000000"/>
          <w:spacing w:val="0"/>
          <w:w w:val="100"/>
          <w:position w:val="0"/>
        </w:rPr>
        <w:t>符合</w:t>
      </w:r>
      <w:r>
        <w:rPr>
          <w:rFonts w:ascii="Times New Roman" w:eastAsia="Times New Roman" w:hAnsi="Times New Roman" w:cs="Times New Roman"/>
          <w:color w:val="000000"/>
          <w:spacing w:val="0"/>
          <w:w w:val="100"/>
          <w:position w:val="0"/>
          <w:sz w:val="18"/>
          <w:szCs w:val="18"/>
        </w:rPr>
        <w:t xml:space="preserve">Zhaga Book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,兼容</w:t>
      </w:r>
      <w:r>
        <w:rPr>
          <w:rFonts w:ascii="Times New Roman" w:eastAsia="Times New Roman" w:hAnsi="Times New Roman" w:cs="Times New Roman"/>
          <w:color w:val="000000"/>
          <w:spacing w:val="0"/>
          <w:w w:val="100"/>
          <w:position w:val="0"/>
          <w:sz w:val="18"/>
          <w:szCs w:val="18"/>
        </w:rPr>
        <w:t xml:space="preserve">Classi &amp;Class II </w:t>
      </w:r>
      <w:r>
        <w:rPr>
          <w:color w:val="000000"/>
          <w:spacing w:val="0"/>
          <w:w w:val="100"/>
          <w:position w:val="0"/>
        </w:rPr>
        <w:t>二种绝缘系统。该系列产品以市场为导向，强调用户体验，提供了二种自定义参数的方法，其一是通过</w:t>
      </w:r>
      <w:r>
        <w:rPr>
          <w:rFonts w:ascii="Times New Roman" w:eastAsia="Times New Roman" w:hAnsi="Times New Roman" w:cs="Times New Roman"/>
          <w:color w:val="000000"/>
          <w:spacing w:val="0"/>
          <w:w w:val="100"/>
          <w:position w:val="0"/>
          <w:sz w:val="18"/>
          <w:szCs w:val="18"/>
        </w:rPr>
        <w:t>NFC</w:t>
      </w:r>
      <w:r>
        <w:rPr>
          <w:color w:val="000000"/>
          <w:spacing w:val="0"/>
          <w:w w:val="100"/>
          <w:position w:val="0"/>
        </w:rPr>
        <w:t xml:space="preserve">近场通信实现编 </w:t>
      </w:r>
      <w:r>
        <w:rPr>
          <w:color w:val="000000"/>
          <w:spacing w:val="0"/>
          <w:w w:val="100"/>
          <w:position w:val="0"/>
        </w:rPr>
        <w:t xml:space="preserve">程，无需接上市电即可实现。其二是配套开发了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color w:val="000000"/>
          <w:spacing w:val="0"/>
          <w:w w:val="100"/>
          <w:position w:val="0"/>
        </w:rPr>
        <w:t>通过手机实现二次配置。操作更简单，更灵活。</w:t>
      </w:r>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公司与</w:t>
      </w:r>
      <w:r>
        <w:rPr>
          <w:rFonts w:ascii="Times New Roman" w:eastAsia="Times New Roman" w:hAnsi="Times New Roman" w:cs="Times New Roman"/>
          <w:color w:val="000000"/>
          <w:spacing w:val="0"/>
          <w:w w:val="100"/>
          <w:position w:val="0"/>
          <w:sz w:val="18"/>
          <w:szCs w:val="18"/>
        </w:rPr>
        <w:t>VIP</w:t>
      </w:r>
      <w:r>
        <w:rPr>
          <w:color w:val="000000"/>
          <w:spacing w:val="0"/>
          <w:w w:val="100"/>
          <w:position w:val="0"/>
        </w:rPr>
        <w:t>客户建立长久的战略合作关系，同时积极拓展新客户进行审厂，强化对大客户的服务质量与响应速度，确保 订单的持续稳定增长，公司是国内最早进入大功率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驱动电源领域的企业之一，并与众多行业领先的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照明企业形成了 长期稳定的战略合作关系。</w:t>
      </w:r>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未来公司将以智慧城市建设为大背景，以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技术的突破与应用为基础，整合内部资源，为智能灯杆提供电源 整体解决方案，在助力智慧城市建设的同时提升产品与服务的附加值，提升企业的竞争能力与盈利能力。</w:t>
      </w:r>
    </w:p>
    <w:p>
      <w:pPr>
        <w:pStyle w:val="Style31"/>
        <w:keepNext w:val="0"/>
        <w:keepLines w:val="0"/>
        <w:widowControl w:val="0"/>
        <w:shd w:val="clear" w:color="auto" w:fill="auto"/>
        <w:tabs>
          <w:tab w:pos="696" w:val="left"/>
        </w:tabs>
        <w:bidi w:val="0"/>
        <w:spacing w:before="0" w:after="0" w:line="314" w:lineRule="exact"/>
        <w:ind w:left="0" w:right="0"/>
        <w:jc w:val="both"/>
      </w:pPr>
      <w:bookmarkStart w:id="91" w:name="bookmark91"/>
      <w:r>
        <w:rPr>
          <w:rFonts w:ascii="Times New Roman" w:eastAsia="Times New Roman" w:hAnsi="Times New Roman" w:cs="Times New Roman"/>
          <w:b/>
          <w:bCs/>
          <w:color w:val="000000"/>
          <w:spacing w:val="0"/>
          <w:w w:val="100"/>
          <w:position w:val="0"/>
          <w:sz w:val="18"/>
          <w:szCs w:val="18"/>
        </w:rPr>
        <w:t>2</w:t>
      </w:r>
      <w:bookmarkEnd w:id="91"/>
      <w:r>
        <w:rPr>
          <w:b/>
          <w:bCs/>
          <w:color w:val="000000"/>
          <w:spacing w:val="0"/>
          <w:w w:val="100"/>
          <w:position w:val="0"/>
        </w:rPr>
        <w:t>、</w:t>
        <w:tab/>
        <w:t>坚持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创新技术、产品为王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经营战略，保持行业领先优势。</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公司坚持将技术创新作为企业发展的动力引擎，以产品为载体，以创新为灵魂，强调用户体验的重要性，并强化产品战 略规划，优化组织架构与团队，形成产品平台模块化、标准化、智能化、系列化；新产品的立项要有充分的调研数据支撑， 以标准化产品销售为主线，同时采用灵活的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，对于特定的战略意义项目及能够产生价值的项目进行 定向性专属开发。</w:t>
      </w:r>
    </w:p>
    <w:p>
      <w:pPr>
        <w:pStyle w:val="Style31"/>
        <w:keepNext w:val="0"/>
        <w:keepLines w:val="0"/>
        <w:widowControl w:val="0"/>
        <w:shd w:val="clear" w:color="auto" w:fill="auto"/>
        <w:bidi w:val="0"/>
        <w:spacing w:before="0" w:after="140" w:line="314" w:lineRule="exact"/>
        <w:ind w:left="0" w:right="0"/>
        <w:jc w:val="both"/>
      </w:pPr>
      <w:r>
        <w:rPr>
          <w:color w:val="000000"/>
          <w:spacing w:val="0"/>
          <w:w w:val="100"/>
          <w:position w:val="0"/>
        </w:rPr>
        <w:t>报告期内，茂硕电源设立技术中心，定位为大功率数字电源产品与技术研发，以贯彻集团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创新技术、产品为王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经营战 略，实施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构思一代、预研一代、开发一代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研发方针，提升研发技术能力及达成高能效、高可靠、小体积、智能化技术竞争 力，构建高水平、高效率研发组织。</w:t>
      </w:r>
    </w:p>
    <w:p>
      <w:pPr>
        <w:pStyle w:val="Style31"/>
        <w:keepNext w:val="0"/>
        <w:keepLines w:val="0"/>
        <w:widowControl w:val="0"/>
        <w:shd w:val="clear" w:color="auto" w:fill="auto"/>
        <w:tabs>
          <w:tab w:pos="696" w:val="left"/>
        </w:tabs>
        <w:bidi w:val="0"/>
        <w:spacing w:before="0" w:after="0" w:line="360" w:lineRule="auto"/>
        <w:ind w:left="0" w:right="0"/>
        <w:jc w:val="both"/>
      </w:pPr>
      <w:bookmarkStart w:id="92" w:name="bookmark92"/>
      <w:r>
        <w:rPr>
          <w:rFonts w:ascii="Times New Roman" w:eastAsia="Times New Roman" w:hAnsi="Times New Roman" w:cs="Times New Roman"/>
          <w:b/>
          <w:bCs/>
          <w:color w:val="000000"/>
          <w:spacing w:val="0"/>
          <w:w w:val="100"/>
          <w:position w:val="0"/>
          <w:sz w:val="18"/>
          <w:szCs w:val="18"/>
        </w:rPr>
        <w:t>3</w:t>
      </w:r>
      <w:bookmarkEnd w:id="92"/>
      <w:r>
        <w:rPr>
          <w:b/>
          <w:bCs/>
          <w:color w:val="000000"/>
          <w:spacing w:val="0"/>
          <w:w w:val="100"/>
          <w:position w:val="0"/>
        </w:rPr>
        <w:t>、</w:t>
        <w:tab/>
        <w:t>持续管理创新，提升企业管理水平。</w:t>
      </w:r>
    </w:p>
    <w:p>
      <w:pPr>
        <w:pStyle w:val="Style31"/>
        <w:keepNext w:val="0"/>
        <w:keepLines w:val="0"/>
        <w:widowControl w:val="0"/>
        <w:shd w:val="clear" w:color="auto" w:fill="auto"/>
        <w:bidi w:val="0"/>
        <w:spacing w:before="0" w:after="140" w:line="314" w:lineRule="exact"/>
        <w:ind w:left="0" w:right="0"/>
        <w:jc w:val="both"/>
      </w:pPr>
      <w:r>
        <w:rPr>
          <w:color w:val="000000"/>
          <w:spacing w:val="0"/>
          <w:w w:val="100"/>
          <w:position w:val="0"/>
        </w:rPr>
        <w:t>完善公司内部制度、流程及风险控制体系。落实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个管控、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个管控分别是财务管理及资金统一管控、数字 化信息平台统一管控、品牌形象及市场推广统一管控、质量统一管控、供应链统一管控及管理干部选拔和发展的统一管控，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个服务分别是向子公司及事业部提供法务服务、人力资源服务及政府事务服务。建立和完善了授权管理体系，同时加强了 月度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季度经管会、内控审计、专项审察等过程控制。持续推行精益生产，提升设备能力，优化流程，降低人工成本。持续 优化</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系统</w:t>
      </w:r>
      <w:r>
        <w:rPr>
          <w:color w:val="000000"/>
          <w:spacing w:val="0"/>
          <w:w w:val="100"/>
          <w:position w:val="0"/>
          <w:sz w:val="18"/>
          <w:szCs w:val="18"/>
        </w:rPr>
        <w:t>，</w:t>
      </w:r>
      <w:r>
        <w:rPr>
          <w:color w:val="000000"/>
          <w:spacing w:val="0"/>
          <w:w w:val="100"/>
          <w:position w:val="0"/>
        </w:rPr>
        <w:t>使进料、仓储、配送、制造、入库及出货形成闭环式管理。继续深入推进全面预算管理，充分发挥全面预算 管理的资源整合功能，使得子公司及各部门目标清晰、责任到位、开支有据；同时，加强财务管理，按月做好预算执行分析 和月度经营分析，夯实财务预算在实际经营中的引导作用，跟进经营分析中重点决议事项，推动问题解决，提高公司运营效 率，加强风险管控，狠抓资产质量，维持较好的现金流。</w:t>
      </w:r>
    </w:p>
    <w:p>
      <w:pPr>
        <w:pStyle w:val="Style31"/>
        <w:keepNext w:val="0"/>
        <w:keepLines w:val="0"/>
        <w:widowControl w:val="0"/>
        <w:shd w:val="clear" w:color="auto" w:fill="auto"/>
        <w:tabs>
          <w:tab w:pos="696" w:val="left"/>
        </w:tabs>
        <w:bidi w:val="0"/>
        <w:spacing w:before="0" w:after="0" w:line="360" w:lineRule="auto"/>
        <w:ind w:left="0" w:right="0"/>
        <w:jc w:val="both"/>
      </w:pPr>
      <w:bookmarkStart w:id="93" w:name="bookmark93"/>
      <w:r>
        <w:rPr>
          <w:rFonts w:ascii="Times New Roman" w:eastAsia="Times New Roman" w:hAnsi="Times New Roman" w:cs="Times New Roman"/>
          <w:b/>
          <w:bCs/>
          <w:color w:val="000000"/>
          <w:spacing w:val="0"/>
          <w:w w:val="100"/>
          <w:position w:val="0"/>
          <w:sz w:val="18"/>
          <w:szCs w:val="18"/>
        </w:rPr>
        <w:t>4</w:t>
      </w:r>
      <w:bookmarkEnd w:id="93"/>
      <w:r>
        <w:rPr>
          <w:b/>
          <w:bCs/>
          <w:color w:val="000000"/>
          <w:spacing w:val="0"/>
          <w:w w:val="100"/>
          <w:position w:val="0"/>
        </w:rPr>
        <w:t>、</w:t>
        <w:tab/>
        <w:t>借助国资平台，进一步做大做大做强主业</w:t>
      </w:r>
    </w:p>
    <w:p>
      <w:pPr>
        <w:pStyle w:val="Style31"/>
        <w:keepNext w:val="0"/>
        <w:keepLines w:val="0"/>
        <w:widowControl w:val="0"/>
        <w:shd w:val="clear" w:color="auto" w:fill="auto"/>
        <w:bidi w:val="0"/>
        <w:spacing w:before="0" w:after="1060" w:line="315"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日，公司完成控制权的变更，产发融盛为公司的控股股东，济南市国资委为茂硕电源的最终控制人；茂硕 电源将在国资背景体制加民营机制的运营模式下，持续巩固产业优势、提升运营效率；依托国资政策、资源、资本优势与民 企创新、灵活、高效优势的深度融合，充分发挥产业链价值。加快推动包括</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电源、智慧灯杆、充电桩运营和光伏逆变器 的业务布局，进一步做大做强核心主业。</w:t>
      </w:r>
    </w:p>
    <w:p>
      <w:pPr>
        <w:pStyle w:val="Style27"/>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sz w:val="24"/>
          <w:szCs w:val="24"/>
        </w:rPr>
        <w:t>二</w:t>
      </w:r>
      <w:bookmarkEnd w:id="96"/>
      <w:r>
        <w:rPr>
          <w:color w:val="000000"/>
          <w:spacing w:val="0"/>
          <w:w w:val="100"/>
          <w:position w:val="0"/>
          <w:sz w:val="24"/>
          <w:szCs w:val="24"/>
        </w:rPr>
        <w:t>、主营业务分析</w:t>
      </w:r>
      <w:bookmarkEnd w:id="94"/>
      <w:bookmarkEnd w:id="95"/>
      <w:bookmarkEnd w:id="97"/>
    </w:p>
    <w:p>
      <w:pPr>
        <w:pStyle w:val="Style34"/>
        <w:keepNext/>
        <w:keepLines/>
        <w:widowControl w:val="0"/>
        <w:shd w:val="clear" w:color="auto" w:fill="auto"/>
        <w:tabs>
          <w:tab w:pos="326" w:val="left"/>
        </w:tabs>
        <w:bidi w:val="0"/>
        <w:spacing w:before="0" w:after="38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w:t>
        <w:tab/>
        <w:t>概述</w:t>
      </w:r>
      <w:bookmarkEnd w:id="101"/>
      <w:bookmarkEnd w:id="98"/>
      <w:bookmarkEnd w:id="9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36" w:val="left"/>
        </w:tabs>
        <w:bidi w:val="0"/>
        <w:spacing w:before="0" w:after="38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收入与成本</w:t>
      </w:r>
      <w:bookmarkEnd w:id="102"/>
      <w:bookmarkEnd w:id="103"/>
      <w:bookmarkEnd w:id="105"/>
    </w:p>
    <w:p>
      <w:pPr>
        <w:pStyle w:val="Style40"/>
        <w:keepNext/>
        <w:keepLines/>
        <w:widowControl w:val="0"/>
        <w:shd w:val="clear" w:color="auto" w:fill="auto"/>
        <w:bidi w:val="0"/>
        <w:spacing w:before="0" w:after="14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r>
        <w:br w:type="page"/>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1,234,958,706.70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1,247,847,109.57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计算机、通信和其他 电子设备制造业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1,191,022,034.47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1,190,611,669.05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光伏电站运营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37,678,324.69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45,667,680.80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6,258,347.54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11,567,759.72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715,250,611.44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775,849,100.52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475,771,423.03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414,762,568.53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光伏逆变器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3,060,449.54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9,331,744.51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34,617,875.15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36,335,936.29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6,258,347.54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11,567,759.72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617,294,747.49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629,258,548.84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617,663,959.21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618,588,560.73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bl>
    <w:p>
      <w:pPr>
        <w:widowControl w:val="0"/>
        <w:spacing w:after="319" w:line="1" w:lineRule="exact"/>
      </w:pPr>
    </w:p>
    <w:p>
      <w:pPr>
        <w:pStyle w:val="Style40"/>
        <w:keepNext/>
        <w:keepLines/>
        <w:widowControl w:val="0"/>
        <w:numPr>
          <w:ilvl w:val="0"/>
          <w:numId w:val="3"/>
        </w:numPr>
        <w:shd w:val="clear" w:color="auto" w:fill="auto"/>
        <w:bidi w:val="0"/>
        <w:spacing w:before="0" w:after="360" w:line="240" w:lineRule="auto"/>
        <w:ind w:left="0" w:right="0" w:firstLine="0"/>
        <w:jc w:val="left"/>
      </w:pPr>
      <w:bookmarkStart w:id="110" w:name="bookmark110"/>
      <w:bookmarkStart w:id="111" w:name="bookmark111"/>
      <w:bookmarkStart w:id="112" w:name="bookmark112"/>
      <w:bookmarkStart w:id="113" w:name="bookmark113"/>
      <w:bookmarkEnd w:id="11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计算机、通信和 其他电子设备制 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1,191,022,034.47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956,703,243.90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715,250,611.44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597,153,263.61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475,771,423.03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359,549,980.29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617,294,747.49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459,475,959.11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617,663,959.21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514,841,328.46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widowControl w:val="0"/>
        <w:spacing w:after="99" w:line="1" w:lineRule="exact"/>
      </w:pP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0"/>
        <w:keepNext/>
        <w:keepLines/>
        <w:widowControl w:val="0"/>
        <w:shd w:val="clear" w:color="auto" w:fill="auto"/>
        <w:bidi w:val="0"/>
        <w:spacing w:before="0" w:after="3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4"/>
      <w:bookmarkEnd w:id="115"/>
      <w:bookmarkEnd w:id="117"/>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43,227,418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46,476,569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43,056,440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46,076,624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88.76%</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逆变器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38,426,747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37,834,746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38,426,747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37,834,746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r>
    </w:tbl>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驱动电源销售量增加营业额增加；生产量增加主要系销售量增加；库存量增加系备库增加以确保交期。 逆变器业务受海外疫情影响几乎停滞，生产减少、以消化库存降低存货风险为主。</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8"/>
      <w:bookmarkEnd w:id="119"/>
      <w:bookmarkEnd w:id="121"/>
    </w:p>
    <w:p>
      <w:pPr>
        <w:pStyle w:val="Style31"/>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468,763,933.08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494,087,334.25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298,564,791.08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260,073,312.33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光伏逆变器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1,298,216.40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5,548,638.45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光伏发电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7,698,064.14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7,668,202.92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6"/>
      <w:bookmarkEnd w:id="127"/>
      <w:bookmarkEnd w:id="12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0"/>
      <w:bookmarkEnd w:id="131"/>
      <w:bookmarkEnd w:id="13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341,111,174.13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113,185,695.26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71,523,910.92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67,166,198.01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45,229,854.69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44,005,515.25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341,111,174.13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170,731,133.11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66,024,338.91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27,567,377.34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26,377,019.14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26,319,739.75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24,442,657.97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170,731,133.11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52,477,552.20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72,306,691.55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日开始执 行新收入准则，按新准则规定：为履 行销售合同而发生的运输费用计入 合同履约成本进行核算，导致计入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科目的运输费减少。</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57,405,987.19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76,295,882.27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主要系人员工资、中介服务及咨询费 减少</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39,915,684.51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16,591,401.43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主要系汇率变动导致汇兑损失增加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53,466,067.34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50,318,593.18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3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314" w:lineRule="exact"/>
        <w:ind w:left="0" w:right="0" w:firstLine="520"/>
        <w:jc w:val="both"/>
      </w:pPr>
      <w:r>
        <w:rPr>
          <w:color w:val="000000"/>
          <w:spacing w:val="0"/>
          <w:w w:val="100"/>
          <w:position w:val="0"/>
        </w:rPr>
        <w:t>公司一直以完善核心技术体系建设为发展动力，高度重视新产品和新技术的开发研究工作。不断加大研发投入力度， 以确保技术研究和成果推广应用工作顺利进行。公司依托现有的研发资源和平台，深入整合公司内外部资源，充分利用科研 人才和硬件设备进行新产品新工艺研发及前瞻性研究，开展了一系列科研项目，以进一步完善技术和专利布局，优化产品体 系，提升创新实力，延续在行业中长期保持的技术优势。</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53,466,067.34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50,318,593.18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1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1,017,648,889.04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1,244,732,549.77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969,939,016.92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1,202,975,498.87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47,709,872.12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41,757,050.90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61,524,130.56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54,001,283.09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45,243,604.01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59,161,843.65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16,280,526.55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-5,160,560.56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450,706,597.10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551,710,318.67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465,025,905.89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532,474,198.43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-14,319,308.79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19,236,120.24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44,658,979.30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54,990,418.98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r>
    </w:tbl>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5"/>
        </w:numPr>
        <w:shd w:val="clear" w:color="auto" w:fill="auto"/>
        <w:tabs>
          <w:tab w:pos="402" w:val="left"/>
        </w:tabs>
        <w:bidi w:val="0"/>
        <w:spacing w:before="0" w:after="0" w:line="322" w:lineRule="exact"/>
        <w:ind w:left="0" w:right="0" w:firstLine="0"/>
        <w:jc w:val="left"/>
      </w:pPr>
      <w:bookmarkStart w:id="150" w:name="bookmark150"/>
      <w:bookmarkEnd w:id="150"/>
      <w:r>
        <w:rPr>
          <w:color w:val="000000"/>
          <w:spacing w:val="0"/>
          <w:w w:val="100"/>
          <w:position w:val="0"/>
        </w:rPr>
        <w:t>报告期内经营活动产生的现金流量净额较去年增加</w:t>
      </w:r>
      <w:r>
        <w:rPr>
          <w:rFonts w:ascii="Times New Roman" w:eastAsia="Times New Roman" w:hAnsi="Times New Roman" w:cs="Times New Roman"/>
          <w:color w:val="000000"/>
          <w:spacing w:val="0"/>
          <w:w w:val="100"/>
          <w:position w:val="0"/>
          <w:sz w:val="18"/>
          <w:szCs w:val="18"/>
        </w:rPr>
        <w:t>595.28</w:t>
      </w:r>
      <w:r>
        <w:rPr>
          <w:color w:val="000000"/>
          <w:spacing w:val="0"/>
          <w:w w:val="100"/>
          <w:position w:val="0"/>
        </w:rPr>
        <w:t>万元，变化不大。</w:t>
      </w:r>
    </w:p>
    <w:p>
      <w:pPr>
        <w:pStyle w:val="Style31"/>
        <w:keepNext w:val="0"/>
        <w:keepLines w:val="0"/>
        <w:widowControl w:val="0"/>
        <w:numPr>
          <w:ilvl w:val="0"/>
          <w:numId w:val="5"/>
        </w:numPr>
        <w:shd w:val="clear" w:color="auto" w:fill="auto"/>
        <w:tabs>
          <w:tab w:pos="402" w:val="left"/>
        </w:tabs>
        <w:bidi w:val="0"/>
        <w:spacing w:before="0" w:after="0" w:line="322" w:lineRule="exact"/>
        <w:ind w:left="0" w:right="0" w:firstLine="0"/>
        <w:jc w:val="left"/>
      </w:pPr>
      <w:bookmarkStart w:id="151" w:name="bookmark151"/>
      <w:bookmarkEnd w:id="151"/>
      <w:r>
        <w:rPr>
          <w:color w:val="000000"/>
          <w:spacing w:val="0"/>
          <w:w w:val="100"/>
          <w:position w:val="0"/>
        </w:rPr>
        <w:t>报告期内投资活动产生的现金流量净额较去年同期增加</w:t>
      </w:r>
      <w:r>
        <w:rPr>
          <w:rFonts w:ascii="Times New Roman" w:eastAsia="Times New Roman" w:hAnsi="Times New Roman" w:cs="Times New Roman"/>
          <w:color w:val="000000"/>
          <w:spacing w:val="0"/>
          <w:w w:val="100"/>
          <w:position w:val="0"/>
          <w:sz w:val="18"/>
          <w:szCs w:val="18"/>
        </w:rPr>
        <w:t>2,144.11</w:t>
      </w:r>
      <w:r>
        <w:rPr>
          <w:color w:val="000000"/>
          <w:spacing w:val="0"/>
          <w:w w:val="100"/>
          <w:position w:val="0"/>
        </w:rPr>
        <w:t>万元，主要系本报告期围绕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聚焦主业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的发展战略，深耕 主营业务，收回前期投资款导致。</w:t>
      </w:r>
    </w:p>
    <w:p>
      <w:pPr>
        <w:pStyle w:val="Style31"/>
        <w:keepNext w:val="0"/>
        <w:keepLines w:val="0"/>
        <w:widowControl w:val="0"/>
        <w:numPr>
          <w:ilvl w:val="0"/>
          <w:numId w:val="5"/>
        </w:numPr>
        <w:shd w:val="clear" w:color="auto" w:fill="auto"/>
        <w:tabs>
          <w:tab w:pos="402" w:val="left"/>
        </w:tabs>
        <w:bidi w:val="0"/>
        <w:spacing w:before="0" w:after="0" w:line="322" w:lineRule="exact"/>
        <w:ind w:left="0" w:right="0" w:firstLine="0"/>
        <w:jc w:val="left"/>
      </w:pPr>
      <w:bookmarkStart w:id="152" w:name="bookmark152"/>
      <w:bookmarkEnd w:id="152"/>
      <w:r>
        <w:rPr>
          <w:color w:val="000000"/>
          <w:spacing w:val="0"/>
          <w:w w:val="100"/>
          <w:position w:val="0"/>
        </w:rPr>
        <w:t>报告期内筹资活动产生的现金流量净额较去年减少</w:t>
      </w:r>
      <w:r>
        <w:rPr>
          <w:rFonts w:ascii="Times New Roman" w:eastAsia="Times New Roman" w:hAnsi="Times New Roman" w:cs="Times New Roman"/>
          <w:color w:val="000000"/>
          <w:spacing w:val="0"/>
          <w:w w:val="100"/>
          <w:position w:val="0"/>
          <w:sz w:val="18"/>
          <w:szCs w:val="18"/>
        </w:rPr>
        <w:t>3,355.54</w:t>
      </w:r>
      <w:r>
        <w:rPr>
          <w:color w:val="000000"/>
          <w:spacing w:val="0"/>
          <w:w w:val="100"/>
          <w:position w:val="0"/>
        </w:rPr>
        <w:t>万元，主要系本报告期开具的银行承兑汇票增加，开票承兑保 证金增加所致。</w:t>
      </w:r>
    </w:p>
    <w:p>
      <w:pPr>
        <w:pStyle w:val="Style31"/>
        <w:keepNext w:val="0"/>
        <w:keepLines w:val="0"/>
        <w:widowControl w:val="0"/>
        <w:numPr>
          <w:ilvl w:val="0"/>
          <w:numId w:val="5"/>
        </w:numPr>
        <w:shd w:val="clear" w:color="auto" w:fill="auto"/>
        <w:tabs>
          <w:tab w:pos="402" w:val="left"/>
        </w:tabs>
        <w:bidi w:val="0"/>
        <w:spacing w:before="0" w:after="380" w:line="322" w:lineRule="exact"/>
        <w:ind w:left="0" w:right="0" w:firstLine="0"/>
        <w:jc w:val="left"/>
      </w:pPr>
      <w:bookmarkStart w:id="153" w:name="bookmark153"/>
      <w:bookmarkEnd w:id="153"/>
      <w:r>
        <w:rPr>
          <w:color w:val="000000"/>
          <w:spacing w:val="0"/>
          <w:w w:val="100"/>
          <w:position w:val="0"/>
        </w:rPr>
        <w:t>报告期因汇率变动对现金及现金等价物的影响较上年同期减少</w:t>
      </w:r>
      <w:r>
        <w:rPr>
          <w:rFonts w:ascii="Times New Roman" w:eastAsia="Times New Roman" w:hAnsi="Times New Roman" w:cs="Times New Roman"/>
          <w:color w:val="000000"/>
          <w:spacing w:val="0"/>
          <w:w w:val="100"/>
          <w:position w:val="0"/>
          <w:sz w:val="18"/>
          <w:szCs w:val="18"/>
        </w:rPr>
        <w:t>416.99</w:t>
      </w:r>
      <w:r>
        <w:rPr>
          <w:color w:val="000000"/>
          <w:spacing w:val="0"/>
          <w:w w:val="100"/>
          <w:position w:val="0"/>
        </w:rPr>
        <w:t>万元。</w:t>
      </w:r>
    </w:p>
    <w:p>
      <w:pPr>
        <w:pStyle w:val="Style3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三</w:t>
      </w:r>
      <w:bookmarkEnd w:id="156"/>
      <w:r>
        <w:rPr>
          <w:color w:val="000000"/>
          <w:spacing w:val="0"/>
          <w:w w:val="100"/>
          <w:position w:val="0"/>
          <w:sz w:val="24"/>
          <w:szCs w:val="24"/>
        </w:rPr>
        <w:t>、非主营业务分析</w:t>
      </w:r>
      <w:bookmarkEnd w:id="154"/>
      <w:bookmarkEnd w:id="155"/>
      <w:bookmarkEnd w:id="157"/>
    </w:p>
    <w:p>
      <w:pPr>
        <w:pStyle w:val="Style3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9,160,169.93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主要系公司的债务重组收 益、对参股公司权益法核算 的长期股权投资收益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-6,955,191.67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主要系计提的存货跌价准 备、固定资产减值准备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699,885.11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主要系接受捐赠收入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1,978,200.16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主要系非流动资产毁损报废 损失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-4,059,801.39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主要系计提的应收账款坏账 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13,213,747.57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主要系收到的各项政府补助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四</w:t>
      </w:r>
      <w:bookmarkEnd w:id="160"/>
      <w:r>
        <w:rPr>
          <w:color w:val="000000"/>
          <w:spacing w:val="0"/>
          <w:w w:val="100"/>
          <w:position w:val="0"/>
          <w:sz w:val="24"/>
          <w:szCs w:val="24"/>
        </w:rPr>
        <w:t>、资产及负债状况分析</w:t>
      </w:r>
      <w:bookmarkEnd w:id="158"/>
      <w:bookmarkEnd w:id="159"/>
      <w:bookmarkEnd w:id="161"/>
    </w:p>
    <w:p>
      <w:pPr>
        <w:pStyle w:val="Style34"/>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、资产构成重大变动情况</w:t>
      </w:r>
      <w:bookmarkEnd w:id="162"/>
      <w:bookmarkEnd w:id="163"/>
      <w:bookmarkEnd w:id="16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358,871,313.6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250,188,701.02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465,039,249.8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462,909,161.03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154,339,823.5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120,300,364.92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77,241,535.62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91,887,080.76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361,243,092.7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384,180,534.44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390,191,644.4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157,711,834.30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、以公允价值计量的资产和负债</w:t>
      </w:r>
      <w:bookmarkEnd w:id="166"/>
      <w:bookmarkEnd w:id="167"/>
      <w:bookmarkEnd w:id="16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本期计提的 减值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spacing w:lineRule="exact" w:line="1"/>
        <w:rPr>
          <w:sz w:val="2"/>
          <w:szCs w:val="2"/>
        </w:rPr>
      </w:pPr>
      <w:r>
        <w:br w:type="page"/>
      </w:r>
    </w:p>
    <w:tbl>
      <w:tblPr>
        <w:tblOverlap w:val="never"/>
        <w:jc w:val="center"/>
        <w:tblLayout w:type="fixed"/>
      </w:tblPr>
      <w:tblGrid>
        <w:gridCol w:w="1099"/>
        <w:gridCol w:w="1094"/>
        <w:gridCol w:w="1090"/>
        <w:gridCol w:w="1094"/>
        <w:gridCol w:w="1090"/>
        <w:gridCol w:w="1090"/>
        <w:gridCol w:w="1090"/>
        <w:gridCol w:w="965"/>
        <w:gridCol w:w="97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11,124,887.39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-3,843,521.</w:t>
            </w:r>
          </w:p>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7,281,365.8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11,124,887.39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-3,843,521.</w:t>
            </w:r>
          </w:p>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7,281,365.8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2,448,289.42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26,473,276.36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28,921,565.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持有待售资 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15,620,530.</w:t>
            </w:r>
          </w:p>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15,620,530.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23,573,176.81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26,473,276.36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11,777,009.</w:t>
            </w:r>
          </w:p>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51,823,462.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widowControl w:val="0"/>
        <w:spacing w:after="119" w:line="1" w:lineRule="exact"/>
      </w:pPr>
    </w:p>
    <w:p>
      <w:pPr>
        <w:pStyle w:val="Style31"/>
        <w:keepNext w:val="0"/>
        <w:keepLines w:val="0"/>
        <w:widowControl w:val="0"/>
        <w:shd w:val="clear" w:color="auto" w:fill="auto"/>
        <w:bidi w:val="0"/>
        <w:spacing w:before="0" w:after="120" w:line="302" w:lineRule="exact"/>
        <w:ind w:left="0" w:right="0"/>
        <w:jc w:val="left"/>
      </w:pPr>
      <w:r>
        <w:rPr>
          <w:color w:val="000000"/>
          <w:spacing w:val="0"/>
          <w:w w:val="100"/>
          <w:position w:val="0"/>
        </w:rPr>
        <w:t>其他权益工具投资其他变动说明：本公司出售其持有的杭州骑客智能科技有限公司、浙江茂硕新能源科技有限公司两项 股权，同时核销持有</w:t>
      </w:r>
      <w:r>
        <w:rPr>
          <w:rFonts w:ascii="Times New Roman" w:eastAsia="Times New Roman" w:hAnsi="Times New Roman" w:cs="Times New Roman"/>
          <w:color w:val="000000"/>
          <w:spacing w:val="0"/>
          <w:w w:val="100"/>
          <w:position w:val="0"/>
          <w:sz w:val="18"/>
          <w:szCs w:val="18"/>
        </w:rPr>
        <w:t>Brilliantinfo Corporation</w:t>
      </w:r>
      <w:r>
        <w:rPr>
          <w:color w:val="000000"/>
          <w:spacing w:val="0"/>
          <w:w w:val="100"/>
          <w:position w:val="0"/>
        </w:rPr>
        <w:t>的股权投资。</w:t>
      </w:r>
    </w:p>
    <w:p>
      <w:pPr>
        <w:pStyle w:val="Style31"/>
        <w:keepNext w:val="0"/>
        <w:keepLines w:val="0"/>
        <w:widowControl w:val="0"/>
        <w:shd w:val="clear" w:color="auto" w:fill="auto"/>
        <w:bidi w:val="0"/>
        <w:spacing w:before="0" w:after="340" w:line="312" w:lineRule="exact"/>
        <w:ind w:left="0" w:right="0"/>
        <w:jc w:val="left"/>
      </w:pPr>
      <w:r>
        <w:rPr>
          <w:color w:val="000000"/>
          <w:spacing w:val="0"/>
          <w:w w:val="100"/>
          <w:position w:val="0"/>
        </w:rPr>
        <w:t>持有待售资产其他变动说明：公司董事会于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日批准将公司持有湖南省方正达电子科技有限公司（目标公司）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的股权作价</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,568.16</w:t>
      </w:r>
      <w:r>
        <w:rPr>
          <w:color w:val="000000"/>
          <w:spacing w:val="0"/>
          <w:w w:val="100"/>
          <w:position w:val="0"/>
        </w:rPr>
        <w:t>万元转让给目标公司大股东方笑求，双方已签订股权转让协议，截止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日，尚未完成股权 交割和工商变更手续，该股权转让交易预计在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年内完成，因此，公司将上述拟处置股权划分为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、截至报告期末的资产权利受限情况</w:t>
      </w:r>
      <w:bookmarkEnd w:id="170"/>
      <w:bookmarkEnd w:id="171"/>
      <w:bookmarkEnd w:id="173"/>
    </w:p>
    <w:tbl>
      <w:tblPr>
        <w:tblOverlap w:val="never"/>
        <w:jc w:val="center"/>
        <w:tblLayout w:type="fixed"/>
      </w:tblPr>
      <w:tblGrid>
        <w:gridCol w:w="3355"/>
        <w:gridCol w:w="2602"/>
        <w:gridCol w:w="3720"/>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137,541,856.61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10,848,828.50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开具银行承兑汇票质押</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204,729,324.42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7,656,832.08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1,836,480.15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未决诉讼冻结</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362,613,321.76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7"/>
        <w:keepNext/>
        <w:keepLines/>
        <w:widowControl w:val="0"/>
        <w:shd w:val="clear" w:color="auto" w:fill="auto"/>
        <w:bidi w:val="0"/>
        <w:spacing w:before="0" w:after="34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sz w:val="24"/>
          <w:szCs w:val="24"/>
        </w:rPr>
        <w:t>五</w:t>
      </w:r>
      <w:bookmarkEnd w:id="176"/>
      <w:r>
        <w:rPr>
          <w:color w:val="000000"/>
          <w:spacing w:val="0"/>
          <w:w w:val="100"/>
          <w:position w:val="0"/>
          <w:sz w:val="24"/>
          <w:szCs w:val="24"/>
        </w:rPr>
        <w:t>、投资状况分析</w:t>
      </w:r>
      <w:bookmarkEnd w:id="174"/>
      <w:bookmarkEnd w:id="175"/>
      <w:bookmarkEnd w:id="177"/>
    </w:p>
    <w:p>
      <w:pPr>
        <w:pStyle w:val="Style34"/>
        <w:keepNext/>
        <w:keepLines/>
        <w:widowControl w:val="0"/>
        <w:shd w:val="clear" w:color="auto" w:fill="auto"/>
        <w:bidi w:val="0"/>
        <w:spacing w:before="0" w:after="34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、总体情况</w:t>
      </w:r>
      <w:bookmarkEnd w:id="178"/>
      <w:bookmarkEnd w:id="179"/>
      <w:bookmarkEnd w:id="181"/>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w:t>
        <w:tab/>
        <w:t>报告期内获取的重大的股权投资情况</w:t>
      </w:r>
      <w:bookmarkEnd w:id="182"/>
      <w:bookmarkEnd w:id="183"/>
      <w:bookmarkEnd w:id="18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报告期内正在进行的重大的非股权投资情况</w:t>
      </w:r>
      <w:bookmarkEnd w:id="186"/>
      <w:bookmarkEnd w:id="187"/>
      <w:bookmarkEnd w:id="18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w:t>
        <w:tab/>
        <w:t>金融资产投资</w:t>
      </w:r>
      <w:bookmarkEnd w:id="190"/>
      <w:bookmarkEnd w:id="191"/>
      <w:bookmarkEnd w:id="193"/>
    </w:p>
    <w:p>
      <w:pPr>
        <w:pStyle w:val="Style40"/>
        <w:keepNext/>
        <w:keepLines/>
        <w:widowControl w:val="0"/>
        <w:shd w:val="clear" w:color="auto" w:fill="auto"/>
        <w:tabs>
          <w:tab w:pos="493" w:val="left"/>
        </w:tabs>
        <w:bidi w:val="0"/>
        <w:spacing w:before="0" w:after="36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4"/>
      <w:bookmarkEnd w:id="195"/>
      <w:bookmarkEnd w:id="19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8"/>
      <w:bookmarkEnd w:id="199"/>
      <w:bookmarkEnd w:id="201"/>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06"/>
        <w:gridCol w:w="691"/>
        <w:gridCol w:w="696"/>
        <w:gridCol w:w="734"/>
        <w:gridCol w:w="696"/>
        <w:gridCol w:w="691"/>
        <w:gridCol w:w="691"/>
        <w:gridCol w:w="696"/>
        <w:gridCol w:w="691"/>
        <w:gridCol w:w="686"/>
        <w:gridCol w:w="691"/>
        <w:gridCol w:w="696"/>
        <w:gridCol w:w="691"/>
        <w:gridCol w:w="533"/>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投资操 作方名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衍生品 投资类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投资初 始投资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期初投</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内购入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内售出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计提减 值准备 金额（如</w:t>
            </w:r>
          </w:p>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期末投</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期末投 资金额 占公司 报告期 末净资 产比例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期实 际损 益金 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w:t>
              <w:softHyphen/>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w:t>
              <w:softHyphen/>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24.63</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外汇收入</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衍生品投资审批董事会公告披露日 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2020-7-8</w:t>
            </w:r>
          </w:p>
        </w:tc>
      </w:tr>
      <w:tr>
        <w:trPr>
          <w:trHeight w:val="710"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衍生品投资审批股东会公告披露日 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49"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报告期衍生品持仓的风险分析及控 制措施说明（包括但不限于市场风 险、流动性风险、信用风险、操作 风险、法律风险等）</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公司开展外汇衍生品交易遵循锁定汇率、利率风险原则，不做投机性、套利性的交易 操作，但外汇衍生品交易操作仍存在一定的风险：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、市场风险：外汇衍生品交易合约 汇率、利率与到期日实际汇率、利率的差异将产生交易损益；在外汇衍生品的存续期 内，每一会计期间将产生重估损益，至到期日重估损益的累计值等于交易损益。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、流</w:t>
            </w:r>
          </w:p>
        </w:tc>
      </w:tr>
    </w:tbl>
    <w:p>
      <w:pPr>
        <w:spacing w:lineRule="exact" w:line="1"/>
        <w:rPr>
          <w:sz w:val="2"/>
          <w:szCs w:val="2"/>
        </w:rPr>
      </w:pPr>
      <w:r>
        <w:br w:type="page"/>
      </w:r>
    </w:p>
    <w:tbl>
      <w:tblPr>
        <w:tblOverlap w:val="never"/>
        <w:jc w:val="center"/>
        <w:tblLayout w:type="fixed"/>
      </w:tblPr>
      <w:tblGrid>
        <w:gridCol w:w="2827"/>
        <w:gridCol w:w="6763"/>
      </w:tblGrid>
      <w:tr>
        <w:trPr>
          <w:trHeight w:val="601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动性风险：外汇衍生品以公司外汇资产、负债为依据，与实际外汇收支相匹配，以保 证在交割时有足额资金供结算，或选择净额交割衍生品，以减少到期日资金需求。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履约风险：公司开展外汇衍生品交易的对象均为信用良好且已与公司建立长期业务往 来的银行，履约风险低。</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、客户违约风险：客户应收账款发生逾期，货款无法再预测 的回收期内收回，会造成延期交割导致公司损失。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、其它风险：在开展交易时，如操 作人员未按规定程序进行外汇衍生品交易操作或未能充分理解衍生品信息，将带来操 作风险；如交易合同条款不明确，将可能面临的法律风险。公司对外汇衍生品交易采 取的风险控制措施：</w:t>
            </w:r>
            <w:r>
              <w:rPr>
                <w:color w:val="000000"/>
                <w:spacing w:val="0"/>
                <w:w w:val="100"/>
                <w:position w:val="0"/>
                <w:sz w:val="18"/>
                <w:szCs w:val="18"/>
              </w:rPr>
              <w:t>1</w:t>
            </w:r>
            <w:r>
              <w:rPr>
                <w:color w:val="000000"/>
                <w:spacing w:val="0"/>
                <w:w w:val="100"/>
                <w:position w:val="0"/>
              </w:rPr>
              <w:t>、公司开展的外汇衍生品交易以锁定成本、规避和防范汇率、利 率风险为目的，禁止任何风险投机行为。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、公司第四届董事会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次临时会 议已审议通过了《外汇衍生产品内控管理制度》，对业务审批权限、管理及内部操作流 程、信息隔离措施、内部风险报告制度及风险处理程序、信息披露和档案管理等做出 明确规定。根据该制度，公司将加强相关人员的职业道德教育及业务培训，提高相关 人员的综合素质，同时建立异常情况及时报告制度，形成高效的风险处理程序。</w:t>
            </w:r>
            <w:r>
              <w:rPr>
                <w:color w:val="000000"/>
                <w:spacing w:val="0"/>
                <w:w w:val="100"/>
                <w:position w:val="0"/>
                <w:sz w:val="18"/>
                <w:szCs w:val="18"/>
              </w:rPr>
              <w:t>3</w:t>
            </w:r>
            <w:r>
              <w:rPr>
                <w:color w:val="000000"/>
                <w:spacing w:val="0"/>
                <w:w w:val="100"/>
                <w:position w:val="0"/>
              </w:rPr>
              <w:t xml:space="preserve">、公 司将审慎审查与交易对手签订的合约条款，严格执行风险管理制度，以防范法律风险。 </w:t>
            </w:r>
            <w:r>
              <w:rPr>
                <w:color w:val="000000"/>
                <w:spacing w:val="0"/>
                <w:w w:val="100"/>
                <w:position w:val="0"/>
                <w:sz w:val="18"/>
                <w:szCs w:val="18"/>
              </w:rPr>
              <w:t>4</w:t>
            </w:r>
            <w:r>
              <w:rPr>
                <w:color w:val="000000"/>
                <w:spacing w:val="0"/>
                <w:w w:val="100"/>
                <w:position w:val="0"/>
              </w:rPr>
              <w:t>、公司财务部将持续跟踪外汇衍生品公开市场价格或公允价值变动，及时评估外汇衍 生品交易的风险敞口变化情况，并定期向公司管理层报告，发现异常情况及时上报， 提示风险并执行应急措施。</w:t>
            </w:r>
            <w:r>
              <w:rPr>
                <w:color w:val="000000"/>
                <w:spacing w:val="0"/>
                <w:w w:val="100"/>
                <w:position w:val="0"/>
                <w:sz w:val="18"/>
                <w:szCs w:val="18"/>
              </w:rPr>
              <w:t>5</w:t>
            </w:r>
            <w:r>
              <w:rPr>
                <w:color w:val="000000"/>
                <w:spacing w:val="0"/>
                <w:w w:val="100"/>
                <w:position w:val="0"/>
              </w:rPr>
              <w:t>、为防止远期结汇延期交割，公司高度重视应收账款的管 理，制定安全管理措施，避免出现应收账款逾期现象。</w:t>
            </w:r>
            <w:r>
              <w:rPr>
                <w:color w:val="000000"/>
                <w:spacing w:val="0"/>
                <w:w w:val="100"/>
                <w:position w:val="0"/>
                <w:sz w:val="18"/>
                <w:szCs w:val="18"/>
              </w:rPr>
              <w:t>6</w:t>
            </w:r>
            <w:r>
              <w:rPr>
                <w:color w:val="000000"/>
                <w:spacing w:val="0"/>
                <w:w w:val="100"/>
                <w:position w:val="0"/>
              </w:rPr>
              <w:t>、公司内审部对外汇衍生品交 易的决策、管理、执行等工作的合规性进行监督检查。</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已投资衍生品报告期内市场价格或 产品公允价值变动的情况，对衍生 品公允价值的分析应披露具体使用 的方法及相关假设与参数的设定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为规避和对冲经营所产生的外汇风险，公司按照上述规则操作远期外汇合约，报告期 内损益为收益</w:t>
            </w:r>
            <w:r>
              <w:rPr>
                <w:rFonts w:ascii="Times New Roman" w:eastAsia="Times New Roman" w:hAnsi="Times New Roman" w:cs="Times New Roman"/>
                <w:color w:val="000000"/>
                <w:spacing w:val="0"/>
                <w:w w:val="100"/>
                <w:position w:val="0"/>
                <w:sz w:val="18"/>
                <w:szCs w:val="18"/>
              </w:rPr>
              <w:t>24.63</w:t>
            </w:r>
            <w:r>
              <w:rPr>
                <w:color w:val="000000"/>
                <w:spacing w:val="0"/>
                <w:w w:val="100"/>
                <w:position w:val="0"/>
              </w:rPr>
              <w:t>万元。衍生品的公允价值以外汇市场即时报价确定，按照合约价 格与资产负债表日外汇市场即时报价的远期汇率之差额计算确定衍生品的公允价值。</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报告期公司衍生品的会计政策及会 计核算具体原则与上一报告期相比 是否发生重大变化的说明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独立董事对公司衍生品投资及风险</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控制情况的专项意见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公司本次审议的外汇衍生品交易是以具体经营业务为依托，套期保值为手段，以规避 和防范外汇汇率、利率波动风险为目的，是出于公司稳健经营的需求，不存在损害公 司及全体股东，特别是中小股东利益的情形。我们同意公司开展累计总金额不超过</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万美元（或等值外币）的外汇衍生品交易业务，自董事会审批通过之日起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 效。</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rPr>
          <w:sz w:val="19"/>
          <w:szCs w:val="19"/>
        </w:rPr>
      </w:pPr>
      <w:bookmarkStart w:id="202" w:name="bookmark202"/>
      <w:bookmarkStart w:id="203" w:name="bookmark203"/>
      <w:bookmarkStart w:id="204" w:name="bookmark204"/>
      <w:r>
        <w:rPr>
          <w:color w:val="000000"/>
          <w:spacing w:val="0"/>
          <w:w w:val="100"/>
          <w:position w:val="0"/>
          <w:sz w:val="19"/>
          <w:szCs w:val="19"/>
        </w:rPr>
        <w:t>注：以上信息属于汇总披露，起始日期为同类产品的最早起始日期；终止日期为同类产品的最晚终止日期。</w:t>
      </w:r>
      <w:bookmarkEnd w:id="202"/>
      <w:bookmarkEnd w:id="203"/>
      <w:bookmarkEnd w:id="204"/>
    </w:p>
    <w:p>
      <w:pPr>
        <w:pStyle w:val="Style34"/>
        <w:keepNext/>
        <w:keepLines/>
        <w:widowControl w:val="0"/>
        <w:shd w:val="clear" w:color="auto" w:fill="auto"/>
        <w:bidi w:val="0"/>
        <w:spacing w:before="0" w:after="38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、募集资金使用情况</w:t>
      </w:r>
      <w:bookmarkEnd w:id="205"/>
      <w:bookmarkEnd w:id="206"/>
      <w:bookmarkEnd w:id="20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tabs>
          <w:tab w:pos="517" w:val="left"/>
        </w:tabs>
        <w:bidi w:val="0"/>
        <w:spacing w:before="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六</w:t>
      </w:r>
      <w:bookmarkEnd w:id="211"/>
      <w:r>
        <w:rPr>
          <w:color w:val="000000"/>
          <w:spacing w:val="0"/>
          <w:w w:val="100"/>
          <w:position w:val="0"/>
          <w:sz w:val="24"/>
          <w:szCs w:val="24"/>
        </w:rPr>
        <w:t>、</w:t>
        <w:tab/>
        <w:t>重大资产和股权出售</w:t>
      </w:r>
      <w:bookmarkEnd w:id="209"/>
      <w:bookmarkEnd w:id="210"/>
      <w:bookmarkEnd w:id="212"/>
    </w:p>
    <w:p>
      <w:pPr>
        <w:pStyle w:val="Style34"/>
        <w:keepNext/>
        <w:keepLines/>
        <w:widowControl w:val="0"/>
        <w:shd w:val="clear" w:color="auto" w:fill="auto"/>
        <w:tabs>
          <w:tab w:pos="402"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1</w:t>
      </w:r>
      <w:bookmarkEnd w:id="215"/>
      <w:r>
        <w:rPr>
          <w:color w:val="000000"/>
          <w:spacing w:val="0"/>
          <w:w w:val="100"/>
          <w:position w:val="0"/>
        </w:rPr>
        <w:t>、</w:t>
        <w:tab/>
        <w:t>出售重大资产情况</w:t>
      </w:r>
      <w:bookmarkEnd w:id="213"/>
      <w:bookmarkEnd w:id="214"/>
      <w:bookmarkEnd w:id="21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2"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2</w:t>
      </w:r>
      <w:bookmarkEnd w:id="219"/>
      <w:r>
        <w:rPr>
          <w:color w:val="000000"/>
          <w:spacing w:val="0"/>
          <w:w w:val="100"/>
          <w:position w:val="0"/>
        </w:rPr>
        <w:t>、</w:t>
        <w:tab/>
        <w:t>出售重大股权情况</w:t>
      </w:r>
      <w:bookmarkEnd w:id="217"/>
      <w:bookmarkEnd w:id="218"/>
      <w:bookmarkEnd w:id="22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七</w:t>
      </w:r>
      <w:bookmarkEnd w:id="223"/>
      <w:r>
        <w:rPr>
          <w:color w:val="000000"/>
          <w:spacing w:val="0"/>
          <w:w w:val="100"/>
          <w:position w:val="0"/>
          <w:sz w:val="24"/>
          <w:szCs w:val="24"/>
        </w:rPr>
        <w:t>、</w:t>
        <w:tab/>
        <w:t>主要控股参股公司分析</w:t>
      </w:r>
      <w:bookmarkEnd w:id="221"/>
      <w:bookmarkEnd w:id="222"/>
      <w:bookmarkEnd w:id="22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601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深圳茂硕电 子科技有限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计算机软件 开发、系统 集成、技术 服务和销 售；经营进 出口业务</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（法律、行 政法规、国 务院决定禁 止的项目除 外，限制的 项目须取得 许可后方可 经营）。开关 电源、变压 器、电感的 设计、技术 开发、生产 和销售。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422,642,323.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74,004,831.5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471,905,290.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13,634,834.9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13,642,093.8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22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惠州茂硕能 源科技有限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生产、销售： 大功率</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路灯电源、 隧道灯电 源、汽车充 电器、光伏 并网逆变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111,111,111.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652,269,714.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330,716,588.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669,365,541.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10,020,722.7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10,033,028.2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器、开关电 源、变压器、 电子元器 件、五金塑 胶配件；货 物进出口</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（法律、行 政法规禁止 的、限制的 项目除外）。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新余茂硕新 能源科技有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工业控制设 备、工业自 动化软件、 太阳能光伏 逆变器的技 术开发与销 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电子电力 器材的销售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太阳能发电 和能源发电 系统的设 计、开发、 施工、监理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依法须经批 准的项目</w:t>
            </w:r>
            <w:r>
              <w:rPr>
                <w:color w:val="000000"/>
                <w:spacing w:val="0"/>
                <w:w w:val="100"/>
                <w:position w:val="0"/>
                <w:sz w:val="18"/>
                <w:szCs w:val="18"/>
              </w:rPr>
              <w:t>，</w:t>
            </w:r>
            <w:r>
              <w:rPr>
                <w:color w:val="000000"/>
                <w:spacing w:val="0"/>
                <w:w w:val="100"/>
                <w:position w:val="0"/>
              </w:rPr>
              <w:t>经 相关部门批 准后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方可开 展经营活动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涉及资质证 的、凭资质 证经营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113,861,626.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-31,753,496.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13,423,102.3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8,381,381.46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7,744,804.07</w:t>
            </w:r>
          </w:p>
        </w:tc>
      </w:tr>
      <w:tr>
        <w:trPr>
          <w:trHeight w:val="411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湖南省方正 达电子科技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研发、生产、 销售电子用 挠性材料、 绝缘材料、 覆铜板材 料、铜箔， 电子产品及 线路板的技 术开发、生 产、销售， 货物及技术 进出口（不 含法律、行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33,174,070.0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377,846,063.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212,807,713.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411,891,565.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14,168,023.0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34,995,979.1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349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政法规，国 务院规定禁 止及决定需 前置审批的 项目），普通 货运。（依法 须经批准的 项目，经相 关部门批准 后方可开展 经营活动）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主要控股参股公司情况说明</w:t>
      </w:r>
    </w:p>
    <w:p>
      <w:pPr>
        <w:pStyle w:val="Style27"/>
        <w:keepNext/>
        <w:keepLines/>
        <w:widowControl w:val="0"/>
        <w:shd w:val="clear" w:color="auto" w:fill="auto"/>
        <w:tabs>
          <w:tab w:pos="495"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八</w:t>
      </w:r>
      <w:bookmarkEnd w:id="227"/>
      <w:r>
        <w:rPr>
          <w:color w:val="000000"/>
          <w:spacing w:val="0"/>
          <w:w w:val="100"/>
          <w:position w:val="0"/>
          <w:sz w:val="24"/>
          <w:szCs w:val="24"/>
        </w:rPr>
        <w:t>、</w:t>
        <w:tab/>
        <w:t>公司控制的结构化主体情况</w:t>
      </w:r>
      <w:bookmarkEnd w:id="225"/>
      <w:bookmarkEnd w:id="226"/>
      <w:bookmarkEnd w:id="228"/>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5" w:val="left"/>
        </w:tabs>
        <w:bidi w:val="0"/>
        <w:spacing w:before="0" w:after="2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w:t>
        <w:tab/>
        <w:t>公司未来发展的展望</w:t>
      </w:r>
      <w:bookmarkEnd w:id="229"/>
      <w:bookmarkEnd w:id="230"/>
      <w:bookmarkEnd w:id="232"/>
    </w:p>
    <w:p>
      <w:pPr>
        <w:pStyle w:val="Style31"/>
        <w:keepNext w:val="0"/>
        <w:keepLines w:val="0"/>
        <w:widowControl w:val="0"/>
        <w:shd w:val="clear" w:color="auto" w:fill="auto"/>
        <w:tabs>
          <w:tab w:pos="899" w:val="left"/>
        </w:tabs>
        <w:bidi w:val="0"/>
        <w:spacing w:before="0" w:after="0" w:line="314" w:lineRule="exact"/>
        <w:ind w:left="0" w:right="0"/>
        <w:jc w:val="both"/>
      </w:pPr>
      <w:bookmarkStart w:id="233" w:name="bookmark233"/>
      <w:r>
        <w:rPr>
          <w:b/>
          <w:bCs/>
          <w:color w:val="000000"/>
          <w:spacing w:val="0"/>
          <w:w w:val="100"/>
          <w:position w:val="0"/>
        </w:rPr>
        <w:t>（</w:t>
      </w:r>
      <w:bookmarkEnd w:id="233"/>
      <w:r>
        <w:rPr>
          <w:b/>
          <w:bCs/>
          <w:color w:val="000000"/>
          <w:spacing w:val="0"/>
          <w:w w:val="100"/>
          <w:position w:val="0"/>
        </w:rPr>
        <w:t>一）</w:t>
        <w:tab/>
        <w:t>行业竞争格局</w:t>
      </w:r>
    </w:p>
    <w:p>
      <w:pPr>
        <w:pStyle w:val="Style31"/>
        <w:keepNext w:val="0"/>
        <w:keepLines w:val="0"/>
        <w:widowControl w:val="0"/>
        <w:shd w:val="clear" w:color="auto" w:fill="auto"/>
        <w:tabs>
          <w:tab w:pos="813" w:val="left"/>
        </w:tabs>
        <w:bidi w:val="0"/>
        <w:spacing w:before="0" w:after="0" w:line="314" w:lineRule="exact"/>
        <w:ind w:left="0" w:right="0"/>
        <w:jc w:val="both"/>
      </w:pPr>
      <w:bookmarkStart w:id="234" w:name="bookmark234"/>
      <w:r>
        <w:rPr>
          <w:b/>
          <w:bCs/>
          <w:color w:val="000000"/>
          <w:spacing w:val="0"/>
          <w:w w:val="100"/>
          <w:position w:val="0"/>
        </w:rPr>
        <w:t>（</w:t>
      </w:r>
      <w:bookmarkEnd w:id="23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消费电子类电源市场现状</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消费电子类电源是指围绕着消费者应用而产生的与生活、工作、娱乐息息相关的电子类产品，是电子产品中技术发展最 快、技术应用最广的领域，譬如通讯终端、网络终端、高清电视、人工智能、智能音响、激光投影仪、</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打印机、</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 电动工具、</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周边、二三轮电动车、电机驱动、共享充电宝等。消费电子产业在国内外近年来一直保持高速增长。在新技 术的推动下，消费电子产品的深度与广度持续扩展，产品也不断升级与创新，用以满足人们工作、健康、休闲娱乐等方面的 需求，随着人们生活水平的提高，各种消费电子产品进入千家万户，成为居民工作与生活的刚需品。</w:t>
      </w:r>
    </w:p>
    <w:p>
      <w:pPr>
        <w:pStyle w:val="Style31"/>
        <w:keepNext w:val="0"/>
        <w:keepLines w:val="0"/>
        <w:widowControl w:val="0"/>
        <w:shd w:val="clear" w:color="auto" w:fill="auto"/>
        <w:tabs>
          <w:tab w:pos="813" w:val="left"/>
        </w:tabs>
        <w:bidi w:val="0"/>
        <w:spacing w:before="0" w:after="0" w:line="314" w:lineRule="exact"/>
        <w:ind w:left="0" w:right="0"/>
        <w:jc w:val="left"/>
      </w:pPr>
      <w:bookmarkStart w:id="235" w:name="bookmark235"/>
      <w:r>
        <w:rPr>
          <w:b/>
          <w:bCs/>
          <w:color w:val="000000"/>
          <w:spacing w:val="0"/>
          <w:w w:val="100"/>
          <w:position w:val="0"/>
        </w:rPr>
        <w:t>（</w:t>
      </w:r>
      <w:bookmarkEnd w:id="23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电源行业市场现状</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根据集邦咨询</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研究中心（</w:t>
      </w:r>
      <w:r>
        <w:rPr>
          <w:rFonts w:ascii="Times New Roman" w:eastAsia="Times New Roman" w:hAnsi="Times New Roman" w:cs="Times New Roman"/>
          <w:color w:val="000000"/>
          <w:spacing w:val="0"/>
          <w:w w:val="100"/>
          <w:position w:val="0"/>
          <w:sz w:val="18"/>
          <w:szCs w:val="18"/>
        </w:rPr>
        <w:t>LEDinside</w:t>
      </w:r>
      <w:r>
        <w:rPr>
          <w:color w:val="000000"/>
          <w:spacing w:val="0"/>
          <w:w w:val="100"/>
          <w:position w:val="0"/>
        </w:rPr>
        <w:t>）</w:t>
      </w:r>
      <w:r>
        <w:rPr>
          <w:color w:val="000000"/>
          <w:spacing w:val="0"/>
          <w:w w:val="100"/>
          <w:position w:val="0"/>
        </w:rPr>
        <w:t>最新研究报告，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照明级封装与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照明市场展望显示，</w:t>
      </w:r>
      <w:r>
        <w:rPr>
          <w:rFonts w:ascii="Times New Roman" w:eastAsia="Times New Roman" w:hAnsi="Times New Roman" w:cs="Times New Roman"/>
          <w:color w:val="000000"/>
          <w:spacing w:val="0"/>
          <w:w w:val="100"/>
          <w:position w:val="0"/>
          <w:sz w:val="18"/>
          <w:szCs w:val="18"/>
        </w:rPr>
        <w:t xml:space="preserve">2018~2023 </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照明市场规模逐步提升，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照明市场规模</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年预计达到</w:t>
      </w:r>
      <w:r>
        <w:rPr>
          <w:rFonts w:ascii="Times New Roman" w:eastAsia="Times New Roman" w:hAnsi="Times New Roman" w:cs="Times New Roman"/>
          <w:color w:val="000000"/>
          <w:spacing w:val="0"/>
          <w:w w:val="100"/>
          <w:position w:val="0"/>
          <w:sz w:val="18"/>
          <w:szCs w:val="18"/>
        </w:rPr>
        <w:t>566</w:t>
      </w:r>
      <w:r>
        <w:rPr>
          <w:color w:val="000000"/>
          <w:spacing w:val="0"/>
          <w:w w:val="100"/>
          <w:position w:val="0"/>
        </w:rPr>
        <w:t>亿美金，预估</w:t>
      </w:r>
      <w:r>
        <w:rPr>
          <w:rFonts w:ascii="Times New Roman" w:eastAsia="Times New Roman" w:hAnsi="Times New Roman" w:cs="Times New Roman"/>
          <w:color w:val="000000"/>
          <w:spacing w:val="0"/>
          <w:w w:val="100"/>
          <w:position w:val="0"/>
          <w:sz w:val="18"/>
          <w:szCs w:val="18"/>
        </w:rPr>
        <w:t>2018~2023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CAGR</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。传统的替换式照明 市场增速下降，工业、景观户外、植物、显示屏、体育及轨道交通领域则发展提速，同时在特殊的商业照明领域如捕鱼、 </w:t>
      </w:r>
      <w:r>
        <w:rPr>
          <w:rFonts w:ascii="Times New Roman" w:eastAsia="Times New Roman" w:hAnsi="Times New Roman" w:cs="Times New Roman"/>
          <w:color w:val="000000"/>
          <w:spacing w:val="0"/>
          <w:w w:val="100"/>
          <w:position w:val="0"/>
          <w:sz w:val="18"/>
          <w:szCs w:val="18"/>
        </w:rPr>
        <w:t>UV-LED</w:t>
      </w:r>
      <w:r>
        <w:rPr>
          <w:color w:val="000000"/>
          <w:spacing w:val="0"/>
          <w:w w:val="100"/>
          <w:position w:val="0"/>
        </w:rPr>
        <w:t>、海运、医疗、高端商照与轨道灯、防爆灯等领域也得到快速渗透。</w:t>
      </w:r>
    </w:p>
    <w:p>
      <w:pPr>
        <w:pStyle w:val="Style31"/>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照明应用己渗透到我们所能相像的任何应用领域，大功率照明方面呈稳步增长趋势。国内道路照明市场稳中有升， 除了新的基建需求之外，替换市场虽然增速下降，但需求仍有巨大空间。以政府工程为主的景观照明工程项目近期表现会相 对现低迷，但夜游经济会表现抢眼，尤其是全国遍地开花的特色小镇及文化创意灯光秀，将带来新一轮的发展潮。工业照明 市场也呈稳步增长趋势，而随着国内大力发展以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网络建设为首的七大领域新基建建设，城市轨道建设相关照明将迎来新 的爆发点，预计将有非常大的增长需求。另外，大功率照明应用已开始起步，尤其是体育照明、</w:t>
      </w:r>
      <w:r>
        <w:rPr>
          <w:rFonts w:ascii="Times New Roman" w:eastAsia="Times New Roman" w:hAnsi="Times New Roman" w:cs="Times New Roman"/>
          <w:color w:val="000000"/>
          <w:spacing w:val="0"/>
          <w:w w:val="100"/>
          <w:position w:val="0"/>
          <w:sz w:val="18"/>
          <w:szCs w:val="18"/>
        </w:rPr>
        <w:t>UV-LED</w:t>
      </w:r>
      <w:r>
        <w:rPr>
          <w:color w:val="000000"/>
          <w:spacing w:val="0"/>
          <w:w w:val="100"/>
          <w:position w:val="0"/>
        </w:rPr>
        <w:t>与植物照明等特殊 应用领域。</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同时，由于国内市场的竞争趋于白热化，企业纷纷拓展海外市场。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驱动经过多年的发展其技术己经非常成熟，通用 型照明驱动的利润己进入薄利，为谋求新的发展，企业必须要走差异化竞争、走细分领域、提供增值服务（如智能照明）才 能可持续发展</w:t>
      </w:r>
      <w:r>
        <w:rPr>
          <w:color w:val="000000"/>
          <w:spacing w:val="0"/>
          <w:w w:val="100"/>
          <w:position w:val="0"/>
          <w:sz w:val="18"/>
          <w:szCs w:val="18"/>
        </w:rPr>
        <w:t>，</w:t>
      </w:r>
      <w:r>
        <w:rPr>
          <w:color w:val="000000"/>
          <w:spacing w:val="0"/>
          <w:w w:val="100"/>
          <w:position w:val="0"/>
        </w:rPr>
        <w:t>国内市场则以智慧城市的建设为契机，大力发展智慧照明。</w:t>
      </w:r>
    </w:p>
    <w:p>
      <w:pPr>
        <w:pStyle w:val="Style31"/>
        <w:keepNext w:val="0"/>
        <w:keepLines w:val="0"/>
        <w:widowControl w:val="0"/>
        <w:shd w:val="clear" w:color="auto" w:fill="auto"/>
        <w:tabs>
          <w:tab w:pos="899" w:val="left"/>
        </w:tabs>
        <w:bidi w:val="0"/>
        <w:spacing w:before="0" w:after="0" w:line="314" w:lineRule="exact"/>
        <w:ind w:left="0" w:right="0"/>
        <w:jc w:val="both"/>
      </w:pPr>
      <w:bookmarkStart w:id="236" w:name="bookmark236"/>
      <w:r>
        <w:rPr>
          <w:b/>
          <w:bCs/>
          <w:color w:val="000000"/>
          <w:spacing w:val="0"/>
          <w:w w:val="100"/>
          <w:position w:val="0"/>
        </w:rPr>
        <w:t>（</w:t>
      </w:r>
      <w:bookmarkEnd w:id="236"/>
      <w:r>
        <w:rPr>
          <w:b/>
          <w:bCs/>
          <w:color w:val="000000"/>
          <w:spacing w:val="0"/>
          <w:w w:val="100"/>
          <w:position w:val="0"/>
        </w:rPr>
        <w:t>二）</w:t>
        <w:tab/>
        <w:t>行业发展趋势</w:t>
      </w:r>
    </w:p>
    <w:p>
      <w:pPr>
        <w:pStyle w:val="Style31"/>
        <w:keepNext w:val="0"/>
        <w:keepLines w:val="0"/>
        <w:widowControl w:val="0"/>
        <w:shd w:val="clear" w:color="auto" w:fill="auto"/>
        <w:bidi w:val="0"/>
        <w:spacing w:before="0" w:after="200" w:line="314" w:lineRule="exact"/>
        <w:ind w:left="0" w:right="0"/>
        <w:jc w:val="both"/>
      </w:pPr>
      <w:bookmarkStart w:id="237" w:name="bookmark237"/>
      <w:r>
        <w:rPr>
          <w:b/>
          <w:bCs/>
          <w:color w:val="000000"/>
          <w:spacing w:val="0"/>
          <w:w w:val="100"/>
          <w:position w:val="0"/>
        </w:rPr>
        <w:t>（</w:t>
      </w:r>
      <w:bookmarkEnd w:id="23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）消费电子类电源行业发展趋势</w:t>
      </w:r>
    </w:p>
    <w:p>
      <w:pPr>
        <w:pStyle w:val="Style31"/>
        <w:keepNext w:val="0"/>
        <w:keepLines w:val="0"/>
        <w:widowControl w:val="0"/>
        <w:numPr>
          <w:ilvl w:val="0"/>
          <w:numId w:val="7"/>
        </w:numPr>
        <w:shd w:val="clear" w:color="auto" w:fill="auto"/>
        <w:tabs>
          <w:tab w:pos="693" w:val="left"/>
        </w:tabs>
        <w:bidi w:val="0"/>
        <w:spacing w:before="0" w:after="0" w:line="313" w:lineRule="exact"/>
        <w:ind w:left="0" w:right="0"/>
        <w:jc w:val="both"/>
      </w:pPr>
      <w:bookmarkStart w:id="238" w:name="bookmark238"/>
      <w:bookmarkEnd w:id="238"/>
      <w:r>
        <w:rPr>
          <w:color w:val="000000"/>
          <w:spacing w:val="0"/>
          <w:w w:val="100"/>
          <w:position w:val="0"/>
        </w:rPr>
        <w:t>产业与利润集中于头部企业</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全球消费电子行业领军企业，通过强大的人才引进，储备培养，增加研发资源、优质广链的售后服务，来确保产品的不 断创新，提高产品优势与客户满意，提高企业的市场竞争力。产品的市场议价权随之提升，产业利润也逐步集中于这些头部 企业。因此，研发投入，技术创新成为大公司保持行业领先地位的重要手段。随着客户资源的不断整合，消费电子类电源产 品销售将逐步向行业巨头集中，综合配套产品制造业将会是行业的发展趋势。</w:t>
      </w:r>
    </w:p>
    <w:p>
      <w:pPr>
        <w:pStyle w:val="Style31"/>
        <w:keepNext w:val="0"/>
        <w:keepLines w:val="0"/>
        <w:widowControl w:val="0"/>
        <w:numPr>
          <w:ilvl w:val="0"/>
          <w:numId w:val="7"/>
        </w:numPr>
        <w:shd w:val="clear" w:color="auto" w:fill="auto"/>
        <w:tabs>
          <w:tab w:pos="693" w:val="left"/>
        </w:tabs>
        <w:bidi w:val="0"/>
        <w:spacing w:before="0" w:after="0" w:line="313" w:lineRule="exact"/>
        <w:ind w:left="0" w:right="0"/>
        <w:jc w:val="both"/>
      </w:pPr>
      <w:bookmarkStart w:id="239" w:name="bookmark239"/>
      <w:bookmarkEnd w:id="239"/>
      <w:r>
        <w:rPr>
          <w:color w:val="000000"/>
          <w:spacing w:val="0"/>
          <w:w w:val="100"/>
          <w:position w:val="0"/>
        </w:rPr>
        <w:t>产品品质、管理效率、创新能力提升</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随着市场竞争激烈，传统同质化产品盈利空间下降，只有保持良好的性价比，不断优化管理效率，能够为客户提适配的 电源解决方案，才能够保持客户份额；对于创新的产品，譬如微波电源大功率段产品、激光设备电源、服务器电源、</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 讯终端设备电源等，需要做到引领市场需求，才可实现盈利并逐步增长。</w:t>
      </w:r>
    </w:p>
    <w:p>
      <w:pPr>
        <w:pStyle w:val="Style31"/>
        <w:keepNext w:val="0"/>
        <w:keepLines w:val="0"/>
        <w:widowControl w:val="0"/>
        <w:numPr>
          <w:ilvl w:val="0"/>
          <w:numId w:val="7"/>
        </w:numPr>
        <w:shd w:val="clear" w:color="auto" w:fill="auto"/>
        <w:tabs>
          <w:tab w:pos="693" w:val="left"/>
        </w:tabs>
        <w:bidi w:val="0"/>
        <w:spacing w:before="0" w:after="0" w:line="313" w:lineRule="exact"/>
        <w:ind w:left="0" w:right="0"/>
        <w:jc w:val="both"/>
      </w:pPr>
      <w:bookmarkStart w:id="240" w:name="bookmark240"/>
      <w:bookmarkEnd w:id="240"/>
      <w:r>
        <w:rPr>
          <w:color w:val="000000"/>
          <w:spacing w:val="0"/>
          <w:w w:val="100"/>
          <w:position w:val="0"/>
        </w:rPr>
        <w:t>节能环保、绿色低碳成为主流</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近年来，节能环保和绿色低碳经济成为具有社会责任的消费电子企业的共识，节能、减污降碳和产品协同为这些企业带 来了新的增长点。特斯拉、苹果、三星、丰田、</w:t>
      </w:r>
      <w:r>
        <w:rPr>
          <w:rFonts w:ascii="Times New Roman" w:eastAsia="Times New Roman" w:hAnsi="Times New Roman" w:cs="Times New Roman"/>
          <w:color w:val="000000"/>
          <w:spacing w:val="0"/>
          <w:w w:val="100"/>
          <w:position w:val="0"/>
          <w:sz w:val="18"/>
          <w:szCs w:val="18"/>
        </w:rPr>
        <w:t>LG</w:t>
      </w:r>
      <w:r>
        <w:rPr>
          <w:color w:val="000000"/>
          <w:spacing w:val="0"/>
          <w:w w:val="100"/>
          <w:position w:val="0"/>
        </w:rPr>
        <w:t>等知名企业是推动节能与低碳技术的典型。这些大公司纷纷提早布局， 培育市场，将技术创新与品牌建设融合，为可持续增长奠定基础。消费电子类电源作为配套产品，也必将向节能、低碳方向 发展，提高结构性节能，助推产品同向发力。</w:t>
      </w:r>
    </w:p>
    <w:p>
      <w:pPr>
        <w:pStyle w:val="Style31"/>
        <w:keepNext w:val="0"/>
        <w:keepLines w:val="0"/>
        <w:widowControl w:val="0"/>
        <w:shd w:val="clear" w:color="auto" w:fill="auto"/>
        <w:bidi w:val="0"/>
        <w:spacing w:before="0" w:after="0" w:line="313" w:lineRule="exact"/>
        <w:ind w:left="0" w:right="0"/>
        <w:jc w:val="both"/>
      </w:pPr>
      <w:bookmarkStart w:id="241" w:name="bookmark241"/>
      <w:r>
        <w:rPr>
          <w:b/>
          <w:bCs/>
          <w:color w:val="000000"/>
          <w:spacing w:val="0"/>
          <w:w w:val="100"/>
          <w:position w:val="0"/>
        </w:rPr>
        <w:t>（</w:t>
      </w:r>
      <w:bookmarkEnd w:id="24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）大功率</w:t>
      </w:r>
      <w:r>
        <w:rPr>
          <w:rFonts w:ascii="Times New Roman" w:eastAsia="Times New Roman" w:hAnsi="Times New Roman" w:cs="Times New Roman"/>
          <w:b/>
          <w:bCs/>
          <w:color w:val="000000"/>
          <w:spacing w:val="0"/>
          <w:w w:val="100"/>
          <w:position w:val="0"/>
          <w:sz w:val="18"/>
          <w:szCs w:val="18"/>
        </w:rPr>
        <w:t>LED</w:t>
      </w:r>
      <w:r>
        <w:rPr>
          <w:b/>
          <w:bCs/>
          <w:color w:val="000000"/>
          <w:spacing w:val="0"/>
          <w:w w:val="100"/>
          <w:position w:val="0"/>
        </w:rPr>
        <w:t>驱动电源行业发展趋势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应用较早的通用型照明领域己基本进入成熟期，市场平稳定增长，价格进入合理利润空间，整体有序发展。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年突如 其来的疫情，也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产业带来了新的发展机会，典型如健康照明，逐步取代了疫情期间消杀市场大量的需求，获得了爆发式 的市场增长，</w:t>
      </w:r>
      <w:r>
        <w:rPr>
          <w:rFonts w:ascii="Times New Roman" w:eastAsia="Times New Roman" w:hAnsi="Times New Roman" w:cs="Times New Roman"/>
          <w:color w:val="000000"/>
          <w:spacing w:val="0"/>
          <w:w w:val="100"/>
          <w:position w:val="0"/>
          <w:sz w:val="18"/>
          <w:szCs w:val="18"/>
        </w:rPr>
        <w:t>UVC</w:t>
      </w:r>
      <w:r>
        <w:rPr>
          <w:color w:val="000000"/>
          <w:spacing w:val="0"/>
          <w:w w:val="100"/>
          <w:position w:val="0"/>
        </w:rPr>
        <w:t>紫外灯消杀市场表现尤为亮眼。其次，在智慧照明领域，在室内方面，主要是以家居为代表的全屋照明 智慧化和全屋家电智慧化等。目前以华为和小米为代表的方案商在此领域持续发力，提供新的解决方案和打造生态链。由于 是直接进入的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端市场，随着人类对生活品质的追求日益提升，未来市场有非常大的想象空间。同时，得益于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 物联网、大数据、云计算等技术的发展，结合国内新基建要求，智慧城市的建设将迎来新一轮发展高潮，</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智慧灯杆己被 定义为新型基础设施，是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基站的天然载体，是智能城市的信息入口之一，这对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照明产业链条的企业来说是一个重大 利好。为应对市场需求，茂硕顺势而为，以智慧灯杆为载体，结合自身的技术优势，率先发布了行业首款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智慧灯杆供电 解决方案，助力国家智慧城市建设。</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此外，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在植物生理与植物栽培领域的应用研究已经引起全世界的广泛关注，特别在全球能源短缺的忧虑再度升高的 背景下，将</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应用于植物设施栽培领域具有很多优势。然而虽然植物照明的相关芯片技术已经成熟，但是不同的植物对光 照射需求不一样，以及生存环境也不一样，这就要求厂商对不同的植物光谱以及生存条件、培养环境等有较为深刻的认识。 茂硕针对此领域也开发了专用电源，并与国内外的头部企业建立了良好的合作关系，预期在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年会有较大幅度增长。同时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体育照明、</w:t>
      </w:r>
      <w:r>
        <w:rPr>
          <w:rFonts w:ascii="Times New Roman" w:eastAsia="Times New Roman" w:hAnsi="Times New Roman" w:cs="Times New Roman"/>
          <w:color w:val="000000"/>
          <w:spacing w:val="0"/>
          <w:w w:val="100"/>
          <w:position w:val="0"/>
          <w:sz w:val="18"/>
          <w:szCs w:val="18"/>
        </w:rPr>
        <w:t>UV-LED</w:t>
      </w:r>
      <w:r>
        <w:rPr>
          <w:color w:val="000000"/>
          <w:spacing w:val="0"/>
          <w:w w:val="100"/>
          <w:position w:val="0"/>
        </w:rPr>
        <w:t>固化等领域的发展势头也表现良好，在可预见的未来将会有较大的发展空间。</w:t>
      </w:r>
    </w:p>
    <w:p>
      <w:pPr>
        <w:pStyle w:val="Style31"/>
        <w:keepNext w:val="0"/>
        <w:keepLines w:val="0"/>
        <w:widowControl w:val="0"/>
        <w:shd w:val="clear" w:color="auto" w:fill="auto"/>
        <w:tabs>
          <w:tab w:pos="801" w:val="left"/>
        </w:tabs>
        <w:bidi w:val="0"/>
        <w:spacing w:before="0" w:after="0" w:line="313" w:lineRule="exact"/>
        <w:ind w:left="0" w:right="0" w:firstLine="320"/>
        <w:jc w:val="both"/>
      </w:pPr>
      <w:bookmarkStart w:id="242" w:name="bookmark242"/>
      <w:r>
        <w:rPr>
          <w:b/>
          <w:bCs/>
          <w:color w:val="000000"/>
          <w:spacing w:val="0"/>
          <w:w w:val="100"/>
          <w:position w:val="0"/>
        </w:rPr>
        <w:t>（</w:t>
      </w:r>
      <w:bookmarkEnd w:id="242"/>
      <w:r>
        <w:rPr>
          <w:b/>
          <w:bCs/>
          <w:color w:val="000000"/>
          <w:spacing w:val="0"/>
          <w:w w:val="100"/>
          <w:position w:val="0"/>
        </w:rPr>
        <w:t>三）</w:t>
        <w:tab/>
        <w:t>发展战略</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年，茂硕电源将始终走在创新改革发展道路的前沿，坚持贯彻落实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创新技术，产品为王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经营战略，持续巩固产业 优势、提升运营效率，将发展目光瞄准全球市场，引领公司及产业高质量发展。公司将全面贯彻落实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一个坚持、六个注重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的总体发展要求，即：坚持高质量健康发展理念，注重财务指标健康、注重现金流第一、注重研发能力建设、注重产品品质 管控、注重客户个性化服务、注重人才管理及发展。</w:t>
      </w:r>
    </w:p>
    <w:p>
      <w:pPr>
        <w:pStyle w:val="Style31"/>
        <w:keepNext w:val="0"/>
        <w:keepLines w:val="0"/>
        <w:widowControl w:val="0"/>
        <w:shd w:val="clear" w:color="auto" w:fill="auto"/>
        <w:tabs>
          <w:tab w:pos="801" w:val="left"/>
        </w:tabs>
        <w:bidi w:val="0"/>
        <w:spacing w:before="0" w:after="120" w:line="313" w:lineRule="exact"/>
        <w:ind w:left="0" w:right="0" w:firstLine="320"/>
        <w:jc w:val="both"/>
      </w:pPr>
      <w:bookmarkStart w:id="243" w:name="bookmark243"/>
      <w:r>
        <w:rPr>
          <w:b/>
          <w:bCs/>
          <w:color w:val="000000"/>
          <w:spacing w:val="0"/>
          <w:w w:val="100"/>
          <w:position w:val="0"/>
        </w:rPr>
        <w:t>（</w:t>
      </w:r>
      <w:bookmarkEnd w:id="243"/>
      <w:r>
        <w:rPr>
          <w:b/>
          <w:bCs/>
          <w:color w:val="000000"/>
          <w:spacing w:val="0"/>
          <w:w w:val="100"/>
          <w:position w:val="0"/>
        </w:rPr>
        <w:t>四）</w:t>
        <w:tab/>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年年度经营计划</w:t>
      </w:r>
    </w:p>
    <w:p>
      <w:pPr>
        <w:pStyle w:val="Style31"/>
        <w:keepNext w:val="0"/>
        <w:keepLines w:val="0"/>
        <w:widowControl w:val="0"/>
        <w:shd w:val="clear" w:color="auto" w:fill="auto"/>
        <w:bidi w:val="0"/>
        <w:spacing w:before="0" w:after="0" w:line="360" w:lineRule="auto"/>
        <w:ind w:left="0" w:right="0"/>
        <w:jc w:val="both"/>
      </w:pPr>
      <w:bookmarkStart w:id="244" w:name="bookmark244"/>
      <w:r>
        <w:rPr>
          <w:rFonts w:ascii="Times New Roman" w:eastAsia="Times New Roman" w:hAnsi="Times New Roman" w:cs="Times New Roman"/>
          <w:b/>
          <w:bCs/>
          <w:color w:val="000000"/>
          <w:spacing w:val="0"/>
          <w:w w:val="100"/>
          <w:position w:val="0"/>
          <w:sz w:val="18"/>
          <w:szCs w:val="18"/>
        </w:rPr>
        <w:t>1</w:t>
      </w:r>
      <w:bookmarkEnd w:id="244"/>
      <w:r>
        <w:rPr>
          <w:b/>
          <w:bCs/>
          <w:color w:val="000000"/>
          <w:spacing w:val="0"/>
          <w:w w:val="100"/>
          <w:position w:val="0"/>
        </w:rPr>
        <w:t>、继续坚持专注电源、聚焦主业、做大做强</w:t>
      </w:r>
    </w:p>
    <w:p>
      <w:pPr>
        <w:pStyle w:val="Style31"/>
        <w:keepNext w:val="0"/>
        <w:keepLines w:val="0"/>
        <w:widowControl w:val="0"/>
        <w:shd w:val="clear" w:color="auto" w:fill="auto"/>
        <w:bidi w:val="0"/>
        <w:spacing w:before="0" w:after="0" w:line="313" w:lineRule="exact"/>
        <w:ind w:left="0" w:right="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在营销上，坚持聚焦大客户，致力于挖掘优质客户订单。一方面，加强研发、产品、销售、交付等团队服务能力， 以优质的产品质量和快速响应客户需求的能力，聚焦做好高毛利客户的产品立项开发工作,提升主要客户销售额及毛利贡献， 形成稳定优质的大客户群体。另一方面，针对国内市场聚焦行业大客户，建立大客户服务机制，快速响应客户需求；针对海 外市场，积极发展国际品牌客户及优质代理商，建立诸如欧洲、北美、南美等市场本土化营销服务网点。</w:t>
      </w:r>
    </w:p>
    <w:p>
      <w:pPr>
        <w:pStyle w:val="Style31"/>
        <w:keepNext w:val="0"/>
        <w:keepLines w:val="0"/>
        <w:widowControl w:val="0"/>
        <w:shd w:val="clear" w:color="auto" w:fill="auto"/>
        <w:bidi w:val="0"/>
        <w:spacing w:before="0" w:after="0" w:line="313" w:lineRule="exact"/>
        <w:ind w:left="0" w:right="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加码技术主导的消费电子类电源方面，在产品技术上，产品从</w:t>
      </w:r>
      <w:r>
        <w:rPr>
          <w:rFonts w:ascii="Times New Roman" w:eastAsia="Times New Roman" w:hAnsi="Times New Roman" w:cs="Times New Roman"/>
          <w:color w:val="000000"/>
          <w:spacing w:val="0"/>
          <w:w w:val="100"/>
          <w:position w:val="0"/>
          <w:sz w:val="18"/>
          <w:szCs w:val="18"/>
        </w:rPr>
        <w:t>SSR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PSR</w:t>
      </w:r>
      <w:r>
        <w:rPr>
          <w:color w:val="000000"/>
          <w:spacing w:val="0"/>
          <w:w w:val="100"/>
          <w:position w:val="0"/>
        </w:rPr>
        <w:t>方案扩展到同步整流技术、</w:t>
      </w:r>
      <w:r>
        <w:rPr>
          <w:rFonts w:ascii="Times New Roman" w:eastAsia="Times New Roman" w:hAnsi="Times New Roman" w:cs="Times New Roman"/>
          <w:color w:val="000000"/>
          <w:spacing w:val="0"/>
          <w:w w:val="100"/>
          <w:position w:val="0"/>
          <w:sz w:val="18"/>
          <w:szCs w:val="18"/>
        </w:rPr>
        <w:t>PFC+LLC</w:t>
      </w:r>
      <w:r>
        <w:rPr>
          <w:color w:val="000000"/>
          <w:spacing w:val="0"/>
          <w:w w:val="100"/>
          <w:position w:val="0"/>
        </w:rPr>
        <w:t>谐 振等最新前沿技术。产品应用领域也由高端机顶盒、网通、安防、医疗等领域扩展到电动工具、激光设备、户外储能、工业 控制、共享充电、</w:t>
      </w:r>
      <w:r>
        <w:rPr>
          <w:rFonts w:ascii="Times New Roman" w:eastAsia="Times New Roman" w:hAnsi="Times New Roman" w:cs="Times New Roman"/>
          <w:color w:val="000000"/>
          <w:spacing w:val="0"/>
          <w:w w:val="100"/>
          <w:position w:val="0"/>
          <w:sz w:val="18"/>
          <w:szCs w:val="18"/>
        </w:rPr>
        <w:t>PD</w:t>
      </w:r>
      <w:r>
        <w:rPr>
          <w:color w:val="000000"/>
          <w:spacing w:val="0"/>
          <w:w w:val="100"/>
          <w:position w:val="0"/>
        </w:rPr>
        <w:t xml:space="preserve">电源、显示器及电机驱动等领域，使得公司产品更多元化。产品结构方面，研发中心将消费电子类电 源产品（适配器、充电器），通过标准化升级改造，完成了能效升级与自动化制造工艺升级，使产品符合当前国际最高能效 </w:t>
      </w:r>
      <w:r>
        <w:rPr>
          <w:color w:val="000000"/>
          <w:spacing w:val="0"/>
          <w:w w:val="100"/>
          <w:position w:val="0"/>
        </w:rPr>
        <w:t>等级要求。同时，大力推广电源标准化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部件标准化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物料通用化，进一步提升产品的兼容性。</w:t>
      </w:r>
    </w:p>
    <w:p>
      <w:pPr>
        <w:pStyle w:val="Style31"/>
        <w:keepNext w:val="0"/>
        <w:keepLines w:val="0"/>
        <w:widowControl w:val="0"/>
        <w:numPr>
          <w:ilvl w:val="0"/>
          <w:numId w:val="3"/>
        </w:numPr>
        <w:shd w:val="clear" w:color="auto" w:fill="auto"/>
        <w:bidi w:val="0"/>
        <w:spacing w:before="0" w:after="0" w:line="317" w:lineRule="exact"/>
        <w:ind w:left="0" w:right="0" w:firstLine="360"/>
        <w:jc w:val="left"/>
      </w:pPr>
      <w:bookmarkStart w:id="247" w:name="bookmark247"/>
      <w:bookmarkEnd w:id="247"/>
      <w:r>
        <w:rPr>
          <w:color w:val="000000"/>
          <w:spacing w:val="0"/>
          <w:w w:val="100"/>
          <w:position w:val="0"/>
        </w:rPr>
        <w:t>茂硕电子持续聚焦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大功率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户外照明智能驱动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，继续深耕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道路照明、工业照明、景观照明、轨道交通照明、 大功率体育场馆照明及植物照明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驱动细分领域，致力于成为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照明领域内的世界一流解决方案提供商。贯彻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创新技术奔 智能、拓宽市场获增量、提升质量稳根基、精细管理保利润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的经营方针</w:t>
      </w:r>
      <w:r>
        <w:rPr>
          <w:color w:val="000000"/>
          <w:spacing w:val="0"/>
          <w:w w:val="100"/>
          <w:position w:val="0"/>
          <w:sz w:val="18"/>
          <w:szCs w:val="18"/>
        </w:rPr>
        <w:t>，</w:t>
      </w:r>
      <w:r>
        <w:rPr>
          <w:color w:val="000000"/>
          <w:spacing w:val="0"/>
          <w:w w:val="100"/>
          <w:position w:val="0"/>
        </w:rPr>
        <w:t>按照以利润、现金和收入为先后秩序的经营思路开 展各项工作。</w:t>
      </w:r>
    </w:p>
    <w:p>
      <w:pPr>
        <w:pStyle w:val="Style31"/>
        <w:keepNext w:val="0"/>
        <w:keepLines w:val="0"/>
        <w:widowControl w:val="0"/>
        <w:shd w:val="clear" w:color="auto" w:fill="auto"/>
        <w:tabs>
          <w:tab w:pos="722" w:val="left"/>
        </w:tabs>
        <w:bidi w:val="0"/>
        <w:spacing w:before="0" w:after="0" w:line="317" w:lineRule="exact"/>
        <w:ind w:left="0" w:right="0" w:firstLine="360"/>
        <w:jc w:val="left"/>
      </w:pPr>
      <w:bookmarkStart w:id="248" w:name="bookmark248"/>
      <w:r>
        <w:rPr>
          <w:rFonts w:ascii="Times New Roman" w:eastAsia="Times New Roman" w:hAnsi="Times New Roman" w:cs="Times New Roman"/>
          <w:b/>
          <w:bCs/>
          <w:color w:val="000000"/>
          <w:spacing w:val="0"/>
          <w:w w:val="100"/>
          <w:position w:val="0"/>
          <w:sz w:val="18"/>
          <w:szCs w:val="18"/>
        </w:rPr>
        <w:t>2</w:t>
      </w:r>
      <w:bookmarkEnd w:id="248"/>
      <w:r>
        <w:rPr>
          <w:b/>
          <w:bCs/>
          <w:color w:val="000000"/>
          <w:spacing w:val="0"/>
          <w:w w:val="100"/>
          <w:position w:val="0"/>
        </w:rPr>
        <w:t>、</w:t>
        <w:tab/>
        <w:t>继续坚持</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创新技术、产品为王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经营战略</w:t>
      </w:r>
    </w:p>
    <w:p>
      <w:pPr>
        <w:pStyle w:val="Style3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公司坚持将技术创新作为企业发展的动力引擎，以产品为载体，以创新为灵魂，强调用户体验的重要性，并强化产品战 略规划，优化组织架构与团队，形成产品平台模块化、标准化、智能化、系列化；新产品的立项要有充分的调研数据支撑， 以标准化产品销售为主线，同时采用灵活的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，对于特定的战略意义项目及能够产生价值的项目进行 定向性专属开发。</w:t>
      </w:r>
    </w:p>
    <w:p>
      <w:pPr>
        <w:pStyle w:val="Style31"/>
        <w:keepNext w:val="0"/>
        <w:keepLines w:val="0"/>
        <w:widowControl w:val="0"/>
        <w:numPr>
          <w:ilvl w:val="0"/>
          <w:numId w:val="9"/>
        </w:numPr>
        <w:shd w:val="clear" w:color="auto" w:fill="auto"/>
        <w:tabs>
          <w:tab w:pos="880" w:val="left"/>
        </w:tabs>
        <w:bidi w:val="0"/>
        <w:spacing w:before="0" w:after="0" w:line="317" w:lineRule="exact"/>
        <w:ind w:left="0" w:right="0" w:firstLine="360"/>
        <w:jc w:val="left"/>
      </w:pPr>
      <w:bookmarkStart w:id="249" w:name="bookmark249"/>
      <w:bookmarkEnd w:id="249"/>
      <w:r>
        <w:rPr>
          <w:color w:val="000000"/>
          <w:spacing w:val="0"/>
          <w:w w:val="100"/>
          <w:position w:val="0"/>
        </w:rPr>
        <w:t>持续加大研发投入，加强研发项目管理，提升新产品开发速度，使产品的技术、品质、服务成为竞争优势，使产 品进入更多应用领域。</w:t>
      </w:r>
    </w:p>
    <w:p>
      <w:pPr>
        <w:pStyle w:val="Style31"/>
        <w:keepNext w:val="0"/>
        <w:keepLines w:val="0"/>
        <w:widowControl w:val="0"/>
        <w:numPr>
          <w:ilvl w:val="0"/>
          <w:numId w:val="9"/>
        </w:numPr>
        <w:shd w:val="clear" w:color="auto" w:fill="auto"/>
        <w:tabs>
          <w:tab w:pos="894" w:val="left"/>
        </w:tabs>
        <w:bidi w:val="0"/>
        <w:spacing w:before="0" w:after="0" w:line="317" w:lineRule="exact"/>
        <w:ind w:left="0" w:right="0" w:firstLine="360"/>
        <w:jc w:val="left"/>
      </w:pPr>
      <w:bookmarkStart w:id="250" w:name="bookmark250"/>
      <w:bookmarkEnd w:id="250"/>
      <w:r>
        <w:rPr>
          <w:color w:val="000000"/>
          <w:spacing w:val="0"/>
          <w:w w:val="100"/>
          <w:position w:val="0"/>
        </w:rPr>
        <w:t>产品的核心是技术，技术的核心是人才。公司将大力加强研发队伍建设，建立完善研发体系，保障研发队伍的效 率和活力。</w:t>
      </w:r>
    </w:p>
    <w:p>
      <w:pPr>
        <w:pStyle w:val="Style31"/>
        <w:keepNext w:val="0"/>
        <w:keepLines w:val="0"/>
        <w:widowControl w:val="0"/>
        <w:numPr>
          <w:ilvl w:val="0"/>
          <w:numId w:val="9"/>
        </w:numPr>
        <w:shd w:val="clear" w:color="auto" w:fill="auto"/>
        <w:tabs>
          <w:tab w:pos="798" w:val="left"/>
        </w:tabs>
        <w:bidi w:val="0"/>
        <w:spacing w:before="0" w:after="0" w:line="317" w:lineRule="exact"/>
        <w:ind w:left="0" w:right="0" w:firstLine="360"/>
        <w:jc w:val="left"/>
      </w:pPr>
      <w:bookmarkStart w:id="251" w:name="bookmark251"/>
      <w:bookmarkEnd w:id="251"/>
      <w:r>
        <w:rPr>
          <w:color w:val="000000"/>
          <w:spacing w:val="0"/>
          <w:w w:val="100"/>
          <w:position w:val="0"/>
        </w:rPr>
        <w:t>完善产品</w:t>
      </w:r>
      <w:r>
        <w:rPr>
          <w:rFonts w:ascii="Times New Roman" w:eastAsia="Times New Roman" w:hAnsi="Times New Roman" w:cs="Times New Roman"/>
          <w:color w:val="000000"/>
          <w:spacing w:val="0"/>
          <w:w w:val="100"/>
          <w:position w:val="0"/>
          <w:sz w:val="18"/>
          <w:szCs w:val="18"/>
        </w:rPr>
        <w:t>IPD</w:t>
      </w:r>
      <w:r>
        <w:rPr>
          <w:color w:val="000000"/>
          <w:spacing w:val="0"/>
          <w:w w:val="100"/>
          <w:position w:val="0"/>
        </w:rPr>
        <w:t>管理，提升产品市场竞争力，在提升产品设计及制造工艺同时，降低物料成本及制造费用。</w:t>
      </w:r>
    </w:p>
    <w:p>
      <w:pPr>
        <w:pStyle w:val="Style31"/>
        <w:keepNext w:val="0"/>
        <w:keepLines w:val="0"/>
        <w:widowControl w:val="0"/>
        <w:shd w:val="clear" w:color="auto" w:fill="auto"/>
        <w:tabs>
          <w:tab w:pos="722" w:val="left"/>
        </w:tabs>
        <w:bidi w:val="0"/>
        <w:spacing w:before="0" w:after="0" w:line="317" w:lineRule="exact"/>
        <w:ind w:left="0" w:right="0" w:firstLine="360"/>
        <w:jc w:val="left"/>
      </w:pPr>
      <w:bookmarkStart w:id="252" w:name="bookmark252"/>
      <w:r>
        <w:rPr>
          <w:rFonts w:ascii="Times New Roman" w:eastAsia="Times New Roman" w:hAnsi="Times New Roman" w:cs="Times New Roman"/>
          <w:color w:val="000000"/>
          <w:spacing w:val="0"/>
          <w:w w:val="100"/>
          <w:position w:val="0"/>
          <w:sz w:val="18"/>
          <w:szCs w:val="18"/>
        </w:rPr>
        <w:t>3</w:t>
      </w:r>
      <w:bookmarkEnd w:id="252"/>
      <w:r>
        <w:rPr>
          <w:color w:val="000000"/>
          <w:spacing w:val="0"/>
          <w:w w:val="100"/>
          <w:position w:val="0"/>
        </w:rPr>
        <w:t>、</w:t>
        <w:tab/>
        <w:t>进一步整合公司内部资源，改革组织架构，提升效率</w:t>
      </w:r>
    </w:p>
    <w:p>
      <w:pPr>
        <w:pStyle w:val="Style3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主要在提高企业管理水平上下功夫。核心管理人员要明大势，知细节，顺势而为做决策，同时不断优化工作流程，提升 工作效率。</w:t>
      </w:r>
    </w:p>
    <w:p>
      <w:pPr>
        <w:pStyle w:val="Style31"/>
        <w:keepNext w:val="0"/>
        <w:keepLines w:val="0"/>
        <w:widowControl w:val="0"/>
        <w:numPr>
          <w:ilvl w:val="0"/>
          <w:numId w:val="11"/>
        </w:numPr>
        <w:shd w:val="clear" w:color="auto" w:fill="auto"/>
        <w:tabs>
          <w:tab w:pos="894" w:val="left"/>
        </w:tabs>
        <w:bidi w:val="0"/>
        <w:spacing w:before="0" w:after="0" w:line="317" w:lineRule="exact"/>
        <w:ind w:left="0" w:right="0" w:firstLine="360"/>
        <w:jc w:val="left"/>
      </w:pPr>
      <w:bookmarkStart w:id="253" w:name="bookmark253"/>
      <w:bookmarkEnd w:id="253"/>
      <w:r>
        <w:rPr>
          <w:color w:val="000000"/>
          <w:spacing w:val="0"/>
          <w:w w:val="100"/>
          <w:position w:val="0"/>
        </w:rPr>
        <w:t>集团层面的质量中心，特别是加强</w:t>
      </w:r>
      <w:r>
        <w:rPr>
          <w:rFonts w:ascii="Times New Roman" w:eastAsia="Times New Roman" w:hAnsi="Times New Roman" w:cs="Times New Roman"/>
          <w:color w:val="000000"/>
          <w:spacing w:val="0"/>
          <w:w w:val="100"/>
          <w:position w:val="0"/>
          <w:sz w:val="18"/>
          <w:szCs w:val="18"/>
        </w:rPr>
        <w:t>IQA\DQA\MQA</w:t>
      </w:r>
      <w:r>
        <w:rPr>
          <w:color w:val="000000"/>
          <w:spacing w:val="0"/>
          <w:w w:val="100"/>
          <w:position w:val="0"/>
        </w:rPr>
        <w:t>过程质量的严格管控，对各交付工厂的出货进行严格把关，确 保出货产品质量符合客户要求。</w:t>
      </w:r>
    </w:p>
    <w:p>
      <w:pPr>
        <w:pStyle w:val="Style31"/>
        <w:keepNext w:val="0"/>
        <w:keepLines w:val="0"/>
        <w:widowControl w:val="0"/>
        <w:numPr>
          <w:ilvl w:val="0"/>
          <w:numId w:val="11"/>
        </w:numPr>
        <w:shd w:val="clear" w:color="auto" w:fill="auto"/>
        <w:tabs>
          <w:tab w:pos="798" w:val="left"/>
        </w:tabs>
        <w:bidi w:val="0"/>
        <w:spacing w:before="0" w:after="0" w:line="317" w:lineRule="exact"/>
        <w:ind w:left="0" w:right="0" w:firstLine="360"/>
        <w:jc w:val="left"/>
      </w:pPr>
      <w:bookmarkStart w:id="254" w:name="bookmark254"/>
      <w:bookmarkEnd w:id="254"/>
      <w:r>
        <w:rPr>
          <w:color w:val="000000"/>
          <w:spacing w:val="0"/>
          <w:w w:val="100"/>
          <w:position w:val="0"/>
        </w:rPr>
        <w:t>整合设立集团层面的供应链中心，对供应商进行统一管理，统一竞价，从而进一步降低成本。</w:t>
      </w:r>
    </w:p>
    <w:p>
      <w:pPr>
        <w:pStyle w:val="Style31"/>
        <w:keepNext w:val="0"/>
        <w:keepLines w:val="0"/>
        <w:widowControl w:val="0"/>
        <w:numPr>
          <w:ilvl w:val="0"/>
          <w:numId w:val="11"/>
        </w:numPr>
        <w:shd w:val="clear" w:color="auto" w:fill="auto"/>
        <w:bidi w:val="0"/>
        <w:spacing w:before="0" w:after="120" w:line="317" w:lineRule="exact"/>
        <w:ind w:left="0" w:right="0" w:firstLine="360"/>
        <w:jc w:val="left"/>
      </w:pPr>
      <w:bookmarkStart w:id="255" w:name="bookmark255"/>
      <w:bookmarkEnd w:id="255"/>
      <w:r>
        <w:rPr>
          <w:color w:val="000000"/>
          <w:spacing w:val="0"/>
          <w:w w:val="100"/>
          <w:position w:val="0"/>
        </w:rPr>
        <w:t xml:space="preserve"> 夯实人力资源中心建设，通过三支柱模型来搭建人力资源解决方案框架，提供更加专业的人力资源服务，聚焦但 不限于如下方面：加强业务发展急需的技术和管理人才引进，完善人才激励框架和激励机制，优化绩效考核管理体系，打造 务实和针对性的培训发展平台，锻造敢于亮剑能打胜仗的干部队伍，为集团业务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年发展保驾护航。</w:t>
      </w:r>
    </w:p>
    <w:p>
      <w:pPr>
        <w:pStyle w:val="Style31"/>
        <w:keepNext w:val="0"/>
        <w:keepLines w:val="0"/>
        <w:widowControl w:val="0"/>
        <w:shd w:val="clear" w:color="auto" w:fill="auto"/>
        <w:tabs>
          <w:tab w:pos="722" w:val="left"/>
        </w:tabs>
        <w:bidi w:val="0"/>
        <w:spacing w:before="0" w:after="0" w:line="360" w:lineRule="auto"/>
        <w:ind w:left="0" w:right="0" w:firstLine="360"/>
        <w:jc w:val="left"/>
      </w:pPr>
      <w:bookmarkStart w:id="256" w:name="bookmark256"/>
      <w:r>
        <w:rPr>
          <w:rFonts w:ascii="Times New Roman" w:eastAsia="Times New Roman" w:hAnsi="Times New Roman" w:cs="Times New Roman"/>
          <w:b/>
          <w:bCs/>
          <w:color w:val="000000"/>
          <w:spacing w:val="0"/>
          <w:w w:val="100"/>
          <w:position w:val="0"/>
          <w:sz w:val="18"/>
          <w:szCs w:val="18"/>
        </w:rPr>
        <w:t>4</w:t>
      </w:r>
      <w:bookmarkEnd w:id="256"/>
      <w:r>
        <w:rPr>
          <w:b/>
          <w:bCs/>
          <w:color w:val="000000"/>
          <w:spacing w:val="0"/>
          <w:w w:val="100"/>
          <w:position w:val="0"/>
        </w:rPr>
        <w:t>、</w:t>
        <w:tab/>
        <w:t>加强行业资源的整合</w:t>
      </w:r>
    </w:p>
    <w:p>
      <w:pPr>
        <w:pStyle w:val="Style31"/>
        <w:keepNext w:val="0"/>
        <w:keepLines w:val="0"/>
        <w:widowControl w:val="0"/>
        <w:numPr>
          <w:ilvl w:val="0"/>
          <w:numId w:val="13"/>
        </w:numPr>
        <w:shd w:val="clear" w:color="auto" w:fill="auto"/>
        <w:tabs>
          <w:tab w:pos="798" w:val="left"/>
        </w:tabs>
        <w:bidi w:val="0"/>
        <w:spacing w:before="0" w:after="0" w:line="317" w:lineRule="exact"/>
        <w:ind w:left="0" w:right="0" w:firstLine="360"/>
        <w:jc w:val="left"/>
      </w:pPr>
      <w:bookmarkStart w:id="257" w:name="bookmark257"/>
      <w:bookmarkEnd w:id="257"/>
      <w:r>
        <w:rPr>
          <w:color w:val="000000"/>
          <w:spacing w:val="0"/>
          <w:w w:val="100"/>
          <w:position w:val="0"/>
        </w:rPr>
        <w:t>主要原材料、代工厂等供应商资源整合。</w:t>
      </w:r>
    </w:p>
    <w:p>
      <w:pPr>
        <w:pStyle w:val="Style31"/>
        <w:keepNext w:val="0"/>
        <w:keepLines w:val="0"/>
        <w:widowControl w:val="0"/>
        <w:numPr>
          <w:ilvl w:val="0"/>
          <w:numId w:val="13"/>
        </w:numPr>
        <w:shd w:val="clear" w:color="auto" w:fill="auto"/>
        <w:tabs>
          <w:tab w:pos="798" w:val="left"/>
        </w:tabs>
        <w:bidi w:val="0"/>
        <w:spacing w:before="0" w:after="0" w:line="317" w:lineRule="exact"/>
        <w:ind w:left="0" w:right="0" w:firstLine="360"/>
        <w:jc w:val="left"/>
      </w:pPr>
      <w:bookmarkStart w:id="258" w:name="bookmark258"/>
      <w:bookmarkEnd w:id="258"/>
      <w:r>
        <w:rPr>
          <w:color w:val="000000"/>
          <w:spacing w:val="0"/>
          <w:w w:val="100"/>
          <w:position w:val="0"/>
        </w:rPr>
        <w:t>顺应趋势在海外设立工厂、办事处等机构，以达到降低成本、提升服务效率、扩大市场的目的。</w:t>
      </w:r>
    </w:p>
    <w:p>
      <w:pPr>
        <w:pStyle w:val="Style31"/>
        <w:keepNext w:val="0"/>
        <w:keepLines w:val="0"/>
        <w:widowControl w:val="0"/>
        <w:numPr>
          <w:ilvl w:val="0"/>
          <w:numId w:val="13"/>
        </w:numPr>
        <w:shd w:val="clear" w:color="auto" w:fill="auto"/>
        <w:tabs>
          <w:tab w:pos="894" w:val="left"/>
        </w:tabs>
        <w:bidi w:val="0"/>
        <w:spacing w:before="0" w:after="0" w:line="317" w:lineRule="exact"/>
        <w:ind w:left="0" w:right="0" w:firstLine="360"/>
        <w:jc w:val="left"/>
      </w:pPr>
      <w:bookmarkStart w:id="259" w:name="bookmark259"/>
      <w:bookmarkEnd w:id="259"/>
      <w:r>
        <w:rPr>
          <w:color w:val="000000"/>
          <w:spacing w:val="0"/>
          <w:w w:val="100"/>
          <w:position w:val="0"/>
        </w:rPr>
        <w:t>加强与外部研发机构、外部团队的合作，包括整合外部具有技术领先的产品线，以裂变式项目合作，推进高校和 科研院所的产学研合作，全面巩固茂硕在电源领域的基础技术储备及加强核心竞争优势。</w:t>
      </w:r>
    </w:p>
    <w:p>
      <w:pPr>
        <w:pStyle w:val="Style31"/>
        <w:keepNext w:val="0"/>
        <w:keepLines w:val="0"/>
        <w:widowControl w:val="0"/>
        <w:shd w:val="clear" w:color="auto" w:fill="auto"/>
        <w:tabs>
          <w:tab w:pos="722" w:val="left"/>
        </w:tabs>
        <w:bidi w:val="0"/>
        <w:spacing w:before="0" w:after="0" w:line="317" w:lineRule="exact"/>
        <w:ind w:left="0" w:right="0" w:firstLine="360"/>
        <w:jc w:val="left"/>
      </w:pPr>
      <w:bookmarkStart w:id="260" w:name="bookmark260"/>
      <w:r>
        <w:rPr>
          <w:rFonts w:ascii="Times New Roman" w:eastAsia="Times New Roman" w:hAnsi="Times New Roman" w:cs="Times New Roman"/>
          <w:b/>
          <w:bCs/>
          <w:color w:val="000000"/>
          <w:spacing w:val="0"/>
          <w:w w:val="100"/>
          <w:position w:val="0"/>
          <w:sz w:val="18"/>
          <w:szCs w:val="18"/>
        </w:rPr>
        <w:t>5</w:t>
      </w:r>
      <w:bookmarkEnd w:id="260"/>
      <w:r>
        <w:rPr>
          <w:b/>
          <w:bCs/>
          <w:color w:val="000000"/>
          <w:spacing w:val="0"/>
          <w:w w:val="100"/>
          <w:position w:val="0"/>
        </w:rPr>
        <w:t>、</w:t>
        <w:tab/>
        <w:t>提升风险管控能力应对外部环境的不确定性</w:t>
      </w:r>
    </w:p>
    <w:p>
      <w:pPr>
        <w:pStyle w:val="Style3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受疫情影响，全球经济金融受到冲击，公司的外销业务受到了不同程度的影响。我们将以创新求变的思维，从以下几方 面谋取新发展，减少业务影响。</w:t>
      </w:r>
    </w:p>
    <w:p>
      <w:pPr>
        <w:pStyle w:val="Style31"/>
        <w:keepNext w:val="0"/>
        <w:keepLines w:val="0"/>
        <w:widowControl w:val="0"/>
        <w:numPr>
          <w:ilvl w:val="0"/>
          <w:numId w:val="15"/>
        </w:numPr>
        <w:shd w:val="clear" w:color="auto" w:fill="auto"/>
        <w:tabs>
          <w:tab w:pos="798" w:val="left"/>
        </w:tabs>
        <w:bidi w:val="0"/>
        <w:spacing w:before="0" w:after="0" w:line="317" w:lineRule="exact"/>
        <w:ind w:left="0" w:right="0" w:firstLine="360"/>
        <w:jc w:val="left"/>
      </w:pPr>
      <w:bookmarkStart w:id="261" w:name="bookmark261"/>
      <w:bookmarkEnd w:id="261"/>
      <w:r>
        <w:rPr>
          <w:color w:val="000000"/>
          <w:spacing w:val="0"/>
          <w:w w:val="100"/>
          <w:position w:val="0"/>
        </w:rPr>
        <w:t>加强客户沟通，进一步提升服务水平和响应速度，将影响降到最低水平。</w:t>
      </w:r>
    </w:p>
    <w:p>
      <w:pPr>
        <w:pStyle w:val="Style31"/>
        <w:keepNext w:val="0"/>
        <w:keepLines w:val="0"/>
        <w:widowControl w:val="0"/>
        <w:numPr>
          <w:ilvl w:val="0"/>
          <w:numId w:val="15"/>
        </w:numPr>
        <w:shd w:val="clear" w:color="auto" w:fill="auto"/>
        <w:tabs>
          <w:tab w:pos="798" w:val="left"/>
        </w:tabs>
        <w:bidi w:val="0"/>
        <w:spacing w:before="0" w:after="0" w:line="317" w:lineRule="exact"/>
        <w:ind w:left="0" w:right="0" w:firstLine="360"/>
        <w:jc w:val="left"/>
      </w:pPr>
      <w:bookmarkStart w:id="262" w:name="bookmark262"/>
      <w:bookmarkEnd w:id="262"/>
      <w:r>
        <w:rPr>
          <w:color w:val="000000"/>
          <w:spacing w:val="0"/>
          <w:w w:val="100"/>
          <w:position w:val="0"/>
        </w:rPr>
        <w:t>加大国内业务开拓力度，以弥补海外出口业务可能产生的不利影响。</w:t>
      </w:r>
    </w:p>
    <w:p>
      <w:pPr>
        <w:pStyle w:val="Style31"/>
        <w:keepNext w:val="0"/>
        <w:keepLines w:val="0"/>
        <w:widowControl w:val="0"/>
        <w:numPr>
          <w:ilvl w:val="0"/>
          <w:numId w:val="15"/>
        </w:numPr>
        <w:shd w:val="clear" w:color="auto" w:fill="auto"/>
        <w:tabs>
          <w:tab w:pos="894" w:val="left"/>
        </w:tabs>
        <w:bidi w:val="0"/>
        <w:spacing w:before="0" w:after="0" w:line="317" w:lineRule="exact"/>
        <w:ind w:left="0" w:right="0" w:firstLine="360"/>
        <w:jc w:val="left"/>
      </w:pPr>
      <w:bookmarkStart w:id="263" w:name="bookmark263"/>
      <w:bookmarkEnd w:id="263"/>
      <w:r>
        <w:rPr>
          <w:color w:val="000000"/>
          <w:spacing w:val="0"/>
          <w:w w:val="100"/>
          <w:position w:val="0"/>
        </w:rPr>
        <w:t>密切关注客户经营情况变化，严格控制应收账款坏账风险及库存风险。公司时刻警惕关注风险变化对公司业务的 影响，及时调整策略，不断提升公司抗风险能力、保障公司健康发展。</w:t>
      </w:r>
    </w:p>
    <w:p>
      <w:pPr>
        <w:pStyle w:val="Style31"/>
        <w:keepNext w:val="0"/>
        <w:keepLines w:val="0"/>
        <w:widowControl w:val="0"/>
        <w:numPr>
          <w:ilvl w:val="0"/>
          <w:numId w:val="15"/>
        </w:numPr>
        <w:shd w:val="clear" w:color="auto" w:fill="auto"/>
        <w:tabs>
          <w:tab w:pos="894" w:val="left"/>
        </w:tabs>
        <w:bidi w:val="0"/>
        <w:spacing w:before="0" w:after="0" w:line="317" w:lineRule="exact"/>
        <w:ind w:left="0" w:right="0" w:firstLine="360"/>
        <w:jc w:val="left"/>
      </w:pPr>
      <w:bookmarkStart w:id="264" w:name="bookmark264"/>
      <w:bookmarkEnd w:id="264"/>
      <w:r>
        <w:rPr>
          <w:color w:val="000000"/>
          <w:spacing w:val="0"/>
          <w:w w:val="100"/>
          <w:position w:val="0"/>
        </w:rPr>
        <w:t>提高汇率风险管理意识</w:t>
      </w:r>
      <w:r>
        <w:rPr>
          <w:color w:val="000000"/>
          <w:spacing w:val="0"/>
          <w:w w:val="100"/>
          <w:position w:val="0"/>
          <w:sz w:val="18"/>
          <w:szCs w:val="18"/>
        </w:rPr>
        <w:t>，</w:t>
      </w:r>
      <w:r>
        <w:rPr>
          <w:color w:val="000000"/>
          <w:spacing w:val="0"/>
          <w:w w:val="100"/>
          <w:position w:val="0"/>
        </w:rPr>
        <w:t>随着人民币汇率的不断变动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时刻关注政府相关政策规定</w:t>
      </w:r>
      <w:r>
        <w:rPr>
          <w:color w:val="000000"/>
          <w:spacing w:val="0"/>
          <w:w w:val="100"/>
          <w:position w:val="0"/>
          <w:sz w:val="18"/>
          <w:szCs w:val="18"/>
        </w:rPr>
        <w:t>，</w:t>
      </w:r>
      <w:r>
        <w:rPr>
          <w:color w:val="000000"/>
          <w:spacing w:val="0"/>
          <w:w w:val="100"/>
          <w:position w:val="0"/>
        </w:rPr>
        <w:t>选择有利结算货币、利用专业工 具规避汇率风险。</w:t>
      </w:r>
    </w:p>
    <w:p>
      <w:pPr>
        <w:pStyle w:val="Style31"/>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茂硕电源定将不忘初心，牢记使命，在国资背景体制加民营机制的运营模式下，持续巩固产业优势、提升运营效率；依 托国资政策、资源、资本优势与民企创新、灵活、高效优势的深度融合。加快推动包括</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电源、智慧灯杆、充电桩运营和 光伏逆变器的业务布局，进一步做大做强核心主业。</w:t>
      </w:r>
    </w:p>
    <w:p>
      <w:pPr>
        <w:pStyle w:val="Style31"/>
        <w:keepNext w:val="0"/>
        <w:keepLines w:val="0"/>
        <w:widowControl w:val="0"/>
        <w:numPr>
          <w:ilvl w:val="0"/>
          <w:numId w:val="17"/>
        </w:numPr>
        <w:shd w:val="clear" w:color="auto" w:fill="auto"/>
        <w:bidi w:val="0"/>
        <w:spacing w:before="0" w:after="0" w:line="317" w:lineRule="exact"/>
        <w:ind w:left="0" w:right="0" w:firstLine="360"/>
        <w:jc w:val="left"/>
      </w:pPr>
      <w:bookmarkStart w:id="265" w:name="bookmark265"/>
      <w:bookmarkEnd w:id="265"/>
      <w:r>
        <w:rPr>
          <w:b/>
          <w:bCs/>
          <w:color w:val="000000"/>
          <w:spacing w:val="0"/>
          <w:w w:val="100"/>
          <w:position w:val="0"/>
        </w:rPr>
        <w:t>未来可能面临的风险提示</w:t>
      </w:r>
    </w:p>
    <w:p>
      <w:pPr>
        <w:pStyle w:val="Style31"/>
        <w:keepNext w:val="0"/>
        <w:keepLines w:val="0"/>
        <w:widowControl w:val="0"/>
        <w:shd w:val="clear" w:color="auto" w:fill="auto"/>
        <w:bidi w:val="0"/>
        <w:spacing w:before="0" w:after="0" w:line="317" w:lineRule="exact"/>
        <w:ind w:left="0" w:right="0" w:firstLine="360"/>
        <w:jc w:val="left"/>
      </w:pPr>
      <w:bookmarkStart w:id="266" w:name="bookmark266"/>
      <w:r>
        <w:rPr>
          <w:rFonts w:ascii="Times New Roman" w:eastAsia="Times New Roman" w:hAnsi="Times New Roman" w:cs="Times New Roman"/>
          <w:color w:val="000000"/>
          <w:spacing w:val="0"/>
          <w:w w:val="100"/>
          <w:position w:val="0"/>
          <w:sz w:val="18"/>
          <w:szCs w:val="18"/>
        </w:rPr>
        <w:t>1</w:t>
      </w:r>
      <w:bookmarkEnd w:id="266"/>
      <w:r>
        <w:rPr>
          <w:color w:val="000000"/>
          <w:spacing w:val="0"/>
          <w:w w:val="100"/>
          <w:position w:val="0"/>
        </w:rPr>
        <w:t>、市场竞争加剧及毛利率下降的风险</w:t>
      </w:r>
    </w:p>
    <w:p>
      <w:pPr>
        <w:pStyle w:val="Style31"/>
        <w:keepNext w:val="0"/>
        <w:keepLines w:val="0"/>
        <w:widowControl w:val="0"/>
        <w:shd w:val="clear" w:color="auto" w:fill="auto"/>
        <w:bidi w:val="0"/>
        <w:spacing w:before="0" w:after="100" w:line="317" w:lineRule="exact"/>
        <w:ind w:left="0" w:right="0" w:firstLine="360"/>
        <w:jc w:val="left"/>
      </w:pPr>
      <w:r>
        <w:rPr>
          <w:color w:val="000000"/>
          <w:spacing w:val="0"/>
          <w:w w:val="100"/>
          <w:position w:val="0"/>
        </w:rPr>
        <w:t xml:space="preserve">经过多年的快速发展，中国已成为全球最大的消费类开关电源制造基地。普通开关电源行业是一个充分竞争的行业，作 </w:t>
      </w:r>
      <w:r>
        <w:rPr>
          <w:color w:val="000000"/>
          <w:spacing w:val="0"/>
          <w:w w:val="100"/>
          <w:position w:val="0"/>
        </w:rPr>
        <w:t>为传统产业，行业进入门槛相对较低，其竞争主要体现在产品质量、营销渠道、研发设计、客户服务等方面。普通开关电源 各品牌的市场集中度相对较低，各品牌之间的竞争较为激烈；</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驱动电源虽然为开关电源行业中的新兴细分产业，但新进 制造商的不断增加也使其竞争日趋激烈，来自国内外的竞争压力仍将持续甚至加大。此外，电子产品普遍呈现同款产品价格 逐年下降的趋势，长期来看，随着市场竞争的加剧、供求关系的影响、生产效率的提高，各类电源产品价格存在下降趋势。 同时，由于半导体行业经营产能受限，大众产品价格持续上涨，导致物料成本增加。公司将在做大做强主业的同时充分利用 茂硕电源平台优势，整合内外部资源，大力拓展具有市场空间大、高附加值的细分电源领域，并稳步推动各项降本措施、加 强对应收款项、库存的管理落地生效，不断优化客户及产品结构。</w:t>
      </w:r>
    </w:p>
    <w:p>
      <w:pPr>
        <w:pStyle w:val="Style31"/>
        <w:keepNext w:val="0"/>
        <w:keepLines w:val="0"/>
        <w:widowControl w:val="0"/>
        <w:shd w:val="clear" w:color="auto" w:fill="auto"/>
        <w:tabs>
          <w:tab w:pos="670" w:val="left"/>
        </w:tabs>
        <w:bidi w:val="0"/>
        <w:spacing w:before="0" w:after="0" w:line="360" w:lineRule="auto"/>
        <w:ind w:left="0" w:right="0" w:firstLine="360"/>
        <w:jc w:val="both"/>
      </w:pPr>
      <w:bookmarkStart w:id="267" w:name="bookmark267"/>
      <w:r>
        <w:rPr>
          <w:rFonts w:ascii="Times New Roman" w:eastAsia="Times New Roman" w:hAnsi="Times New Roman" w:cs="Times New Roman"/>
          <w:color w:val="000000"/>
          <w:spacing w:val="0"/>
          <w:w w:val="100"/>
          <w:position w:val="0"/>
          <w:sz w:val="18"/>
          <w:szCs w:val="18"/>
        </w:rPr>
        <w:t>2</w:t>
      </w:r>
      <w:bookmarkEnd w:id="267"/>
      <w:r>
        <w:rPr>
          <w:color w:val="000000"/>
          <w:spacing w:val="0"/>
          <w:w w:val="100"/>
          <w:position w:val="0"/>
        </w:rPr>
        <w:t>、</w:t>
        <w:tab/>
        <w:t>技术及产品研发风险</w:t>
      </w:r>
    </w:p>
    <w:p>
      <w:pPr>
        <w:pStyle w:val="Style31"/>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开关电源及</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驱动电源等电源产品是公司的传统优势领域。公司十分重视电源技术及产品的研发，逐步增强自身 的研发实力。随着电源产品向高频、高功率、高效率、高可靠、智能化方向发展，电源的研发技术要求，尤其是大功率</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驱动电源的技术要求显著提高，工艺技术和行业经验也非常重要，需要长时间的行业积累。虽然公司对电源的技术研发一直 处于行业领先水平，但是如果公司技术不能持续进步、保持行业领先，或是研发方向决策错误，开发的新产品不能很好的适 应市场需求，公司的竞争能力将被削弱。</w:t>
      </w:r>
    </w:p>
    <w:p>
      <w:pPr>
        <w:pStyle w:val="Style31"/>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公司将进一步加强研发投入及力度，并安排专职研发</w:t>
      </w:r>
      <w:r>
        <w:rPr>
          <w:rFonts w:ascii="Times New Roman" w:eastAsia="Times New Roman" w:hAnsi="Times New Roman" w:cs="Times New Roman"/>
          <w:color w:val="000000"/>
          <w:spacing w:val="0"/>
          <w:w w:val="100"/>
          <w:position w:val="0"/>
          <w:sz w:val="18"/>
          <w:szCs w:val="18"/>
        </w:rPr>
        <w:t>FAE</w:t>
      </w:r>
      <w:r>
        <w:rPr>
          <w:color w:val="000000"/>
          <w:spacing w:val="0"/>
          <w:w w:val="100"/>
          <w:position w:val="0"/>
        </w:rPr>
        <w:t>人员随同销售人员调研市场，把握行业发展趋势，为公司制定产品 开发路线图提供决策与技术支持，保持公司行业领先地位。</w:t>
      </w:r>
    </w:p>
    <w:p>
      <w:pPr>
        <w:pStyle w:val="Style31"/>
        <w:keepNext w:val="0"/>
        <w:keepLines w:val="0"/>
        <w:widowControl w:val="0"/>
        <w:shd w:val="clear" w:color="auto" w:fill="auto"/>
        <w:tabs>
          <w:tab w:pos="670" w:val="left"/>
        </w:tabs>
        <w:bidi w:val="0"/>
        <w:spacing w:before="0" w:after="0" w:line="360" w:lineRule="auto"/>
        <w:ind w:left="0" w:right="0" w:firstLine="360"/>
        <w:jc w:val="both"/>
      </w:pPr>
      <w:bookmarkStart w:id="268" w:name="bookmark268"/>
      <w:r>
        <w:rPr>
          <w:rFonts w:ascii="Times New Roman" w:eastAsia="Times New Roman" w:hAnsi="Times New Roman" w:cs="Times New Roman"/>
          <w:color w:val="000000"/>
          <w:spacing w:val="0"/>
          <w:w w:val="100"/>
          <w:position w:val="0"/>
          <w:sz w:val="18"/>
          <w:szCs w:val="18"/>
        </w:rPr>
        <w:t>3</w:t>
      </w:r>
      <w:bookmarkEnd w:id="268"/>
      <w:r>
        <w:rPr>
          <w:color w:val="000000"/>
          <w:spacing w:val="0"/>
          <w:w w:val="100"/>
          <w:position w:val="0"/>
        </w:rPr>
        <w:t>、</w:t>
        <w:tab/>
        <w:t>汇率波动的风险</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随着公司海外市场业务的不断拓展，外贸销售业务占比持续攀升，公司日常经营涉及大量的外汇收支，在此期间，如果 国际外汇市场出现剧烈波动，将给公司的经营带来较大波动。针对上述风险，公司通过开展外汇套期保值业务来规避外汇市 场的风险，防范汇率大幅波动对公司造成的不良影响，锁定汇兑成本；完善经营管理。</w:t>
      </w:r>
    </w:p>
    <w:p>
      <w:pPr>
        <w:pStyle w:val="Style31"/>
        <w:keepNext w:val="0"/>
        <w:keepLines w:val="0"/>
        <w:widowControl w:val="0"/>
        <w:shd w:val="clear" w:color="auto" w:fill="auto"/>
        <w:tabs>
          <w:tab w:pos="670" w:val="left"/>
        </w:tabs>
        <w:bidi w:val="0"/>
        <w:spacing w:before="0" w:after="0" w:line="360" w:lineRule="auto"/>
        <w:ind w:left="0" w:right="0" w:firstLine="360"/>
        <w:jc w:val="both"/>
      </w:pPr>
      <w:bookmarkStart w:id="269" w:name="bookmark269"/>
      <w:r>
        <w:rPr>
          <w:rFonts w:ascii="Times New Roman" w:eastAsia="Times New Roman" w:hAnsi="Times New Roman" w:cs="Times New Roman"/>
          <w:color w:val="000000"/>
          <w:spacing w:val="0"/>
          <w:w w:val="100"/>
          <w:position w:val="0"/>
          <w:sz w:val="18"/>
          <w:szCs w:val="18"/>
        </w:rPr>
        <w:t>4</w:t>
      </w:r>
      <w:bookmarkEnd w:id="269"/>
      <w:r>
        <w:rPr>
          <w:color w:val="000000"/>
          <w:spacing w:val="0"/>
          <w:w w:val="100"/>
          <w:position w:val="0"/>
        </w:rPr>
        <w:t>、</w:t>
        <w:tab/>
        <w:t>应收账款的坏账风险</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随着公司业务规模扩大，应收账款规模也会相应增长，存在因客户自身财务问题导致公司产生坏账风险，公司将不断完 善应收账款风险管理体系，客户账期调整提高防范坏账风险意识，加强客户的风险评估，并加强应收账款的催收，以降低回 款风险。</w:t>
      </w:r>
    </w:p>
    <w:p>
      <w:pPr>
        <w:pStyle w:val="Style31"/>
        <w:keepNext w:val="0"/>
        <w:keepLines w:val="0"/>
        <w:widowControl w:val="0"/>
        <w:shd w:val="clear" w:color="auto" w:fill="auto"/>
        <w:tabs>
          <w:tab w:pos="670" w:val="left"/>
        </w:tabs>
        <w:bidi w:val="0"/>
        <w:spacing w:before="0" w:after="0" w:line="360" w:lineRule="auto"/>
        <w:ind w:left="0" w:right="0" w:firstLine="360"/>
        <w:jc w:val="both"/>
      </w:pPr>
      <w:bookmarkStart w:id="270" w:name="bookmark270"/>
      <w:r>
        <w:rPr>
          <w:rFonts w:ascii="Times New Roman" w:eastAsia="Times New Roman" w:hAnsi="Times New Roman" w:cs="Times New Roman"/>
          <w:color w:val="000000"/>
          <w:spacing w:val="0"/>
          <w:w w:val="100"/>
          <w:position w:val="0"/>
          <w:sz w:val="18"/>
          <w:szCs w:val="18"/>
        </w:rPr>
        <w:t>5</w:t>
      </w:r>
      <w:bookmarkEnd w:id="270"/>
      <w:r>
        <w:rPr>
          <w:color w:val="000000"/>
          <w:spacing w:val="0"/>
          <w:w w:val="100"/>
          <w:position w:val="0"/>
        </w:rPr>
        <w:t>、</w:t>
        <w:tab/>
        <w:t>国内外宏观经济受疫情影响的风险</w:t>
      </w:r>
    </w:p>
    <w:p>
      <w:pPr>
        <w:pStyle w:val="Style31"/>
        <w:keepNext w:val="0"/>
        <w:keepLines w:val="0"/>
        <w:widowControl w:val="0"/>
        <w:shd w:val="clear" w:color="auto" w:fill="auto"/>
        <w:bidi w:val="0"/>
        <w:spacing w:before="0" w:after="1000" w:line="314" w:lineRule="exact"/>
        <w:ind w:left="0" w:right="0" w:firstLine="360"/>
        <w:jc w:val="both"/>
      </w:pPr>
      <w:r>
        <w:rPr>
          <w:color w:val="000000"/>
          <w:spacing w:val="0"/>
          <w:w w:val="100"/>
          <w:position w:val="0"/>
        </w:rPr>
        <w:t>目前，受疫情影响，国内外市场的生产、消费等领域受到冲击，贸易活动减少，全球经济下行压力加大。若后续疫情无 法得到尽快遏制，物流不畅及市场需求萎缩等将会对公司的订单及交付产生影响，从而影响公司经营业绩。因此，公司时刻 警惕关注风险变化对公司业务的影响，及时调整策略，不断提升公司抗风险能力。</w:t>
      </w:r>
    </w:p>
    <w:p>
      <w:pPr>
        <w:pStyle w:val="Style27"/>
        <w:keepNext/>
        <w:keepLines/>
        <w:widowControl w:val="0"/>
        <w:shd w:val="clear" w:color="auto" w:fill="auto"/>
        <w:bidi w:val="0"/>
        <w:spacing w:before="0" w:line="240" w:lineRule="auto"/>
        <w:ind w:left="0" w:right="0" w:firstLine="0"/>
        <w:jc w:val="left"/>
      </w:pPr>
      <w:bookmarkStart w:id="271" w:name="bookmark271"/>
      <w:bookmarkStart w:id="272" w:name="bookmark272"/>
      <w:bookmarkStart w:id="273" w:name="bookmark273"/>
      <w:r>
        <w:rPr>
          <w:color w:val="000000"/>
          <w:spacing w:val="0"/>
          <w:w w:val="100"/>
          <w:position w:val="0"/>
          <w:sz w:val="24"/>
          <w:szCs w:val="24"/>
        </w:rPr>
        <w:t>十、接待调研、沟通、采访等活动</w:t>
      </w:r>
      <w:bookmarkEnd w:id="271"/>
      <w:bookmarkEnd w:id="272"/>
      <w:bookmarkEnd w:id="273"/>
    </w:p>
    <w:p>
      <w:pPr>
        <w:pStyle w:val="Style34"/>
        <w:keepNext/>
        <w:keepLines/>
        <w:widowControl w:val="0"/>
        <w:shd w:val="clear" w:color="auto" w:fill="auto"/>
        <w:bidi w:val="0"/>
        <w:spacing w:before="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1</w:t>
      </w:r>
      <w:bookmarkEnd w:id="276"/>
      <w:r>
        <w:rPr>
          <w:color w:val="000000"/>
          <w:spacing w:val="0"/>
          <w:w w:val="100"/>
          <w:position w:val="0"/>
        </w:rPr>
        <w:t>、报告期内接待调研、沟通、采访等活动登记表</w:t>
      </w:r>
      <w:bookmarkEnd w:id="274"/>
      <w:bookmarkEnd w:id="275"/>
      <w:bookmarkEnd w:id="27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83" w:right="1046" w:bottom="1431" w:left="1072" w:header="0" w:footer="3" w:gutter="0"/>
          <w:cols w:space="720"/>
          <w:noEndnote/>
          <w:rtlGutter w:val="0"/>
          <w:docGrid w:linePitch="360"/>
        </w:sectPr>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540" w:line="240" w:lineRule="auto"/>
        <w:ind w:left="0" w:right="0" w:firstLine="0"/>
        <w:jc w:val="center"/>
      </w:pPr>
      <w:bookmarkStart w:id="278" w:name="bookmark278"/>
      <w:bookmarkStart w:id="279" w:name="bookmark279"/>
      <w:bookmarkStart w:id="280" w:name="bookmark280"/>
      <w:r>
        <w:rPr>
          <w:color w:val="000000"/>
          <w:spacing w:val="0"/>
          <w:w w:val="100"/>
          <w:position w:val="0"/>
        </w:rPr>
        <w:t>第五节重要事项</w:t>
      </w:r>
      <w:bookmarkEnd w:id="278"/>
      <w:bookmarkEnd w:id="279"/>
      <w:bookmarkEnd w:id="280"/>
    </w:p>
    <w:p>
      <w:pPr>
        <w:pStyle w:val="Style27"/>
        <w:keepNext/>
        <w:keepLines/>
        <w:widowControl w:val="0"/>
        <w:shd w:val="clear" w:color="auto" w:fill="auto"/>
        <w:bidi w:val="0"/>
        <w:spacing w:before="0" w:after="220" w:line="240" w:lineRule="auto"/>
        <w:ind w:left="0" w:right="0" w:firstLine="0"/>
        <w:jc w:val="left"/>
      </w:pPr>
      <w:bookmarkStart w:id="281" w:name="bookmark281"/>
      <w:bookmarkStart w:id="282" w:name="bookmark282"/>
      <w:bookmarkStart w:id="283" w:name="bookmark283"/>
      <w:bookmarkStart w:id="284" w:name="bookmark284"/>
      <w:bookmarkStart w:id="285" w:name="bookmark285"/>
      <w:r>
        <w:rPr>
          <w:color w:val="000000"/>
          <w:spacing w:val="0"/>
          <w:w w:val="100"/>
          <w:position w:val="0"/>
          <w:sz w:val="24"/>
          <w:szCs w:val="24"/>
        </w:rPr>
        <w:t>一</w:t>
      </w:r>
      <w:bookmarkEnd w:id="284"/>
      <w:r>
        <w:rPr>
          <w:color w:val="000000"/>
          <w:spacing w:val="0"/>
          <w:w w:val="100"/>
          <w:position w:val="0"/>
          <w:sz w:val="24"/>
          <w:szCs w:val="24"/>
        </w:rPr>
        <w:t>、公司普通股利润分配及资本公积金转增股本情况</w:t>
      </w:r>
      <w:bookmarkEnd w:id="282"/>
      <w:bookmarkEnd w:id="283"/>
      <w:bookmarkEnd w:id="285"/>
      <w:bookmarkEnd w:id="281"/>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100" w:line="346"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年（包括本报告期）的普通股股利分配方案（预案）、资本公积金转增股本方案（预案）情况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年，公司不派发现金红利，不送红股，不以公积金转增股本。</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年，公司不派发现金红利，不送红股，不以公积金转增股本。</w:t>
      </w:r>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年，公司不派发现金红利，不送红股，不以公积金转增股本。</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right"/>
            </w:pPr>
            <w:r>
              <w:rPr>
                <w:color w:val="000000"/>
                <w:spacing w:val="0"/>
                <w:w w:val="100"/>
                <w:position w:val="0"/>
              </w:rPr>
              <w:t>现金分红总额</w:t>
            </w:r>
          </w:p>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62,868,342.32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66,527,398.75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-255,760,999.1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25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年度实现归属于母公司所有者的净利润</w:t>
            </w:r>
            <w:r>
              <w:rPr>
                <w:rFonts w:ascii="Times New Roman" w:eastAsia="Times New Roman" w:hAnsi="Times New Roman" w:cs="Times New Roman"/>
                <w:color w:val="000000"/>
                <w:spacing w:val="0"/>
                <w:w w:val="100"/>
                <w:position w:val="0"/>
                <w:sz w:val="18"/>
                <w:szCs w:val="18"/>
              </w:rPr>
              <w:t>6,286.83</w:t>
            </w:r>
            <w:r>
              <w:rPr>
                <w:color w:val="000000"/>
                <w:spacing w:val="0"/>
                <w:w w:val="100"/>
                <w:position w:val="0"/>
              </w:rPr>
              <w:t>万 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日，公司合并口径累计未分配利润 仅为</w:t>
            </w:r>
            <w:r>
              <w:rPr>
                <w:rFonts w:ascii="Times New Roman" w:eastAsia="Times New Roman" w:hAnsi="Times New Roman" w:cs="Times New Roman"/>
                <w:color w:val="000000"/>
                <w:spacing w:val="0"/>
                <w:w w:val="100"/>
                <w:position w:val="0"/>
                <w:sz w:val="18"/>
                <w:szCs w:val="18"/>
              </w:rPr>
              <w:t>237.50</w:t>
            </w:r>
            <w:r>
              <w:rPr>
                <w:color w:val="000000"/>
                <w:spacing w:val="0"/>
                <w:w w:val="100"/>
                <w:position w:val="0"/>
              </w:rPr>
              <w:t>万元。深圳证券交易所上市公司规范运作指引及 公司章程明确规定：公司制定利润分配方案时，应当以母公 司报表中可供分配利润为依据。同时，为避免出现超分配的 情况，公司应当以合并报表、母公司报表中可供分配利润孰 低的原则来确定具体的利润分配比例。考虑公司目前可供分 配净利润较少，故本年度公司不做利润分配安排。</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公司未分配利润转入下一年度，主要用于生产经营等相关资 金支出安排，通过未分配利润合理有效的再投入，公司将获 得更稳定的发展，从而更好的回报全体股东。</w:t>
            </w:r>
          </w:p>
        </w:tc>
      </w:tr>
    </w:tbl>
    <w:p>
      <w:pPr>
        <w:spacing w:lineRule="exact" w:line="1"/>
        <w:rPr>
          <w:sz w:val="2"/>
          <w:szCs w:val="2"/>
        </w:rPr>
      </w:pPr>
      <w:r>
        <w:br w:type="page"/>
      </w:r>
    </w:p>
    <w:p>
      <w:pPr>
        <w:pStyle w:val="Style27"/>
        <w:keepNext/>
        <w:keepLines/>
        <w:widowControl w:val="0"/>
        <w:shd w:val="clear" w:color="auto" w:fill="auto"/>
        <w:tabs>
          <w:tab w:pos="517" w:val="left"/>
        </w:tabs>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二</w:t>
      </w:r>
      <w:bookmarkEnd w:id="288"/>
      <w:r>
        <w:rPr>
          <w:color w:val="000000"/>
          <w:spacing w:val="0"/>
          <w:w w:val="100"/>
          <w:position w:val="0"/>
          <w:sz w:val="24"/>
          <w:szCs w:val="24"/>
        </w:rPr>
        <w:t>、</w:t>
        <w:tab/>
        <w:t>本报告期利润分配及资本公积金转增股本情况</w:t>
      </w:r>
      <w:bookmarkEnd w:id="286"/>
      <w:bookmarkEnd w:id="287"/>
      <w:bookmarkEnd w:id="28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7"/>
        <w:keepNext/>
        <w:keepLines/>
        <w:widowControl w:val="0"/>
        <w:shd w:val="clear" w:color="auto" w:fill="auto"/>
        <w:tabs>
          <w:tab w:pos="522" w:val="left"/>
        </w:tabs>
        <w:bidi w:val="0"/>
        <w:spacing w:before="0" w:after="28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三</w:t>
      </w:r>
      <w:bookmarkEnd w:id="292"/>
      <w:r>
        <w:rPr>
          <w:color w:val="000000"/>
          <w:spacing w:val="0"/>
          <w:w w:val="100"/>
          <w:position w:val="0"/>
          <w:sz w:val="24"/>
          <w:szCs w:val="24"/>
        </w:rPr>
        <w:t>、</w:t>
        <w:tab/>
        <w:t>承诺事项履行情况</w:t>
      </w:r>
      <w:bookmarkEnd w:id="290"/>
      <w:bookmarkEnd w:id="291"/>
      <w:bookmarkEnd w:id="293"/>
    </w:p>
    <w:p>
      <w:pPr>
        <w:pStyle w:val="Style34"/>
        <w:keepNext/>
        <w:keepLines/>
        <w:widowControl w:val="0"/>
        <w:shd w:val="clear" w:color="auto" w:fill="auto"/>
        <w:bidi w:val="0"/>
        <w:spacing w:before="0" w:line="317" w:lineRule="exact"/>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、公司实际控制人、股东、关联方、收购人以及公司等承诺相关方在报告期内履行完毕及截至报告期末 尚未履行完毕的承诺事项</w:t>
      </w:r>
      <w:bookmarkEnd w:id="294"/>
      <w:bookmarkEnd w:id="295"/>
      <w:bookmarkEnd w:id="297"/>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1560"/>
        <w:gridCol w:w="994"/>
        <w:gridCol w:w="2693"/>
        <w:gridCol w:w="994"/>
        <w:gridCol w:w="989"/>
        <w:gridCol w:w="93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3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 益变动报告书中 所作承诺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济南产业发展投资 集团有限公司、济 南产发资本控股集 团有限公司、济南 产发融盛股权投资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480" w:val="left"/>
              </w:tabs>
              <w:bidi w:val="0"/>
              <w:spacing w:before="0" w:after="0" w:line="312" w:lineRule="exact"/>
              <w:ind w:left="0" w:right="0" w:firstLine="0"/>
              <w:jc w:val="both"/>
            </w:pPr>
            <w:r>
              <w:rPr>
                <w:color w:val="000000"/>
                <w:spacing w:val="0"/>
                <w:w w:val="100"/>
                <w:position w:val="0"/>
              </w:rPr>
              <w:t>（一）</w:t>
              <w:tab/>
              <w:t>保证上市公司的资产独立完 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、本公司保证上市公司对自己 所有的资产拥有完整、独立的所有 权，上市公司的资产与本公司及本 公司控制的公司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企业的资产严格 分开，完全独立经营。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 公司及本公司控制的公司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企业不 以任何方式违法违规占用上市公 司的资金、资产。</w:t>
            </w:r>
          </w:p>
          <w:p>
            <w:pPr>
              <w:pStyle w:val="Style23"/>
              <w:keepNext w:val="0"/>
              <w:keepLines w:val="0"/>
              <w:widowControl w:val="0"/>
              <w:shd w:val="clear" w:color="auto" w:fill="auto"/>
              <w:tabs>
                <w:tab w:pos="446" w:val="left"/>
              </w:tabs>
              <w:bidi w:val="0"/>
              <w:spacing w:before="0" w:after="0" w:line="313" w:lineRule="exact"/>
              <w:ind w:left="0" w:right="0" w:firstLine="0"/>
              <w:jc w:val="both"/>
            </w:pPr>
            <w:r>
              <w:rPr>
                <w:color w:val="000000"/>
                <w:spacing w:val="0"/>
                <w:w w:val="100"/>
                <w:position w:val="0"/>
              </w:rPr>
              <w:t>（二）</w:t>
              <w:tab/>
              <w:t>保证上市公司人员独立</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、保证上市公司继续拥有独立完 整的劳动、人事、工资及社会保险 管理体系，且该等体系与本公司及 本公司控制的公司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企业完全独 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、保证本公司向上市公司推 荐的董事、监事、经理等高级管理 人员的人选均通过合法途径进行， 不干预上市公司董事会和股东大 会行使职权做出人事任免决定。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保证上市公司的总经理、副总经 理、财务负责人、董事会秘书等高 级管理人员专职在上市公司工作、 并在上市公司领取薪酬，不在本公 司或本公司控制的公司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企业担任 除董事或监事之外的其他职务。</w:t>
            </w:r>
          </w:p>
          <w:p>
            <w:pPr>
              <w:pStyle w:val="Style23"/>
              <w:keepNext w:val="0"/>
              <w:keepLines w:val="0"/>
              <w:widowControl w:val="0"/>
              <w:shd w:val="clear" w:color="auto" w:fill="auto"/>
              <w:tabs>
                <w:tab w:pos="451" w:val="left"/>
              </w:tabs>
              <w:bidi w:val="0"/>
              <w:spacing w:before="0" w:after="0" w:line="314" w:lineRule="exact"/>
              <w:ind w:left="0" w:right="0" w:firstLine="0"/>
              <w:jc w:val="both"/>
            </w:pPr>
            <w:r>
              <w:rPr>
                <w:color w:val="000000"/>
                <w:spacing w:val="0"/>
                <w:w w:val="100"/>
                <w:position w:val="0"/>
              </w:rPr>
              <w:t>（三）</w:t>
              <w:tab/>
              <w:t>保证上市公司的财务独立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保证上市公司建立独立的财务会 计部门，具有规范、独立的财务核 算体系及财务管理制度。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 上市公司财务人员的独立性，财务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426"/>
        <w:gridCol w:w="1560"/>
        <w:gridCol w:w="994"/>
        <w:gridCol w:w="2693"/>
        <w:gridCol w:w="994"/>
        <w:gridCol w:w="989"/>
        <w:gridCol w:w="931"/>
      </w:tblGrid>
      <w:tr>
        <w:trPr>
          <w:trHeight w:val="107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人员不在本公司及本公司控制的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企业中双重任职和领取报 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、保证上市公司独立开设银 行账户，不与本公司及本公司控制 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企业共用一个银行账户。</w:t>
            </w:r>
          </w:p>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、保证上市公司依法独立纳税。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本公司及本公司控制的公司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 严格按照公司章程的规定行使股 东的权利和义务，保证上市公司独 立行使内部资金的调配、审批和财 务决策，不通过违规违法的方式干 预上市公司的资金使用。</w:t>
            </w:r>
          </w:p>
          <w:p>
            <w:pPr>
              <w:pStyle w:val="Style23"/>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（四）</w:t>
              <w:tab/>
              <w:t>保证上市公司的业务独立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保证上市公司拥有独立的经营管 理系统，有独立开展经营活动的资 产、人员、资质和能力，在采购、 生产、销售、知识产权等方面能够 保持独立运作，并具有自主市场持 续经营的能力。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、保证本公司除 依法行使股东权利外，不会对上市 公司的正常经营活动进行干预。</w:t>
            </w:r>
          </w:p>
          <w:p>
            <w:pPr>
              <w:pStyle w:val="Style23"/>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（五）</w:t>
              <w:tab/>
              <w:t>保证上市公司的机构独立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保证上市公司继续保持健全的法 人治理结构，拥有独立、完整的组 织机构，与本公司及本公司控制的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企业的机构完全分开。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 证上市公司股东大会、董事会、独 立董事、监事会及高级管理人员等 依照法律、法规和上市公司的公司 章程独立行使职权。</w:t>
            </w:r>
          </w:p>
          <w:p>
            <w:pPr>
              <w:pStyle w:val="Style2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、保证上市公司与本公司及本公 司控制的公司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企业均拥有各自独 立的办公机构和生产场所，不会出 现合署办公及混合经营的情形。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济南产业发展投资 集团有限公司、济 南产发资本控股集 团有限公司、济南 产发融盛股权投资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关于同业竞 争的承诺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、本次交易完成后，本公司保证 绝不利用对茂硕电源及其子公司 的了解和知悉的信息协助第三方 从事、参与或投资与茂硕电源及其 子公司相竞争的业务。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 承诺不以上市公司控股股东的地 位谋求不正当利益，从而损害上市 公司及其他股东的权益。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 承诺于本公司对上市公司拥有控 制权期间持续有效。如在此期间，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426"/>
        <w:gridCol w:w="1560"/>
        <w:gridCol w:w="994"/>
        <w:gridCol w:w="2693"/>
        <w:gridCol w:w="994"/>
        <w:gridCol w:w="989"/>
        <w:gridCol w:w="931"/>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因本公司未履行上述承诺而给上 市公司造成损失，本公司将依法承 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济南产业发展投资 集团有限公司、济 南产发资本控股集 团有限公司、济南 产发融盛股权投资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关于关联交</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、本公司将尽量避免、减少与上 市公司发生关联交易。如因客观情 况导致必要的关联交易无法避免 的，本公司将严格遵守法律法规及 中国证监会和上市公司章程、关联 交易决策相关制度的规定，按照公 允、合理的商业准则进行。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公司承诺不利用上市公司股东地 位，损害上市公司及其他股东的合 法利益。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、上述承诺于本公司对 上市公司拥有控制权期间持续有 效。如在此期间，因本公司未履行 上述承诺而给上市公司造成损失， 本公司将依法承担相应的赔偿责 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817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资产重组时所作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方笑求、蓝顺明已经分别出具《关 于避免同业竞争的承诺函》，承诺 如下：①截至该承诺函签署日，方 笑求、蓝顺明及其控制的其他公 司、企业或者其他经济组织未从事 与茂硕电源、湖南方正达及其控制 的其他公司、企业或者其他经济组 织存在同业竞争关系的业务。②在 方笑求、蓝顺明持有茂硕电源股份 期间及全部减持茂硕电源股份后 五年内或担任茂硕电源董事、监事 及高级管理人员期间及离任茂硕 电源董事、监事及高级管理人员后 两年内，方笑求、蓝顺明及其控制 的其他公司、企业或者其他经济组 织将避免与茂硕电源、湖南方正达 及其控制的其他公司、企业或者其 他经济组织从事任何相同或相似 且构成或可能构成竞争关系的业 务，亦不从事任何可能损害茂硕电 源、湖南方正达及其控制的其他公 司、企业或者其他经济组织利益的 活动。如方笑求、蓝顺明及其控制 的其他公司、企业或者其他经济组 织遇到茂硕电源、湖南方正达及其 控制的其他公司、企业或者其他经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426"/>
        <w:gridCol w:w="1560"/>
        <w:gridCol w:w="994"/>
        <w:gridCol w:w="2693"/>
        <w:gridCol w:w="994"/>
        <w:gridCol w:w="989"/>
        <w:gridCol w:w="931"/>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济组织主营业务范围内的业务机 会，方笑求、蓝顺明及其控制的其 他公司、企业或者其他经济组织将 该等合作机会让予茂硕电源、湖南 方正达及其控制的其他公司、企业 或者其他经济组织。方笑求、蓝顺 明若违反上述承诺，将承担因此而 给茂硕电源、湖南方正达及其控制 的其他公司、企业或者其他经济组 织造成的一切损失。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关于关联交</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方笑求、蓝顺明已经分别出具《关 于减少和规范关联交易的承诺 函》，承诺如下：方笑求、蓝顺明 在持有茂硕电源股份期间或担任 茂硕电源董事、监事及高级管理人 员期间，方笑求、蓝顺明及其控制 的其他公司、企业或者其他经济组 织将尽量减少并规范与茂硕电源、 湖南方正达及其控制的其他公司、 企业或者其他经济组织之间的关 联交易。对于无法避免或有合理原 因而发生的关联交易，方笑求、蓝 顺明及其控制的其他公司、企业或 者其他经济组织将遵循市场原则 以公允、合理的市场价格进行，根 据有关法律、法规及规范性文件的 规定履行关联交易决策程序，依法 履行信息披露义务和办理有关报 批程序，不损害茂硕电源及其他股 东的合法权益。方笑求、蓝顺明若 违反上述承诺，将承担因此而给茂 硕电源、湖南方正达及其控制的其 他公司、企业或者其他经济组织造 成的一切损失。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本公司实际控制人顾永德先生已 经出具承诺函，承诺如下：①截至 该承诺函签署日，顾永德及其控制 的其他公司、企业或者其他经济组 织未从事与茂硕电源、湖南方正达 及其控制的其他公司、企业或者其 他经济组织存在同业竞争关系的 业务。②在作为茂硕电源的实际控 制人期间，顾永德及其控制的其他 公司、企业或者其他经济组织将避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426"/>
        <w:gridCol w:w="1560"/>
        <w:gridCol w:w="994"/>
        <w:gridCol w:w="2693"/>
        <w:gridCol w:w="994"/>
        <w:gridCol w:w="989"/>
        <w:gridCol w:w="931"/>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免从事任何与茂硕电源、湖南方正 达及其控制的其他公司、企业或者 其他经济组织相同或相似且构成 或可能构成竞争关系的业务，亦不 从事任何可能损害茂硕电源、湖南 方正达及其控制的其他公司、企业 或者其他经济组织利益的活动。如 顾永德及其控制的其他公司、企业 或者其他经济组织遇到茂硕电源、 湖南方正达及其控制的其他公司、 企业或者其他经济组织主营业务 范围内的业务机会，顾永德及其控 制的其他公司、企业或者其他经济 组织将该等合作机会让予茂硕电 源、湖南方正达及其控制的其他公 司、企业或者其他经济组织。顾永 德若违反上述承诺，将承担因此而 给茂硕电源、湖南方正达及其控制 的其他公司、企业或者其他经济组 织造成的损失。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关于关联交</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本公司实际控制人顾永德先生已 经出具承诺函，承诺如下：顾永德 在作为茂硕电源的实际控制人期 间，顾永德及其控制的其他公司、 企业或者其他经济组织将尽量减 少并规范与茂硕电源、湖南方正达 及其控制的其他公司、企业或者其 他经济组织之间的关联交易。对于 无法避免或有合理原因而发生的 关联交易，顾永德及其控制的其他 公司、企业或者其他经济组织将遵 循市场原则以公允、合理的市场价 格进行，根据有关法律、法规及规 范性文件的规定履行关联交易决 策程序，依法履行信息披露义务和 办理有关报批程序，不利用实际控 制人地位损害茂硕电源及其他股 东的合法权益。顾永德若违反上述 承诺，将承担因此而给茂硕电源、 湖南方正达及其控制的其他公司、 企业或者其他经济组织造成的损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为了保证公司及标的资产的独立 性，方笑求、蓝顺明已经分别出具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426"/>
        <w:gridCol w:w="1560"/>
        <w:gridCol w:w="994"/>
        <w:gridCol w:w="2693"/>
        <w:gridCol w:w="994"/>
        <w:gridCol w:w="989"/>
        <w:gridCol w:w="931"/>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《关于保证独立性的承诺函》，承 诺在本次交易完成后，保持公司和 湖南方正达的人员、机构、资产、 业务、财务的独立性。本公司实际 控制人顾永德先生已经出具承诺 函，承诺在本次交易完成后，保持 公司和湖南方正达的人员、机构、 资产、业务、财务的独立性。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方笑求、蓝顺明已经分别出具《关 于社会保险、住房公积金补缴的承 诺函》，承诺如下：若湖南方正达 及其子公司因未为其员工足额缴 纳社会保险、住房公积金而被政府 部门要求补缴社会保险、住房公积 金或被政府部门处以罚款，方笑 求、蓝顺明将全额补偿湖南方正达 及其子公司补缴的社会保险、住房 公积金及缴纳的罚款。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蓝顺明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方笑求、蓝顺明已经分别出具《关 于税收追缴补偿的承诺函》，承诺 如下：若湖南方正达因不符合高新 技术企业资质条件而被税务部门 追缴所享受的税收优惠或处以罚 款、缴纳滞纳金，方笑求、蓝顺明 将全额补偿湖南方正达被追缴的 企业所得税款或缴纳的罚款、滞纳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270"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作为公司的董事，本人所持公司股 份在上述锁定期限届满后，在任职 期间每年转让公司股份的比例不 超过所持公司股份总数的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；公 司上市后如离任，离任后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内，不转让本人所持有的公司股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公司上市后如离任，在申报离任</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个月内通过交易所挂 牌交易出售本公司股票数量占其 所持有本公司股票总数的比例不 得超过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已豁免</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茂硕电源科技股份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现金分红的承诺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深圳德旺投资发展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为避免未来可能存在的同业竞争，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tbl>
      <w:tblPr>
        <w:tblOverlap w:val="never"/>
        <w:jc w:val="center"/>
        <w:tblLayout w:type="fixed"/>
      </w:tblPr>
      <w:tblGrid>
        <w:gridCol w:w="1426"/>
        <w:gridCol w:w="1560"/>
        <w:gridCol w:w="994"/>
        <w:gridCol w:w="2693"/>
        <w:gridCol w:w="994"/>
        <w:gridCol w:w="989"/>
        <w:gridCol w:w="93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顾永德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公司控股股东德旺投资、实际控制 人顾永德先生向本公司出具了《避 免同业竞争承诺函》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 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承诺是否按时履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 行完毕的，应当详 细说明未完成履 行的具体原因及 下一步的工作计 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4"/>
        <w:keepNext/>
        <w:keepLines/>
        <w:widowControl w:val="0"/>
        <w:shd w:val="clear" w:color="auto" w:fill="auto"/>
        <w:bidi w:val="0"/>
        <w:spacing w:before="0" w:line="322" w:lineRule="exact"/>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、公司资产或项目存在盈利预测，且报告期仍处在盈利预测期间，公司就资产或项目达到原盈利预测及 其原因做出说明</w:t>
      </w:r>
      <w:bookmarkEnd w:id="298"/>
      <w:bookmarkEnd w:id="299"/>
      <w:bookmarkEnd w:id="30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8"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四</w:t>
      </w:r>
      <w:bookmarkEnd w:id="304"/>
      <w:r>
        <w:rPr>
          <w:color w:val="000000"/>
          <w:spacing w:val="0"/>
          <w:w w:val="100"/>
          <w:position w:val="0"/>
          <w:sz w:val="24"/>
          <w:szCs w:val="24"/>
        </w:rPr>
        <w:t>、</w:t>
        <w:tab/>
        <w:t>控股股东及其关联方对上市公司的非经营性占用资金情况</w:t>
      </w:r>
      <w:bookmarkEnd w:id="302"/>
      <w:bookmarkEnd w:id="303"/>
      <w:bookmarkEnd w:id="305"/>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sz w:val="24"/>
          <w:szCs w:val="24"/>
        </w:rPr>
        <w:t>五</w:t>
      </w:r>
      <w:bookmarkEnd w:id="30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6"/>
      <w:bookmarkEnd w:id="307"/>
      <w:bookmarkEnd w:id="309"/>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六</w:t>
      </w:r>
      <w:bookmarkEnd w:id="312"/>
      <w:r>
        <w:rPr>
          <w:color w:val="000000"/>
          <w:spacing w:val="0"/>
          <w:w w:val="100"/>
          <w:position w:val="0"/>
          <w:sz w:val="24"/>
          <w:szCs w:val="24"/>
        </w:rPr>
        <w:t>、</w:t>
        <w:tab/>
        <w:t>与上年度财务报告相比，会计政策、会计估计和核算方法发生变化的情况说明</w:t>
      </w:r>
      <w:bookmarkEnd w:id="310"/>
      <w:bookmarkEnd w:id="311"/>
      <w:bookmarkEnd w:id="313"/>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、会计政策变更</w:t>
      </w:r>
    </w:p>
    <w:tbl>
      <w:tblPr>
        <w:tblOverlap w:val="never"/>
        <w:jc w:val="center"/>
        <w:tblLayout w:type="fixed"/>
      </w:tblPr>
      <w:tblGrid>
        <w:gridCol w:w="4262"/>
        <w:gridCol w:w="4253"/>
        <w:gridCol w:w="1162"/>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6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年修订的《企 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董事会审批通过</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widowControl w:val="0"/>
        <w:spacing w:after="239" w:line="1" w:lineRule="exact"/>
      </w:pPr>
    </w:p>
    <w:p>
      <w:pPr>
        <w:pStyle w:val="Style31"/>
        <w:keepNext w:val="0"/>
        <w:keepLines w:val="0"/>
        <w:widowControl w:val="0"/>
        <w:shd w:val="clear" w:color="auto" w:fill="auto"/>
        <w:bidi w:val="0"/>
        <w:spacing w:before="0" w:after="0" w:line="322" w:lineRule="exact"/>
        <w:ind w:left="0" w:right="0" w:firstLine="420"/>
        <w:jc w:val="both"/>
      </w:pPr>
      <w:r>
        <w:rPr>
          <w:b/>
          <w:bCs/>
          <w:color w:val="000000"/>
          <w:spacing w:val="0"/>
          <w:w w:val="100"/>
          <w:position w:val="0"/>
        </w:rPr>
        <w:t>⑴执行新收入准则对本公司的影响</w:t>
      </w:r>
    </w:p>
    <w:p>
      <w:pPr>
        <w:pStyle w:val="Style3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收入》，变更后的会计政策详见本报告第十 二节、五、重要会计政策及会计估计。</w:t>
      </w:r>
    </w:p>
    <w:p>
      <w:pPr>
        <w:pStyle w:val="Style3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 表其他相关项目金额，对可比期间信息不予调整。</w:t>
      </w:r>
    </w:p>
    <w:p>
      <w:pPr>
        <w:pStyle w:val="Style31"/>
        <w:keepNext w:val="0"/>
        <w:keepLines w:val="0"/>
        <w:widowControl w:val="0"/>
        <w:shd w:val="clear" w:color="auto" w:fill="auto"/>
        <w:bidi w:val="0"/>
        <w:spacing w:before="0" w:after="0" w:line="322" w:lineRule="exact"/>
        <w:ind w:left="0" w:right="0" w:firstLine="460"/>
        <w:jc w:val="both"/>
      </w:pPr>
      <w:r>
        <w:rPr>
          <w:color w:val="000000"/>
          <w:spacing w:val="0"/>
          <w:w w:val="100"/>
          <w:position w:val="0"/>
        </w:rPr>
        <w:t xml:space="preserve">在执行新收入准则时，本公司仅对首次执行日尚未执行完成的合同的累计影响数进行调整；对于最早可比期间期初之前 </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 确定交易价格以及在已履行的和尚未履行的履约义务之间分摊交易价格。</w:t>
      </w:r>
    </w:p>
    <w:p>
      <w:pPr>
        <w:pStyle w:val="Style31"/>
        <w:keepNext w:val="0"/>
        <w:keepLines w:val="0"/>
        <w:widowControl w:val="0"/>
        <w:shd w:val="clear" w:color="auto" w:fill="auto"/>
        <w:bidi w:val="0"/>
        <w:spacing w:before="0" w:after="100" w:line="326" w:lineRule="exact"/>
        <w:ind w:left="0" w:right="0"/>
        <w:jc w:val="left"/>
      </w:pPr>
      <w:r>
        <w:rPr>
          <w:color w:val="000000"/>
          <w:spacing w:val="0"/>
          <w:w w:val="100"/>
          <w:position w:val="0"/>
        </w:rPr>
        <w:t>执行新收入准则对本期期初资产负债表相关项目的影响列示如下：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83"/>
        <w:gridCol w:w="1920"/>
        <w:gridCol w:w="1757"/>
        <w:gridCol w:w="1282"/>
        <w:gridCol w:w="1651"/>
        <w:gridCol w:w="1584"/>
      </w:tblGrid>
      <w:tr>
        <w:trPr>
          <w:trHeight w:val="355"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bottom"/>
          </w:tcPr>
          <w:p>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12,905,205.89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12,905,205.89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308,578.38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13,213,784.27</w:t>
            </w:r>
          </w:p>
        </w:tc>
      </w:tr>
    </w:tbl>
    <w:p>
      <w:pPr>
        <w:widowControl w:val="0"/>
        <w:spacing w:after="239" w:line="1" w:lineRule="exact"/>
      </w:pPr>
    </w:p>
    <w:p>
      <w:pPr>
        <w:pStyle w:val="Style31"/>
        <w:keepNext w:val="0"/>
        <w:keepLines w:val="0"/>
        <w:widowControl w:val="0"/>
        <w:shd w:val="clear" w:color="auto" w:fill="auto"/>
        <w:bidi w:val="0"/>
        <w:spacing w:before="0" w:after="360" w:line="317" w:lineRule="exact"/>
        <w:ind w:left="0" w:right="0"/>
        <w:jc w:val="left"/>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pStyle w:val="Style27"/>
        <w:keepNext/>
        <w:keepLines/>
        <w:widowControl w:val="0"/>
        <w:shd w:val="clear" w:color="auto" w:fill="auto"/>
        <w:tabs>
          <w:tab w:pos="522" w:val="left"/>
        </w:tabs>
        <w:bidi w:val="0"/>
        <w:spacing w:before="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七</w:t>
      </w:r>
      <w:bookmarkEnd w:id="316"/>
      <w:r>
        <w:rPr>
          <w:color w:val="000000"/>
          <w:spacing w:val="0"/>
          <w:w w:val="100"/>
          <w:position w:val="0"/>
          <w:sz w:val="24"/>
          <w:szCs w:val="24"/>
        </w:rPr>
        <w:t>、</w:t>
        <w:tab/>
        <w:t>报告期内发生重大会计差错更正需追溯重述的情况说明</w:t>
      </w:r>
      <w:bookmarkEnd w:id="314"/>
      <w:bookmarkEnd w:id="315"/>
      <w:bookmarkEnd w:id="317"/>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公司报告期无重大会计差错更正需追溯重述的情况。</w:t>
      </w:r>
    </w:p>
    <w:p>
      <w:pPr>
        <w:pStyle w:val="Style27"/>
        <w:keepNext/>
        <w:keepLines/>
        <w:widowControl w:val="0"/>
        <w:shd w:val="clear" w:color="auto" w:fill="auto"/>
        <w:tabs>
          <w:tab w:pos="522" w:val="left"/>
        </w:tabs>
        <w:bidi w:val="0"/>
        <w:spacing w:before="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sz w:val="24"/>
          <w:szCs w:val="24"/>
        </w:rPr>
        <w:t>八</w:t>
      </w:r>
      <w:bookmarkEnd w:id="320"/>
      <w:r>
        <w:rPr>
          <w:color w:val="000000"/>
          <w:spacing w:val="0"/>
          <w:w w:val="100"/>
          <w:position w:val="0"/>
          <w:sz w:val="24"/>
          <w:szCs w:val="24"/>
        </w:rPr>
        <w:t>、</w:t>
        <w:tab/>
        <w:t>与上年度财务报告相比，合并报表范围发生变化的情况说明</w:t>
      </w:r>
      <w:bookmarkEnd w:id="318"/>
      <w:bookmarkEnd w:id="319"/>
      <w:bookmarkEnd w:id="321"/>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公司报告期无合并报表范围发生变化的情况。</w:t>
      </w:r>
    </w:p>
    <w:p>
      <w:pPr>
        <w:pStyle w:val="Style27"/>
        <w:keepNext/>
        <w:keepLines/>
        <w:widowControl w:val="0"/>
        <w:shd w:val="clear" w:color="auto" w:fill="auto"/>
        <w:tabs>
          <w:tab w:pos="522" w:val="left"/>
        </w:tabs>
        <w:bidi w:val="0"/>
        <w:spacing w:before="0" w:line="240" w:lineRule="auto"/>
        <w:ind w:left="0" w:right="0" w:firstLine="0"/>
        <w:jc w:val="both"/>
      </w:pPr>
      <w:bookmarkStart w:id="322" w:name="bookmark322"/>
      <w:bookmarkStart w:id="323" w:name="bookmark323"/>
      <w:bookmarkStart w:id="324" w:name="bookmark324"/>
      <w:bookmarkStart w:id="325" w:name="bookmark325"/>
      <w:r>
        <w:rPr>
          <w:color w:val="000000"/>
          <w:spacing w:val="0"/>
          <w:w w:val="100"/>
          <w:position w:val="0"/>
          <w:sz w:val="24"/>
          <w:szCs w:val="24"/>
        </w:rPr>
        <w:t>九</w:t>
      </w:r>
      <w:bookmarkEnd w:id="324"/>
      <w:r>
        <w:rPr>
          <w:color w:val="000000"/>
          <w:spacing w:val="0"/>
          <w:w w:val="100"/>
          <w:position w:val="0"/>
          <w:sz w:val="24"/>
          <w:szCs w:val="24"/>
        </w:rPr>
        <w:t>、</w:t>
        <w:tab/>
        <w:t>聘任、解聘会计师事务所情况</w:t>
      </w:r>
      <w:bookmarkEnd w:id="322"/>
      <w:bookmarkEnd w:id="323"/>
      <w:bookmarkEnd w:id="32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王建华、万海青</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326" w:name="bookmark326"/>
      <w:bookmarkStart w:id="327" w:name="bookmark327"/>
      <w:bookmarkStart w:id="328" w:name="bookmark328"/>
      <w:r>
        <w:rPr>
          <w:color w:val="000000"/>
          <w:spacing w:val="0"/>
          <w:w w:val="100"/>
          <w:position w:val="0"/>
          <w:sz w:val="24"/>
          <w:szCs w:val="24"/>
        </w:rPr>
        <w:t>十、年度报告披露后面临退市情况</w:t>
      </w:r>
      <w:bookmarkEnd w:id="326"/>
      <w:bookmarkEnd w:id="327"/>
      <w:bookmarkEnd w:id="328"/>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both"/>
      </w:pPr>
      <w:bookmarkStart w:id="329" w:name="bookmark329"/>
      <w:bookmarkStart w:id="330" w:name="bookmark330"/>
      <w:bookmarkStart w:id="331" w:name="bookmark331"/>
      <w:r>
        <w:rPr>
          <w:color w:val="000000"/>
          <w:spacing w:val="0"/>
          <w:w w:val="100"/>
          <w:position w:val="0"/>
          <w:sz w:val="24"/>
          <w:szCs w:val="24"/>
        </w:rPr>
        <w:t>十^一、破产重整相关事项</w:t>
      </w:r>
      <w:bookmarkEnd w:id="329"/>
      <w:bookmarkEnd w:id="330"/>
      <w:bookmarkEnd w:id="331"/>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20" w:line="240" w:lineRule="auto"/>
        <w:ind w:left="0" w:right="0" w:firstLine="0"/>
        <w:jc w:val="both"/>
      </w:pPr>
      <w:bookmarkStart w:id="332" w:name="bookmark332"/>
      <w:bookmarkStart w:id="333" w:name="bookmark333"/>
      <w:bookmarkStart w:id="334" w:name="bookmark334"/>
      <w:r>
        <w:rPr>
          <w:color w:val="000000"/>
          <w:spacing w:val="0"/>
          <w:w w:val="100"/>
          <w:position w:val="0"/>
          <w:sz w:val="24"/>
          <w:szCs w:val="24"/>
        </w:rPr>
        <w:t>十二、重大诉讼、仲裁事项</w:t>
      </w:r>
      <w:bookmarkEnd w:id="332"/>
      <w:bookmarkEnd w:id="333"/>
      <w:bookmarkEnd w:id="33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惠州茂硕能源科技 有限公司诉海宁茂 硕诺华能源有限公 司，要求其支付委 托贷款本金及逾期 利息，并申请由海 宁市诺耶科华太阳 能电力工程有限公 司承担连带责任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6,144.38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日刊 登的：关于诉 讼事项的进 展公告。巨潮 资讯网</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公司起诉斐翔供应 链管理（上海）有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公司起诉重庆瑞耕 达网络科技有限公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1,314.29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公司起诉贵州瑞凯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未达到重大诉讼披 露标准的其他诉讼 的涉案总金额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立案、审理 或执行阶 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部分诉讼处于立 案阶段、部分诉 讼处于审理阶</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段、部分诉讼已 作出判决执行 中。以上诉讼对 公司无重大影 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未达到重大诉讼披 露标准的其他诉讼 产生的预计负债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一审待开 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二审已 判决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一审待开庭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二审 已判决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执行中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335" w:name="bookmark335"/>
      <w:bookmarkStart w:id="336" w:name="bookmark336"/>
      <w:bookmarkStart w:id="337" w:name="bookmark337"/>
      <w:r>
        <w:rPr>
          <w:color w:val="000000"/>
          <w:spacing w:val="0"/>
          <w:w w:val="100"/>
          <w:position w:val="0"/>
          <w:sz w:val="24"/>
          <w:szCs w:val="24"/>
        </w:rPr>
        <w:t>十三、处罚及整改情况</w:t>
      </w:r>
      <w:bookmarkEnd w:id="335"/>
      <w:bookmarkEnd w:id="336"/>
      <w:bookmarkEnd w:id="337"/>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十四、公司及其控股股东、实际控制人的诚信状况</w:t>
      </w:r>
      <w:bookmarkEnd w:id="338"/>
      <w:bookmarkEnd w:id="339"/>
      <w:bookmarkEnd w:id="34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十五、公司股权激励计划、员工持股计划或其他员工激励措施的实施情况</w:t>
      </w:r>
      <w:bookmarkEnd w:id="341"/>
      <w:bookmarkEnd w:id="342"/>
      <w:bookmarkEnd w:id="34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十六、重大关联交易</w:t>
      </w:r>
      <w:bookmarkEnd w:id="344"/>
      <w:bookmarkEnd w:id="345"/>
      <w:bookmarkEnd w:id="346"/>
    </w:p>
    <w:p>
      <w:pPr>
        <w:pStyle w:val="Style34"/>
        <w:keepNext/>
        <w:keepLines/>
        <w:widowControl w:val="0"/>
        <w:shd w:val="clear" w:color="auto" w:fill="auto"/>
        <w:tabs>
          <w:tab w:pos="368"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与日常经营相关的关联交易</w:t>
      </w:r>
      <w:bookmarkEnd w:id="347"/>
      <w:bookmarkEnd w:id="348"/>
      <w:bookmarkEnd w:id="35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w:t>
        <w:tab/>
        <w:t>资产或股权收购、出售发生的关联交易</w:t>
      </w:r>
      <w:bookmarkEnd w:id="351"/>
      <w:bookmarkEnd w:id="352"/>
      <w:bookmarkEnd w:id="35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3</w:t>
      </w:r>
      <w:bookmarkEnd w:id="357"/>
      <w:r>
        <w:rPr>
          <w:color w:val="000000"/>
          <w:spacing w:val="0"/>
          <w:w w:val="100"/>
          <w:position w:val="0"/>
        </w:rPr>
        <w:t>、</w:t>
        <w:tab/>
        <w:t>共同对外投资的关联交易</w:t>
      </w:r>
      <w:bookmarkEnd w:id="355"/>
      <w:bookmarkEnd w:id="356"/>
      <w:bookmarkEnd w:id="35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w:t>
        <w:tab/>
        <w:t>关联债权债务往来</w:t>
      </w:r>
      <w:bookmarkEnd w:id="359"/>
      <w:bookmarkEnd w:id="360"/>
      <w:bookmarkEnd w:id="36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5</w:t>
      </w:r>
      <w:bookmarkEnd w:id="365"/>
      <w:r>
        <w:rPr>
          <w:color w:val="000000"/>
          <w:spacing w:val="0"/>
          <w:w w:val="100"/>
          <w:position w:val="0"/>
        </w:rPr>
        <w:t>、</w:t>
        <w:tab/>
        <w:t>其他重大关联交易</w:t>
      </w:r>
      <w:bookmarkEnd w:id="363"/>
      <w:bookmarkEnd w:id="364"/>
      <w:bookmarkEnd w:id="36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4" w:right="1089" w:bottom="1436" w:left="1047" w:header="0" w:footer="3" w:gutter="0"/>
          <w:cols w:space="720"/>
          <w:noEndnote/>
          <w:rtlGutter w:val="0"/>
          <w:docGrid w:linePitch="360"/>
        </w:sectPr>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十七、重大合同及其履行情况</w:t>
      </w:r>
      <w:bookmarkEnd w:id="367"/>
      <w:bookmarkEnd w:id="368"/>
      <w:bookmarkEnd w:id="369"/>
    </w:p>
    <w:p>
      <w:pPr>
        <w:pStyle w:val="Style34"/>
        <w:keepNext/>
        <w:keepLines/>
        <w:widowControl w:val="0"/>
        <w:shd w:val="clear" w:color="auto" w:fill="auto"/>
        <w:tabs>
          <w:tab w:pos="375"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1</w:t>
      </w:r>
      <w:bookmarkEnd w:id="372"/>
      <w:r>
        <w:rPr>
          <w:color w:val="000000"/>
          <w:spacing w:val="0"/>
          <w:w w:val="100"/>
          <w:position w:val="0"/>
        </w:rPr>
        <w:t>、</w:t>
        <w:tab/>
        <w:t>托管、承包、租赁事项情况</w:t>
      </w:r>
      <w:bookmarkEnd w:id="370"/>
      <w:bookmarkEnd w:id="371"/>
      <w:bookmarkEnd w:id="373"/>
    </w:p>
    <w:p>
      <w:pPr>
        <w:pStyle w:val="Style40"/>
        <w:keepNext/>
        <w:keepLines/>
        <w:widowControl w:val="0"/>
        <w:shd w:val="clear" w:color="auto" w:fill="auto"/>
        <w:tabs>
          <w:tab w:pos="493" w:val="left"/>
        </w:tabs>
        <w:bidi w:val="0"/>
        <w:spacing w:before="0" w:after="38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4"/>
      <w:bookmarkEnd w:id="375"/>
      <w:bookmarkEnd w:id="377"/>
    </w:p>
    <w:p>
      <w:pPr>
        <w:pStyle w:val="Style31"/>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after="3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8"/>
      <w:bookmarkEnd w:id="379"/>
      <w:bookmarkEnd w:id="381"/>
    </w:p>
    <w:p>
      <w:pPr>
        <w:pStyle w:val="Style31"/>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after="38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2"/>
      <w:bookmarkEnd w:id="383"/>
      <w:bookmarkEnd w:id="385"/>
    </w:p>
    <w:p>
      <w:pPr>
        <w:pStyle w:val="Style31"/>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60" w:line="302" w:lineRule="exact"/>
        <w:ind w:left="0" w:right="0" w:firstLine="0"/>
        <w:jc w:val="left"/>
      </w:pPr>
      <w:r>
        <w:rPr>
          <w:color w:val="000000"/>
          <w:spacing w:val="0"/>
          <w:w w:val="100"/>
          <w:position w:val="0"/>
        </w:rPr>
        <w:t>租赁情况说明</w:t>
      </w:r>
    </w:p>
    <w:p>
      <w:pPr>
        <w:pStyle w:val="Style31"/>
        <w:keepNext w:val="0"/>
        <w:keepLines w:val="0"/>
        <w:widowControl w:val="0"/>
        <w:shd w:val="clear" w:color="auto" w:fill="auto"/>
        <w:tabs>
          <w:tab w:pos="603" w:val="left"/>
        </w:tabs>
        <w:bidi w:val="0"/>
        <w:spacing w:before="0" w:after="0" w:line="302" w:lineRule="exact"/>
        <w:ind w:left="0" w:right="0" w:firstLine="280"/>
        <w:jc w:val="left"/>
      </w:pPr>
      <w:bookmarkStart w:id="386" w:name="bookmark386"/>
      <w:r>
        <w:rPr>
          <w:rFonts w:ascii="Times New Roman" w:eastAsia="Times New Roman" w:hAnsi="Times New Roman" w:cs="Times New Roman"/>
          <w:color w:val="000000"/>
          <w:spacing w:val="0"/>
          <w:w w:val="100"/>
          <w:position w:val="0"/>
          <w:sz w:val="18"/>
          <w:szCs w:val="18"/>
        </w:rPr>
        <w:t>1</w:t>
      </w:r>
      <w:bookmarkEnd w:id="3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 xml:space="preserve">茂硕电源与深圳市桑泰实业发展有限公司签订房屋租赁合同，租赁房屋地址为深圳市南山区西丽桑泰工业园厂房、 </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宿舍楼，租期从</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w:t>
      </w:r>
    </w:p>
    <w:p>
      <w:pPr>
        <w:pStyle w:val="Style31"/>
        <w:keepNext w:val="0"/>
        <w:keepLines w:val="0"/>
        <w:widowControl w:val="0"/>
        <w:shd w:val="clear" w:color="auto" w:fill="auto"/>
        <w:tabs>
          <w:tab w:pos="613" w:val="left"/>
        </w:tabs>
        <w:bidi w:val="0"/>
        <w:spacing w:before="0" w:after="380" w:line="302" w:lineRule="exact"/>
        <w:ind w:left="0" w:right="0" w:firstLine="280"/>
        <w:jc w:val="left"/>
      </w:pPr>
      <w:bookmarkStart w:id="387" w:name="bookmark387"/>
      <w:r>
        <w:rPr>
          <w:rFonts w:ascii="Times New Roman" w:eastAsia="Times New Roman" w:hAnsi="Times New Roman" w:cs="Times New Roman"/>
          <w:color w:val="000000"/>
          <w:spacing w:val="0"/>
          <w:w w:val="100"/>
          <w:position w:val="0"/>
          <w:sz w:val="18"/>
          <w:szCs w:val="18"/>
        </w:rPr>
        <w:t>2</w:t>
      </w:r>
      <w:bookmarkEnd w:id="3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茂硕电子与深圳市桑泰实业发展有限公司签订房屋租赁合同，租赁房屋地址为深圳市南山区西丽街道阳光社区松白路 桑泰工业园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栋宿舍楼一层</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号铺、</w:t>
      </w:r>
      <w:r>
        <w:rPr>
          <w:rFonts w:ascii="Times New Roman" w:eastAsia="Times New Roman" w:hAnsi="Times New Roman" w:cs="Times New Roman"/>
          <w:color w:val="000000"/>
          <w:spacing w:val="0"/>
          <w:w w:val="100"/>
          <w:position w:val="0"/>
          <w:sz w:val="18"/>
          <w:szCs w:val="18"/>
        </w:rPr>
        <w:t>5-13</w:t>
      </w:r>
      <w:r>
        <w:rPr>
          <w:color w:val="000000"/>
          <w:spacing w:val="0"/>
          <w:w w:val="100"/>
          <w:position w:val="0"/>
        </w:rPr>
        <w:t>号铺，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栋宿舍楼一层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号铺，租期从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日始至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日止。</w:t>
      </w:r>
    </w:p>
    <w:p>
      <w:pPr>
        <w:pStyle w:val="Style31"/>
        <w:keepNext w:val="0"/>
        <w:keepLines w:val="0"/>
        <w:widowControl w:val="0"/>
        <w:shd w:val="clear" w:color="auto" w:fill="auto"/>
        <w:bidi w:val="0"/>
        <w:spacing w:before="0" w:after="140" w:line="30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1"/>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w:t>
        <w:tab/>
        <w:t>重大担保</w:t>
      </w:r>
      <w:bookmarkEnd w:id="388"/>
      <w:bookmarkEnd w:id="389"/>
      <w:bookmarkEnd w:id="391"/>
    </w:p>
    <w:p>
      <w:pPr>
        <w:pStyle w:val="Style31"/>
        <w:keepNext w:val="0"/>
        <w:keepLines w:val="0"/>
        <w:widowControl w:val="0"/>
        <w:shd w:val="clear" w:color="auto" w:fill="auto"/>
        <w:bidi w:val="0"/>
        <w:spacing w:before="0" w:after="300" w:line="3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2"/>
      <w:bookmarkEnd w:id="393"/>
      <w:bookmarkEnd w:id="3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widowControl w:val="0"/>
        <w:spacing w:line="1" w:lineRule="exact"/>
      </w:pPr>
      <w:r>
        <w:br w:type="page"/>
      </w:r>
    </w:p>
    <w:tbl>
      <w:tblPr>
        <w:tblOverlap w:val="never"/>
        <w:jc w:val="center"/>
        <w:tblLayout w:type="fixed"/>
      </w:tblPr>
      <w:tblGrid>
        <w:gridCol w:w="1718"/>
        <w:gridCol w:w="922"/>
        <w:gridCol w:w="922"/>
        <w:gridCol w:w="1301"/>
        <w:gridCol w:w="1056"/>
        <w:gridCol w:w="1042"/>
        <w:gridCol w:w="1046"/>
        <w:gridCol w:w="792"/>
        <w:gridCol w:w="792"/>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惠州茂硕</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2018.06.01-2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021.06.01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2019.04.29-2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022.05.21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采用复合方式担保的具体情况说明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本公司与茂硕电子共同为惠州茂硕提供担保。</w:t>
      </w:r>
    </w:p>
    <w:p>
      <w:pPr>
        <w:pStyle w:val="Style40"/>
        <w:keepNext/>
        <w:keepLines/>
        <w:widowControl w:val="0"/>
        <w:shd w:val="clear" w:color="auto" w:fill="auto"/>
        <w:bidi w:val="0"/>
        <w:spacing w:before="0" w:after="38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6"/>
      <w:bookmarkEnd w:id="397"/>
      <w:bookmarkEnd w:id="399"/>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3</w:t>
      </w:r>
      <w:bookmarkEnd w:id="402"/>
      <w:r>
        <w:rPr>
          <w:color w:val="000000"/>
          <w:spacing w:val="0"/>
          <w:w w:val="100"/>
          <w:position w:val="0"/>
        </w:rPr>
        <w:t>、委托他人进行现金资产管理情况</w:t>
      </w:r>
      <w:bookmarkEnd w:id="400"/>
      <w:bookmarkEnd w:id="401"/>
      <w:bookmarkEnd w:id="403"/>
    </w:p>
    <w:p>
      <w:pPr>
        <w:pStyle w:val="Style40"/>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4"/>
      <w:bookmarkEnd w:id="405"/>
      <w:bookmarkEnd w:id="407"/>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26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委托理财出现预期无法收回本金或存在其他可能导致减值的情形</w:t>
      </w:r>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9"/>
        </w:numPr>
        <w:shd w:val="clear" w:color="auto" w:fill="auto"/>
        <w:bidi w:val="0"/>
        <w:spacing w:before="0" w:after="380" w:line="240" w:lineRule="auto"/>
        <w:ind w:left="0" w:right="0" w:firstLine="0"/>
        <w:jc w:val="left"/>
      </w:pPr>
      <w:bookmarkStart w:id="408" w:name="bookmark408"/>
      <w:bookmarkStart w:id="409" w:name="bookmark409"/>
      <w:bookmarkStart w:id="410" w:name="bookmark410"/>
      <w:bookmarkStart w:id="411" w:name="bookmark411"/>
      <w:bookmarkEnd w:id="410"/>
      <w:r>
        <w:rPr>
          <w:color w:val="000000"/>
          <w:spacing w:val="0"/>
          <w:w w:val="100"/>
          <w:position w:val="0"/>
        </w:rPr>
        <w:t>委托贷款情况</w:t>
      </w:r>
      <w:bookmarkEnd w:id="408"/>
      <w:bookmarkEnd w:id="409"/>
      <w:bookmarkEnd w:id="411"/>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4</w:t>
      </w:r>
      <w:bookmarkEnd w:id="414"/>
      <w:r>
        <w:rPr>
          <w:color w:val="000000"/>
          <w:spacing w:val="0"/>
          <w:w w:val="100"/>
          <w:position w:val="0"/>
        </w:rPr>
        <w:t>、</w:t>
        <w:tab/>
        <w:t>日常经营重大合同</w:t>
      </w:r>
      <w:bookmarkEnd w:id="412"/>
      <w:bookmarkEnd w:id="413"/>
      <w:bookmarkEnd w:id="415"/>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5</w:t>
      </w:r>
      <w:bookmarkEnd w:id="418"/>
      <w:r>
        <w:rPr>
          <w:color w:val="000000"/>
          <w:spacing w:val="0"/>
          <w:w w:val="100"/>
          <w:position w:val="0"/>
        </w:rPr>
        <w:t>、</w:t>
        <w:tab/>
        <w:t>其他重大合同</w:t>
      </w:r>
      <w:bookmarkEnd w:id="416"/>
      <w:bookmarkEnd w:id="417"/>
      <w:bookmarkEnd w:id="419"/>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十八、社会责任情况</w:t>
      </w:r>
      <w:bookmarkEnd w:id="420"/>
      <w:bookmarkEnd w:id="421"/>
      <w:bookmarkEnd w:id="422"/>
    </w:p>
    <w:p>
      <w:pPr>
        <w:pStyle w:val="Style34"/>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、履行社会责任情况</w:t>
      </w:r>
      <w:bookmarkEnd w:id="423"/>
      <w:bookmarkEnd w:id="424"/>
      <w:bookmarkEnd w:id="426"/>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茂硕电源是国家级高新技术企业，是国家鼓励发展的节能减碳新能源企业，公司注重环境保护、节能减排和可持续性发 展等问题，注重社会公共关系和社会公益事业，积极履行社会责任，实现利益相关方共赢和效益共享。</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股东权益保护方面：公司严格按照《深圳证券交易所股票上市规则》、《公司章程》、《信息披露管理制度》等有关法 律法规以及公司内控制度，建立完善的治理结构，通过健全内部管理和控制制度体系，规范股东大会、董事会、监事会三会 运作，公司认真履行信息披露义务，保证信息披露真实、准确、及时和完整，并通过业绩说明会、投资者关系互动平台、专 线电话等保持与股东联系，维护股东合法权益。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职工权益保护方面：公司严格遵守《劳动法》、《劳动合同法》、《妇女权益保护法》等相关法律法规，尊重和维护员 工的合法权益，定期开展员工体检、组织参加工会活动、发放员工生日礼物等，关注员工身心健康；同时，公司注重员工队 伍建设，建立有效的人才选拔、培养和激励机制，帮助员工有更好的职业生涯发展，提升个人竞争力，让员工过上美好生活, 营造员工与企业间和谐、共赢、长久发展的氛围。</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消费者与供应商权益保护：公司秉承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诚信、合作、共赢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的商业理念，积极建立与供应商和客户长期、稳定的友好合作 关系，实现各方互利共赢和利益共享。同时，公司始终坚持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卓越设计、稳定可靠；持续改进，客户满意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的质量方针，对产 品的质量方面严加把关，公司成立的集团总部的质量中心，负责实施质量管理体系工作，按照国际质量体系标准，实行涵盖 整个公司业务的质量管理控制，稳定生产出高质量、可信赖的产品，保护消费者的合法权益。</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公司是全球先进的电源解决方案供应商和国内电源行业的标志性企业，始终坚持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绿色创新，高效节能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的环保理念，自 觉积极履行社会责任，致力于为全球节能减碳贡献力量，同时，加强对环境保护的宣传工作，提高了全体员工的环保意识， 促进企业的长期可持续发展。</w:t>
      </w:r>
    </w:p>
    <w:p>
      <w:pPr>
        <w:pStyle w:val="Style34"/>
        <w:keepNext/>
        <w:keepLines/>
        <w:widowControl w:val="0"/>
        <w:shd w:val="clear" w:color="auto" w:fill="auto"/>
        <w:tabs>
          <w:tab w:pos="327" w:val="left"/>
        </w:tabs>
        <w:bidi w:val="0"/>
        <w:spacing w:before="0" w:after="2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履行精准扶贫社会责任情况</w:t>
      </w:r>
      <w:bookmarkEnd w:id="427"/>
      <w:bookmarkEnd w:id="428"/>
      <w:bookmarkEnd w:id="430"/>
    </w:p>
    <w:p>
      <w:pPr>
        <w:pStyle w:val="Style34"/>
        <w:keepNext/>
        <w:keepLines/>
        <w:widowControl w:val="0"/>
        <w:shd w:val="clear" w:color="auto" w:fill="auto"/>
        <w:bidi w:val="0"/>
        <w:spacing w:before="0" w:after="380" w:line="315" w:lineRule="exact"/>
        <w:ind w:left="0" w:right="0" w:firstLine="0"/>
        <w:jc w:val="left"/>
        <w:rPr>
          <w:sz w:val="17"/>
          <w:szCs w:val="17"/>
        </w:rPr>
      </w:pPr>
      <w:bookmarkStart w:id="431" w:name="bookmark431"/>
      <w:bookmarkStart w:id="432" w:name="bookmark432"/>
      <w:bookmarkStart w:id="433" w:name="bookmark433"/>
      <w:r>
        <w:rPr>
          <w:b w:val="0"/>
          <w:bCs w:val="0"/>
          <w:color w:val="000000"/>
          <w:spacing w:val="0"/>
          <w:w w:val="100"/>
          <w:position w:val="0"/>
          <w:sz w:val="17"/>
          <w:szCs w:val="17"/>
        </w:rPr>
        <w:t>公司报告年度暂未开展精准扶贫工作，也暂无后续精准扶贫计划。</w:t>
      </w:r>
      <w:bookmarkEnd w:id="431"/>
      <w:bookmarkEnd w:id="432"/>
      <w:bookmarkEnd w:id="433"/>
    </w:p>
    <w:p>
      <w:pPr>
        <w:pStyle w:val="Style34"/>
        <w:keepNext/>
        <w:keepLines/>
        <w:widowControl w:val="0"/>
        <w:shd w:val="clear" w:color="auto" w:fill="auto"/>
        <w:tabs>
          <w:tab w:pos="327" w:val="left"/>
        </w:tabs>
        <w:bidi w:val="0"/>
        <w:spacing w:before="0" w:after="26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w:t>
        <w:tab/>
        <w:t>环境保护相关的情况</w:t>
      </w:r>
      <w:bookmarkEnd w:id="434"/>
      <w:bookmarkEnd w:id="435"/>
      <w:bookmarkEnd w:id="437"/>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经核查</w:t>
      </w:r>
      <w:r>
        <w:rPr>
          <w:color w:val="000000"/>
          <w:spacing w:val="0"/>
          <w:w w:val="100"/>
          <w:position w:val="0"/>
          <w:sz w:val="18"/>
          <w:szCs w:val="18"/>
        </w:rPr>
        <w:t>，</w:t>
      </w:r>
      <w:r>
        <w:rPr>
          <w:color w:val="000000"/>
          <w:spacing w:val="0"/>
          <w:w w:val="100"/>
          <w:position w:val="0"/>
        </w:rPr>
        <w:t>公司及子公司不属于环境保护部门公布的重点排污单位。</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公司及子公司在日常生产经营中认真执行《中华人民共和国环境保护法》、《中华人民共和国水污染防治法》、《中华 人民共和国大气污染防治法》、《中华人民共和国固体废物污染防治法》等环保方面的法律法规，报告期内未出现因违法违 规而受到处罚的情况。</w:t>
      </w:r>
    </w:p>
    <w:p>
      <w:pPr>
        <w:pStyle w:val="Style27"/>
        <w:keepNext/>
        <w:keepLines/>
        <w:widowControl w:val="0"/>
        <w:shd w:val="clear" w:color="auto" w:fill="auto"/>
        <w:bidi w:val="0"/>
        <w:spacing w:before="0" w:after="26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十九、其他重大事项的说明</w:t>
      </w:r>
      <w:bookmarkEnd w:id="438"/>
      <w:bookmarkEnd w:id="439"/>
      <w:bookmarkEnd w:id="440"/>
    </w:p>
    <w:p>
      <w:pPr>
        <w:pStyle w:val="Style3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5" w:lineRule="exact"/>
        <w:ind w:left="0" w:right="0"/>
        <w:jc w:val="both"/>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日，公司控股股东、实际控制人顾永德先生及其一致行动人深圳德旺投资发展有限公司与江西省省属 国有企业资产经营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有限公司签署了《股份转让意向协议》，顾永德先生及其一致行动人拟向江西省省属国有企业资产 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有限公司或其指定主体转让合计不低于</w:t>
      </w:r>
      <w:r>
        <w:rPr>
          <w:rFonts w:ascii="Times New Roman" w:eastAsia="Times New Roman" w:hAnsi="Times New Roman" w:cs="Times New Roman"/>
          <w:color w:val="000000"/>
          <w:spacing w:val="0"/>
          <w:w w:val="100"/>
          <w:position w:val="0"/>
          <w:sz w:val="18"/>
          <w:szCs w:val="18"/>
        </w:rPr>
        <w:t>68,500,000</w:t>
      </w:r>
      <w:r>
        <w:rPr>
          <w:color w:val="000000"/>
          <w:spacing w:val="0"/>
          <w:w w:val="100"/>
          <w:position w:val="0"/>
        </w:rPr>
        <w:t>股股票，占公司总股本不低于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,但其最终持有的上市公司股 票不超过上市公司总股本的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，收购完成后，江西省省属国有企业资产经营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有限公司或其指定主体将取得上市公司 实际控制权。具体详情请见刊登于巨潮资讯网（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上的《关于控股股东、实际控制人签署〈股份转</w:t>
      </w:r>
      <w:r>
        <w:rPr>
          <w:color w:val="000000"/>
          <w:spacing w:val="0"/>
          <w:w w:val="100"/>
          <w:position w:val="0"/>
        </w:rPr>
        <w:t xml:space="preserve"> 让意向协议〉暨公司控制权拟变更的提示性公告》。</w:t>
      </w:r>
    </w:p>
    <w:p>
      <w:pPr>
        <w:pStyle w:val="Style31"/>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日，双方根据实际情况就《股份转让意向协议》第三条诚意金条款签署了《股份转让意向补充协议（一）》， 具体详情请见刊登于巨潮资讯网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上的《关于控股股东、实际控制人签署</w:t>
      </w:r>
      <w:r>
        <w:rPr>
          <w:color w:val="000000"/>
          <w:spacing w:val="0"/>
          <w:w w:val="100"/>
          <w:position w:val="0"/>
          <w:sz w:val="18"/>
          <w:szCs w:val="18"/>
        </w:rPr>
        <w:t>〈</w:t>
      </w:r>
      <w:r>
        <w:rPr>
          <w:color w:val="000000"/>
          <w:spacing w:val="0"/>
          <w:w w:val="100"/>
          <w:position w:val="0"/>
        </w:rPr>
        <w:t>股份转让意向补充协</w:t>
      </w:r>
      <w:r>
        <w:rPr>
          <w:color w:val="000000"/>
          <w:spacing w:val="0"/>
          <w:w w:val="100"/>
          <w:position w:val="0"/>
        </w:rPr>
        <w:t xml:space="preserve"> 议（一）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暨公司控制权拟变更的进展公告》。</w:t>
      </w:r>
    </w:p>
    <w:p>
      <w:pPr>
        <w:pStyle w:val="Style31"/>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日，因疫情影响，双方根据实际情况就《股份转让意向协议》第九条第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款第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项延限事项签署了《股份 转让意向补充协议（二）》，具体详情请见刊登于巨潮资讯网（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上的《关于控股股东、实际控制</w:t>
      </w:r>
      <w:r>
        <w:rPr>
          <w:color w:val="000000"/>
          <w:spacing w:val="0"/>
          <w:w w:val="100"/>
          <w:position w:val="0"/>
        </w:rPr>
        <w:t xml:space="preserve"> 人签署</w:t>
      </w:r>
      <w:r>
        <w:rPr>
          <w:color w:val="000000"/>
          <w:spacing w:val="0"/>
          <w:w w:val="100"/>
          <w:position w:val="0"/>
          <w:sz w:val="18"/>
          <w:szCs w:val="18"/>
        </w:rPr>
        <w:t>〈</w:t>
      </w:r>
      <w:r>
        <w:rPr>
          <w:color w:val="000000"/>
          <w:spacing w:val="0"/>
          <w:w w:val="100"/>
          <w:position w:val="0"/>
        </w:rPr>
        <w:t>股份转让意向补充协议（二）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暨公司控制权拟变更的进展公告》。</w:t>
      </w:r>
    </w:p>
    <w:p>
      <w:pPr>
        <w:pStyle w:val="Style3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日，双方根据实际情况就部分合同条款进行修订签署了《股份转让意向补充协议</w:t>
      </w:r>
      <w:r>
        <w:rPr>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》，具体详情请见刊登于 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上的《关于控股股东、实际控制人签署</w:t>
      </w:r>
      <w:r>
        <w:rPr>
          <w:color w:val="000000"/>
          <w:spacing w:val="0"/>
          <w:w w:val="100"/>
          <w:position w:val="0"/>
          <w:sz w:val="18"/>
          <w:szCs w:val="18"/>
        </w:rPr>
        <w:t>〈</w:t>
      </w:r>
      <w:r>
        <w:rPr>
          <w:color w:val="000000"/>
          <w:spacing w:val="0"/>
          <w:w w:val="100"/>
          <w:position w:val="0"/>
        </w:rPr>
        <w:t>股份转让意向补充协议（三）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暨公司控制</w:t>
      </w:r>
      <w:r>
        <w:rPr>
          <w:color w:val="000000"/>
          <w:spacing w:val="0"/>
          <w:w w:val="100"/>
          <w:position w:val="0"/>
        </w:rPr>
        <w:t xml:space="preserve"> 权拟变更的进展公告》。</w:t>
      </w:r>
    </w:p>
    <w:p>
      <w:pPr>
        <w:pStyle w:val="Style3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日，由于疫情影响及形势变化，顾永德先生及深圳德旺投资发展有限公司书面通知江西国资，解除之前与江西国 资签订的《股份转让意向协议》及其补充协议，并自发出书面解除通知之日起，《股份转让意向协议》及其补充协议解除。 具体详情请见刊登于巨潮资讯网（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上的《关于控股股东、实际控制人解除《股份转让意向协议》</w:t>
      </w:r>
      <w:r>
        <w:rPr>
          <w:color w:val="000000"/>
          <w:spacing w:val="0"/>
          <w:w w:val="100"/>
          <w:position w:val="0"/>
        </w:rPr>
        <w:t xml:space="preserve"> 暨终止公司控制权变更》。</w:t>
      </w:r>
    </w:p>
    <w:p>
      <w:pPr>
        <w:pStyle w:val="Style31"/>
        <w:keepNext w:val="0"/>
        <w:keepLines w:val="0"/>
        <w:widowControl w:val="0"/>
        <w:shd w:val="clear" w:color="auto" w:fill="auto"/>
        <w:bidi w:val="0"/>
        <w:spacing w:before="0" w:after="0" w:line="315" w:lineRule="exact"/>
        <w:ind w:left="0" w:right="0"/>
        <w:jc w:val="both"/>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日，公司与福建纵腾网络有限公司签署了《出资转让协议》，公司将其持有的长兴九派兴硕股权投资基 金合伙企业（有限合伙）</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份额转让给福建纵腾网络有限公司</w:t>
      </w:r>
      <w:r>
        <w:rPr>
          <w:color w:val="000000"/>
          <w:spacing w:val="0"/>
          <w:w w:val="100"/>
          <w:position w:val="0"/>
          <w:sz w:val="18"/>
          <w:szCs w:val="18"/>
        </w:rPr>
        <w:t>，</w:t>
      </w:r>
      <w:r>
        <w:rPr>
          <w:color w:val="000000"/>
          <w:spacing w:val="0"/>
          <w:w w:val="100"/>
          <w:position w:val="0"/>
        </w:rPr>
        <w:t>交易价格为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万元，本次转让完成后，公司将不再持有 基金份额。详情请参阅刊登在巨潮资讯网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的《关于转让基金份额的公告》。截至目前，基金已经完成工 商变更手续。</w:t>
      </w:r>
    </w:p>
    <w:p>
      <w:pPr>
        <w:pStyle w:val="Style31"/>
        <w:keepNext w:val="0"/>
        <w:keepLines w:val="0"/>
        <w:widowControl w:val="0"/>
        <w:shd w:val="clear" w:color="auto" w:fill="auto"/>
        <w:bidi w:val="0"/>
        <w:spacing w:before="0" w:after="140" w:line="315" w:lineRule="exact"/>
        <w:ind w:left="0" w:right="0"/>
        <w:jc w:val="both"/>
      </w:pPr>
      <w:bookmarkStart w:id="443" w:name="bookmark443"/>
      <w:r>
        <w:rPr>
          <w:rFonts w:ascii="Times New Roman" w:eastAsia="Times New Roman" w:hAnsi="Times New Roman" w:cs="Times New Roman"/>
          <w:color w:val="000000"/>
          <w:spacing w:val="0"/>
          <w:w w:val="100"/>
          <w:position w:val="0"/>
          <w:sz w:val="18"/>
          <w:szCs w:val="18"/>
        </w:rPr>
        <w:t>3</w:t>
      </w:r>
      <w:bookmarkEnd w:id="44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日，公司控股股东、实际控制人顾永德先生及其一致行动人深圳德旺投资发展有限公司与济南产发资本 控股集团有限公司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济南产发资本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签署了《股份转让框架协议》</w:t>
      </w:r>
      <w:r>
        <w:rPr>
          <w:color w:val="000000"/>
          <w:spacing w:val="0"/>
          <w:w w:val="100"/>
          <w:position w:val="0"/>
          <w:sz w:val="18"/>
          <w:szCs w:val="18"/>
        </w:rPr>
        <w:t>：</w:t>
      </w:r>
      <w:r>
        <w:rPr>
          <w:color w:val="000000"/>
          <w:spacing w:val="0"/>
          <w:w w:val="100"/>
          <w:position w:val="0"/>
        </w:rPr>
        <w:t>济南产发资本或其指定受让主体拟通过受让顾永 德先生直接持有的上市公司</w:t>
      </w:r>
      <w:r>
        <w:rPr>
          <w:rFonts w:ascii="Times New Roman" w:eastAsia="Times New Roman" w:hAnsi="Times New Roman" w:cs="Times New Roman"/>
          <w:color w:val="000000"/>
          <w:spacing w:val="0"/>
          <w:w w:val="100"/>
          <w:position w:val="0"/>
          <w:sz w:val="18"/>
          <w:szCs w:val="18"/>
        </w:rPr>
        <w:t>7.66%</w:t>
      </w:r>
      <w:r>
        <w:rPr>
          <w:color w:val="000000"/>
          <w:spacing w:val="0"/>
          <w:w w:val="100"/>
          <w:position w:val="0"/>
        </w:rPr>
        <w:t>的股份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对应上市公司股份</w:t>
      </w:r>
      <w:r>
        <w:rPr>
          <w:rFonts w:ascii="Times New Roman" w:eastAsia="Times New Roman" w:hAnsi="Times New Roman" w:cs="Times New Roman"/>
          <w:color w:val="000000"/>
          <w:spacing w:val="0"/>
          <w:w w:val="100"/>
          <w:position w:val="0"/>
          <w:sz w:val="18"/>
          <w:szCs w:val="18"/>
        </w:rPr>
        <w:t>21,011,887</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、深圳德旺投资发展有限公司持有的上市公司 </w:t>
      </w:r>
      <w:r>
        <w:rPr>
          <w:rFonts w:ascii="Times New Roman" w:eastAsia="Times New Roman" w:hAnsi="Times New Roman" w:cs="Times New Roman"/>
          <w:color w:val="000000"/>
          <w:spacing w:val="0"/>
          <w:w w:val="100"/>
          <w:position w:val="0"/>
          <w:sz w:val="18"/>
          <w:szCs w:val="18"/>
        </w:rPr>
        <w:t>4.24%</w:t>
      </w:r>
      <w:r>
        <w:rPr>
          <w:color w:val="000000"/>
          <w:spacing w:val="0"/>
          <w:w w:val="100"/>
          <w:position w:val="0"/>
        </w:rPr>
        <w:t>的股份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对应上市公司股份</w:t>
      </w:r>
      <w:r>
        <w:rPr>
          <w:rFonts w:ascii="Times New Roman" w:eastAsia="Times New Roman" w:hAnsi="Times New Roman" w:cs="Times New Roman"/>
          <w:color w:val="000000"/>
          <w:spacing w:val="0"/>
          <w:w w:val="100"/>
          <w:position w:val="0"/>
          <w:sz w:val="18"/>
          <w:szCs w:val="18"/>
        </w:rPr>
        <w:t>11,639,653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，总计上市公司</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对应上市公司股份</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股），同时，顾永德</w:t>
      </w:r>
      <w:r>
        <w:br w:type="page"/>
      </w:r>
    </w:p>
    <w:p>
      <w:pPr>
        <w:pStyle w:val="Style31"/>
        <w:keepNext w:val="0"/>
        <w:keepLines w:val="0"/>
        <w:widowControl w:val="0"/>
        <w:shd w:val="clear" w:color="auto" w:fill="auto"/>
        <w:bidi w:val="0"/>
        <w:spacing w:before="0" w:after="0" w:line="313" w:lineRule="exact"/>
        <w:ind w:left="0" w:right="0" w:firstLine="0"/>
        <w:jc w:val="both"/>
      </w:pPr>
      <w:r>
        <mc:AlternateContent>
          <mc:Choice Requires="wps">
            <w:drawing>
              <wp:anchor distT="0" distB="0" distL="0" distR="0" simplePos="0" relativeHeight="125829378" behindDoc="0" locked="0" layoutInCell="1" allowOverlap="1">
                <wp:simplePos x="0" y="0"/>
                <wp:positionH relativeFrom="page">
                  <wp:posOffset>3862705</wp:posOffset>
                </wp:positionH>
                <wp:positionV relativeFrom="paragraph">
                  <wp:posOffset>203200</wp:posOffset>
                </wp:positionV>
                <wp:extent cx="2980690" cy="405130"/>
                <wp:wrapSquare wrapText="left"/>
                <wp:docPr id="21" name="Shape 21"/>
                <a:graphic xmlns:a="http://schemas.openxmlformats.org/drawingml/2006/main">
                  <a:graphicData uri="http://schemas.microsoft.com/office/word/2010/wordprocessingShape">
                    <wps:wsp>
                      <wps:cNvSpPr txBox="1"/>
                      <wps:spPr>
                        <a:xfrm>
                          <a:ext cx="2980690" cy="405130"/>
                        </a:xfrm>
                        <a:prstGeom prst="rect"/>
                        <a:noFill/>
                      </wps:spPr>
                      <wps:txbx>
                        <w:txbxContent>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取得上市公司的实际控制权。具体详情请见刊登于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实际控制人签署《股份转让框架协议》暨公司控制权拟变更</w:t>
                            </w:r>
                          </w:p>
                        </w:txbxContent>
                      </wps:txbx>
                      <wps:bodyPr lIns="0" tIns="0" rIns="0" bIns="0">
                        <a:noAutoFit/>
                      </wps:bodyPr>
                    </wps:wsp>
                  </a:graphicData>
                </a:graphic>
              </wp:anchor>
            </w:drawing>
          </mc:Choice>
          <mc:Fallback>
            <w:pict>
              <v:shape id="_x0000_s1047" type="#_x0000_t202" style="position:absolute;margin-left:304.15000000000003pt;margin-top:16.pt;width:234.70000000000002pt;height:31.900000000000002pt;z-index:-125829375;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取得上市公司的实际控制权。具体详情请见刊登于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实际控制人签署《股份转让框架协议》暨公司控制权拟变更</w:t>
                      </w:r>
                    </w:p>
                  </w:txbxContent>
                </v:textbox>
                <w10:wrap type="square" side="left" anchorx="page"/>
              </v:shape>
            </w:pict>
          </mc:Fallback>
        </mc:AlternateContent>
      </w:r>
      <w:r>
        <w:rPr>
          <w:color w:val="000000"/>
          <w:spacing w:val="0"/>
          <w:w w:val="100"/>
          <w:position w:val="0"/>
        </w:rPr>
        <w:t>先生将持有的上市公司</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股份的表决权委托给济南产发资本行使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，本次交易完成后，济南产发资 本或其指定受让主体将合计拥有</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的上市公司股份表决权， 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《关于控股股东、</w:t>
      </w:r>
      <w:r>
        <w:rPr>
          <w:color w:val="000000"/>
          <w:spacing w:val="0"/>
          <w:w w:val="100"/>
          <w:position w:val="0"/>
        </w:rPr>
        <w:t xml:space="preserve"> 的提示性公告》</w:t>
      </w:r>
    </w:p>
    <w:p>
      <w:pPr>
        <w:pStyle w:val="Style31"/>
        <w:keepNext w:val="0"/>
        <w:keepLines w:val="0"/>
        <w:widowControl w:val="0"/>
        <w:shd w:val="clear" w:color="auto" w:fill="auto"/>
        <w:bidi w:val="0"/>
        <w:spacing w:before="0" w:after="0" w:line="313" w:lineRule="exact"/>
        <w:ind w:left="0" w:right="0"/>
        <w:jc w:val="both"/>
      </w:pPr>
      <w:r>
        <mc:AlternateContent>
          <mc:Choice Requires="wps">
            <w:drawing>
              <wp:anchor distT="0" distB="0" distL="76200" distR="76200" simplePos="0" relativeHeight="125829380" behindDoc="0" locked="0" layoutInCell="1" allowOverlap="1">
                <wp:simplePos x="0" y="0"/>
                <wp:positionH relativeFrom="page">
                  <wp:posOffset>3923665</wp:posOffset>
                </wp:positionH>
                <wp:positionV relativeFrom="paragraph">
                  <wp:posOffset>63500</wp:posOffset>
                </wp:positionV>
                <wp:extent cx="2917190" cy="158750"/>
                <wp:wrapSquare wrapText="left"/>
                <wp:docPr id="23" name="Shape 23"/>
                <a:graphic xmlns:a="http://schemas.openxmlformats.org/drawingml/2006/main">
                  <a:graphicData uri="http://schemas.microsoft.com/office/word/2010/wordprocessingShape">
                    <wps:wsp>
                      <wps:cNvSpPr txBox="1"/>
                      <wps:spPr>
                        <a:xfrm>
                          <a:ext cx="2917190" cy="1587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长投八达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）及其关联方长城国融投资管理有限</w:t>
                            </w:r>
                          </w:p>
                        </w:txbxContent>
                      </wps:txbx>
                      <wps:bodyPr wrap="none" lIns="0" tIns="0" rIns="0" bIns="0">
                        <a:noAutoFit/>
                      </wps:bodyPr>
                    </wps:wsp>
                  </a:graphicData>
                </a:graphic>
              </wp:anchor>
            </w:drawing>
          </mc:Choice>
          <mc:Fallback>
            <w:pict>
              <v:shape id="_x0000_s1049" type="#_x0000_t202" style="position:absolute;margin-left:308.94999999999999pt;margin-top:5.pt;width:229.70000000000002pt;height:12.5pt;z-index:-125829373;mso-wrap-distance-left:6.pt;mso-wrap-distance-right:6.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长投八达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）及其关联方长城国融投资管理有限</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日，长投八达（芜湖）投资中心（有限合伙）</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长城国融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）于与济南产发资本签署了《债权转让协议》具体详情请见刊登于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《关于控股股东、实际控制人签署《股份转让框架协议》暨公司控制权拟变更的进展公告》。</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日，公司原控股股东、实际控制人顾永德先生及其一致行动人德旺投资与济南产发融盛股权投资有限公司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产发融盛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签署了《股份转让协议》、《表决权委托协议》：产发融盛通过协议转让方式受让顾永德先生直接持 有的茂硕电源</w:t>
      </w:r>
      <w:r>
        <w:rPr>
          <w:rFonts w:ascii="Times New Roman" w:eastAsia="Times New Roman" w:hAnsi="Times New Roman" w:cs="Times New Roman"/>
          <w:color w:val="000000"/>
          <w:spacing w:val="0"/>
          <w:w w:val="100"/>
          <w:position w:val="0"/>
          <w:sz w:val="18"/>
          <w:szCs w:val="18"/>
        </w:rPr>
        <w:t>7.66%</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21,011,887</w:t>
      </w:r>
      <w:r>
        <w:rPr>
          <w:color w:val="000000"/>
          <w:spacing w:val="0"/>
          <w:w w:val="100"/>
          <w:position w:val="0"/>
        </w:rPr>
        <w:t>股）、德旺投资持有的茂硕电源</w:t>
      </w:r>
      <w:r>
        <w:rPr>
          <w:rFonts w:ascii="Times New Roman" w:eastAsia="Times New Roman" w:hAnsi="Times New Roman" w:cs="Times New Roman"/>
          <w:color w:val="000000"/>
          <w:spacing w:val="0"/>
          <w:w w:val="100"/>
          <w:position w:val="0"/>
          <w:sz w:val="18"/>
          <w:szCs w:val="18"/>
        </w:rPr>
        <w:t>4.24%</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11,639,653</w:t>
      </w:r>
      <w:r>
        <w:rPr>
          <w:color w:val="000000"/>
          <w:spacing w:val="0"/>
          <w:w w:val="100"/>
          <w:position w:val="0"/>
        </w:rPr>
        <w:t>股），总 计茂硕电源</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股），同时，顾永德将其持有的茂硕电源</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40,045,302</w:t>
      </w:r>
      <w:r>
        <w:rPr>
          <w:color w:val="000000"/>
          <w:spacing w:val="0"/>
          <w:w w:val="100"/>
          <w:position w:val="0"/>
        </w:rPr>
        <w:t>股） 的表决权无条件不可撤销地委托给产发融盛行使。</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日，公司收到中国证券登记结算有限责任公司出具的《证券过户登记确认书》，顾永德先生及其一致行动 人德旺投资协议转让给产发融盛的无限售流通股合计</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日完成了过户登 记手续。同时，根据顾永德先生、德旺投资与产发融盛签署的《股份转让协议》及《表决权委托协议》约定，顾永德先生、 德旺投资将合计持有公司</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股份转让过户完成后，《表决权委托协议之一》即失效，第一次表决权委托终止，《表决 权委托协议之二》生效，第二次表决权委托开始，即由顾永德将其持有的茂硕电源</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40,045,302</w:t>
      </w:r>
      <w:r>
        <w:rPr>
          <w:color w:val="000000"/>
          <w:spacing w:val="0"/>
          <w:w w:val="100"/>
          <w:position w:val="0"/>
        </w:rPr>
        <w:t>股）的表 决权无条件不可撤销地委托给产发融盛行使。</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截至目前，产发融盛持有茂硕电源</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股），受托行使茂硕电源</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 xml:space="preserve">的股份（数量为 </w:t>
      </w:r>
      <w:r>
        <w:rPr>
          <w:rFonts w:ascii="Times New Roman" w:eastAsia="Times New Roman" w:hAnsi="Times New Roman" w:cs="Times New Roman"/>
          <w:color w:val="000000"/>
          <w:spacing w:val="0"/>
          <w:w w:val="100"/>
          <w:position w:val="0"/>
          <w:sz w:val="18"/>
          <w:szCs w:val="18"/>
        </w:rPr>
        <w:t>40,045,302</w:t>
      </w:r>
      <w:r>
        <w:rPr>
          <w:color w:val="000000"/>
          <w:spacing w:val="0"/>
          <w:w w:val="100"/>
          <w:position w:val="0"/>
        </w:rPr>
        <w:t>股），合计拥有茂硕电源</w:t>
      </w:r>
      <w:r>
        <w:rPr>
          <w:rFonts w:ascii="Times New Roman" w:eastAsia="Times New Roman" w:hAnsi="Times New Roman" w:cs="Times New Roman"/>
          <w:color w:val="000000"/>
          <w:spacing w:val="0"/>
          <w:w w:val="100"/>
          <w:position w:val="0"/>
          <w:sz w:val="18"/>
          <w:szCs w:val="18"/>
        </w:rPr>
        <w:t>26.50%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72,696,842</w:t>
      </w:r>
      <w:r>
        <w:rPr>
          <w:color w:val="000000"/>
          <w:spacing w:val="0"/>
          <w:w w:val="100"/>
          <w:position w:val="0"/>
        </w:rPr>
        <w:t>股）的表决权。产发融盛为公司单一拥有表决权比例 最大的股东，为公司的控股股东，济南市国资委为茂硕电源的最终控制人。</w:t>
      </w:r>
    </w:p>
    <w:p>
      <w:pPr>
        <w:pStyle w:val="Style31"/>
        <w:keepNext w:val="0"/>
        <w:keepLines w:val="0"/>
        <w:widowControl w:val="0"/>
        <w:shd w:val="clear" w:color="auto" w:fill="auto"/>
        <w:bidi w:val="0"/>
        <w:spacing w:before="0" w:after="360" w:line="313" w:lineRule="exact"/>
        <w:ind w:left="0" w:right="0"/>
        <w:jc w:val="both"/>
      </w:pPr>
      <w:bookmarkStart w:id="444" w:name="bookmark444"/>
      <w:r>
        <w:rPr>
          <w:rFonts w:ascii="Times New Roman" w:eastAsia="Times New Roman" w:hAnsi="Times New Roman" w:cs="Times New Roman"/>
          <w:color w:val="000000"/>
          <w:spacing w:val="0"/>
          <w:w w:val="100"/>
          <w:position w:val="0"/>
          <w:sz w:val="18"/>
          <w:szCs w:val="18"/>
        </w:rPr>
        <w:t>4</w:t>
      </w:r>
      <w:bookmarkEnd w:id="444"/>
      <w:r>
        <w:rPr>
          <w:color w:val="000000"/>
          <w:spacing w:val="0"/>
          <w:w w:val="100"/>
          <w:position w:val="0"/>
        </w:rPr>
        <w:t>、并网发电的光伏电站情况：（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）浙江海宁茂硕诺华能源有限公司</w:t>
      </w:r>
      <w:r>
        <w:rPr>
          <w:color w:val="000000"/>
          <w:spacing w:val="0"/>
          <w:w w:val="100"/>
          <w:position w:val="0"/>
          <w:sz w:val="18"/>
          <w:szCs w:val="18"/>
        </w:rPr>
        <w:t>，</w:t>
      </w:r>
      <w:r>
        <w:rPr>
          <w:color w:val="000000"/>
          <w:spacing w:val="0"/>
          <w:w w:val="100"/>
          <w:position w:val="0"/>
        </w:rPr>
        <w:t>公司占比</w:t>
      </w:r>
      <w:r>
        <w:rPr>
          <w:rFonts w:ascii="Times New Roman" w:eastAsia="Times New Roman" w:hAnsi="Times New Roman" w:cs="Times New Roman"/>
          <w:color w:val="000000"/>
          <w:spacing w:val="0"/>
          <w:w w:val="100"/>
          <w:position w:val="0"/>
          <w:sz w:val="18"/>
          <w:szCs w:val="18"/>
        </w:rPr>
        <w:t>70.6%</w:t>
      </w:r>
      <w:r>
        <w:rPr>
          <w:color w:val="000000"/>
          <w:spacing w:val="0"/>
          <w:w w:val="100"/>
          <w:position w:val="0"/>
          <w:sz w:val="18"/>
          <w:szCs w:val="18"/>
        </w:rPr>
        <w:t>，</w:t>
      </w:r>
      <w:r>
        <w:rPr>
          <w:color w:val="000000"/>
          <w:spacing w:val="0"/>
          <w:w w:val="100"/>
          <w:position w:val="0"/>
        </w:rPr>
        <w:t>投资建设</w:t>
      </w:r>
      <w:r>
        <w:rPr>
          <w:rFonts w:ascii="Times New Roman" w:eastAsia="Times New Roman" w:hAnsi="Times New Roman" w:cs="Times New Roman"/>
          <w:color w:val="000000"/>
          <w:spacing w:val="0"/>
          <w:w w:val="100"/>
          <w:position w:val="0"/>
          <w:sz w:val="18"/>
          <w:szCs w:val="18"/>
        </w:rPr>
        <w:t>15MW</w:t>
      </w:r>
      <w:r>
        <w:rPr>
          <w:color w:val="000000"/>
          <w:spacing w:val="0"/>
          <w:w w:val="100"/>
          <w:position w:val="0"/>
        </w:rPr>
        <w:t>光伏项目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底已正常并网发电。（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）萍乡安源区光伏发电项目，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月签订</w:t>
      </w:r>
      <w:r>
        <w:rPr>
          <w:color w:val="000000"/>
          <w:spacing w:val="0"/>
          <w:w w:val="100"/>
          <w:position w:val="0"/>
          <w:sz w:val="18"/>
          <w:szCs w:val="18"/>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拟投资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亿建设</w:t>
      </w:r>
      <w:r>
        <w:rPr>
          <w:rFonts w:ascii="Times New Roman" w:eastAsia="Times New Roman" w:hAnsi="Times New Roman" w:cs="Times New Roman"/>
          <w:color w:val="000000"/>
          <w:spacing w:val="0"/>
          <w:w w:val="100"/>
          <w:position w:val="0"/>
          <w:sz w:val="18"/>
          <w:szCs w:val="18"/>
        </w:rPr>
        <w:t>50MW</w:t>
      </w:r>
      <w:r>
        <w:rPr>
          <w:color w:val="000000"/>
          <w:spacing w:val="0"/>
          <w:w w:val="100"/>
          <w:position w:val="0"/>
        </w:rPr>
        <w:t>光伏并网发电项目， 分两期建设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一期中</w:t>
      </w:r>
      <w:r>
        <w:rPr>
          <w:rFonts w:ascii="Times New Roman" w:eastAsia="Times New Roman" w:hAnsi="Times New Roman" w:cs="Times New Roman"/>
          <w:color w:val="000000"/>
          <w:spacing w:val="0"/>
          <w:w w:val="100"/>
          <w:position w:val="0"/>
          <w:sz w:val="18"/>
          <w:szCs w:val="18"/>
        </w:rPr>
        <w:t>11.5MW</w:t>
      </w:r>
      <w:r>
        <w:rPr>
          <w:color w:val="000000"/>
          <w:spacing w:val="0"/>
          <w:w w:val="100"/>
          <w:position w:val="0"/>
        </w:rPr>
        <w:t>光伏电站项目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月底已正常并网发电，未建部分已不再建。（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）新余渝水区光伏发电项 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月签订</w:t>
      </w:r>
      <w:r>
        <w:rPr>
          <w:color w:val="000000"/>
          <w:spacing w:val="0"/>
          <w:w w:val="100"/>
          <w:position w:val="0"/>
          <w:sz w:val="18"/>
          <w:szCs w:val="18"/>
        </w:rPr>
        <w:t>，</w:t>
      </w:r>
      <w:r>
        <w:rPr>
          <w:color w:val="000000"/>
          <w:spacing w:val="0"/>
          <w:w w:val="100"/>
          <w:position w:val="0"/>
        </w:rPr>
        <w:t>有效期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color w:val="000000"/>
          <w:spacing w:val="0"/>
          <w:w w:val="100"/>
          <w:position w:val="0"/>
          <w:sz w:val="18"/>
          <w:szCs w:val="18"/>
        </w:rPr>
        <w:t>，</w:t>
      </w:r>
      <w:r>
        <w:rPr>
          <w:color w:val="000000"/>
          <w:spacing w:val="0"/>
          <w:w w:val="100"/>
          <w:position w:val="0"/>
        </w:rPr>
        <w:t>新余茂硕拟在新余市渝水区投资</w:t>
      </w:r>
      <w:r>
        <w:rPr>
          <w:rFonts w:ascii="Times New Roman" w:eastAsia="Times New Roman" w:hAnsi="Times New Roman" w:cs="Times New Roman"/>
          <w:color w:val="000000"/>
          <w:spacing w:val="0"/>
          <w:w w:val="100"/>
          <w:position w:val="0"/>
          <w:sz w:val="18"/>
          <w:szCs w:val="18"/>
        </w:rPr>
        <w:t>100MW</w:t>
      </w:r>
      <w:r>
        <w:rPr>
          <w:color w:val="000000"/>
          <w:spacing w:val="0"/>
          <w:w w:val="100"/>
          <w:position w:val="0"/>
        </w:rPr>
        <w:t>光伏并网发电项目，总投资预计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亿元人民币。截至目 前</w:t>
      </w:r>
      <w:r>
        <w:rPr>
          <w:color w:val="000000"/>
          <w:spacing w:val="0"/>
          <w:w w:val="100"/>
          <w:position w:val="0"/>
          <w:sz w:val="18"/>
          <w:szCs w:val="18"/>
        </w:rPr>
        <w:t>，</w:t>
      </w:r>
      <w:r>
        <w:rPr>
          <w:color w:val="000000"/>
          <w:spacing w:val="0"/>
          <w:w w:val="100"/>
          <w:position w:val="0"/>
        </w:rPr>
        <w:t>一期何家边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光伏电站项目已并网发电</w:t>
      </w:r>
      <w:r>
        <w:rPr>
          <w:rFonts w:ascii="Times New Roman" w:eastAsia="Times New Roman" w:hAnsi="Times New Roman" w:cs="Times New Roman"/>
          <w:color w:val="000000"/>
          <w:spacing w:val="0"/>
          <w:w w:val="100"/>
          <w:position w:val="0"/>
          <w:sz w:val="18"/>
          <w:szCs w:val="18"/>
        </w:rPr>
        <w:t>16.72MW</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both"/>
      </w:pPr>
      <w:bookmarkStart w:id="445" w:name="bookmark445"/>
      <w:bookmarkStart w:id="446" w:name="bookmark446"/>
      <w:bookmarkStart w:id="447" w:name="bookmark447"/>
      <w:r>
        <w:rPr>
          <w:color w:val="000000"/>
          <w:spacing w:val="0"/>
          <w:w w:val="100"/>
          <w:position w:val="0"/>
          <w:sz w:val="24"/>
          <w:szCs w:val="24"/>
        </w:rPr>
        <w:t>二十、公司子公司重大事项</w:t>
      </w:r>
      <w:bookmarkEnd w:id="445"/>
      <w:bookmarkEnd w:id="446"/>
      <w:bookmarkEnd w:id="447"/>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1.2020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w:t>
      </w:r>
      <w:r>
        <w:rPr>
          <w:color w:val="000000"/>
          <w:spacing w:val="0"/>
          <w:w w:val="100"/>
          <w:position w:val="0"/>
        </w:rPr>
        <w:t>经第四届董事会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次临时会议审议通过《关于内部股权架构调整的议案》，公司将全资子公 司香港茂硕</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元价格转让给全资子公司惠州茂硕，转让完成后，香港茂硕将成为公司的二级全资子公司。本次 事项为公司合并报表范围内的内部股权划转，不会对公司的正常经营产生影响。具体详情请见刊登于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日巨潮资 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《关于内部股权架构调整的公告》</w:t>
      </w:r>
      <w:r>
        <w:rPr>
          <w:color w:val="000000"/>
          <w:spacing w:val="0"/>
          <w:w w:val="100"/>
          <w:position w:val="0"/>
          <w:sz w:val="18"/>
          <w:szCs w:val="18"/>
        </w:rPr>
        <w:t>，</w:t>
      </w:r>
      <w:r>
        <w:rPr>
          <w:color w:val="000000"/>
          <w:spacing w:val="0"/>
          <w:w w:val="100"/>
          <w:position w:val="0"/>
        </w:rPr>
        <w:t>截至目前，香港茂硕已经完成工商变更手续。</w:t>
      </w:r>
    </w:p>
    <w:p>
      <w:pPr>
        <w:pStyle w:val="Style31"/>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日，经第四届董事会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次临时会议审议通过《关于内部股权架构调整的议案》，公司的全资子公 司茂硕电子将其全资子公司茂硕科技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元价格转让给公司的另一全资子公司惠州茂硕，转让完成后，茂硕科技 仍是公司的二级全资子公司。具体详情请见刊登于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《关于内部股权架</w:t>
      </w:r>
      <w:r>
        <w:rPr>
          <w:color w:val="000000"/>
          <w:spacing w:val="0"/>
          <w:w w:val="100"/>
          <w:position w:val="0"/>
        </w:rPr>
        <w:t xml:space="preserve"> 构调整的公告》。截至目前，茂硕科技已经完成工商变更手续。</w:t>
      </w:r>
    </w:p>
    <w:p>
      <w:pPr>
        <w:pStyle w:val="Style31"/>
        <w:keepNext w:val="0"/>
        <w:keepLines w:val="0"/>
        <w:widowControl w:val="0"/>
        <w:shd w:val="clear" w:color="auto" w:fill="auto"/>
        <w:bidi w:val="0"/>
        <w:spacing w:before="0" w:after="0" w:line="313" w:lineRule="exact"/>
        <w:ind w:left="0" w:right="0" w:firstLine="2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公司的全资子公司深圳茂硕新能源技术研究院有限公司（以下简称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日与深圳海量资本管理有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海量资本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）以及其他投资人共同出资设立完成了新余市茂硕海量投资企业（有限合伙）（以下简称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 硕海量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日茂硕海量已完成投资如下：</w:t>
      </w:r>
    </w:p>
    <w:p>
      <w:pPr>
        <w:pStyle w:val="Style31"/>
        <w:keepNext w:val="0"/>
        <w:keepLines w:val="0"/>
        <w:widowControl w:val="0"/>
        <w:shd w:val="clear" w:color="auto" w:fill="auto"/>
        <w:bidi w:val="0"/>
        <w:spacing w:before="0" w:after="0" w:line="313" w:lineRule="exact"/>
        <w:ind w:left="0" w:right="0"/>
        <w:jc w:val="both"/>
      </w:pPr>
      <w:r>
        <mc:AlternateContent>
          <mc:Choice Requires="wps">
            <w:drawing>
              <wp:anchor distT="0" distB="0" distL="114300" distR="114300" simplePos="0" relativeHeight="125829382" behindDoc="0" locked="0" layoutInCell="1" allowOverlap="1">
                <wp:simplePos x="0" y="0"/>
                <wp:positionH relativeFrom="page">
                  <wp:posOffset>2744470</wp:posOffset>
                </wp:positionH>
                <wp:positionV relativeFrom="paragraph">
                  <wp:posOffset>76200</wp:posOffset>
                </wp:positionV>
                <wp:extent cx="704215" cy="545465"/>
                <wp:wrapSquare wrapText="left"/>
                <wp:docPr id="25" name="Shape 25"/>
                <a:graphic xmlns:a="http://schemas.openxmlformats.org/drawingml/2006/main">
                  <a:graphicData uri="http://schemas.microsoft.com/office/word/2010/wordprocessingShape">
                    <wps:wsp>
                      <wps:cNvSpPr txBox="1"/>
                      <wps:spPr>
                        <a:xfrm>
                          <a:ext cx="704215" cy="545465"/>
                        </a:xfrm>
                        <a:prstGeom prst="rect"/>
                        <a:noFill/>
                      </wps:spPr>
                      <wps:txbx>
                        <w:txbxContent>
                          <w:p>
                            <w:pPr>
                              <w:pStyle w:val="Style5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 xml:space="preserve">占比 </w:t>
                            </w:r>
                            <w:r>
                              <w:rPr>
                                <w:color w:val="000000"/>
                                <w:spacing w:val="0"/>
                                <w:w w:val="100"/>
                                <w:position w:val="0"/>
                              </w:rPr>
                              <w:t>9.0000%</w:t>
                            </w:r>
                          </w:p>
                          <w:p>
                            <w:pPr>
                              <w:pStyle w:val="Style5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占比</w:t>
                            </w:r>
                            <w:r>
                              <w:rPr>
                                <w:color w:val="000000"/>
                                <w:spacing w:val="0"/>
                                <w:w w:val="100"/>
                                <w:position w:val="0"/>
                              </w:rPr>
                              <w:t>1.9350%</w:t>
                            </w:r>
                          </w:p>
                          <w:p>
                            <w:pPr>
                              <w:pStyle w:val="Style5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 xml:space="preserve">占比 </w:t>
                            </w:r>
                            <w:r>
                              <w:rPr>
                                <w:color w:val="000000"/>
                                <w:spacing w:val="0"/>
                                <w:w w:val="100"/>
                                <w:position w:val="0"/>
                              </w:rPr>
                              <w:t>9.4300%</w:t>
                            </w:r>
                          </w:p>
                        </w:txbxContent>
                      </wps:txbx>
                      <wps:bodyPr lIns="0" tIns="0" rIns="0" bIns="0">
                        <a:noAutoFit/>
                      </wps:bodyPr>
                    </wps:wsp>
                  </a:graphicData>
                </a:graphic>
              </wp:anchor>
            </w:drawing>
          </mc:Choice>
          <mc:Fallback>
            <w:pict>
              <v:shape id="_x0000_s1051" type="#_x0000_t202" style="position:absolute;margin-left:216.09999999999999pt;margin-top:6.pt;width:55.450000000000003pt;height:42.950000000000003pt;z-index:-125829371;mso-wrap-distance-left:9.pt;mso-wrap-distance-right:9.pt;mso-position-horizontal-relative:page" filled="f" stroked="f">
                <v:textbox inset="0,0,0,0">
                  <w:txbxContent>
                    <w:p>
                      <w:pPr>
                        <w:pStyle w:val="Style5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 xml:space="preserve">占比 </w:t>
                      </w:r>
                      <w:r>
                        <w:rPr>
                          <w:color w:val="000000"/>
                          <w:spacing w:val="0"/>
                          <w:w w:val="100"/>
                          <w:position w:val="0"/>
                        </w:rPr>
                        <w:t>9.0000%</w:t>
                      </w:r>
                    </w:p>
                    <w:p>
                      <w:pPr>
                        <w:pStyle w:val="Style5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占比</w:t>
                      </w:r>
                      <w:r>
                        <w:rPr>
                          <w:color w:val="000000"/>
                          <w:spacing w:val="0"/>
                          <w:w w:val="100"/>
                          <w:position w:val="0"/>
                        </w:rPr>
                        <w:t>1.9350%</w:t>
                      </w:r>
                    </w:p>
                    <w:p>
                      <w:pPr>
                        <w:pStyle w:val="Style50"/>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 xml:space="preserve">占比 </w:t>
                      </w:r>
                      <w:r>
                        <w:rPr>
                          <w:color w:val="000000"/>
                          <w:spacing w:val="0"/>
                          <w:w w:val="100"/>
                          <w:position w:val="0"/>
                        </w:rPr>
                        <w:t>9.4300%</w:t>
                      </w:r>
                    </w:p>
                  </w:txbxContent>
                </v:textbox>
                <w10:wrap type="square" side="left" anchorx="page"/>
              </v:shape>
            </w:pict>
          </mc:Fallback>
        </mc:AlternateContent>
      </w:r>
      <w:r>
        <w:rPr>
          <w:color w:val="000000"/>
          <w:spacing w:val="0"/>
          <w:w w:val="100"/>
          <w:position w:val="0"/>
        </w:rPr>
        <w:t>深圳市神云科技有限公司</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深圳市乐途宝网络科技有限公司</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深圳多有米网络技术有限公司</w:t>
      </w:r>
    </w:p>
    <w:p>
      <w:pPr>
        <w:pStyle w:val="Style31"/>
        <w:keepNext w:val="0"/>
        <w:keepLines w:val="0"/>
        <w:widowControl w:val="0"/>
        <w:shd w:val="clear" w:color="auto" w:fill="auto"/>
        <w:tabs>
          <w:tab w:pos="3272" w:val="left"/>
        </w:tabs>
        <w:bidi w:val="0"/>
        <w:spacing w:before="0" w:after="0" w:line="310" w:lineRule="exact"/>
        <w:ind w:left="0" w:right="0"/>
        <w:jc w:val="left"/>
        <w:rPr>
          <w:sz w:val="18"/>
          <w:szCs w:val="18"/>
        </w:rPr>
      </w:pPr>
      <w:r>
        <w:rPr>
          <w:color w:val="000000"/>
          <w:spacing w:val="0"/>
          <w:w w:val="100"/>
          <w:position w:val="0"/>
          <w:sz w:val="17"/>
          <w:szCs w:val="17"/>
        </w:rPr>
        <w:t>湖南小而美科技有限公司</w:t>
        <w:tab/>
        <w:t>占比</w:t>
      </w:r>
      <w:r>
        <w:rPr>
          <w:rFonts w:ascii="Times New Roman" w:eastAsia="Times New Roman" w:hAnsi="Times New Roman" w:cs="Times New Roman"/>
          <w:color w:val="000000"/>
          <w:spacing w:val="0"/>
          <w:w w:val="100"/>
          <w:position w:val="0"/>
          <w:sz w:val="18"/>
          <w:szCs w:val="18"/>
        </w:rPr>
        <w:t>5.0000%</w:t>
      </w:r>
    </w:p>
    <w:p>
      <w:pPr>
        <w:pStyle w:val="Style31"/>
        <w:keepNext w:val="0"/>
        <w:keepLines w:val="0"/>
        <w:widowControl w:val="0"/>
        <w:shd w:val="clear" w:color="auto" w:fill="auto"/>
        <w:tabs>
          <w:tab w:pos="3272" w:val="left"/>
        </w:tabs>
        <w:bidi w:val="0"/>
        <w:spacing w:before="0" w:after="0" w:line="310" w:lineRule="exact"/>
        <w:ind w:left="0" w:right="0"/>
        <w:jc w:val="left"/>
        <w:rPr>
          <w:sz w:val="18"/>
          <w:szCs w:val="18"/>
        </w:rPr>
      </w:pPr>
      <w:r>
        <w:rPr>
          <w:color w:val="000000"/>
          <w:spacing w:val="0"/>
          <w:w w:val="100"/>
          <w:position w:val="0"/>
          <w:sz w:val="17"/>
          <w:szCs w:val="17"/>
        </w:rPr>
        <w:t>深圳中科拓达农业科技有限公司</w:t>
        <w:tab/>
        <w:t>占比</w:t>
      </w:r>
      <w:r>
        <w:rPr>
          <w:rFonts w:ascii="Times New Roman" w:eastAsia="Times New Roman" w:hAnsi="Times New Roman" w:cs="Times New Roman"/>
          <w:color w:val="000000"/>
          <w:spacing w:val="0"/>
          <w:w w:val="100"/>
          <w:position w:val="0"/>
          <w:sz w:val="18"/>
          <w:szCs w:val="18"/>
        </w:rPr>
        <w:t>7.9755%</w:t>
      </w:r>
    </w:p>
    <w:p>
      <w:pPr>
        <w:pStyle w:val="Style31"/>
        <w:keepNext w:val="0"/>
        <w:keepLines w:val="0"/>
        <w:widowControl w:val="0"/>
        <w:shd w:val="clear" w:color="auto" w:fill="auto"/>
        <w:tabs>
          <w:tab w:pos="3272" w:val="left"/>
        </w:tabs>
        <w:bidi w:val="0"/>
        <w:spacing w:before="0" w:after="0" w:line="310" w:lineRule="exact"/>
        <w:ind w:left="0" w:right="0"/>
        <w:jc w:val="left"/>
        <w:rPr>
          <w:sz w:val="18"/>
          <w:szCs w:val="18"/>
        </w:rPr>
      </w:pPr>
      <w:r>
        <w:rPr>
          <w:color w:val="000000"/>
          <w:spacing w:val="0"/>
          <w:w w:val="100"/>
          <w:position w:val="0"/>
          <w:sz w:val="17"/>
          <w:szCs w:val="17"/>
        </w:rPr>
        <w:t>深圳市科纳能薄膜科技有限公司</w:t>
        <w:tab/>
        <w:t>占比</w:t>
      </w:r>
      <w:r>
        <w:rPr>
          <w:rFonts w:ascii="Times New Roman" w:eastAsia="Times New Roman" w:hAnsi="Times New Roman" w:cs="Times New Roman"/>
          <w:color w:val="000000"/>
          <w:spacing w:val="0"/>
          <w:w w:val="100"/>
          <w:position w:val="0"/>
          <w:sz w:val="18"/>
          <w:szCs w:val="18"/>
        </w:rPr>
        <w:t>3.2267%</w:t>
      </w:r>
    </w:p>
    <w:p>
      <w:pPr>
        <w:pStyle w:val="Style31"/>
        <w:keepNext w:val="0"/>
        <w:keepLines w:val="0"/>
        <w:widowControl w:val="0"/>
        <w:shd w:val="clear" w:color="auto" w:fill="auto"/>
        <w:tabs>
          <w:tab w:pos="3272" w:val="left"/>
        </w:tabs>
        <w:bidi w:val="0"/>
        <w:spacing w:before="0" w:after="0" w:line="310" w:lineRule="exact"/>
        <w:ind w:left="380" w:right="0" w:firstLine="0"/>
        <w:jc w:val="left"/>
        <w:rPr>
          <w:sz w:val="18"/>
          <w:szCs w:val="18"/>
        </w:rPr>
      </w:pPr>
      <w:r>
        <w:rPr>
          <w:color w:val="000000"/>
          <w:spacing w:val="0"/>
          <w:w w:val="100"/>
          <w:position w:val="0"/>
          <w:sz w:val="17"/>
          <w:szCs w:val="17"/>
        </w:rPr>
        <w:t>深圳天鹰兄弟无人机创新有限公司占比</w:t>
      </w:r>
      <w:r>
        <w:rPr>
          <w:rFonts w:ascii="Times New Roman" w:eastAsia="Times New Roman" w:hAnsi="Times New Roman" w:cs="Times New Roman"/>
          <w:color w:val="000000"/>
          <w:spacing w:val="0"/>
          <w:w w:val="100"/>
          <w:position w:val="0"/>
          <w:sz w:val="18"/>
          <w:szCs w:val="18"/>
        </w:rPr>
        <w:t xml:space="preserve">5.1300% </w:t>
      </w:r>
      <w:r>
        <w:rPr>
          <w:color w:val="000000"/>
          <w:spacing w:val="0"/>
          <w:w w:val="100"/>
          <w:position w:val="0"/>
          <w:sz w:val="17"/>
          <w:szCs w:val="17"/>
        </w:rPr>
        <w:t>深圳市七号网络科技有限公司</w:t>
        <w:tab/>
        <w:t>占比</w:t>
      </w:r>
      <w:r>
        <w:rPr>
          <w:rFonts w:ascii="Times New Roman" w:eastAsia="Times New Roman" w:hAnsi="Times New Roman" w:cs="Times New Roman"/>
          <w:color w:val="000000"/>
          <w:spacing w:val="0"/>
          <w:w w:val="100"/>
          <w:position w:val="0"/>
          <w:sz w:val="18"/>
          <w:szCs w:val="18"/>
        </w:rPr>
        <w:t>4.0000%</w:t>
      </w:r>
    </w:p>
    <w:p>
      <w:pPr>
        <w:pStyle w:val="Style31"/>
        <w:keepNext w:val="0"/>
        <w:keepLines w:val="0"/>
        <w:widowControl w:val="0"/>
        <w:shd w:val="clear" w:color="auto" w:fill="auto"/>
        <w:tabs>
          <w:tab w:pos="3272" w:val="left"/>
        </w:tabs>
        <w:bidi w:val="0"/>
        <w:spacing w:before="0" w:after="0" w:line="310" w:lineRule="exact"/>
        <w:ind w:left="380" w:right="0" w:firstLine="0"/>
        <w:jc w:val="left"/>
        <w:rPr>
          <w:sz w:val="18"/>
          <w:szCs w:val="18"/>
        </w:rPr>
        <w:sectPr>
          <w:footnotePr>
            <w:pos w:val="pageBottom"/>
            <w:numFmt w:val="decimal"/>
            <w:numRestart w:val="continuous"/>
          </w:footnotePr>
          <w:pgSz w:w="11900" w:h="16840"/>
          <w:pgMar w:top="1383" w:right="1036" w:bottom="1589" w:left="1086" w:header="0" w:footer="3" w:gutter="0"/>
          <w:cols w:space="720"/>
          <w:noEndnote/>
          <w:rtlGutter w:val="0"/>
          <w:docGrid w:linePitch="360"/>
        </w:sectPr>
      </w:pPr>
      <w:r>
        <w:rPr>
          <w:color w:val="000000"/>
          <w:spacing w:val="0"/>
          <w:w w:val="100"/>
          <w:position w:val="0"/>
          <w:sz w:val="17"/>
          <w:szCs w:val="17"/>
        </w:rPr>
        <w:t>中晟天美能源科技（北京）有限公司占比</w:t>
      </w:r>
      <w:r>
        <w:rPr>
          <w:rFonts w:ascii="Times New Roman" w:eastAsia="Times New Roman" w:hAnsi="Times New Roman" w:cs="Times New Roman"/>
          <w:color w:val="000000"/>
          <w:spacing w:val="0"/>
          <w:w w:val="100"/>
          <w:position w:val="0"/>
          <w:sz w:val="18"/>
          <w:szCs w:val="18"/>
        </w:rPr>
        <w:t xml:space="preserve">2.2059% </w:t>
      </w:r>
      <w:r>
        <w:rPr>
          <w:color w:val="000000"/>
          <w:spacing w:val="0"/>
          <w:w w:val="100"/>
          <w:position w:val="0"/>
          <w:sz w:val="17"/>
          <w:szCs w:val="17"/>
        </w:rPr>
        <w:t>深圳醒客行健康科技有限公司</w:t>
        <w:tab/>
        <w:t>占比</w:t>
      </w:r>
      <w:r>
        <w:rPr>
          <w:rFonts w:ascii="Times New Roman" w:eastAsia="Times New Roman" w:hAnsi="Times New Roman" w:cs="Times New Roman"/>
          <w:color w:val="000000"/>
          <w:spacing w:val="0"/>
          <w:w w:val="100"/>
          <w:position w:val="0"/>
          <w:sz w:val="18"/>
          <w:szCs w:val="18"/>
        </w:rPr>
        <w:t>9.0900%</w:t>
      </w:r>
    </w:p>
    <w:p>
      <w:pPr>
        <w:pStyle w:val="Style14"/>
        <w:keepNext/>
        <w:keepLines/>
        <w:widowControl w:val="0"/>
        <w:shd w:val="clear" w:color="auto" w:fill="auto"/>
        <w:bidi w:val="0"/>
        <w:spacing w:before="520" w:line="240" w:lineRule="auto"/>
        <w:ind w:left="0" w:right="0" w:firstLine="0"/>
        <w:jc w:val="center"/>
      </w:pPr>
      <w:bookmarkStart w:id="451" w:name="bookmark451"/>
      <w:bookmarkStart w:id="452" w:name="bookmark452"/>
      <w:bookmarkStart w:id="453" w:name="bookmark453"/>
      <w:r>
        <w:rPr>
          <w:color w:val="000000"/>
          <w:spacing w:val="0"/>
          <w:w w:val="100"/>
          <w:position w:val="0"/>
        </w:rPr>
        <w:t>第六节股份变动及股东情况</w:t>
      </w:r>
      <w:bookmarkEnd w:id="451"/>
      <w:bookmarkEnd w:id="452"/>
      <w:bookmarkEnd w:id="453"/>
    </w:p>
    <w:p>
      <w:pPr>
        <w:pStyle w:val="Style27"/>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bookmarkStart w:id="458" w:name="bookmark458"/>
      <w:r>
        <w:rPr>
          <w:color w:val="000000"/>
          <w:spacing w:val="0"/>
          <w:w w:val="100"/>
          <w:position w:val="0"/>
          <w:sz w:val="24"/>
          <w:szCs w:val="24"/>
        </w:rPr>
        <w:t>一</w:t>
      </w:r>
      <w:bookmarkEnd w:id="457"/>
      <w:r>
        <w:rPr>
          <w:color w:val="000000"/>
          <w:spacing w:val="0"/>
          <w:w w:val="100"/>
          <w:position w:val="0"/>
          <w:sz w:val="24"/>
          <w:szCs w:val="24"/>
        </w:rPr>
        <w:t>、股份变动情况</w:t>
      </w:r>
      <w:bookmarkEnd w:id="455"/>
      <w:bookmarkEnd w:id="456"/>
      <w:bookmarkEnd w:id="458"/>
      <w:bookmarkEnd w:id="454"/>
    </w:p>
    <w:p>
      <w:pPr>
        <w:pStyle w:val="Style34"/>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、股份变动情况</w:t>
      </w:r>
      <w:bookmarkEnd w:id="459"/>
      <w:bookmarkEnd w:id="460"/>
      <w:bookmarkEnd w:id="4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614"/>
        <w:gridCol w:w="821"/>
        <w:gridCol w:w="821"/>
        <w:gridCol w:w="581"/>
        <w:gridCol w:w="850"/>
        <w:gridCol w:w="850"/>
        <w:gridCol w:w="1133"/>
        <w:gridCol w:w="65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68,918,362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63,035,660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68,918,362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63,035,660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68,918,362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63,035,660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205,409,345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211,292,047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205,409,345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211,292,047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274,327,707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274,327,707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中国证券登记结算有限责任公司深圳分公司根据《公司法》、《上市公司董事、监事、高级管理人员所持本公司股份及其变 动管理规则》等相关规定对相关限售股解锁。报告期内，共有</w:t>
      </w:r>
      <w:r>
        <w:rPr>
          <w:rFonts w:ascii="Times New Roman" w:eastAsia="Times New Roman" w:hAnsi="Times New Roman" w:cs="Times New Roman"/>
          <w:color w:val="000000"/>
          <w:spacing w:val="0"/>
          <w:w w:val="100"/>
          <w:position w:val="0"/>
          <w:sz w:val="18"/>
          <w:szCs w:val="18"/>
        </w:rPr>
        <w:t>5,882,702</w:t>
      </w:r>
      <w:r>
        <w:rPr>
          <w:color w:val="000000"/>
          <w:spacing w:val="0"/>
          <w:w w:val="100"/>
          <w:position w:val="0"/>
        </w:rPr>
        <w:t>股限售股解锁。</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、限售股份变动情况</w:t>
      </w:r>
      <w:bookmarkEnd w:id="463"/>
      <w:bookmarkEnd w:id="464"/>
      <w:bookmarkEnd w:id="466"/>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63,035,660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63,035,660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顾永德先生因换 届离任</w:t>
            </w:r>
            <w:r>
              <w:rPr>
                <w:color w:val="000000"/>
                <w:spacing w:val="0"/>
                <w:w w:val="100"/>
                <w:position w:val="0"/>
                <w:sz w:val="18"/>
                <w:szCs w:val="18"/>
              </w:rPr>
              <w:t>，</w:t>
            </w:r>
            <w:r>
              <w:rPr>
                <w:color w:val="000000"/>
                <w:spacing w:val="0"/>
                <w:w w:val="100"/>
                <w:position w:val="0"/>
              </w:rPr>
              <w:t>所持股份 参照高管锁定股 的相关规定执 行。</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方笑求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5,882,402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5,882,402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方笑求先生因 个人原因申请辞 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所持股份参照 高管锁定股的相 关规定执行。</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谢春华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谢春华先生因 个人原因申请辞 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所持股份参照 高管锁定股的相</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关规定执行。</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68,918,362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5,882,702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63,035,660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467" w:name="bookmark467"/>
      <w:bookmarkStart w:id="468" w:name="bookmark468"/>
      <w:bookmarkStart w:id="469" w:name="bookmark469"/>
      <w:bookmarkStart w:id="470" w:name="bookmark470"/>
      <w:r>
        <w:rPr>
          <w:color w:val="000000"/>
          <w:spacing w:val="0"/>
          <w:w w:val="100"/>
          <w:position w:val="0"/>
          <w:sz w:val="24"/>
          <w:szCs w:val="24"/>
        </w:rPr>
        <w:t>二</w:t>
      </w:r>
      <w:bookmarkEnd w:id="469"/>
      <w:r>
        <w:rPr>
          <w:color w:val="000000"/>
          <w:spacing w:val="0"/>
          <w:w w:val="100"/>
          <w:position w:val="0"/>
          <w:sz w:val="24"/>
          <w:szCs w:val="24"/>
        </w:rPr>
        <w:t>、证券发行与上市情况</w:t>
      </w:r>
      <w:bookmarkEnd w:id="467"/>
      <w:bookmarkEnd w:id="468"/>
      <w:bookmarkEnd w:id="470"/>
    </w:p>
    <w:p>
      <w:pPr>
        <w:pStyle w:val="Style34"/>
        <w:keepNext/>
        <w:keepLines/>
        <w:widowControl w:val="0"/>
        <w:shd w:val="clear" w:color="auto" w:fill="auto"/>
        <w:bidi w:val="0"/>
        <w:spacing w:before="0" w:line="240" w:lineRule="auto"/>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、报告期内证券发行（不含优先股）情况</w:t>
      </w:r>
      <w:bookmarkEnd w:id="471"/>
      <w:bookmarkEnd w:id="472"/>
      <w:bookmarkEnd w:id="474"/>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w:t>
        <w:tab/>
        <w:t>公司股份总数及股东结构的变动、公司资产和负债结构的变动情况说明</w:t>
      </w:r>
      <w:bookmarkEnd w:id="475"/>
      <w:bookmarkEnd w:id="476"/>
      <w:bookmarkEnd w:id="47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现存的内部职工股情况</w:t>
      </w:r>
      <w:bookmarkEnd w:id="479"/>
      <w:bookmarkEnd w:id="480"/>
      <w:bookmarkEnd w:id="48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sz w:val="24"/>
          <w:szCs w:val="24"/>
        </w:rPr>
        <w:t>三</w:t>
      </w:r>
      <w:bookmarkEnd w:id="485"/>
      <w:r>
        <w:rPr>
          <w:color w:val="000000"/>
          <w:spacing w:val="0"/>
          <w:w w:val="100"/>
          <w:position w:val="0"/>
          <w:sz w:val="24"/>
          <w:szCs w:val="24"/>
        </w:rPr>
        <w:t>、股东和实际控制人情况</w:t>
      </w:r>
      <w:bookmarkEnd w:id="483"/>
      <w:bookmarkEnd w:id="484"/>
      <w:bookmarkEnd w:id="486"/>
    </w:p>
    <w:p>
      <w:pPr>
        <w:pStyle w:val="Style34"/>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、公司股东数量及持股情况</w:t>
      </w:r>
      <w:bookmarkEnd w:id="487"/>
      <w:bookmarkEnd w:id="488"/>
      <w:bookmarkEnd w:id="49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662"/>
        <w:gridCol w:w="182"/>
        <w:gridCol w:w="730"/>
        <w:gridCol w:w="331"/>
        <w:gridCol w:w="600"/>
        <w:gridCol w:w="864"/>
        <w:gridCol w:w="130"/>
        <w:gridCol w:w="979"/>
        <w:gridCol w:w="1003"/>
        <w:gridCol w:w="278"/>
        <w:gridCol w:w="936"/>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33,781</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31,694</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140" w:right="0" w:firstLine="20"/>
              <w:jc w:val="left"/>
            </w:pPr>
            <w:r>
              <w:rPr>
                <w:color w:val="000000"/>
                <w:spacing w:val="0"/>
                <w:w w:val="100"/>
                <w:position w:val="0"/>
              </w:rPr>
              <w:t>持股 比例</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3"/>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63,035,660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-21,011,887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63,035,660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62,988,113</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济南产发融盛股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32,651,540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32,651,540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32,651,540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深圳德海资本管 理有限公司一深 圳德海国企混改 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 投资基金</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2,464,200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2,464,200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2,059,803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-3,831,000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2,059,803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1,725,900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1,384,000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878,200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顾伟</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1,245,996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-1,554,100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1,245,996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喻常华</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0.35%</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962,600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962,600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皮远军</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926,500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苏云</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901,413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600,936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901,413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公司未知其他股东之间是否存在关联关系或属于一致行动人。</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289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日，公司原控股股东、实际控制人顾永德先生及其一致行动人德 旺投资与济南产发融盛股权投资有限公司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产发融盛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签署了《股份转让协 议》、《表决权委托协议》：产发融盛通过协议转让方式受让顾永德先生直接持有的茂 硕电源</w:t>
            </w:r>
            <w:r>
              <w:rPr>
                <w:rFonts w:ascii="Times New Roman" w:eastAsia="Times New Roman" w:hAnsi="Times New Roman" w:cs="Times New Roman"/>
                <w:color w:val="000000"/>
                <w:spacing w:val="0"/>
                <w:w w:val="100"/>
                <w:position w:val="0"/>
                <w:sz w:val="18"/>
                <w:szCs w:val="18"/>
              </w:rPr>
              <w:t>7.66%</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21,011,887</w:t>
            </w:r>
            <w:r>
              <w:rPr>
                <w:color w:val="000000"/>
                <w:spacing w:val="0"/>
                <w:w w:val="100"/>
                <w:position w:val="0"/>
              </w:rPr>
              <w:t>股）、德旺投资持有的茂硕电源</w:t>
            </w:r>
            <w:r>
              <w:rPr>
                <w:rFonts w:ascii="Times New Roman" w:eastAsia="Times New Roman" w:hAnsi="Times New Roman" w:cs="Times New Roman"/>
                <w:color w:val="000000"/>
                <w:spacing w:val="0"/>
                <w:w w:val="100"/>
                <w:position w:val="0"/>
                <w:sz w:val="18"/>
                <w:szCs w:val="18"/>
              </w:rPr>
              <w:t>4.24%</w:t>
            </w:r>
            <w:r>
              <w:rPr>
                <w:color w:val="000000"/>
                <w:spacing w:val="0"/>
                <w:w w:val="100"/>
                <w:position w:val="0"/>
              </w:rPr>
              <w:t>的股 份（数量为</w:t>
            </w:r>
            <w:r>
              <w:rPr>
                <w:rFonts w:ascii="Times New Roman" w:eastAsia="Times New Roman" w:hAnsi="Times New Roman" w:cs="Times New Roman"/>
                <w:color w:val="000000"/>
                <w:spacing w:val="0"/>
                <w:w w:val="100"/>
                <w:position w:val="0"/>
                <w:sz w:val="18"/>
                <w:szCs w:val="18"/>
              </w:rPr>
              <w:t>11,639,653</w:t>
            </w:r>
            <w:r>
              <w:rPr>
                <w:color w:val="000000"/>
                <w:spacing w:val="0"/>
                <w:w w:val="100"/>
                <w:position w:val="0"/>
              </w:rPr>
              <w:t>股）,总计茂硕电源</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 同时，顾永德将其持有的茂硕电源</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40,045,302</w:t>
            </w:r>
            <w:r>
              <w:rPr>
                <w:color w:val="000000"/>
                <w:spacing w:val="0"/>
                <w:w w:val="100"/>
                <w:position w:val="0"/>
              </w:rPr>
              <w:t>股）的表决权无条 件不可撤销地委托给产发融盛行使。截至目前，产发融盛持有茂硕电源</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 份（数量为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股），受托行使茂硕电源</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 xml:space="preserve">40,045,302 </w:t>
            </w:r>
            <w:r>
              <w:rPr>
                <w:color w:val="000000"/>
                <w:spacing w:val="0"/>
                <w:w w:val="100"/>
                <w:position w:val="0"/>
              </w:rPr>
              <w:t>股），合计拥有茂硕电源</w:t>
            </w:r>
            <w:r>
              <w:rPr>
                <w:rFonts w:ascii="Times New Roman" w:eastAsia="Times New Roman" w:hAnsi="Times New Roman" w:cs="Times New Roman"/>
                <w:color w:val="000000"/>
                <w:spacing w:val="0"/>
                <w:w w:val="100"/>
                <w:position w:val="0"/>
                <w:sz w:val="18"/>
                <w:szCs w:val="18"/>
              </w:rPr>
              <w:t>26.50%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72,696,842</w:t>
            </w:r>
            <w:r>
              <w:rPr>
                <w:color w:val="000000"/>
                <w:spacing w:val="0"/>
                <w:w w:val="100"/>
                <w:position w:val="0"/>
              </w:rPr>
              <w:t>股）的表决权。</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济南产发融盛股权投资有限公司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32,651,540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32,651,540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深圳德海资本管理有限公司一深圳 德海国企混改价值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号私募证券投 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2,464,200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32,651,540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2,059,803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2,059,803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1,725,900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1,725,900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1,384,000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1,384,000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1,245,996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1,245,996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喻常华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962,600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962,600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皮远军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926,500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926,500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901,413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901,413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深圳德海资本管理有限公司一深圳 德海红太阳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360" w:right="0" w:firstLine="0"/>
              <w:jc w:val="both"/>
              <w:rPr>
                <w:sz w:val="18"/>
                <w:szCs w:val="18"/>
              </w:rPr>
            </w:pPr>
            <w:r>
              <w:rPr>
                <w:rFonts w:ascii="Times New Roman" w:eastAsia="Times New Roman" w:hAnsi="Times New Roman" w:cs="Times New Roman"/>
                <w:color w:val="000000"/>
                <w:spacing w:val="0"/>
                <w:w w:val="100"/>
                <w:position w:val="0"/>
                <w:sz w:val="18"/>
                <w:szCs w:val="18"/>
              </w:rPr>
              <w:t>897,800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897,800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公司未知其他股东之间是否存在关联关系或属于一致行动人。</w:t>
            </w:r>
          </w:p>
        </w:tc>
      </w:tr>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张和平通过普通证券账户持有本公司股份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股，通过信用证券账户持有本公司股份 </w:t>
            </w:r>
            <w:r>
              <w:rPr>
                <w:rFonts w:ascii="Times New Roman" w:eastAsia="Times New Roman" w:hAnsi="Times New Roman" w:cs="Times New Roman"/>
                <w:color w:val="000000"/>
                <w:spacing w:val="0"/>
                <w:w w:val="100"/>
                <w:position w:val="0"/>
                <w:sz w:val="18"/>
                <w:szCs w:val="18"/>
              </w:rPr>
              <w:t>1,384,000</w:t>
            </w:r>
            <w:r>
              <w:rPr>
                <w:color w:val="000000"/>
                <w:spacing w:val="0"/>
                <w:w w:val="100"/>
                <w:position w:val="0"/>
              </w:rPr>
              <w:t>股，合计持有本公司股份</w:t>
            </w:r>
            <w:r>
              <w:rPr>
                <w:rFonts w:ascii="Times New Roman" w:eastAsia="Times New Roman" w:hAnsi="Times New Roman" w:cs="Times New Roman"/>
                <w:color w:val="000000"/>
                <w:spacing w:val="0"/>
                <w:w w:val="100"/>
                <w:position w:val="0"/>
                <w:sz w:val="18"/>
                <w:szCs w:val="18"/>
              </w:rPr>
              <w:t>1,384,000</w:t>
            </w:r>
            <w:r>
              <w:rPr>
                <w:color w:val="000000"/>
                <w:spacing w:val="0"/>
                <w:w w:val="100"/>
                <w:position w:val="0"/>
              </w:rPr>
              <w:t>股；顾伟通过普通证券账户持有本公司 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股，通过信用证券账户持有本公司股份</w:t>
            </w:r>
            <w:r>
              <w:rPr>
                <w:rFonts w:ascii="Times New Roman" w:eastAsia="Times New Roman" w:hAnsi="Times New Roman" w:cs="Times New Roman"/>
                <w:color w:val="000000"/>
                <w:spacing w:val="0"/>
                <w:w w:val="100"/>
                <w:position w:val="0"/>
                <w:sz w:val="18"/>
                <w:szCs w:val="18"/>
              </w:rPr>
              <w:t>1,245,996</w:t>
            </w:r>
            <w:r>
              <w:rPr>
                <w:color w:val="000000"/>
                <w:spacing w:val="0"/>
                <w:w w:val="100"/>
                <w:position w:val="0"/>
              </w:rPr>
              <w:t xml:space="preserve">股，合计持有本公司股份 </w:t>
            </w:r>
            <w:r>
              <w:rPr>
                <w:rFonts w:ascii="Times New Roman" w:eastAsia="Times New Roman" w:hAnsi="Times New Roman" w:cs="Times New Roman"/>
                <w:color w:val="000000"/>
                <w:spacing w:val="0"/>
                <w:w w:val="100"/>
                <w:position w:val="0"/>
                <w:sz w:val="18"/>
                <w:szCs w:val="18"/>
              </w:rPr>
              <w:t>1,245,996</w:t>
            </w:r>
            <w:r>
              <w:rPr>
                <w:color w:val="000000"/>
                <w:spacing w:val="0"/>
                <w:w w:val="100"/>
                <w:position w:val="0"/>
              </w:rPr>
              <w:t>股；喻常华通过普通证券账户持有本公司股份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股，通过信用证券账户持有 本公司股份</w:t>
            </w:r>
            <w:r>
              <w:rPr>
                <w:rFonts w:ascii="Times New Roman" w:eastAsia="Times New Roman" w:hAnsi="Times New Roman" w:cs="Times New Roman"/>
                <w:color w:val="000000"/>
                <w:spacing w:val="0"/>
                <w:w w:val="100"/>
                <w:position w:val="0"/>
                <w:sz w:val="18"/>
                <w:szCs w:val="18"/>
              </w:rPr>
              <w:t>962,600</w:t>
            </w:r>
            <w:r>
              <w:rPr>
                <w:color w:val="000000"/>
                <w:spacing w:val="0"/>
                <w:w w:val="100"/>
                <w:position w:val="0"/>
              </w:rPr>
              <w:t>股，合计持有本公司股份</w:t>
            </w:r>
            <w:r>
              <w:rPr>
                <w:rFonts w:ascii="Times New Roman" w:eastAsia="Times New Roman" w:hAnsi="Times New Roman" w:cs="Times New Roman"/>
                <w:color w:val="000000"/>
                <w:spacing w:val="0"/>
                <w:w w:val="100"/>
                <w:position w:val="0"/>
                <w:sz w:val="18"/>
                <w:szCs w:val="18"/>
              </w:rPr>
              <w:t>962,600</w:t>
            </w:r>
            <w:r>
              <w:rPr>
                <w:color w:val="000000"/>
                <w:spacing w:val="0"/>
                <w:w w:val="100"/>
                <w:position w:val="0"/>
              </w:rPr>
              <w:t>股；</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4"/>
        <w:keepNext/>
        <w:keepLines/>
        <w:widowControl w:val="0"/>
        <w:shd w:val="clear" w:color="auto" w:fill="auto"/>
        <w:bidi w:val="0"/>
        <w:spacing w:before="0" w:after="40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、公司控股股东情况</w:t>
      </w:r>
      <w:bookmarkEnd w:id="491"/>
      <w:bookmarkEnd w:id="492"/>
      <w:bookmarkEnd w:id="494"/>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控股股东性质：地方国有控股</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7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济南产发融盛股权投资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余冠敏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91370100MA3U89YA6B</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以自有资金从事投资活 动；财务咨询；社会经 济咨询服务（除依法须 经批准的项目外，凭营 业执照依法自主开展经 营活动）</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控股股东报告期内变更</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济南产发融盛股权投资有限公司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3</w:t>
      </w:r>
      <w:bookmarkEnd w:id="497"/>
      <w:r>
        <w:rPr>
          <w:color w:val="000000"/>
          <w:spacing w:val="0"/>
          <w:w w:val="100"/>
          <w:position w:val="0"/>
        </w:rPr>
        <w:t>、公司实际控制人及其一致行动人</w:t>
      </w:r>
      <w:bookmarkEnd w:id="495"/>
      <w:bookmarkEnd w:id="496"/>
      <w:bookmarkEnd w:id="498"/>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实际控制人性质：地方国资管理机构</w:t>
      </w: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实际控制人类型：法人</w:t>
      </w:r>
    </w:p>
    <w:tbl>
      <w:tblPr>
        <w:tblOverlap w:val="never"/>
        <w:jc w:val="center"/>
        <w:tblLayout w:type="fixed"/>
      </w:tblPr>
      <w:tblGrid>
        <w:gridCol w:w="2006"/>
        <w:gridCol w:w="1829"/>
        <w:gridCol w:w="1891"/>
        <w:gridCol w:w="1939"/>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主要经营业务</w:t>
            </w:r>
          </w:p>
        </w:tc>
      </w:tr>
      <w:tr>
        <w:trPr>
          <w:trHeight w:val="50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济南产业发展投资集团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史同伟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91370100MA3C6E1J6W</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以自有资金对农业、工 业、科技、医药、环保、 新能源、服务业等产业 项目投资及其投资项目 提供投资咨询（未经金 融监管部门批准，不得 从事吸收存款、融资担 保、代理客户理财等金 融业务）；诉讼保全担 保、投票担保、预付款 担保、工程履约担保、 尾付款如约担保等履约 担保业务；资产经营、 管理和资本运营；招商 项目配套服务；产业园 区建设与运营；房地产</w:t>
            </w:r>
          </w:p>
        </w:tc>
      </w:tr>
    </w:tbl>
    <w:p>
      <w:pPr>
        <w:widowControl w:val="0"/>
        <w:spacing w:line="1" w:lineRule="exact"/>
      </w:pPr>
      <w:r>
        <w:br w:type="page"/>
      </w:r>
    </w:p>
    <w:tbl>
      <w:tblPr>
        <w:tblOverlap w:val="never"/>
        <w:jc w:val="center"/>
        <w:tblLayout w:type="fixed"/>
      </w:tblPr>
      <w:tblGrid>
        <w:gridCol w:w="2006"/>
        <w:gridCol w:w="1829"/>
        <w:gridCol w:w="1891"/>
        <w:gridCol w:w="1939"/>
        <w:gridCol w:w="1920"/>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开发、经营；房屋租赁。 （依法须经批准的项 目，经相关部门批准后 方可开展经营活动）</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济南产业发展投资集团有限公司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239" w:line="1" w:lineRule="exact"/>
      </w:pPr>
    </w:p>
    <w:p>
      <w:pPr>
        <w:widowControl w:val="0"/>
        <w:spacing w:line="1" w:lineRule="exact"/>
      </w:pPr>
    </w:p>
    <w:p>
      <w:pPr>
        <w:widowControl w:val="0"/>
        <w:jc w:val="center"/>
        <w:rPr>
          <w:sz w:val="2"/>
          <w:szCs w:val="2"/>
        </w:rPr>
      </w:pPr>
      <w:r>
        <w:drawing>
          <wp:inline>
            <wp:extent cx="3931920" cy="257238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3931920" cy="2572385"/>
                    </a:xfrm>
                    <a:prstGeom prst="rect"/>
                  </pic:spPr>
                </pic:pic>
              </a:graphicData>
            </a:graphic>
          </wp:inline>
        </w:drawing>
      </w:r>
    </w:p>
    <w:p>
      <w:pPr>
        <w:widowControl w:val="0"/>
        <w:spacing w:after="239" w:line="1" w:lineRule="exact"/>
      </w:pPr>
    </w:p>
    <w:p>
      <w:pPr>
        <w:pStyle w:val="Style31"/>
        <w:keepNext w:val="0"/>
        <w:keepLines w:val="0"/>
        <w:widowControl w:val="0"/>
        <w:shd w:val="clear" w:color="auto" w:fill="auto"/>
        <w:bidi w:val="0"/>
        <w:spacing w:before="0" w:after="280" w:line="240" w:lineRule="auto"/>
        <w:ind w:left="0" w:right="0" w:firstLine="860"/>
        <w:jc w:val="left"/>
      </w:pPr>
      <w:r>
        <w:rPr>
          <w:color w:val="000000"/>
          <w:spacing w:val="0"/>
          <w:w w:val="100"/>
          <w:position w:val="0"/>
        </w:rPr>
        <w:t>注：产发集团由济南国资委持有</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4</w:t>
      </w:r>
      <w:bookmarkEnd w:id="50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9"/>
      <w:bookmarkEnd w:id="500"/>
      <w:bookmarkEnd w:id="50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5</w:t>
      </w:r>
      <w:bookmarkEnd w:id="505"/>
      <w:r>
        <w:rPr>
          <w:color w:val="000000"/>
          <w:spacing w:val="0"/>
          <w:w w:val="100"/>
          <w:position w:val="0"/>
        </w:rPr>
        <w:t>、</w:t>
        <w:tab/>
        <w:t>控股股东、实际控制人、重组方及其他承诺主体股份限制减持情况</w:t>
      </w:r>
      <w:bookmarkEnd w:id="503"/>
      <w:bookmarkEnd w:id="504"/>
      <w:bookmarkEnd w:id="506"/>
    </w:p>
    <w:p>
      <w:pPr>
        <w:pStyle w:val="Style3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4" behindDoc="0" locked="0" layoutInCell="1" allowOverlap="1">
                <wp:simplePos x="0" y="0"/>
                <wp:positionH relativeFrom="page">
                  <wp:posOffset>2700655</wp:posOffset>
                </wp:positionH>
                <wp:positionV relativeFrom="paragraph">
                  <wp:posOffset>0</wp:posOffset>
                </wp:positionV>
                <wp:extent cx="2170430" cy="243840"/>
                <wp:wrapTopAndBottom/>
                <wp:docPr id="28" name="Shape 2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48" w:name="bookmark448"/>
                            <w:bookmarkStart w:id="449" w:name="bookmark449"/>
                            <w:bookmarkStart w:id="450" w:name="bookmark450"/>
                            <w:r>
                              <w:rPr>
                                <w:color w:val="000000"/>
                                <w:spacing w:val="0"/>
                                <w:w w:val="100"/>
                                <w:position w:val="0"/>
                              </w:rPr>
                              <w:t>第七节优先股相关情况</w:t>
                            </w:r>
                            <w:bookmarkEnd w:id="448"/>
                            <w:bookmarkEnd w:id="449"/>
                            <w:bookmarkEnd w:id="450"/>
                          </w:p>
                        </w:txbxContent>
                      </wps:txbx>
                      <wps:bodyPr wrap="none" lIns="0" tIns="0" rIns="0" bIns="0">
                        <a:noAutoFit/>
                      </wps:bodyPr>
                    </wps:wsp>
                  </a:graphicData>
                </a:graphic>
              </wp:anchor>
            </w:drawing>
          </mc:Choice>
          <mc:Fallback>
            <w:pict>
              <v:shape id="_x0000_s1054" type="#_x0000_t202" style="position:absolute;margin-left:212.65000000000001pt;margin-top:0;width:170.90000000000001pt;height:19.199999999999999pt;z-index:-125829369;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48" w:name="bookmark448"/>
                      <w:bookmarkStart w:id="449" w:name="bookmark449"/>
                      <w:bookmarkStart w:id="450" w:name="bookmark450"/>
                      <w:r>
                        <w:rPr>
                          <w:color w:val="000000"/>
                          <w:spacing w:val="0"/>
                          <w:w w:val="100"/>
                          <w:position w:val="0"/>
                        </w:rPr>
                        <w:t>第七节优先股相关情况</w:t>
                      </w:r>
                      <w:bookmarkEnd w:id="448"/>
                      <w:bookmarkEnd w:id="449"/>
                      <w:bookmarkEnd w:id="450"/>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bookmarkStart w:id="507" w:name="bookmark50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7"/>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38" w:bottom="1527" w:left="1075"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40" w:after="560" w:line="240" w:lineRule="auto"/>
        <w:ind w:left="0" w:right="0" w:firstLine="0"/>
        <w:jc w:val="center"/>
      </w:pPr>
      <w:bookmarkStart w:id="508" w:name="bookmark508"/>
      <w:bookmarkStart w:id="509" w:name="bookmark509"/>
      <w:bookmarkStart w:id="510" w:name="bookmark510"/>
      <w:r>
        <w:rPr>
          <w:color w:val="000000"/>
          <w:spacing w:val="0"/>
          <w:w w:val="100"/>
          <w:position w:val="0"/>
        </w:rPr>
        <w:t>第八节可转换公司债券相关情况</w:t>
      </w:r>
      <w:bookmarkEnd w:id="508"/>
      <w:bookmarkEnd w:id="509"/>
      <w:bookmarkEnd w:id="510"/>
    </w:p>
    <w:p>
      <w:pPr>
        <w:pStyle w:val="Style31"/>
        <w:keepNext w:val="0"/>
        <w:keepLines w:val="0"/>
        <w:widowControl w:val="0"/>
        <w:shd w:val="clear" w:color="auto" w:fill="auto"/>
        <w:bidi w:val="0"/>
        <w:spacing w:before="0" w:after="120" w:line="240" w:lineRule="auto"/>
        <w:ind w:left="0" w:right="0" w:firstLine="0"/>
        <w:jc w:val="left"/>
      </w:pPr>
      <w:bookmarkStart w:id="511" w:name="bookmark51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11"/>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12" w:name="bookmark512"/>
      <w:bookmarkStart w:id="513" w:name="bookmark513"/>
      <w:bookmarkStart w:id="514" w:name="bookmark514"/>
      <w:r>
        <w:rPr>
          <w:color w:val="000000"/>
          <w:spacing w:val="0"/>
          <w:w w:val="100"/>
          <w:position w:val="0"/>
        </w:rPr>
        <w:t>第九节董事、监事、高级管理人员和员工情况</w:t>
      </w:r>
      <w:bookmarkEnd w:id="512"/>
      <w:bookmarkEnd w:id="513"/>
      <w:bookmarkEnd w:id="514"/>
    </w:p>
    <w:p>
      <w:pPr>
        <w:pStyle w:val="Style27"/>
        <w:keepNext/>
        <w:keepLines/>
        <w:widowControl w:val="0"/>
        <w:shd w:val="clear" w:color="auto" w:fill="auto"/>
        <w:bidi w:val="0"/>
        <w:spacing w:before="0" w:after="320" w:line="240" w:lineRule="auto"/>
        <w:ind w:left="0" w:right="0" w:firstLine="0"/>
        <w:jc w:val="left"/>
      </w:pPr>
      <w:bookmarkStart w:id="515" w:name="bookmark515"/>
      <w:bookmarkStart w:id="516" w:name="bookmark516"/>
      <w:bookmarkStart w:id="517" w:name="bookmark517"/>
      <w:bookmarkStart w:id="518" w:name="bookmark518"/>
      <w:bookmarkStart w:id="519" w:name="bookmark519"/>
      <w:r>
        <w:rPr>
          <w:color w:val="000000"/>
          <w:spacing w:val="0"/>
          <w:w w:val="100"/>
          <w:position w:val="0"/>
          <w:sz w:val="24"/>
          <w:szCs w:val="24"/>
        </w:rPr>
        <w:t>一</w:t>
      </w:r>
      <w:bookmarkEnd w:id="518"/>
      <w:r>
        <w:rPr>
          <w:color w:val="000000"/>
          <w:spacing w:val="0"/>
          <w:w w:val="100"/>
          <w:position w:val="0"/>
          <w:sz w:val="24"/>
          <w:szCs w:val="24"/>
        </w:rPr>
        <w:t>、董事、监事和高级管理人员持股变动</w:t>
      </w:r>
      <w:bookmarkEnd w:id="516"/>
      <w:bookmarkEnd w:id="517"/>
      <w:bookmarkEnd w:id="519"/>
      <w:bookmarkEnd w:id="515"/>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余冠敏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楚长征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秦利红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孟军丽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康甜桂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杨丰林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胡炎申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84,047,54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63,035,66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廖青莲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84,047,54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21,011,88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63,035,66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tabs>
          <w:tab w:pos="649" w:val="left"/>
        </w:tabs>
        <w:bidi w:val="0"/>
        <w:spacing w:before="0" w:after="0" w:line="314" w:lineRule="exact"/>
        <w:ind w:left="0" w:right="0"/>
        <w:jc w:val="left"/>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日，公司原控股股东、实际控制人顾永德先生及其一致行动人德旺投资与济南产发融盛股权投资有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以下简称“产发融盛”</w:t>
      </w:r>
      <w:r>
        <w:rPr>
          <w:color w:val="000000"/>
          <w:spacing w:val="0"/>
          <w:w w:val="100"/>
          <w:position w:val="0"/>
          <w:sz w:val="18"/>
          <w:szCs w:val="18"/>
        </w:rPr>
        <w:t>）</w:t>
      </w:r>
      <w:r>
        <w:rPr>
          <w:color w:val="000000"/>
          <w:spacing w:val="0"/>
          <w:w w:val="100"/>
          <w:position w:val="0"/>
        </w:rPr>
        <w:t>签署了《股份转让协议》、《表决权委托协议》：产发融盛通过协议转让方式受让顾永德先生 直接持有的茂硕电源</w:t>
      </w:r>
      <w:r>
        <w:rPr>
          <w:rFonts w:ascii="Times New Roman" w:eastAsia="Times New Roman" w:hAnsi="Times New Roman" w:cs="Times New Roman"/>
          <w:color w:val="000000"/>
          <w:spacing w:val="0"/>
          <w:w w:val="100"/>
          <w:position w:val="0"/>
          <w:sz w:val="18"/>
          <w:szCs w:val="18"/>
        </w:rPr>
        <w:t>7.66%</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21,011,887</w:t>
      </w:r>
      <w:r>
        <w:rPr>
          <w:color w:val="000000"/>
          <w:spacing w:val="0"/>
          <w:w w:val="100"/>
          <w:position w:val="0"/>
        </w:rPr>
        <w:t>股）、德旺投资持有的茂硕电源</w:t>
      </w:r>
      <w:r>
        <w:rPr>
          <w:rFonts w:ascii="Times New Roman" w:eastAsia="Times New Roman" w:hAnsi="Times New Roman" w:cs="Times New Roman"/>
          <w:color w:val="000000"/>
          <w:spacing w:val="0"/>
          <w:w w:val="100"/>
          <w:position w:val="0"/>
          <w:sz w:val="18"/>
          <w:szCs w:val="18"/>
        </w:rPr>
        <w:t>4.24%</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11,639,653</w:t>
      </w:r>
      <w:r>
        <w:rPr>
          <w:color w:val="000000"/>
          <w:spacing w:val="0"/>
          <w:w w:val="100"/>
          <w:position w:val="0"/>
        </w:rPr>
        <w:t>股）， 总计茂硕电源</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32,651,540</w:t>
      </w:r>
      <w:r>
        <w:rPr>
          <w:color w:val="000000"/>
          <w:spacing w:val="0"/>
          <w:w w:val="100"/>
          <w:position w:val="0"/>
        </w:rPr>
        <w:t>股），同时，顾永德将其持有的茂硕电源</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 xml:space="preserve">40,045,302 </w:t>
      </w:r>
      <w:r>
        <w:rPr>
          <w:color w:val="000000"/>
          <w:spacing w:val="0"/>
          <w:w w:val="100"/>
          <w:position w:val="0"/>
        </w:rPr>
        <w:t>股）的表决权无条件不可撤销地委托给产发融盛行使。截至目前，产发融盛持有茂硕电源</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 xml:space="preserve">32,651,540 </w:t>
      </w:r>
      <w:r>
        <w:rPr>
          <w:color w:val="000000"/>
          <w:spacing w:val="0"/>
          <w:w w:val="100"/>
          <w:position w:val="0"/>
        </w:rPr>
        <w:t>股），受托行使茂硕电源</w:t>
      </w:r>
      <w:r>
        <w:rPr>
          <w:rFonts w:ascii="Times New Roman" w:eastAsia="Times New Roman" w:hAnsi="Times New Roman" w:cs="Times New Roman"/>
          <w:color w:val="000000"/>
          <w:spacing w:val="0"/>
          <w:w w:val="100"/>
          <w:position w:val="0"/>
          <w:sz w:val="18"/>
          <w:szCs w:val="18"/>
        </w:rPr>
        <w:t>14.60%</w:t>
      </w:r>
      <w:r>
        <w:rPr>
          <w:color w:val="000000"/>
          <w:spacing w:val="0"/>
          <w:w w:val="100"/>
          <w:position w:val="0"/>
        </w:rPr>
        <w:t>的股份（数量为</w:t>
      </w:r>
      <w:r>
        <w:rPr>
          <w:rFonts w:ascii="Times New Roman" w:eastAsia="Times New Roman" w:hAnsi="Times New Roman" w:cs="Times New Roman"/>
          <w:color w:val="000000"/>
          <w:spacing w:val="0"/>
          <w:w w:val="100"/>
          <w:position w:val="0"/>
          <w:sz w:val="18"/>
          <w:szCs w:val="18"/>
        </w:rPr>
        <w:t>40,045,302</w:t>
      </w:r>
      <w:r>
        <w:rPr>
          <w:color w:val="000000"/>
          <w:spacing w:val="0"/>
          <w:w w:val="100"/>
          <w:position w:val="0"/>
        </w:rPr>
        <w:t>股），合计拥有茂硕电源</w:t>
      </w:r>
      <w:r>
        <w:rPr>
          <w:rFonts w:ascii="Times New Roman" w:eastAsia="Times New Roman" w:hAnsi="Times New Roman" w:cs="Times New Roman"/>
          <w:color w:val="000000"/>
          <w:spacing w:val="0"/>
          <w:w w:val="100"/>
          <w:position w:val="0"/>
          <w:sz w:val="18"/>
          <w:szCs w:val="18"/>
        </w:rPr>
        <w:t>26.50%</w:t>
      </w:r>
      <w:r>
        <w:rPr>
          <w:color w:val="000000"/>
          <w:spacing w:val="0"/>
          <w:w w:val="100"/>
          <w:position w:val="0"/>
        </w:rPr>
        <w:t>股份（数量为</w:t>
      </w:r>
      <w:r>
        <w:rPr>
          <w:rFonts w:ascii="Times New Roman" w:eastAsia="Times New Roman" w:hAnsi="Times New Roman" w:cs="Times New Roman"/>
          <w:color w:val="000000"/>
          <w:spacing w:val="0"/>
          <w:w w:val="100"/>
          <w:position w:val="0"/>
          <w:sz w:val="18"/>
          <w:szCs w:val="18"/>
        </w:rPr>
        <w:t>72,696,842</w:t>
      </w:r>
      <w:r>
        <w:rPr>
          <w:color w:val="000000"/>
          <w:spacing w:val="0"/>
          <w:w w:val="100"/>
          <w:position w:val="0"/>
        </w:rPr>
        <w:t>股）的 表决权。</w:t>
      </w:r>
    </w:p>
    <w:p>
      <w:pPr>
        <w:pStyle w:val="Style31"/>
        <w:keepNext w:val="0"/>
        <w:keepLines w:val="0"/>
        <w:widowControl w:val="0"/>
        <w:shd w:val="clear" w:color="auto" w:fill="auto"/>
        <w:tabs>
          <w:tab w:pos="639" w:val="left"/>
        </w:tabs>
        <w:bidi w:val="0"/>
        <w:spacing w:before="0" w:after="0" w:line="317" w:lineRule="exact"/>
        <w:ind w:left="0" w:right="0"/>
        <w:jc w:val="left"/>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color w:val="000000"/>
          <w:spacing w:val="0"/>
          <w:w w:val="100"/>
          <w:position w:val="0"/>
          <w:sz w:val="18"/>
          <w:szCs w:val="18"/>
        </w:rPr>
        <w:t>，</w:t>
      </w:r>
      <w:r>
        <w:rPr>
          <w:color w:val="000000"/>
          <w:spacing w:val="0"/>
          <w:w w:val="100"/>
          <w:position w:val="0"/>
        </w:rPr>
        <w:t>公司召开的第四届董事会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 时股东大会及同日召开的第五届董事会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次临时会议审议通过，公司第五届董监高换届完成。</w:t>
      </w:r>
      <w:r>
        <w:br w:type="page"/>
      </w:r>
    </w:p>
    <w:p>
      <w:pPr>
        <w:pStyle w:val="Style27"/>
        <w:keepNext/>
        <w:keepLines/>
        <w:widowControl w:val="0"/>
        <w:shd w:val="clear" w:color="auto" w:fill="auto"/>
        <w:bidi w:val="0"/>
        <w:spacing w:before="0" w:after="34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二</w:t>
      </w:r>
      <w:bookmarkEnd w:id="524"/>
      <w:r>
        <w:rPr>
          <w:color w:val="000000"/>
          <w:spacing w:val="0"/>
          <w:w w:val="100"/>
          <w:position w:val="0"/>
          <w:sz w:val="24"/>
          <w:szCs w:val="24"/>
        </w:rPr>
        <w:t>、公司董事、监事、高级管理人员变动情况</w:t>
      </w:r>
      <w:bookmarkEnd w:id="522"/>
      <w:bookmarkEnd w:id="523"/>
      <w:bookmarkEnd w:id="52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会审议通过为公司董事。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会审议通过为公司董事。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余冠敏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会审议通过为公司董事。</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楚长征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会审议通过为公司董事;经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color w:val="000000"/>
                <w:spacing w:val="0"/>
                <w:w w:val="100"/>
                <w:position w:val="0"/>
                <w:sz w:val="18"/>
                <w:szCs w:val="18"/>
              </w:rPr>
              <w:t>，</w:t>
            </w:r>
            <w:r>
              <w:rPr>
                <w:color w:val="000000"/>
                <w:spacing w:val="0"/>
                <w:w w:val="100"/>
                <w:position w:val="0"/>
              </w:rPr>
              <w:t>第五届董 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次临时会议审议通过为公司副总经 理、财务总监。</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秦利红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会审议通过为公司董事。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会审议通过为公司独立董事。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会审议通过为公司独立董事。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孟军丽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会审议通过为公司独立董事。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会审议通过为公司独立董事。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 会审议，第五届监事会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次临时会议审议通 过为公司监事会主席。</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杨丰林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会议审议通过为公司总经理。</w:t>
            </w:r>
          </w:p>
        </w:tc>
      </w:tr>
    </w:tbl>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会议审议通过为公司副总经理。</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胡炎申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会议审议通过为公司副总经理。</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经职工代表大会选举为公司职工代表监事。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康田桂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经职工代表大会选举为公司职工代表监事。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第四届董事会任期届满离任。</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第四届董事会任期届满离任。</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第四届董事会任期届满离任。</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廖青莲</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第四届监事会任期届满离任。</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三</w:t>
      </w:r>
      <w:bookmarkEnd w:id="528"/>
      <w:r>
        <w:rPr>
          <w:color w:val="000000"/>
          <w:spacing w:val="0"/>
          <w:w w:val="100"/>
          <w:position w:val="0"/>
          <w:sz w:val="24"/>
          <w:szCs w:val="24"/>
        </w:rPr>
        <w:t>、任职情况</w:t>
      </w:r>
      <w:bookmarkEnd w:id="526"/>
      <w:bookmarkEnd w:id="527"/>
      <w:bookmarkEnd w:id="529"/>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numPr>
          <w:ilvl w:val="0"/>
          <w:numId w:val="21"/>
        </w:numPr>
        <w:shd w:val="clear" w:color="auto" w:fill="auto"/>
        <w:bidi w:val="0"/>
        <w:spacing w:before="0" w:after="0" w:line="314" w:lineRule="exact"/>
        <w:ind w:left="0" w:right="0" w:firstLine="0"/>
        <w:jc w:val="left"/>
      </w:pPr>
      <w:bookmarkStart w:id="530" w:name="bookmark530"/>
      <w:bookmarkEnd w:id="530"/>
      <w:r>
        <w:rPr>
          <w:color w:val="000000"/>
          <w:spacing w:val="0"/>
          <w:w w:val="100"/>
          <w:position w:val="0"/>
        </w:rPr>
        <w:t>董事：</w:t>
      </w:r>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王浩涛，</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月出生，汉族，研究生学历，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月参加工作，</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月加入中国共产党，现任济南产业发展投资 集团有限公司副总经理、董事、党委委员。</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张欣，</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无境外永久居留权，软件工程硕士，中级经济师。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月，任济南产业发展投 资集团人力资源部副总经理；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月，任济南产发企业管理集团董事长、党委副书记；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 济南产发企业管理集团有限公司董事长、党委书记；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月，兼任济南产业发展投资集团有限公司新产业事业部总经理。</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余冠敏，男，</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月出生，汉族，籍贯山东青岛，</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年参加工作，青岛科技大学本科毕业，双学士学位。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月任中泰证券股份有限公司分公司投行部总经理；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月任海尔集团（青岛）金融控股有限公司 投资部总经理；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月至今，任济南产发资本控股集团有限公司总经理、董事，兼任济南经发基金管理有限公司董事长、 总经理等职务。</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楚长征，</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月出生，中国国籍，无境外永久居留权，本科学历，毕业于湖南大学会计学专业，会计师。曾任山东工程 机械集团有限公司财务部副科长、山东重工集团有限公司财务经理，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月任中融新大集团有限公司财务中 心财务经理，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月，任济南产业发展投资集团有限公司财务管理部资深经理。</w:t>
      </w:r>
    </w:p>
    <w:p>
      <w:pPr>
        <w:pStyle w:val="Style31"/>
        <w:keepNext w:val="0"/>
        <w:keepLines w:val="0"/>
        <w:widowControl w:val="0"/>
        <w:shd w:val="clear" w:color="auto" w:fill="auto"/>
        <w:bidi w:val="0"/>
        <w:spacing w:before="0" w:after="340" w:line="312" w:lineRule="exact"/>
        <w:ind w:left="0" w:right="0" w:firstLine="0"/>
        <w:jc w:val="left"/>
      </w:pPr>
      <w:r>
        <w:rPr>
          <w:color w:val="000000"/>
          <w:spacing w:val="0"/>
          <w:w w:val="100"/>
          <w:position w:val="0"/>
        </w:rPr>
        <w:t>秦利红，女，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w:t>
      </w:r>
      <w:r>
        <w:rPr>
          <w:color w:val="000000"/>
          <w:spacing w:val="0"/>
          <w:w w:val="100"/>
          <w:position w:val="0"/>
          <w:sz w:val="18"/>
          <w:szCs w:val="18"/>
        </w:rPr>
        <w:t>，</w:t>
      </w:r>
      <w:r>
        <w:rPr>
          <w:color w:val="000000"/>
          <w:spacing w:val="0"/>
          <w:w w:val="100"/>
          <w:position w:val="0"/>
        </w:rPr>
        <w:t>毕业于湖南大学会计专业，会计专业中级职称、注册会计师、税务师。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 入茂硕电源科技股份有限公司，自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日，先后担任茂硕电源科技股份有限公司财务经理、财务总监。</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日起任职茂硕电源科技股份有限公司董事。</w:t>
      </w:r>
    </w:p>
    <w:p>
      <w:pPr>
        <w:pStyle w:val="Style31"/>
        <w:keepNext w:val="0"/>
        <w:keepLines w:val="0"/>
        <w:widowControl w:val="0"/>
        <w:shd w:val="clear" w:color="auto" w:fill="auto"/>
        <w:bidi w:val="0"/>
        <w:spacing w:before="0" w:after="0" w:line="315" w:lineRule="exact"/>
        <w:ind w:left="0" w:right="0" w:firstLine="0"/>
        <w:jc w:val="both"/>
      </w:pPr>
      <w:r>
        <w:rPr>
          <w:color w:val="000000"/>
          <w:spacing w:val="0"/>
          <w:w w:val="100"/>
          <w:position w:val="0"/>
        </w:rPr>
        <w:t>高峰，</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年出生，山东大学控制科学与工程学院教授、博士生导师；担任中国电工技术学会理事、中国电源学会理事、</w:t>
      </w:r>
    </w:p>
    <w:p>
      <w:pPr>
        <w:pStyle w:val="Style50"/>
        <w:keepNext w:val="0"/>
        <w:keepLines w:val="0"/>
        <w:widowControl w:val="0"/>
        <w:shd w:val="clear" w:color="auto" w:fill="auto"/>
        <w:bidi w:val="0"/>
        <w:spacing w:before="0"/>
        <w:ind w:left="0" w:right="0" w:firstLine="0"/>
        <w:jc w:val="left"/>
        <w:rPr>
          <w:sz w:val="17"/>
          <w:szCs w:val="17"/>
        </w:rPr>
      </w:pPr>
      <w:r>
        <w:rPr>
          <w:color w:val="000000"/>
          <w:spacing w:val="0"/>
          <w:w w:val="100"/>
          <w:position w:val="0"/>
          <w:sz w:val="18"/>
          <w:szCs w:val="18"/>
        </w:rPr>
        <w:t xml:space="preserve">Associate Editor of IEEE Transactions on Power Electronics </w:t>
      </w:r>
      <w:r>
        <w:rPr>
          <w:rFonts w:ascii="SimSun" w:eastAsia="SimSun" w:hAnsi="SimSun" w:cs="SimSun"/>
          <w:color w:val="000000"/>
          <w:spacing w:val="0"/>
          <w:w w:val="100"/>
          <w:position w:val="0"/>
          <w:sz w:val="17"/>
          <w:szCs w:val="17"/>
        </w:rPr>
        <w:t xml:space="preserve">&gt; </w:t>
      </w:r>
      <w:r>
        <w:rPr>
          <w:color w:val="000000"/>
          <w:spacing w:val="0"/>
          <w:w w:val="100"/>
          <w:position w:val="0"/>
          <w:sz w:val="18"/>
          <w:szCs w:val="18"/>
        </w:rPr>
        <w:t>Associate Editor of CPSS Transactions on Power Electronics and Applications</w:t>
      </w:r>
      <w:r>
        <w:rPr>
          <w:rFonts w:ascii="SimSun" w:eastAsia="SimSun" w:hAnsi="SimSun" w:cs="SimSun"/>
          <w:color w:val="000000"/>
          <w:spacing w:val="0"/>
          <w:w w:val="100"/>
          <w:position w:val="0"/>
          <w:sz w:val="17"/>
          <w:szCs w:val="17"/>
        </w:rPr>
        <w:t>；获</w:t>
      </w:r>
      <w:r>
        <w:rPr>
          <w:color w:val="000000"/>
          <w:spacing w:val="0"/>
          <w:w w:val="100"/>
          <w:position w:val="0"/>
          <w:sz w:val="18"/>
          <w:szCs w:val="18"/>
        </w:rPr>
        <w:t>2017</w:t>
      </w:r>
      <w:r>
        <w:rPr>
          <w:rFonts w:ascii="SimSun" w:eastAsia="SimSun" w:hAnsi="SimSun" w:cs="SimSun"/>
          <w:color w:val="000000"/>
          <w:spacing w:val="0"/>
          <w:w w:val="100"/>
          <w:position w:val="0"/>
          <w:sz w:val="17"/>
          <w:szCs w:val="17"/>
        </w:rPr>
        <w:t>年国家自然基金委优青、</w:t>
      </w:r>
      <w:r>
        <w:rPr>
          <w:color w:val="000000"/>
          <w:spacing w:val="0"/>
          <w:w w:val="100"/>
          <w:position w:val="0"/>
          <w:sz w:val="18"/>
          <w:szCs w:val="18"/>
        </w:rPr>
        <w:t>2017</w:t>
      </w:r>
      <w:r>
        <w:rPr>
          <w:rFonts w:ascii="SimSun" w:eastAsia="SimSun" w:hAnsi="SimSun" w:cs="SimSun"/>
          <w:color w:val="000000"/>
          <w:spacing w:val="0"/>
          <w:w w:val="100"/>
          <w:position w:val="0"/>
          <w:sz w:val="17"/>
          <w:szCs w:val="17"/>
        </w:rPr>
        <w:t>年山东省杰青。</w:t>
      </w: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2005</w:t>
      </w:r>
      <w:r>
        <w:rPr>
          <w:rFonts w:ascii="SimSun" w:eastAsia="SimSun" w:hAnsi="SimSun" w:cs="SimSun"/>
          <w:color w:val="000000"/>
          <w:spacing w:val="0"/>
          <w:w w:val="100"/>
          <w:position w:val="0"/>
          <w:sz w:val="17"/>
          <w:szCs w:val="17"/>
        </w:rPr>
        <w:t xml:space="preserve">年分别毕业于山东大学获学士和硕士学位， </w:t>
      </w:r>
      <w:r>
        <w:rPr>
          <w:color w:val="000000"/>
          <w:spacing w:val="0"/>
          <w:w w:val="100"/>
          <w:position w:val="0"/>
          <w:sz w:val="18"/>
          <w:szCs w:val="18"/>
        </w:rPr>
        <w:t>2008</w:t>
      </w:r>
      <w:r>
        <w:rPr>
          <w:rFonts w:ascii="SimSun" w:eastAsia="SimSun" w:hAnsi="SimSun" w:cs="SimSun"/>
          <w:color w:val="000000"/>
          <w:spacing w:val="0"/>
          <w:w w:val="100"/>
          <w:position w:val="0"/>
          <w:sz w:val="17"/>
          <w:szCs w:val="17"/>
        </w:rPr>
        <w:t>年毕业于新加坡南洋理工大学并于</w:t>
      </w:r>
      <w:r>
        <w:rPr>
          <w:color w:val="000000"/>
          <w:spacing w:val="0"/>
          <w:w w:val="100"/>
          <w:position w:val="0"/>
          <w:sz w:val="18"/>
          <w:szCs w:val="18"/>
        </w:rPr>
        <w:t>2009</w:t>
      </w:r>
      <w:r>
        <w:rPr>
          <w:rFonts w:ascii="SimSun" w:eastAsia="SimSun" w:hAnsi="SimSun" w:cs="SimSun"/>
          <w:color w:val="000000"/>
          <w:spacing w:val="0"/>
          <w:w w:val="100"/>
          <w:position w:val="0"/>
          <w:sz w:val="17"/>
          <w:szCs w:val="17"/>
        </w:rPr>
        <w:t>年获博士学位；</w:t>
      </w:r>
      <w:r>
        <w:rPr>
          <w:color w:val="000000"/>
          <w:spacing w:val="0"/>
          <w:w w:val="100"/>
          <w:position w:val="0"/>
          <w:sz w:val="18"/>
          <w:szCs w:val="18"/>
        </w:rPr>
        <w:t>2008</w:t>
      </w:r>
      <w:r>
        <w:rPr>
          <w:rFonts w:ascii="SimSun" w:eastAsia="SimSun" w:hAnsi="SimSun" w:cs="SimSun"/>
          <w:color w:val="000000"/>
          <w:spacing w:val="0"/>
          <w:w w:val="100"/>
          <w:position w:val="0"/>
          <w:sz w:val="17"/>
          <w:szCs w:val="17"/>
        </w:rPr>
        <w:t>年至</w:t>
      </w:r>
      <w:r>
        <w:rPr>
          <w:color w:val="000000"/>
          <w:spacing w:val="0"/>
          <w:w w:val="100"/>
          <w:position w:val="0"/>
          <w:sz w:val="18"/>
          <w:szCs w:val="18"/>
        </w:rPr>
        <w:t>2009</w:t>
      </w:r>
      <w:r>
        <w:rPr>
          <w:rFonts w:ascii="SimSun" w:eastAsia="SimSun" w:hAnsi="SimSun" w:cs="SimSun"/>
          <w:color w:val="000000"/>
          <w:spacing w:val="0"/>
          <w:w w:val="100"/>
          <w:position w:val="0"/>
          <w:sz w:val="17"/>
          <w:szCs w:val="17"/>
        </w:rPr>
        <w:t>年于南洋理工大学开展博士后研究，</w:t>
      </w:r>
      <w:r>
        <w:rPr>
          <w:color w:val="000000"/>
          <w:spacing w:val="0"/>
          <w:w w:val="100"/>
          <w:position w:val="0"/>
          <w:sz w:val="18"/>
          <w:szCs w:val="18"/>
        </w:rPr>
        <w:t>2010</w:t>
      </w:r>
      <w:r>
        <w:rPr>
          <w:rFonts w:ascii="SimSun" w:eastAsia="SimSun" w:hAnsi="SimSun" w:cs="SimSun"/>
          <w:color w:val="000000"/>
          <w:spacing w:val="0"/>
          <w:w w:val="100"/>
          <w:position w:val="0"/>
          <w:sz w:val="17"/>
          <w:szCs w:val="17"/>
        </w:rPr>
        <w:t>年聘为教 授加入山东大学电气工程学院。</w:t>
      </w:r>
    </w:p>
    <w:p>
      <w:pPr>
        <w:pStyle w:val="Style31"/>
        <w:keepNext w:val="0"/>
        <w:keepLines w:val="0"/>
        <w:widowControl w:val="0"/>
        <w:shd w:val="clear" w:color="auto" w:fill="auto"/>
        <w:bidi w:val="0"/>
        <w:spacing w:before="0" w:after="380" w:line="316" w:lineRule="exact"/>
        <w:ind w:left="0" w:right="0" w:firstLine="0"/>
        <w:jc w:val="both"/>
      </w:pPr>
      <w:r>
        <w:rPr>
          <w:color w:val="000000"/>
          <w:spacing w:val="0"/>
          <w:w w:val="100"/>
          <w:position w:val="0"/>
        </w:rPr>
        <w:t>李巍，</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年出生，中国国籍，硕士研究生学历，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年任山东惠通科技有限公司副总经理，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年任山 东师范大学教师；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年任山东海洋集团有限公司副部长；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年任山东恒蓝资本投资管理有限公司董事 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年山东发展投资集团有限公司部长；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年任舜和资本管理有限公司、山东一圈一带产业投资基 金有限公司总经理，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年任舜和资本管理有限公司、山东一圈一带产业投资基金有限公司董事长，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年至今任 山东建昇投资有限公司总经理。</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孟军丽，</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月出生，中国国籍，无境外永久居留权，毕业于黑龙江大学经济法专业，中国注册会计师，注册税务师。 曾任济南华达汽修厂财务、济南贵和购物中心财务经理、北京中天恒会计师事务所山东分所副所长、山东泉顺会计师事务所 所长。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月至今，任中证天通会计师事务所（特殊普通合伙）山东分所所长。</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施伟力，</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月生</w:t>
      </w:r>
      <w:r>
        <w:rPr>
          <w:color w:val="000000"/>
          <w:spacing w:val="0"/>
          <w:w w:val="100"/>
          <w:position w:val="0"/>
          <w:sz w:val="18"/>
          <w:szCs w:val="18"/>
        </w:rPr>
        <w:t>，</w:t>
      </w:r>
      <w:r>
        <w:rPr>
          <w:color w:val="000000"/>
          <w:spacing w:val="0"/>
          <w:w w:val="100"/>
          <w:position w:val="0"/>
        </w:rPr>
        <w:t>中国国籍，无境外永久居留权，大专学历，毕业于武汉大学公共关系专业。曾任福建泉州明新中学教 师、福建泉州无线电五厂副厂长、厦门华厦教学设备公司经理、中外合资东泉电子有限公司总经理、香港南方国际电子有限 公司副总经理、香港华刚光电有限公司厂长、鑫谷光电股份有限公司副总经理、大连路美芯片科技有限公司副总经理、上海 曼斯雷德光电有限公司董事长、大连九久光电科技有限公司总经理、大连九久光电制造有限公司董事总经理、河南屹峰实业 集团有限公司高级顾问、山西光宇半导体照明股份有限公司独立董事、超频三科技股份有限公司顾问、茂硕电源科技股份有 限公司独立董事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月至今，任中国照明学会第六届、第七届半导体照明技术与应用专业委员会顾问；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月，任深圳照明与显示工程行业协会会长，后转任特别顾问至今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月至今，任株洲众普森科技股份有限公司 顾问；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月至今，任聚灿光电科技股份有限公司独立董事；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月至今，任深圳市联诚发科技股份有限公司独立 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月至今，深圳新益昌科技股份有限公司独立董事。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月任茂硕电源科技股份有限公司独立董事。</w:t>
      </w:r>
    </w:p>
    <w:p>
      <w:pPr>
        <w:pStyle w:val="Style31"/>
        <w:keepNext w:val="0"/>
        <w:keepLines w:val="0"/>
        <w:widowControl w:val="0"/>
        <w:shd w:val="clear" w:color="auto" w:fill="auto"/>
        <w:bidi w:val="0"/>
        <w:spacing w:before="0" w:after="0" w:line="313" w:lineRule="exact"/>
        <w:ind w:left="0" w:right="0" w:firstLine="0"/>
        <w:jc w:val="both"/>
      </w:pPr>
      <w:bookmarkStart w:id="531" w:name="bookmark531"/>
      <w:r>
        <w:rPr>
          <w:rFonts w:ascii="Times New Roman" w:eastAsia="Times New Roman" w:hAnsi="Times New Roman" w:cs="Times New Roman"/>
          <w:color w:val="000000"/>
          <w:spacing w:val="0"/>
          <w:w w:val="100"/>
          <w:position w:val="0"/>
          <w:sz w:val="18"/>
          <w:szCs w:val="18"/>
        </w:rPr>
        <w:t>2</w:t>
      </w:r>
      <w:bookmarkEnd w:id="531"/>
      <w:r>
        <w:rPr>
          <w:color w:val="000000"/>
          <w:spacing w:val="0"/>
          <w:w w:val="100"/>
          <w:position w:val="0"/>
        </w:rPr>
        <w:t>、监事：</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石颖先生，出生于</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月，经济学硕士，特许金融分析师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CFA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月，任中国太平洋财产保险股份 有限公司，董事会办公室战略规划岗；</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月，任太平资产管理有限公司，创新发展部投资经理；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月，任平安信托有限责任公司，房地产事业二部高级投资经理；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月，任中新首峰投资管理有 限公司，投资部助理副总裁；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月，任开源证券股份有限公司，投资银行部业务董事；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月，任中植财富控股有限公司，集团风险管理部负责人；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月，任征和开元控股集团有限公司，风控合规 中心负责人；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至今，任济南产发资本控股集团有限公司副总经理。</w:t>
      </w:r>
    </w:p>
    <w:p>
      <w:pPr>
        <w:pStyle w:val="Style31"/>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成水英，女，中国国籍，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月出生，毕业于湖南农业大学，本科学历。一级企业人力资源管理师，高级劳动关系协调 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月于深圳市荣丰包装制品有限公任物控专员，</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月于深圳市众成纸品有限公司任 总经理助理，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月于深圳市富雅分色印刷有限公司任高级客户代表，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月至今先后任茂硕电源董事 长秘书、总裁助理、人力资源总监、监事。</w:t>
      </w:r>
    </w:p>
    <w:p>
      <w:pPr>
        <w:pStyle w:val="Style3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康甜桂，男，出生于</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月，中国国籍。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年毕业于武汉理工大学，大专学历，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年进修华中科技大学， 取得本科学历。</w:t>
      </w:r>
      <w:r>
        <w:rPr>
          <w:rFonts w:ascii="Times New Roman" w:eastAsia="Times New Roman" w:hAnsi="Times New Roman" w:cs="Times New Roman"/>
          <w:color w:val="000000"/>
          <w:spacing w:val="0"/>
          <w:w w:val="100"/>
          <w:position w:val="0"/>
          <w:sz w:val="18"/>
          <w:szCs w:val="18"/>
        </w:rPr>
        <w:t>2002-2006</w:t>
      </w:r>
      <w:r>
        <w:rPr>
          <w:color w:val="000000"/>
          <w:spacing w:val="0"/>
          <w:w w:val="100"/>
          <w:position w:val="0"/>
        </w:rPr>
        <w:t>年在深圳市人人乐商业集团担任企划主管、经理；</w:t>
      </w:r>
      <w:r>
        <w:rPr>
          <w:rFonts w:ascii="Times New Roman" w:eastAsia="Times New Roman" w:hAnsi="Times New Roman" w:cs="Times New Roman"/>
          <w:color w:val="000000"/>
          <w:spacing w:val="0"/>
          <w:w w:val="100"/>
          <w:position w:val="0"/>
          <w:sz w:val="18"/>
          <w:szCs w:val="18"/>
        </w:rPr>
        <w:t>2007-2009</w:t>
      </w:r>
      <w:r>
        <w:rPr>
          <w:color w:val="000000"/>
          <w:spacing w:val="0"/>
          <w:w w:val="100"/>
          <w:position w:val="0"/>
        </w:rPr>
        <w:t>年在北京锡恩企业管理顾问有限公司 担任策划经理；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年加入茂硕电源科技股份有限公司，目前在公司担任品牌管理中心品牌经理，监事。</w:t>
      </w:r>
    </w:p>
    <w:p>
      <w:pPr>
        <w:pStyle w:val="Style31"/>
        <w:keepNext w:val="0"/>
        <w:keepLines w:val="0"/>
        <w:widowControl w:val="0"/>
        <w:shd w:val="clear" w:color="auto" w:fill="auto"/>
        <w:bidi w:val="0"/>
        <w:spacing w:before="0" w:after="0" w:line="312" w:lineRule="exact"/>
        <w:ind w:left="0" w:right="0" w:firstLine="0"/>
        <w:jc w:val="both"/>
      </w:pPr>
      <w:bookmarkStart w:id="532" w:name="bookmark532"/>
      <w:r>
        <w:rPr>
          <w:rFonts w:ascii="Times New Roman" w:eastAsia="Times New Roman" w:hAnsi="Times New Roman" w:cs="Times New Roman"/>
          <w:color w:val="000000"/>
          <w:spacing w:val="0"/>
          <w:w w:val="100"/>
          <w:position w:val="0"/>
          <w:sz w:val="18"/>
          <w:szCs w:val="18"/>
        </w:rPr>
        <w:t>3</w:t>
      </w:r>
      <w:bookmarkEnd w:id="532"/>
      <w:r>
        <w:rPr>
          <w:color w:val="000000"/>
          <w:spacing w:val="0"/>
          <w:w w:val="100"/>
          <w:position w:val="0"/>
        </w:rPr>
        <w:t>、高级管理人员：</w:t>
      </w:r>
    </w:p>
    <w:p>
      <w:pPr>
        <w:pStyle w:val="Style31"/>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杨丰林，男，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年出生，中国国籍，无境外永久居留权，哈尔滨工业大学研究生学历。曾任浙江摩托车厂技术员，富士康 精密组件有限公司工程师，艾默生网络能源设计主管，飞煌世亚电业（深圳）有限公司研发经理，伟创力电源（深圳）有限 公司研发经理，比瑞科技有限公司研发经理，迪比科电子科技有限公司研发总监，副总经理。曾任茂硕电源科技股份有限公 司</w:t>
      </w:r>
      <w:r>
        <w:rPr>
          <w:rFonts w:ascii="Times New Roman" w:eastAsia="Times New Roman" w:hAnsi="Times New Roman" w:cs="Times New Roman"/>
          <w:color w:val="000000"/>
          <w:spacing w:val="0"/>
          <w:w w:val="100"/>
          <w:position w:val="0"/>
          <w:sz w:val="18"/>
          <w:szCs w:val="18"/>
        </w:rPr>
        <w:t>SPS</w:t>
      </w:r>
      <w:r>
        <w:rPr>
          <w:color w:val="000000"/>
          <w:spacing w:val="0"/>
          <w:w w:val="100"/>
          <w:position w:val="0"/>
        </w:rPr>
        <w:t>事业部常务副总经理。</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楚长征，</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月出生，中国国籍，无境外永久居留权，本科学历，毕业于湖南大学会计学专业，会计师。曾任山东工程 机械集团有限公司财务部副科长、山东重工集团有限公司财务经理，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月任中融新大集团有限公司财务中 心财务经理，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月，任济南产业发展投资集团有限公司财务管理部资深经理。</w:t>
      </w:r>
    </w:p>
    <w:p>
      <w:pPr>
        <w:pStyle w:val="Style3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潘晓平，男，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月出生，中国国籍，毕业于中国纺织大学机械工程系供热与通风专业，工学学士学位。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月担任苏州太仓针织总厂动力分厂技术员、副厂长；</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月担任安莉芳集团有限公司经理；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月担任深圳经济特区免税商品企业公司经理；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月担任安兴纸业（深圳）有限公司副总经理；</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月担任三和国际有限公司副总经理；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月担任崧顺电子（深圳）有限公司总经理；</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月担任豪鹏国际股份有限公司副总经理；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月至今担任茂硕电源科技股份有限公司副总经理。</w:t>
      </w:r>
    </w:p>
    <w:p>
      <w:pPr>
        <w:pStyle w:val="Style31"/>
        <w:keepNext w:val="0"/>
        <w:keepLines w:val="0"/>
        <w:widowControl w:val="0"/>
        <w:shd w:val="clear" w:color="auto" w:fill="auto"/>
        <w:bidi w:val="0"/>
        <w:spacing w:before="0" w:after="860" w:line="316" w:lineRule="exact"/>
        <w:ind w:left="0" w:right="0" w:firstLine="0"/>
        <w:jc w:val="both"/>
      </w:pPr>
      <w:r>
        <w:rPr>
          <w:color w:val="000000"/>
          <w:spacing w:val="0"/>
          <w:w w:val="100"/>
          <w:position w:val="0"/>
        </w:rPr>
        <w:t>胡炎申，</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年出生，中国国籍，研究生毕业于华南理工大学电力电子专业，工学博士学位。曾任山特电子有限公司测试主 管，艾默生网络能源有限公司雅达通信电源副总工程师，德州仪器半导体技术有限公司电源控制芯片系统经理，华为技术有 限公司网络能源产品线技术专家，以及茂硕下属子公司或事业部总工、副总。现任茂硕电源科技股份有限公司首席技术官。 担任社会职务为：湘潭大学校外研究生导师；中国电源学会高级会员、专家委员会委员、新能源电能变换专委会委员；中国 电工技术学会电力电子专委会青年工作组委员。</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余冠敏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济南产发融盛股权投资有限公司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法人、董事 长、总经理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王浩涛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济南产业发展投资集团有限公司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副总经理、董 事、党委委员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济南产业发展投资集团有限公司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新产业事业 部总经理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济南产发企业管理集团有限公司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董事长、党委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书记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余冠敏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济南产发资本控股集团有限公司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余冠敏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济南经发基金管理有限公司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法人、董事 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余冠敏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济南经发股权投资有限公司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法人、执行董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余冠敏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济南经发中小企业服务有限公司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法人、执行董 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余冠敏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山东健康医疗大数据有限公司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孟军丽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济南瑞华税务师事务所有限公司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孟军丽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中证天通会计师事务所（特殊普通合伙） 山东分所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孟军丽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济南东力置业有限公司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监事（外聘）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山东建昇投资有限公司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聚灿光电科技股份有限公司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深圳联诚发科技股份有限公司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深圳新益昌科技股份有限公司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深圳市照明与显示工程行业协会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特别顾问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济南产发资本控股集团有限公司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四</w:t>
      </w:r>
      <w:bookmarkEnd w:id="535"/>
      <w:r>
        <w:rPr>
          <w:color w:val="000000"/>
          <w:spacing w:val="0"/>
          <w:w w:val="100"/>
          <w:position w:val="0"/>
          <w:sz w:val="24"/>
          <w:szCs w:val="24"/>
        </w:rPr>
        <w:t>、董事、监事、高级管理人员报酬情况</w:t>
      </w:r>
      <w:bookmarkEnd w:id="533"/>
      <w:bookmarkEnd w:id="534"/>
      <w:bookmarkEnd w:id="536"/>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334" w:val="left"/>
        </w:tabs>
        <w:bidi w:val="0"/>
        <w:spacing w:before="0" w:after="40" w:line="314" w:lineRule="exact"/>
        <w:ind w:left="0" w:right="0" w:firstLine="0"/>
        <w:jc w:val="left"/>
      </w:pPr>
      <w:bookmarkStart w:id="537" w:name="bookmark537"/>
      <w:r>
        <w:rPr>
          <w:rFonts w:ascii="Times New Roman" w:eastAsia="Times New Roman" w:hAnsi="Times New Roman" w:cs="Times New Roman"/>
          <w:color w:val="000000"/>
          <w:spacing w:val="0"/>
          <w:w w:val="100"/>
          <w:position w:val="0"/>
          <w:sz w:val="18"/>
          <w:szCs w:val="18"/>
        </w:rPr>
        <w:t>1</w:t>
      </w:r>
      <w:bookmarkEnd w:id="537"/>
      <w:r>
        <w:rPr>
          <w:color w:val="000000"/>
          <w:spacing w:val="0"/>
          <w:w w:val="100"/>
          <w:position w:val="0"/>
        </w:rPr>
        <w:t>、</w:t>
        <w:tab/>
        <w:t>董事、监事、高级管理人员报酬的决策程序</w:t>
      </w:r>
    </w:p>
    <w:p>
      <w:pPr>
        <w:pStyle w:val="Style31"/>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日，公司第五届董事会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第五届监事会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次定期会议审议《关于公司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 监事、高级管理人员薪酬方案</w:t>
      </w:r>
      <w:r>
        <w:rPr>
          <w:color w:val="000000"/>
          <w:spacing w:val="0"/>
          <w:w w:val="100"/>
          <w:position w:val="0"/>
          <w:sz w:val="18"/>
          <w:szCs w:val="18"/>
        </w:rPr>
        <w:t>〉</w:t>
      </w:r>
      <w:r>
        <w:rPr>
          <w:color w:val="000000"/>
          <w:spacing w:val="0"/>
          <w:w w:val="100"/>
          <w:position w:val="0"/>
        </w:rPr>
        <w:t>的议案》，经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年度股东大会审议通过后生效；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月，公司董事会薪酬与考核委员 会审核确定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年度公司董事、监事、高级管理人员薪酬。</w:t>
      </w:r>
    </w:p>
    <w:p>
      <w:pPr>
        <w:pStyle w:val="Style31"/>
        <w:keepNext w:val="0"/>
        <w:keepLines w:val="0"/>
        <w:widowControl w:val="0"/>
        <w:shd w:val="clear" w:color="auto" w:fill="auto"/>
        <w:tabs>
          <w:tab w:pos="354" w:val="left"/>
        </w:tabs>
        <w:bidi w:val="0"/>
        <w:spacing w:before="0" w:after="40" w:line="314" w:lineRule="exact"/>
        <w:ind w:left="0" w:right="0" w:firstLine="0"/>
        <w:jc w:val="left"/>
      </w:pPr>
      <w:bookmarkStart w:id="538" w:name="bookmark538"/>
      <w:r>
        <w:rPr>
          <w:rFonts w:ascii="Times New Roman" w:eastAsia="Times New Roman" w:hAnsi="Times New Roman" w:cs="Times New Roman"/>
          <w:color w:val="000000"/>
          <w:spacing w:val="0"/>
          <w:w w:val="100"/>
          <w:position w:val="0"/>
          <w:sz w:val="18"/>
          <w:szCs w:val="18"/>
        </w:rPr>
        <w:t>2</w:t>
      </w:r>
      <w:bookmarkEnd w:id="538"/>
      <w:r>
        <w:rPr>
          <w:color w:val="000000"/>
          <w:spacing w:val="0"/>
          <w:w w:val="100"/>
          <w:position w:val="0"/>
        </w:rPr>
        <w:t>、</w:t>
        <w:tab/>
        <w:t>董事、监事、高级管理人员报酬确定依据</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根据《公司章程》、《董事、监事、高级管理人员薪酬制度》等公司相关制度，结合公司经营规模等实际情况并参照行业薪 酬水平确定。</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顾永德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刘爱民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秦利红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廖青莲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成水英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康甜桂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注：目前，因公司控股股东及实际控制人变更，经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日，公司召开的第四届董事会</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次临时会议，</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次临时股东大会及同日召开的第五届董事会</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1</w:t>
      </w:r>
      <w:r>
        <w:rPr>
          <w:color w:val="000000"/>
          <w:spacing w:val="0"/>
          <w:w w:val="100"/>
          <w:position w:val="0"/>
        </w:rPr>
        <w:t>次临时会议审议通过，公司第五届 董监高换届完成。</w:t>
      </w:r>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39" w:name="bookmark539"/>
      <w:bookmarkStart w:id="540" w:name="bookmark540"/>
      <w:bookmarkStart w:id="541" w:name="bookmark541"/>
      <w:bookmarkStart w:id="542" w:name="bookmark542"/>
      <w:r>
        <w:rPr>
          <w:color w:val="000000"/>
          <w:spacing w:val="0"/>
          <w:w w:val="100"/>
          <w:position w:val="0"/>
          <w:sz w:val="24"/>
          <w:szCs w:val="24"/>
        </w:rPr>
        <w:t>五</w:t>
      </w:r>
      <w:bookmarkEnd w:id="541"/>
      <w:r>
        <w:rPr>
          <w:color w:val="000000"/>
          <w:spacing w:val="0"/>
          <w:w w:val="100"/>
          <w:position w:val="0"/>
          <w:sz w:val="24"/>
          <w:szCs w:val="24"/>
        </w:rPr>
        <w:t>、公司员工情况</w:t>
      </w:r>
      <w:bookmarkEnd w:id="539"/>
      <w:bookmarkEnd w:id="540"/>
      <w:bookmarkEnd w:id="542"/>
    </w:p>
    <w:p>
      <w:pPr>
        <w:pStyle w:val="Style34"/>
        <w:keepNext/>
        <w:keepLines/>
        <w:widowControl w:val="0"/>
        <w:shd w:val="clear" w:color="auto" w:fill="auto"/>
        <w:bidi w:val="0"/>
        <w:spacing w:before="0" w:after="30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、员工数量、专业构成及教育程度</w:t>
      </w:r>
      <w:bookmarkEnd w:id="543"/>
      <w:bookmarkEnd w:id="544"/>
      <w:bookmarkEnd w:id="54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、薪酬政策</w:t>
      </w:r>
      <w:bookmarkEnd w:id="547"/>
      <w:bookmarkEnd w:id="548"/>
      <w:bookmarkEnd w:id="550"/>
    </w:p>
    <w:p>
      <w:pPr>
        <w:pStyle w:val="Style31"/>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公司在严格遵守《劳动法》、《劳动合同法》等有关法律法规、部门规章和规范性文件的基础上，结合行业及公司经营特点， 充分考虑公平性和竞争力，制定了较为完善的薪酬管理制度及激励机制。报告期内，公司深入推进利润分享的激励机制，确 定明确的激励目标，有效的激发全员的工作能动性，有效的提升了员工执行力和责任意识，激励机制的深入实施有利于留住 和吸引优秀人才，提高了员工的忠诚度及归属感，为公司创造更多的价值。</w:t>
      </w:r>
    </w:p>
    <w:p>
      <w:pPr>
        <w:pStyle w:val="Style34"/>
        <w:keepNext/>
        <w:keepLines/>
        <w:widowControl w:val="0"/>
        <w:shd w:val="clear" w:color="auto" w:fill="auto"/>
        <w:bidi w:val="0"/>
        <w:spacing w:before="0" w:after="260" w:line="240" w:lineRule="auto"/>
        <w:ind w:left="0" w:right="0" w:firstLine="0"/>
        <w:jc w:val="both"/>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、培训计划</w:t>
      </w:r>
      <w:bookmarkEnd w:id="551"/>
      <w:bookmarkEnd w:id="552"/>
      <w:bookmarkEnd w:id="554"/>
    </w:p>
    <w:p>
      <w:pPr>
        <w:pStyle w:val="Style31"/>
        <w:keepNext w:val="0"/>
        <w:keepLines w:val="0"/>
        <w:widowControl w:val="0"/>
        <w:shd w:val="clear" w:color="auto" w:fill="auto"/>
        <w:bidi w:val="0"/>
        <w:spacing w:before="0" w:after="700" w:line="311" w:lineRule="exact"/>
        <w:ind w:left="0" w:right="0" w:firstLine="0"/>
        <w:jc w:val="both"/>
      </w:pPr>
      <w:r>
        <w:rPr>
          <w:color w:val="000000"/>
          <w:spacing w:val="0"/>
          <w:w w:val="100"/>
          <w:position w:val="0"/>
        </w:rPr>
        <w:t>公司注重员工培养和人才储备，积极寻求各种培训资源和渠道，建立了较为完善的培训体系，以内部培训、外部培训、员工 自我学习培训等多种形式，提升全体员工岗位技能和专业知识。公司每年根据发展需求制定具体的培训计划，进行定期或不 定期的培训，有针对性地开展如新员工入职培训、在职人员业务培训、管理者提升培训、安全培训等，将公司的高层管理团 队、中层管理者、骨干员工及后备人才培养统一纳入到体系化的人才成长快车道，有效地提高了员工的整体素质和企业的经 营管理水平。</w:t>
      </w:r>
    </w:p>
    <w:p>
      <w:pPr>
        <w:pStyle w:val="Style34"/>
        <w:keepNext/>
        <w:keepLines/>
        <w:widowControl w:val="0"/>
        <w:shd w:val="clear" w:color="auto" w:fill="auto"/>
        <w:bidi w:val="0"/>
        <w:spacing w:before="0" w:after="340" w:line="240" w:lineRule="auto"/>
        <w:ind w:left="0" w:right="0" w:firstLine="0"/>
        <w:jc w:val="both"/>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、劳务外包情况</w:t>
      </w:r>
      <w:bookmarkEnd w:id="555"/>
      <w:bookmarkEnd w:id="556"/>
      <w:bookmarkEnd w:id="558"/>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4,255,337.76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70,208,507.70</w:t>
            </w:r>
          </w:p>
        </w:tc>
      </w:tr>
    </w:tbl>
    <w:p>
      <w:pPr>
        <w:sectPr>
          <w:footnotePr>
            <w:pos w:val="pageBottom"/>
            <w:numFmt w:val="decimal"/>
            <w:numRestart w:val="continuous"/>
          </w:footnotePr>
          <w:pgSz w:w="11900" w:h="16840"/>
          <w:pgMar w:top="1383" w:right="1056" w:bottom="1460" w:left="1061" w:header="0" w:footer="3" w:gutter="0"/>
          <w:cols w:space="720"/>
          <w:noEndnote/>
          <w:rtlGutter w:val="0"/>
          <w:docGrid w:linePitch="360"/>
        </w:sectPr>
      </w:pPr>
    </w:p>
    <w:p>
      <w:pPr>
        <w:pStyle w:val="Style14"/>
        <w:keepNext/>
        <w:keepLines/>
        <w:widowControl w:val="0"/>
        <w:shd w:val="clear" w:color="auto" w:fill="auto"/>
        <w:bidi w:val="0"/>
        <w:spacing w:before="520" w:after="560" w:line="240" w:lineRule="auto"/>
        <w:ind w:left="0" w:right="0" w:firstLine="0"/>
        <w:jc w:val="center"/>
      </w:pPr>
      <w:bookmarkStart w:id="559" w:name="bookmark559"/>
      <w:bookmarkStart w:id="560" w:name="bookmark560"/>
      <w:bookmarkStart w:id="561" w:name="bookmark561"/>
      <w:r>
        <w:rPr>
          <w:color w:val="000000"/>
          <w:spacing w:val="0"/>
          <w:w w:val="100"/>
          <w:position w:val="0"/>
        </w:rPr>
        <w:t>第十节公司治理</w:t>
      </w:r>
      <w:bookmarkEnd w:id="559"/>
      <w:bookmarkEnd w:id="560"/>
      <w:bookmarkEnd w:id="561"/>
    </w:p>
    <w:p>
      <w:pPr>
        <w:pStyle w:val="Style27"/>
        <w:keepNext/>
        <w:keepLines/>
        <w:widowControl w:val="0"/>
        <w:shd w:val="clear" w:color="auto" w:fill="auto"/>
        <w:tabs>
          <w:tab w:pos="603" w:val="left"/>
        </w:tabs>
        <w:bidi w:val="0"/>
        <w:spacing w:before="0" w:after="260" w:line="240" w:lineRule="auto"/>
        <w:ind w:left="0" w:right="0" w:firstLine="0"/>
        <w:jc w:val="left"/>
      </w:pPr>
      <w:bookmarkStart w:id="562" w:name="bookmark562"/>
      <w:bookmarkStart w:id="563" w:name="bookmark563"/>
      <w:bookmarkStart w:id="564" w:name="bookmark564"/>
      <w:bookmarkStart w:id="565" w:name="bookmark565"/>
      <w:bookmarkStart w:id="566" w:name="bookmark566"/>
      <w:r>
        <w:rPr>
          <w:color w:val="000000"/>
          <w:spacing w:val="0"/>
          <w:w w:val="100"/>
          <w:position w:val="0"/>
          <w:sz w:val="24"/>
          <w:szCs w:val="24"/>
        </w:rPr>
        <w:t>一</w:t>
      </w:r>
      <w:bookmarkEnd w:id="565"/>
      <w:r>
        <w:rPr>
          <w:color w:val="000000"/>
          <w:spacing w:val="0"/>
          <w:w w:val="100"/>
          <w:position w:val="0"/>
          <w:sz w:val="24"/>
          <w:szCs w:val="24"/>
        </w:rPr>
        <w:t>、</w:t>
        <w:tab/>
        <w:t>公司治理的基本状况</w:t>
      </w:r>
      <w:bookmarkEnd w:id="563"/>
      <w:bookmarkEnd w:id="564"/>
      <w:bookmarkEnd w:id="566"/>
      <w:bookmarkEnd w:id="562"/>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报告期内，公司严格按照《公司法》《证券法》《上市公司治理准则》和中国证监会、深圳证券交易所有关要求，加强信 息披露工作，不断完善公司法人治理结构，建立健全内部控制制度，规范公司运作，切实维护公司及全体股东利益。公司股 东大会、董事会、监事会、各经营层职责明确，各董事、监事和高级管理人员勤勉尽责，确保了公司安全、稳定、健康、持 续的发展。截至报告期末，公司治理情况符合中国证监会、深圳证券交易所上市公司治理规范性文件规定。</w:t>
      </w:r>
    </w:p>
    <w:p>
      <w:pPr>
        <w:pStyle w:val="Style31"/>
        <w:keepNext w:val="0"/>
        <w:keepLines w:val="0"/>
        <w:widowControl w:val="0"/>
        <w:shd w:val="clear" w:color="auto" w:fill="auto"/>
        <w:tabs>
          <w:tab w:pos="731" w:val="left"/>
        </w:tabs>
        <w:bidi w:val="0"/>
        <w:spacing w:before="0" w:after="0" w:line="314" w:lineRule="exact"/>
        <w:ind w:left="0" w:right="0" w:firstLine="220"/>
        <w:jc w:val="both"/>
      </w:pPr>
      <w:bookmarkStart w:id="567" w:name="bookmark567"/>
      <w:r>
        <w:rPr>
          <w:color w:val="000000"/>
          <w:spacing w:val="0"/>
          <w:w w:val="100"/>
          <w:position w:val="0"/>
        </w:rPr>
        <w:t>（</w:t>
      </w:r>
      <w:bookmarkEnd w:id="567"/>
      <w:r>
        <w:rPr>
          <w:color w:val="000000"/>
          <w:spacing w:val="0"/>
          <w:w w:val="100"/>
          <w:position w:val="0"/>
        </w:rPr>
        <w:t>一）</w:t>
        <w:tab/>
        <w:t>关于股东和股东大会</w:t>
      </w:r>
    </w:p>
    <w:p>
      <w:pPr>
        <w:pStyle w:val="Style31"/>
        <w:keepNext w:val="0"/>
        <w:keepLines w:val="0"/>
        <w:widowControl w:val="0"/>
        <w:shd w:val="clear" w:color="auto" w:fill="auto"/>
        <w:bidi w:val="0"/>
        <w:spacing w:before="0" w:after="0" w:line="319" w:lineRule="exact"/>
        <w:ind w:left="0" w:right="0" w:firstLine="2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年，公司严格按照《公司法》、《公司章程》、《股东大会议事规则》等规定和要求召集、召开股东大会，并在股 东大会审议影响中小投资者利益的重大事项时，对中小投资者的表决进行单独计票。报告期内召开的股东大会均由董事会召 集召开，并聘请律师进行现场见证。</w:t>
      </w:r>
    </w:p>
    <w:p>
      <w:pPr>
        <w:pStyle w:val="Style31"/>
        <w:keepNext w:val="0"/>
        <w:keepLines w:val="0"/>
        <w:widowControl w:val="0"/>
        <w:shd w:val="clear" w:color="auto" w:fill="auto"/>
        <w:tabs>
          <w:tab w:pos="731" w:val="left"/>
        </w:tabs>
        <w:bidi w:val="0"/>
        <w:spacing w:before="0" w:after="0" w:line="314" w:lineRule="exact"/>
        <w:ind w:left="0" w:right="0" w:firstLine="220"/>
        <w:jc w:val="both"/>
      </w:pPr>
      <w:bookmarkStart w:id="568" w:name="bookmark568"/>
      <w:r>
        <w:rPr>
          <w:color w:val="000000"/>
          <w:spacing w:val="0"/>
          <w:w w:val="100"/>
          <w:position w:val="0"/>
        </w:rPr>
        <w:t>（</w:t>
      </w:r>
      <w:bookmarkEnd w:id="568"/>
      <w:r>
        <w:rPr>
          <w:color w:val="000000"/>
          <w:spacing w:val="0"/>
          <w:w w:val="100"/>
          <w:position w:val="0"/>
        </w:rPr>
        <w:t>二）</w:t>
        <w:tab/>
        <w:t>关于董事和董事会</w:t>
      </w:r>
    </w:p>
    <w:p>
      <w:pPr>
        <w:pStyle w:val="Style31"/>
        <w:keepNext w:val="0"/>
        <w:keepLines w:val="0"/>
        <w:widowControl w:val="0"/>
        <w:shd w:val="clear" w:color="auto" w:fill="auto"/>
        <w:bidi w:val="0"/>
        <w:spacing w:before="0" w:after="0" w:line="313" w:lineRule="exact"/>
        <w:ind w:left="0" w:right="0" w:firstLine="220"/>
        <w:jc w:val="both"/>
      </w:pPr>
      <w:r>
        <w:rPr>
          <w:color w:val="000000"/>
          <w:spacing w:val="0"/>
          <w:w w:val="100"/>
          <w:position w:val="0"/>
        </w:rPr>
        <w:t>公司按照《公司法》、《公司章程》等规定选举董事，董事会的人数和人员构成符合法律法规的要求；公司董事会职责 清晰，公司各位董事能够依据《董事会议事规则》等制度，认真出席董事会会议。每位独立董事均严格遵守《独立董事工作 制度》，认真负责、勤勉诚信地履行各自的职责。公司董事会下设审计委员会、战略委员会、提名委员会、薪酬与考核委员 会等四个专门委员会，其成员组成合理。专门委员会设立以来，均严格按照相应工作条例开展工作，已在公司的经营管理中 充分发挥了其专业性作用。</w:t>
      </w:r>
    </w:p>
    <w:p>
      <w:pPr>
        <w:pStyle w:val="Style31"/>
        <w:keepNext w:val="0"/>
        <w:keepLines w:val="0"/>
        <w:widowControl w:val="0"/>
        <w:shd w:val="clear" w:color="auto" w:fill="auto"/>
        <w:tabs>
          <w:tab w:pos="731" w:val="left"/>
        </w:tabs>
        <w:bidi w:val="0"/>
        <w:spacing w:before="0" w:after="0" w:line="314" w:lineRule="exact"/>
        <w:ind w:left="0" w:right="0" w:firstLine="220"/>
        <w:jc w:val="both"/>
      </w:pPr>
      <w:bookmarkStart w:id="569" w:name="bookmark569"/>
      <w:r>
        <w:rPr>
          <w:color w:val="000000"/>
          <w:spacing w:val="0"/>
          <w:w w:val="100"/>
          <w:position w:val="0"/>
        </w:rPr>
        <w:t>（</w:t>
      </w:r>
      <w:bookmarkEnd w:id="569"/>
      <w:r>
        <w:rPr>
          <w:color w:val="000000"/>
          <w:spacing w:val="0"/>
          <w:w w:val="100"/>
          <w:position w:val="0"/>
        </w:rPr>
        <w:t>三）</w:t>
        <w:tab/>
        <w:t>关于监事和监事会</w:t>
      </w:r>
    </w:p>
    <w:p>
      <w:pPr>
        <w:pStyle w:val="Style31"/>
        <w:keepNext w:val="0"/>
        <w:keepLines w:val="0"/>
        <w:widowControl w:val="0"/>
        <w:shd w:val="clear" w:color="auto" w:fill="auto"/>
        <w:bidi w:val="0"/>
        <w:spacing w:before="0" w:after="0" w:line="314" w:lineRule="exact"/>
        <w:ind w:left="0" w:right="0" w:firstLine="220"/>
        <w:jc w:val="both"/>
      </w:pPr>
      <w:r>
        <w:rPr>
          <w:color w:val="000000"/>
          <w:spacing w:val="0"/>
          <w:w w:val="100"/>
          <w:position w:val="0"/>
        </w:rPr>
        <w:t>公司监事会人数和人员构成符合法律、法规的要求，能够依据《监事会议事规则》等制度，各监事严格按照《公司章程》、 《公司监事会议事规则》等相关内部制度行使职权，认真履行自己的职责，出席股东大会、列席董事会会议，对董事会决策 程序、决议事项及公司依法运作情况实施监督，全体监事能够切实履行职责，诚信、勤勉、尽责，监事会的召集、召开、表 决及信息披露程序符合相关规定。</w:t>
      </w:r>
    </w:p>
    <w:p>
      <w:pPr>
        <w:pStyle w:val="Style31"/>
        <w:keepNext w:val="0"/>
        <w:keepLines w:val="0"/>
        <w:widowControl w:val="0"/>
        <w:shd w:val="clear" w:color="auto" w:fill="auto"/>
        <w:tabs>
          <w:tab w:pos="731" w:val="left"/>
        </w:tabs>
        <w:bidi w:val="0"/>
        <w:spacing w:before="0" w:after="0" w:line="314" w:lineRule="exact"/>
        <w:ind w:left="0" w:right="0" w:firstLine="220"/>
        <w:jc w:val="both"/>
      </w:pPr>
      <w:bookmarkStart w:id="570" w:name="bookmark570"/>
      <w:r>
        <w:rPr>
          <w:color w:val="000000"/>
          <w:spacing w:val="0"/>
          <w:w w:val="100"/>
          <w:position w:val="0"/>
        </w:rPr>
        <w:t>（</w:t>
      </w:r>
      <w:bookmarkEnd w:id="570"/>
      <w:r>
        <w:rPr>
          <w:color w:val="000000"/>
          <w:spacing w:val="0"/>
          <w:w w:val="100"/>
          <w:position w:val="0"/>
        </w:rPr>
        <w:t>四）</w:t>
        <w:tab/>
        <w:t>关于信息披露和透明度</w:t>
      </w:r>
    </w:p>
    <w:p>
      <w:pPr>
        <w:pStyle w:val="Style31"/>
        <w:keepNext w:val="0"/>
        <w:keepLines w:val="0"/>
        <w:widowControl w:val="0"/>
        <w:shd w:val="clear" w:color="auto" w:fill="auto"/>
        <w:bidi w:val="0"/>
        <w:spacing w:before="0" w:after="380" w:line="312" w:lineRule="exact"/>
        <w:ind w:left="0" w:right="0" w:firstLine="220"/>
        <w:jc w:val="both"/>
      </w:pPr>
      <w:r>
        <w:rPr>
          <w:color w:val="000000"/>
          <w:spacing w:val="0"/>
          <w:w w:val="100"/>
          <w:position w:val="0"/>
        </w:rPr>
        <w:t>公司严格按照有关法律法规及公司制定的《公司信息披露管理制度》的要求，真实、准确、完整、及时地通过《证券时 报》、《上海证券报》和巨潮资讯网为公司信息披露的报纸、网站切实履行上市公司信息披露的义务，并做好信息披露前的 保密工作，保证公司信息披露的公开、公平、公正，积极维护公司和投资者，尤其是中小股东的合法权益。</w:t>
      </w:r>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603" w:val="left"/>
        </w:tabs>
        <w:bidi w:val="0"/>
        <w:spacing w:before="0" w:after="2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二</w:t>
      </w:r>
      <w:bookmarkEnd w:id="573"/>
      <w:r>
        <w:rPr>
          <w:color w:val="000000"/>
          <w:spacing w:val="0"/>
          <w:w w:val="100"/>
          <w:position w:val="0"/>
          <w:sz w:val="24"/>
          <w:szCs w:val="24"/>
        </w:rPr>
        <w:t>、</w:t>
        <w:tab/>
        <w:t>公司相对于控股股东在业务、人员、资产、机构、财务等方面的独立情况</w:t>
      </w:r>
      <w:bookmarkEnd w:id="571"/>
      <w:bookmarkEnd w:id="572"/>
      <w:bookmarkEnd w:id="574"/>
    </w:p>
    <w:p>
      <w:pPr>
        <w:pStyle w:val="Style31"/>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公司自成立以来严格按照《公司法》、《证券法》等有关法律、法规和《公司章程》的要求规范运作，在业务、资产、人 员、机构和财务等方面相互独立，拥有独立完整的生产、销售、研发系统，具备面向市场自主经营的能力。</w:t>
      </w:r>
    </w:p>
    <w:p>
      <w:pPr>
        <w:pStyle w:val="Style3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、业务独立</w:t>
      </w:r>
    </w:p>
    <w:p>
      <w:pPr>
        <w:pStyle w:val="Style31"/>
        <w:keepNext w:val="0"/>
        <w:keepLines w:val="0"/>
        <w:widowControl w:val="0"/>
        <w:shd w:val="clear" w:color="auto" w:fill="auto"/>
        <w:bidi w:val="0"/>
        <w:spacing w:before="0" w:after="80" w:line="314" w:lineRule="exact"/>
        <w:ind w:left="0" w:right="0"/>
        <w:jc w:val="both"/>
      </w:pPr>
      <w:r>
        <w:rPr>
          <w:color w:val="000000"/>
          <w:spacing w:val="0"/>
          <w:w w:val="100"/>
          <w:position w:val="0"/>
        </w:rPr>
        <w:t>公司业务独立于控股股东及其下属企业，拥有独立的研发、生产、销售业务体系，拥有完整的法人财产权，能够独立支 配和使用人、财、物等生产要素，顺利组织和实施生产经营活动，能完全独立有序地开展所有业务。公司的业务完全独立于 控股股东、实际控制人及其控制的其他企业，与控股股东、实际控制人及其控制的其他企业不存在同业竞争或显失公平的关 联交易。</w:t>
      </w:r>
    </w:p>
    <w:p>
      <w:pPr>
        <w:pStyle w:val="Style31"/>
        <w:keepNext w:val="0"/>
        <w:keepLines w:val="0"/>
        <w:widowControl w:val="0"/>
        <w:shd w:val="clear" w:color="auto" w:fill="auto"/>
        <w:tabs>
          <w:tab w:pos="704" w:val="left"/>
        </w:tabs>
        <w:bidi w:val="0"/>
        <w:spacing w:before="0" w:after="0" w:line="314" w:lineRule="exact"/>
        <w:ind w:left="0" w:right="0"/>
        <w:jc w:val="left"/>
      </w:pPr>
      <w:bookmarkStart w:id="575" w:name="bookmark575"/>
      <w:r>
        <w:rPr>
          <w:rFonts w:ascii="Times New Roman" w:eastAsia="Times New Roman" w:hAnsi="Times New Roman" w:cs="Times New Roman"/>
          <w:color w:val="000000"/>
          <w:spacing w:val="0"/>
          <w:w w:val="100"/>
          <w:position w:val="0"/>
          <w:sz w:val="18"/>
          <w:szCs w:val="18"/>
        </w:rPr>
        <w:t>2</w:t>
      </w:r>
      <w:bookmarkEnd w:id="575"/>
      <w:r>
        <w:rPr>
          <w:color w:val="000000"/>
          <w:spacing w:val="0"/>
          <w:w w:val="100"/>
          <w:position w:val="0"/>
        </w:rPr>
        <w:t>、</w:t>
        <w:tab/>
        <w:t>资产完整</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公司为依法整体变更设立的股份有限公司，拥有独立、完整的资产，具有与生产经营有关的生产系统、辅助生产系统和 配套设施，合法拥有与生产经营有关的土地、厂房、机器设备以及商标、专利、非专利技术的所有权和使用权，且产权清晰； 公司对所有资产有完全的控制支配权，不存在与股东共同使用财产或相互提供服务等情形，不存在资产、资金被控股股东占 用而损害公司利益的情况。</w:t>
      </w:r>
    </w:p>
    <w:p>
      <w:pPr>
        <w:pStyle w:val="Style31"/>
        <w:keepNext w:val="0"/>
        <w:keepLines w:val="0"/>
        <w:widowControl w:val="0"/>
        <w:shd w:val="clear" w:color="auto" w:fill="auto"/>
        <w:tabs>
          <w:tab w:pos="704" w:val="left"/>
        </w:tabs>
        <w:bidi w:val="0"/>
        <w:spacing w:before="0" w:after="0" w:line="314" w:lineRule="exact"/>
        <w:ind w:left="0" w:right="0"/>
        <w:jc w:val="left"/>
      </w:pPr>
      <w:bookmarkStart w:id="576" w:name="bookmark576"/>
      <w:r>
        <w:rPr>
          <w:rFonts w:ascii="Times New Roman" w:eastAsia="Times New Roman" w:hAnsi="Times New Roman" w:cs="Times New Roman"/>
          <w:color w:val="000000"/>
          <w:spacing w:val="0"/>
          <w:w w:val="100"/>
          <w:position w:val="0"/>
          <w:sz w:val="18"/>
          <w:szCs w:val="18"/>
        </w:rPr>
        <w:t>3</w:t>
      </w:r>
      <w:bookmarkEnd w:id="576"/>
      <w:r>
        <w:rPr>
          <w:color w:val="000000"/>
          <w:spacing w:val="0"/>
          <w:w w:val="100"/>
          <w:position w:val="0"/>
        </w:rPr>
        <w:t>、</w:t>
        <w:tab/>
        <w:t>人员独立</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公司独立招聘员工，设有独立的劳动、人事、工资管理体系。本公司董事、监事、高级管理人员均严格按照《公司法》、 《公司章程》的有关规定经选举产生和聘任。公司总经理、副总经理、财务负责人均在公司专职工作并领取薪酬，未在控股 股东及其它下属企业担任除董事、监事之外的任何职务；本公司的财务人员没有在控股股东、实际控制人及其控制的其他企 业中兼职。公司的董事、监事、高级管理人员及其近亲属所从事的工作均不存在与公司利益相冲突的情形，也未在与公司业 务相同或相似的企业任职。</w:t>
      </w:r>
    </w:p>
    <w:p>
      <w:pPr>
        <w:pStyle w:val="Style31"/>
        <w:keepNext w:val="0"/>
        <w:keepLines w:val="0"/>
        <w:widowControl w:val="0"/>
        <w:shd w:val="clear" w:color="auto" w:fill="auto"/>
        <w:tabs>
          <w:tab w:pos="704" w:val="left"/>
        </w:tabs>
        <w:bidi w:val="0"/>
        <w:spacing w:before="0" w:after="0" w:line="314" w:lineRule="exact"/>
        <w:ind w:left="0" w:right="0"/>
        <w:jc w:val="both"/>
      </w:pPr>
      <w:bookmarkStart w:id="577" w:name="bookmark577"/>
      <w:r>
        <w:rPr>
          <w:rFonts w:ascii="Times New Roman" w:eastAsia="Times New Roman" w:hAnsi="Times New Roman" w:cs="Times New Roman"/>
          <w:color w:val="000000"/>
          <w:spacing w:val="0"/>
          <w:w w:val="100"/>
          <w:position w:val="0"/>
          <w:sz w:val="18"/>
          <w:szCs w:val="18"/>
        </w:rPr>
        <w:t>4</w:t>
      </w:r>
      <w:bookmarkEnd w:id="577"/>
      <w:r>
        <w:rPr>
          <w:color w:val="000000"/>
          <w:spacing w:val="0"/>
          <w:w w:val="100"/>
          <w:position w:val="0"/>
        </w:rPr>
        <w:t>、</w:t>
        <w:tab/>
        <w:t>机构独立</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公司设立了健全的组织机构体系，独立运作，不存在与控股股东或其职能部门之间的从属关系。公司建立了适应自身经 营发展需要的组织结构，按照《公司法》的要求，建立健全了股东大会、董事会、监事会和经营管理层的组织结构体系，各 机构均独立运作。公司的生产经营和办公机构与控股股东完全独立，不存在混合经营、合署办公的情形。</w:t>
      </w:r>
    </w:p>
    <w:p>
      <w:pPr>
        <w:pStyle w:val="Style31"/>
        <w:keepNext w:val="0"/>
        <w:keepLines w:val="0"/>
        <w:widowControl w:val="0"/>
        <w:shd w:val="clear" w:color="auto" w:fill="auto"/>
        <w:tabs>
          <w:tab w:pos="704" w:val="left"/>
        </w:tabs>
        <w:bidi w:val="0"/>
        <w:spacing w:before="0" w:after="0" w:line="314" w:lineRule="exact"/>
        <w:ind w:left="0" w:right="0"/>
        <w:jc w:val="both"/>
      </w:pPr>
      <w:bookmarkStart w:id="578" w:name="bookmark578"/>
      <w:r>
        <w:rPr>
          <w:rFonts w:ascii="Times New Roman" w:eastAsia="Times New Roman" w:hAnsi="Times New Roman" w:cs="Times New Roman"/>
          <w:color w:val="000000"/>
          <w:spacing w:val="0"/>
          <w:w w:val="100"/>
          <w:position w:val="0"/>
          <w:sz w:val="18"/>
          <w:szCs w:val="18"/>
        </w:rPr>
        <w:t>5</w:t>
      </w:r>
      <w:bookmarkEnd w:id="578"/>
      <w:r>
        <w:rPr>
          <w:color w:val="000000"/>
          <w:spacing w:val="0"/>
          <w:w w:val="100"/>
          <w:position w:val="0"/>
        </w:rPr>
        <w:t>、</w:t>
        <w:tab/>
        <w:t>财务独立</w:t>
      </w:r>
    </w:p>
    <w:p>
      <w:pPr>
        <w:pStyle w:val="Style31"/>
        <w:keepNext w:val="0"/>
        <w:keepLines w:val="0"/>
        <w:widowControl w:val="0"/>
        <w:shd w:val="clear" w:color="auto" w:fill="auto"/>
        <w:bidi w:val="0"/>
        <w:spacing w:before="0" w:after="720" w:line="312" w:lineRule="exact"/>
        <w:ind w:left="0" w:right="0" w:firstLine="300"/>
        <w:jc w:val="both"/>
      </w:pPr>
      <w:r>
        <w:rPr>
          <w:color w:val="000000"/>
          <w:spacing w:val="0"/>
          <w:w w:val="100"/>
          <w:position w:val="0"/>
        </w:rPr>
        <w:t>本公司作为独立纳税人，依法独立纳税。公司建立了独立的财务核算体系，具有规范的、符合上市公司要求的财务会计 制度和对分公司、子公司的财务管理制度；公司能独立作出财务决策，不存在控制人干预公司资金使用的情况，不存在以资 产、权益或信誉为股东提供债务担保的情况，也不存在资产被股东占用而损害公司利益的情况。本公司财务负责人、财务会 计人员均系专职工作人员，不存在在控股股东及其控制的其他企业兼职的情况。本公司独立开立基本存款账户，独立纳税， 不存在与控股股东、实际控制人及其控制的其他企业共用银行账户的情形。</w:t>
      </w:r>
    </w:p>
    <w:p>
      <w:pPr>
        <w:pStyle w:val="Style27"/>
        <w:keepNext/>
        <w:keepLines/>
        <w:widowControl w:val="0"/>
        <w:shd w:val="clear" w:color="auto" w:fill="auto"/>
        <w:tabs>
          <w:tab w:pos="597" w:val="left"/>
        </w:tabs>
        <w:bidi w:val="0"/>
        <w:spacing w:before="0" w:after="34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三</w:t>
      </w:r>
      <w:bookmarkEnd w:id="581"/>
      <w:r>
        <w:rPr>
          <w:color w:val="000000"/>
          <w:spacing w:val="0"/>
          <w:w w:val="100"/>
          <w:position w:val="0"/>
          <w:sz w:val="24"/>
          <w:szCs w:val="24"/>
        </w:rPr>
        <w:t>、</w:t>
        <w:tab/>
        <w:t>同业竞争情况</w:t>
      </w:r>
      <w:bookmarkEnd w:id="579"/>
      <w:bookmarkEnd w:id="580"/>
      <w:bookmarkEnd w:id="582"/>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keepLines/>
        <w:widowControl w:val="0"/>
        <w:shd w:val="clear" w:color="auto" w:fill="auto"/>
        <w:tabs>
          <w:tab w:pos="597" w:val="left"/>
        </w:tabs>
        <w:bidi w:val="0"/>
        <w:spacing w:before="0" w:after="34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四</w:t>
      </w:r>
      <w:bookmarkEnd w:id="585"/>
      <w:r>
        <w:rPr>
          <w:color w:val="000000"/>
          <w:spacing w:val="0"/>
          <w:w w:val="100"/>
          <w:position w:val="0"/>
          <w:sz w:val="24"/>
          <w:szCs w:val="24"/>
        </w:rPr>
        <w:t>、</w:t>
        <w:tab/>
        <w:t>报告期内召开的年度股东大会和临时股东大会的有关情况</w:t>
      </w:r>
      <w:bookmarkEnd w:id="583"/>
      <w:bookmarkEnd w:id="584"/>
      <w:bookmarkEnd w:id="586"/>
    </w:p>
    <w:p>
      <w:pPr>
        <w:pStyle w:val="Style34"/>
        <w:keepNext/>
        <w:keepLines/>
        <w:widowControl w:val="0"/>
        <w:shd w:val="clear" w:color="auto" w:fill="auto"/>
        <w:bidi w:val="0"/>
        <w:spacing w:before="0" w:after="34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1</w:t>
      </w:r>
      <w:bookmarkEnd w:id="589"/>
      <w:r>
        <w:rPr>
          <w:color w:val="000000"/>
          <w:spacing w:val="0"/>
          <w:w w:val="100"/>
          <w:position w:val="0"/>
        </w:rPr>
        <w:t>、本报告期股东大会情况</w:t>
      </w:r>
      <w:bookmarkEnd w:id="587"/>
      <w:bookmarkEnd w:id="588"/>
      <w:bookmarkEnd w:id="59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 xml:space="preserve">日刊登的:茂硕电源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 股东大会决议的公 告。巨潮资讯网</w:t>
            </w:r>
          </w:p>
          <w:p>
            <w:pPr>
              <w:pStyle w:val="Style23"/>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p>
          <w:p>
            <w:pPr>
              <w:pStyle w:val="Style2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131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 xml:space="preserve">日刊登的:茂硕电源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会决议的公告。巨潮</w:t>
            </w:r>
          </w:p>
        </w:tc>
      </w:tr>
    </w:tbl>
    <w:tbl>
      <w:tblPr>
        <w:tblOverlap w:val="never"/>
        <w:jc w:val="center"/>
        <w:tblLayout w:type="fixed"/>
      </w:tblPr>
      <w:tblGrid>
        <w:gridCol w:w="1603"/>
        <w:gridCol w:w="1594"/>
        <w:gridCol w:w="1594"/>
        <w:gridCol w:w="1598"/>
        <w:gridCol w:w="1594"/>
        <w:gridCol w:w="16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资讯网</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22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日刊登的:茂硕电源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 股东大会决议的公 告。巨潮资讯网</w:t>
            </w:r>
          </w:p>
          <w:p>
            <w:pPr>
              <w:pStyle w:val="Style23"/>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p>
          <w:p>
            <w:pPr>
              <w:pStyle w:val="Style2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2</w:t>
      </w:r>
      <w:bookmarkEnd w:id="593"/>
      <w:r>
        <w:rPr>
          <w:color w:val="000000"/>
          <w:spacing w:val="0"/>
          <w:w w:val="100"/>
          <w:position w:val="0"/>
        </w:rPr>
        <w:t>、表决权恢复的优先股股东请求召开临时股东大会</w:t>
      </w:r>
      <w:bookmarkEnd w:id="591"/>
      <w:bookmarkEnd w:id="592"/>
      <w:bookmarkEnd w:id="594"/>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五</w:t>
      </w:r>
      <w:bookmarkEnd w:id="597"/>
      <w:r>
        <w:rPr>
          <w:color w:val="000000"/>
          <w:spacing w:val="0"/>
          <w:w w:val="100"/>
          <w:position w:val="0"/>
          <w:sz w:val="24"/>
          <w:szCs w:val="24"/>
        </w:rPr>
        <w:t>、报告期内独立董事履行职责的情况</w:t>
      </w:r>
      <w:bookmarkEnd w:id="595"/>
      <w:bookmarkEnd w:id="596"/>
      <w:bookmarkEnd w:id="598"/>
    </w:p>
    <w:p>
      <w:pPr>
        <w:pStyle w:val="Style34"/>
        <w:keepNext/>
        <w:keepLines/>
        <w:widowControl w:val="0"/>
        <w:shd w:val="clear" w:color="auto" w:fill="auto"/>
        <w:bidi w:val="0"/>
        <w:spacing w:before="0" w:after="32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color w:val="000000"/>
          <w:spacing w:val="0"/>
          <w:w w:val="100"/>
          <w:position w:val="0"/>
        </w:rPr>
        <w:t>、独立董事出席董事会及股东大会的情况</w:t>
      </w:r>
      <w:bookmarkEnd w:id="599"/>
      <w:bookmarkEnd w:id="600"/>
      <w:bookmarkEnd w:id="602"/>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独立董事对公司有关事项提出异议的情况</w:t>
      </w:r>
      <w:bookmarkEnd w:id="603"/>
      <w:bookmarkEnd w:id="604"/>
      <w:bookmarkEnd w:id="606"/>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3</w:t>
      </w:r>
      <w:bookmarkEnd w:id="609"/>
      <w:r>
        <w:rPr>
          <w:color w:val="000000"/>
          <w:spacing w:val="0"/>
          <w:w w:val="100"/>
          <w:position w:val="0"/>
        </w:rPr>
        <w:t>、</w:t>
        <w:tab/>
        <w:t>独立董事履行职责的其他说明</w:t>
      </w:r>
      <w:bookmarkEnd w:id="607"/>
      <w:bookmarkEnd w:id="608"/>
      <w:bookmarkEnd w:id="610"/>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00" w:line="312" w:lineRule="exact"/>
        <w:ind w:left="0" w:right="0"/>
        <w:jc w:val="left"/>
      </w:pPr>
      <w:r>
        <w:rPr>
          <w:color w:val="000000"/>
          <w:spacing w:val="0"/>
          <w:w w:val="100"/>
          <w:position w:val="0"/>
        </w:rPr>
        <w:t>报告期内，公司独立董事严格按照《公司章程》、《独立董事工作制度》等的相关规定勤勉履行职责，忠实履行职务， 积极参加历次董事会，审议各项议案，对公司相关事项发表独立意见对公司的制度完善和经营发展决策等方面提出了宝贵的 专业性意见。通过出席董事会、股东大会、现场办公等方式，深入了解公司生产经营状况和内部控制的建设及董事会各项决 议执行情况，并利用自已的专业优势为公司经营和发展提出了合理化的意见和建议，对公司经营决策及保护中小投资者利益</w:t>
      </w:r>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起到了发挥了积极作用。</w:t>
      </w:r>
    </w:p>
    <w:p>
      <w:pPr>
        <w:pStyle w:val="Style27"/>
        <w:keepNext/>
        <w:keepLines/>
        <w:widowControl w:val="0"/>
        <w:shd w:val="clear" w:color="auto" w:fill="auto"/>
        <w:tabs>
          <w:tab w:pos="517" w:val="left"/>
        </w:tabs>
        <w:bidi w:val="0"/>
        <w:spacing w:before="0" w:after="24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六</w:t>
      </w:r>
      <w:bookmarkEnd w:id="613"/>
      <w:r>
        <w:rPr>
          <w:color w:val="000000"/>
          <w:spacing w:val="0"/>
          <w:w w:val="100"/>
          <w:position w:val="0"/>
          <w:sz w:val="24"/>
          <w:szCs w:val="24"/>
        </w:rPr>
        <w:t>、</w:t>
        <w:tab/>
        <w:t>董事会下设专门委员会在报告期内履行职责情况</w:t>
      </w:r>
      <w:bookmarkEnd w:id="611"/>
      <w:bookmarkEnd w:id="612"/>
      <w:bookmarkEnd w:id="614"/>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报告期内，公司董事会下设四个专门委员会，分别为审计委员会、提名委员会、薪酬与考核委员会、战略委员会。各专 门委员会职责明确，依据公司董事会制定的各专门委员会工作制度履行职责，就专业性事项进行研究，提出意见及建议，为 董事会决策提供参考，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年度各专门委员会履职情况如下：</w:t>
      </w:r>
    </w:p>
    <w:p>
      <w:pPr>
        <w:pStyle w:val="Style31"/>
        <w:keepNext w:val="0"/>
        <w:keepLines w:val="0"/>
        <w:widowControl w:val="0"/>
        <w:shd w:val="clear" w:color="auto" w:fill="auto"/>
        <w:tabs>
          <w:tab w:pos="911" w:val="left"/>
        </w:tabs>
        <w:bidi w:val="0"/>
        <w:spacing w:before="0" w:after="0" w:line="314" w:lineRule="exact"/>
        <w:ind w:left="0" w:right="0"/>
        <w:jc w:val="both"/>
      </w:pPr>
      <w:bookmarkStart w:id="615" w:name="bookmark615"/>
      <w:r>
        <w:rPr>
          <w:color w:val="000000"/>
          <w:spacing w:val="0"/>
          <w:w w:val="100"/>
          <w:position w:val="0"/>
        </w:rPr>
        <w:t>（</w:t>
      </w:r>
      <w:bookmarkEnd w:id="615"/>
      <w:r>
        <w:rPr>
          <w:color w:val="000000"/>
          <w:spacing w:val="0"/>
          <w:w w:val="100"/>
          <w:position w:val="0"/>
        </w:rPr>
        <w:t>一）</w:t>
        <w:tab/>
        <w:t>审计委员会</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年度，公司董事会审计委员会根据《公司法》、《证券法》、《上市公司治理准则》、公司《董事会审计委员会工 作制度》等有关规定，认真履行职责，持续关注公司情况和重大事项进展，指导公司审计部在内部审计过程中应重点关注和 检查的事项，督促公司内部控制的有效执行。与公司聘任的审计机构积极沟通、加强联系，督促其提高审计效率，按计划进 行审计工作，切实履行了审计委员会的职责。</w:t>
      </w:r>
    </w:p>
    <w:p>
      <w:pPr>
        <w:pStyle w:val="Style31"/>
        <w:keepNext w:val="0"/>
        <w:keepLines w:val="0"/>
        <w:widowControl w:val="0"/>
        <w:shd w:val="clear" w:color="auto" w:fill="auto"/>
        <w:tabs>
          <w:tab w:pos="911" w:val="left"/>
        </w:tabs>
        <w:bidi w:val="0"/>
        <w:spacing w:before="0" w:after="0" w:line="314" w:lineRule="exact"/>
        <w:ind w:left="0" w:right="0"/>
        <w:jc w:val="both"/>
      </w:pPr>
      <w:bookmarkStart w:id="616" w:name="bookmark616"/>
      <w:r>
        <w:rPr>
          <w:color w:val="000000"/>
          <w:spacing w:val="0"/>
          <w:w w:val="100"/>
          <w:position w:val="0"/>
        </w:rPr>
        <w:t>（</w:t>
      </w:r>
      <w:bookmarkEnd w:id="616"/>
      <w:r>
        <w:rPr>
          <w:color w:val="000000"/>
          <w:spacing w:val="0"/>
          <w:w w:val="100"/>
          <w:position w:val="0"/>
        </w:rPr>
        <w:t>二）</w:t>
        <w:tab/>
        <w:t>提名委员会</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年度，公司提名委员会各委员积极履行职责，为公司第四届董事会的董事的聘任，提供了专业的建议和意见，协助 公司顺利完成董事的任免工作。</w:t>
      </w:r>
    </w:p>
    <w:p>
      <w:pPr>
        <w:pStyle w:val="Style31"/>
        <w:keepNext w:val="0"/>
        <w:keepLines w:val="0"/>
        <w:widowControl w:val="0"/>
        <w:shd w:val="clear" w:color="auto" w:fill="auto"/>
        <w:tabs>
          <w:tab w:pos="911" w:val="left"/>
        </w:tabs>
        <w:bidi w:val="0"/>
        <w:spacing w:before="0" w:after="0" w:line="314" w:lineRule="exact"/>
        <w:ind w:left="0" w:right="0"/>
        <w:jc w:val="both"/>
      </w:pPr>
      <w:bookmarkStart w:id="617" w:name="bookmark617"/>
      <w:r>
        <w:rPr>
          <w:color w:val="000000"/>
          <w:spacing w:val="0"/>
          <w:w w:val="100"/>
          <w:position w:val="0"/>
        </w:rPr>
        <w:t>（</w:t>
      </w:r>
      <w:bookmarkEnd w:id="617"/>
      <w:r>
        <w:rPr>
          <w:color w:val="000000"/>
          <w:spacing w:val="0"/>
          <w:w w:val="100"/>
          <w:position w:val="0"/>
        </w:rPr>
        <w:t>三）</w:t>
        <w:tab/>
        <w:t>薪酬与考核委员会</w:t>
      </w:r>
    </w:p>
    <w:p>
      <w:pPr>
        <w:pStyle w:val="Style3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年度，各位委员认真履行其职责，对公司董事、监事和高级管理人员薪酬情况等事项进行了审议。</w:t>
      </w:r>
    </w:p>
    <w:p>
      <w:pPr>
        <w:pStyle w:val="Style31"/>
        <w:keepNext w:val="0"/>
        <w:keepLines w:val="0"/>
        <w:widowControl w:val="0"/>
        <w:shd w:val="clear" w:color="auto" w:fill="auto"/>
        <w:tabs>
          <w:tab w:pos="911" w:val="left"/>
        </w:tabs>
        <w:bidi w:val="0"/>
        <w:spacing w:before="0" w:after="0" w:line="314" w:lineRule="exact"/>
        <w:ind w:left="0" w:right="0"/>
        <w:jc w:val="both"/>
      </w:pPr>
      <w:bookmarkStart w:id="618" w:name="bookmark618"/>
      <w:r>
        <w:rPr>
          <w:color w:val="000000"/>
          <w:spacing w:val="0"/>
          <w:w w:val="100"/>
          <w:position w:val="0"/>
        </w:rPr>
        <w:t>（</w:t>
      </w:r>
      <w:bookmarkEnd w:id="618"/>
      <w:r>
        <w:rPr>
          <w:color w:val="000000"/>
          <w:spacing w:val="0"/>
          <w:w w:val="100"/>
          <w:position w:val="0"/>
        </w:rPr>
        <w:t>四）</w:t>
        <w:tab/>
        <w:t>战略委员会</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公司董事会战略委员会按照相关法律法规及《公司章程》、公司《董事会战略委员会工作制度》等相关制度的规定， 战略委员会各委员认真履行职责，利用自身的专业知识，积极探讨符合公司发展方向的战略布局，对公司的战略发展及业务 扩展等方面提出宝贵建议，为公司实现快速、持续、健康的发展积极出谋划策。</w:t>
      </w:r>
    </w:p>
    <w:p>
      <w:pPr>
        <w:pStyle w:val="Style31"/>
        <w:keepNext w:val="0"/>
        <w:keepLines w:val="0"/>
        <w:widowControl w:val="0"/>
        <w:shd w:val="clear" w:color="auto" w:fill="auto"/>
        <w:bidi w:val="0"/>
        <w:spacing w:before="0" w:after="36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日，公司完成了第五届董事会及四大专门委员会的换届，公司董事会提名委员会、审计委员会、薪酬与考核 委员会成员由不少于三名董事组成，其中独立董事占半数以上并担任召集人，审计委员会的召集人为会计专业人士，符合《深 圳证券交易所上市公司规范运作指引》的规定。</w:t>
      </w:r>
    </w:p>
    <w:p>
      <w:pPr>
        <w:pStyle w:val="Style27"/>
        <w:keepNext/>
        <w:keepLines/>
        <w:widowControl w:val="0"/>
        <w:shd w:val="clear" w:color="auto" w:fill="auto"/>
        <w:tabs>
          <w:tab w:pos="522" w:val="left"/>
        </w:tabs>
        <w:bidi w:val="0"/>
        <w:spacing w:before="0" w:after="24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七</w:t>
      </w:r>
      <w:bookmarkEnd w:id="621"/>
      <w:r>
        <w:rPr>
          <w:color w:val="000000"/>
          <w:spacing w:val="0"/>
          <w:w w:val="100"/>
          <w:position w:val="0"/>
          <w:sz w:val="24"/>
          <w:szCs w:val="24"/>
        </w:rPr>
        <w:t>、</w:t>
        <w:tab/>
        <w:t>监事会工作情况</w:t>
      </w:r>
      <w:bookmarkEnd w:id="619"/>
      <w:bookmarkEnd w:id="620"/>
      <w:bookmarkEnd w:id="622"/>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24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八</w:t>
      </w:r>
      <w:bookmarkEnd w:id="625"/>
      <w:r>
        <w:rPr>
          <w:color w:val="000000"/>
          <w:spacing w:val="0"/>
          <w:w w:val="100"/>
          <w:position w:val="0"/>
          <w:sz w:val="24"/>
          <w:szCs w:val="24"/>
        </w:rPr>
        <w:t>、</w:t>
        <w:tab/>
        <w:t>高级管理人员的考评及激励情况</w:t>
      </w:r>
      <w:bookmarkEnd w:id="623"/>
      <w:bookmarkEnd w:id="624"/>
      <w:bookmarkEnd w:id="626"/>
    </w:p>
    <w:p>
      <w:pPr>
        <w:pStyle w:val="Style31"/>
        <w:keepNext w:val="0"/>
        <w:keepLines w:val="0"/>
        <w:widowControl w:val="0"/>
        <w:shd w:val="clear" w:color="auto" w:fill="auto"/>
        <w:bidi w:val="0"/>
        <w:spacing w:before="0" w:after="700" w:line="314" w:lineRule="exact"/>
        <w:ind w:left="0" w:right="0" w:firstLine="0"/>
        <w:jc w:val="both"/>
      </w:pPr>
      <w:r>
        <w:rPr>
          <w:color w:val="000000"/>
          <w:spacing w:val="0"/>
          <w:w w:val="100"/>
          <w:position w:val="0"/>
        </w:rPr>
        <w:t>报告期内，公司高级管理人员能够严格按照《公司法》、《公司章程》及国家有关法律法规认真履行职责，积极落实公司股 东大会和董事会会议相关决议，稳步推进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年度的各项工作</w:t>
      </w:r>
      <w:r>
        <w:rPr>
          <w:rFonts w:ascii="SimHei" w:eastAsia="SimHei" w:hAnsi="SimHei" w:cs="SimHei"/>
          <w:color w:val="000000"/>
          <w:spacing w:val="0"/>
          <w:w w:val="100"/>
          <w:position w:val="0"/>
          <w:sz w:val="20"/>
          <w:szCs w:val="20"/>
        </w:rPr>
        <w:t>；</w:t>
      </w:r>
      <w:r>
        <w:rPr>
          <w:color w:val="000000"/>
          <w:spacing w:val="0"/>
          <w:w w:val="100"/>
          <w:position w:val="0"/>
        </w:rPr>
        <w:t>公司建立了完善的绩效考核管理体系，公司按照高级管理 人员行政职务，依据行业薪酬水平及公司现行的薪酬与考核体系，结合公司整体经营业绩和个人业绩情况确定其薪酬。</w:t>
      </w:r>
    </w:p>
    <w:p>
      <w:pPr>
        <w:pStyle w:val="Style27"/>
        <w:keepNext/>
        <w:keepLines/>
        <w:widowControl w:val="0"/>
        <w:shd w:val="clear" w:color="auto" w:fill="auto"/>
        <w:bidi w:val="0"/>
        <w:spacing w:before="0" w:line="240" w:lineRule="auto"/>
        <w:ind w:left="0" w:right="0" w:firstLine="0"/>
        <w:jc w:val="both"/>
      </w:pPr>
      <w:bookmarkStart w:id="627" w:name="bookmark627"/>
      <w:bookmarkStart w:id="628" w:name="bookmark628"/>
      <w:bookmarkStart w:id="629" w:name="bookmark629"/>
      <w:bookmarkStart w:id="630" w:name="bookmark630"/>
      <w:r>
        <w:rPr>
          <w:color w:val="000000"/>
          <w:spacing w:val="0"/>
          <w:w w:val="100"/>
          <w:position w:val="0"/>
          <w:sz w:val="24"/>
          <w:szCs w:val="24"/>
        </w:rPr>
        <w:t>九</w:t>
      </w:r>
      <w:bookmarkEnd w:id="629"/>
      <w:r>
        <w:rPr>
          <w:color w:val="000000"/>
          <w:spacing w:val="0"/>
          <w:w w:val="100"/>
          <w:position w:val="0"/>
          <w:sz w:val="24"/>
          <w:szCs w:val="24"/>
        </w:rPr>
        <w:t>、内部控制评价报告</w:t>
      </w:r>
      <w:bookmarkEnd w:id="627"/>
      <w:bookmarkEnd w:id="628"/>
      <w:bookmarkEnd w:id="630"/>
    </w:p>
    <w:p>
      <w:pPr>
        <w:pStyle w:val="Style34"/>
        <w:keepNext/>
        <w:keepLines/>
        <w:widowControl w:val="0"/>
        <w:shd w:val="clear" w:color="auto" w:fill="auto"/>
        <w:bidi w:val="0"/>
        <w:spacing w:before="0" w:after="240" w:line="240" w:lineRule="auto"/>
        <w:ind w:left="0" w:right="0" w:firstLine="0"/>
        <w:jc w:val="both"/>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bookmarkEnd w:id="633"/>
      <w:r>
        <w:rPr>
          <w:color w:val="000000"/>
          <w:spacing w:val="0"/>
          <w:w w:val="100"/>
          <w:position w:val="0"/>
        </w:rPr>
        <w:t>、报告期内发现的内部控制重大缺陷的具体情况</w:t>
      </w:r>
      <w:bookmarkEnd w:id="631"/>
      <w:bookmarkEnd w:id="632"/>
      <w:bookmarkEnd w:id="634"/>
      <w:r>
        <w:br w:type="page"/>
      </w:r>
    </w:p>
    <w:p>
      <w:pPr>
        <w:pStyle w:val="Style34"/>
        <w:keepNext/>
        <w:keepLines/>
        <w:widowControl w:val="0"/>
        <w:shd w:val="clear" w:color="auto" w:fill="auto"/>
        <w:bidi w:val="0"/>
        <w:spacing w:before="0" w:after="34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、内控自我评价报告</w:t>
      </w:r>
      <w:bookmarkEnd w:id="635"/>
      <w:bookmarkEnd w:id="636"/>
      <w:bookmarkEnd w:id="638"/>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日刊登的：茂硕电源内部控制评价报告。巨潮资讯网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董事、监事和高级管理人员的舞弊行为；</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 册会计师发现的却未被公司内部控制识别 的当期财务报告中的重大错报；（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 委员会和审计部门对公司的对外财务报告 和财务报告内部控制监督无效。财务报告 重要缺陷的迹象包括：①未依照公认会计 准则选择和应用会计政策；②未建立反舞 弊程序和控制措施；③对于非常规或特殊 交易的账务处理没有建立相应的控制机制 或没有实施且没有相应的补偿性控制；④ 对于期末财务报告过程的控制存在一项或 多项缺陷且不能合理保证编制的财务报表 达到真实、完整的目标。一般缺陷是指除 上述重大缺陷、重要缺陷之外的其他控制 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442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定量标准以营业收入、资产总额作为衡量 指标。内部控制缺陷可能导致或导致的损 失与利润表相关的，以营业收入指标衡量。 如果该缺陷单独或连同其他缺陷可能导致 的财务报告错报金额小于营业收入的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，则认定为一般缺陷；如果超过营业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,则为重要缺陷； 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,则认定为重大缺 陷。内部控制缺陷可能导致或导致的损失 与资产管理相关的，以资产总额指标衡量。 如果该缺陷单独或连同其他缺陷可能导致 的财务报告错报金额小于资产总额的 </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认定为重要缺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 陷；如果超过营业收入的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认定为重要缺陷；如果超过营业收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,则认定为重大缺陷。内部控 制缺陷可能导致或导致的损失与资产 管理相关的，以资产总额指标衡量。如 果该缺陷单独或连同其他缺陷可能导 致的财务报告错报金额小于资产总额 的</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，则认定为一般缺陷；如果超</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陷；如果超过资产总额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，则认定为重 大缺陷。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过资产总额</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 为重要缺陷；如果超过资产总额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则认定为重大缺陷。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r>
        <w:rPr>
          <w:color w:val="000000"/>
          <w:spacing w:val="0"/>
          <w:w w:val="100"/>
          <w:position w:val="0"/>
          <w:sz w:val="24"/>
          <w:szCs w:val="24"/>
        </w:rPr>
        <w:t>十、内部控制审计报告或鉴证报告</w:t>
      </w:r>
      <w:bookmarkEnd w:id="639"/>
      <w:bookmarkEnd w:id="640"/>
      <w:bookmarkEnd w:id="641"/>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58" w:bottom="1436" w:left="1069"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42" w:name="bookmark642"/>
      <w:bookmarkStart w:id="643" w:name="bookmark643"/>
      <w:bookmarkStart w:id="644" w:name="bookmark644"/>
      <w:r>
        <w:rPr>
          <w:color w:val="000000"/>
          <w:spacing w:val="0"/>
          <w:w w:val="100"/>
          <w:position w:val="0"/>
        </w:rPr>
        <w:t>第十一节公司债券相关情况</w:t>
      </w:r>
      <w:bookmarkEnd w:id="642"/>
      <w:bookmarkEnd w:id="643"/>
      <w:bookmarkEnd w:id="644"/>
    </w:p>
    <w:p>
      <w:pPr>
        <w:pStyle w:val="Style31"/>
        <w:keepNext w:val="0"/>
        <w:keepLines w:val="0"/>
        <w:widowControl w:val="0"/>
        <w:shd w:val="clear" w:color="auto" w:fill="auto"/>
        <w:bidi w:val="0"/>
        <w:spacing w:before="0" w:after="140" w:line="240" w:lineRule="auto"/>
        <w:ind w:left="0" w:right="0" w:firstLine="0"/>
        <w:jc w:val="left"/>
      </w:pPr>
      <w:bookmarkStart w:id="645" w:name="bookmark645"/>
      <w:r>
        <w:rPr>
          <w:color w:val="000000"/>
          <w:spacing w:val="0"/>
          <w:w w:val="100"/>
          <w:position w:val="0"/>
        </w:rPr>
        <w:t>公司是否存在公开发行并在证券交易所上市，且在年度报告批准报出日未到期或到期未能全额兑付的公司债券</w:t>
      </w:r>
      <w:bookmarkEnd w:id="645"/>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20" w:after="560" w:line="240" w:lineRule="auto"/>
        <w:ind w:left="0" w:right="0" w:firstLine="0"/>
        <w:jc w:val="center"/>
      </w:pPr>
      <w:bookmarkStart w:id="646" w:name="bookmark646"/>
      <w:bookmarkStart w:id="647" w:name="bookmark647"/>
      <w:bookmarkStart w:id="648" w:name="bookmark648"/>
      <w:r>
        <w:rPr>
          <w:color w:val="000000"/>
          <w:spacing w:val="0"/>
          <w:w w:val="100"/>
          <w:position w:val="0"/>
        </w:rPr>
        <w:t>第十二节财务报告</w:t>
      </w:r>
      <w:bookmarkEnd w:id="646"/>
      <w:bookmarkEnd w:id="647"/>
      <w:bookmarkEnd w:id="648"/>
    </w:p>
    <w:p>
      <w:pPr>
        <w:pStyle w:val="Style27"/>
        <w:keepNext/>
        <w:keepLines/>
        <w:widowControl w:val="0"/>
        <w:shd w:val="clear" w:color="auto" w:fill="auto"/>
        <w:bidi w:val="0"/>
        <w:spacing w:before="0" w:after="320" w:line="240" w:lineRule="auto"/>
        <w:ind w:left="0" w:right="0" w:firstLine="0"/>
        <w:jc w:val="left"/>
      </w:pPr>
      <w:bookmarkStart w:id="649" w:name="bookmark649"/>
      <w:bookmarkStart w:id="650" w:name="bookmark650"/>
      <w:bookmarkStart w:id="651" w:name="bookmark651"/>
      <w:bookmarkStart w:id="652" w:name="bookmark652"/>
      <w:bookmarkStart w:id="653" w:name="bookmark653"/>
      <w:r>
        <w:rPr>
          <w:color w:val="000000"/>
          <w:spacing w:val="0"/>
          <w:w w:val="100"/>
          <w:position w:val="0"/>
          <w:sz w:val="24"/>
          <w:szCs w:val="24"/>
        </w:rPr>
        <w:t>一</w:t>
      </w:r>
      <w:bookmarkEnd w:id="652"/>
      <w:r>
        <w:rPr>
          <w:color w:val="000000"/>
          <w:spacing w:val="0"/>
          <w:w w:val="100"/>
          <w:position w:val="0"/>
          <w:sz w:val="24"/>
          <w:szCs w:val="24"/>
        </w:rPr>
        <w:t>、审计报告</w:t>
      </w:r>
      <w:bookmarkEnd w:id="650"/>
      <w:bookmarkEnd w:id="651"/>
      <w:bookmarkEnd w:id="653"/>
      <w:bookmarkEnd w:id="64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[2021]007188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王建华、万海青</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31"/>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rPr>
        <w:t>审计报告</w:t>
      </w:r>
    </w:p>
    <w:p>
      <w:pPr>
        <w:pStyle w:val="Style31"/>
        <w:keepNext w:val="0"/>
        <w:keepLines w:val="0"/>
        <w:widowControl w:val="0"/>
        <w:shd w:val="clear" w:color="auto" w:fill="auto"/>
        <w:bidi w:val="0"/>
        <w:spacing w:before="0" w:after="0" w:line="336" w:lineRule="exact"/>
        <w:ind w:left="0" w:right="0" w:firstLine="7660"/>
        <w:jc w:val="both"/>
      </w:pPr>
      <w:r>
        <w:rPr>
          <w:b/>
          <w:bCs/>
          <w:color w:val="000000"/>
          <w:spacing w:val="0"/>
          <w:w w:val="100"/>
          <w:position w:val="0"/>
        </w:rPr>
        <w:t>大华审字[2021]007188号 茂硕电源科技股份有限公司全体股东：</w:t>
      </w:r>
    </w:p>
    <w:p>
      <w:pPr>
        <w:pStyle w:val="Style31"/>
        <w:keepNext w:val="0"/>
        <w:keepLines w:val="0"/>
        <w:widowControl w:val="0"/>
        <w:shd w:val="clear" w:color="auto" w:fill="auto"/>
        <w:tabs>
          <w:tab w:pos="740" w:val="left"/>
        </w:tabs>
        <w:bidi w:val="0"/>
        <w:spacing w:before="0" w:after="0" w:line="312" w:lineRule="exact"/>
        <w:ind w:left="0" w:right="0" w:firstLine="300"/>
        <w:jc w:val="both"/>
      </w:pPr>
      <w:bookmarkStart w:id="654" w:name="bookmark654"/>
      <w:r>
        <w:rPr>
          <w:b/>
          <w:bCs/>
          <w:color w:val="000000"/>
          <w:spacing w:val="0"/>
          <w:w w:val="100"/>
          <w:position w:val="0"/>
        </w:rPr>
        <w:t>一</w:t>
      </w:r>
      <w:bookmarkEnd w:id="654"/>
      <w:r>
        <w:rPr>
          <w:b/>
          <w:bCs/>
          <w:color w:val="000000"/>
          <w:spacing w:val="0"/>
          <w:w w:val="100"/>
          <w:position w:val="0"/>
        </w:rPr>
        <w:t>、</w:t>
        <w:tab/>
        <w:t>审计意见</w:t>
      </w:r>
    </w:p>
    <w:p>
      <w:pPr>
        <w:pStyle w:val="Style3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我们审计了茂硕电源科技股份有限公司</w:t>
      </w:r>
      <w:r>
        <w:rPr>
          <w:color w:val="000000"/>
          <w:spacing w:val="0"/>
          <w:w w:val="100"/>
          <w:position w:val="0"/>
          <w:sz w:val="18"/>
          <w:szCs w:val="18"/>
        </w:rPr>
        <w:t>(</w:t>
      </w:r>
      <w:r>
        <w:rPr>
          <w:color w:val="000000"/>
          <w:spacing w:val="0"/>
          <w:w w:val="100"/>
          <w:position w:val="0"/>
        </w:rPr>
        <w:t>以下简称茂硕电源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年度的合并及母公司利润表、合并及母公司现金流量表、合并及母公司股东权益变动表以及相关财务报表附注。</w:t>
      </w:r>
    </w:p>
    <w:p>
      <w:pPr>
        <w:pStyle w:val="Style3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我们认为，后附的财务报表在所有重大方面按照企业会计准则的规定编制，公允反映了茂硕电源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1"/>
        <w:keepNext w:val="0"/>
        <w:keepLines w:val="0"/>
        <w:widowControl w:val="0"/>
        <w:shd w:val="clear" w:color="auto" w:fill="auto"/>
        <w:tabs>
          <w:tab w:pos="740" w:val="left"/>
        </w:tabs>
        <w:bidi w:val="0"/>
        <w:spacing w:before="0" w:after="0" w:line="312" w:lineRule="exact"/>
        <w:ind w:left="0" w:right="0" w:firstLine="300"/>
        <w:jc w:val="both"/>
      </w:pPr>
      <w:bookmarkStart w:id="655" w:name="bookmark655"/>
      <w:r>
        <w:rPr>
          <w:b/>
          <w:bCs/>
          <w:color w:val="000000"/>
          <w:spacing w:val="0"/>
          <w:w w:val="100"/>
          <w:position w:val="0"/>
        </w:rPr>
        <w:t>二</w:t>
      </w:r>
      <w:bookmarkEnd w:id="655"/>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阐述了我们在这些准则下的责任。按照中国注册会计师职业道德守则，我们独立于茂硕电源，并履行了职业道德方面的其他 责任。我们相信，我们获取的审计证据是充分、适当的，为发表审计意见提供了基础。</w:t>
      </w:r>
    </w:p>
    <w:p>
      <w:pPr>
        <w:pStyle w:val="Style31"/>
        <w:keepNext w:val="0"/>
        <w:keepLines w:val="0"/>
        <w:widowControl w:val="0"/>
        <w:shd w:val="clear" w:color="auto" w:fill="auto"/>
        <w:tabs>
          <w:tab w:pos="745" w:val="left"/>
        </w:tabs>
        <w:bidi w:val="0"/>
        <w:spacing w:before="0" w:after="0" w:line="312" w:lineRule="exact"/>
        <w:ind w:left="0" w:right="0" w:firstLine="300"/>
        <w:jc w:val="both"/>
      </w:pPr>
      <w:bookmarkStart w:id="656" w:name="bookmark656"/>
      <w:r>
        <w:rPr>
          <w:b/>
          <w:bCs/>
          <w:color w:val="000000"/>
          <w:spacing w:val="0"/>
          <w:w w:val="100"/>
          <w:position w:val="0"/>
        </w:rPr>
        <w:t>三</w:t>
      </w:r>
      <w:bookmarkEnd w:id="656"/>
      <w:r>
        <w:rPr>
          <w:b/>
          <w:bCs/>
          <w:color w:val="000000"/>
          <w:spacing w:val="0"/>
          <w:w w:val="100"/>
          <w:position w:val="0"/>
        </w:rPr>
        <w:t>、</w:t>
        <w:tab/>
        <w:t>关键审计事项</w:t>
      </w:r>
    </w:p>
    <w:p>
      <w:pPr>
        <w:pStyle w:val="Style3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我们确定下列事项是需要在审计报告中沟通的关键审计事项。</w:t>
      </w:r>
    </w:p>
    <w:p>
      <w:pPr>
        <w:pStyle w:val="Style31"/>
        <w:keepNext w:val="0"/>
        <w:keepLines w:val="0"/>
        <w:widowControl w:val="0"/>
        <w:shd w:val="clear" w:color="auto" w:fill="auto"/>
        <w:tabs>
          <w:tab w:pos="634" w:val="left"/>
        </w:tabs>
        <w:bidi w:val="0"/>
        <w:spacing w:before="0" w:after="0" w:line="312" w:lineRule="exact"/>
        <w:ind w:left="0" w:right="0" w:firstLine="300"/>
        <w:jc w:val="both"/>
      </w:pPr>
      <w:bookmarkStart w:id="657" w:name="bookmark657"/>
      <w:r>
        <w:rPr>
          <w:rFonts w:ascii="Times New Roman" w:eastAsia="Times New Roman" w:hAnsi="Times New Roman" w:cs="Times New Roman"/>
          <w:color w:val="000000"/>
          <w:spacing w:val="0"/>
          <w:w w:val="100"/>
          <w:position w:val="0"/>
          <w:sz w:val="18"/>
          <w:szCs w:val="18"/>
        </w:rPr>
        <w:t>1</w:t>
      </w:r>
      <w:bookmarkEnd w:id="657"/>
      <w:r>
        <w:rPr>
          <w:color w:val="000000"/>
          <w:spacing w:val="0"/>
          <w:w w:val="100"/>
          <w:position w:val="0"/>
        </w:rPr>
        <w:t>、</w:t>
        <w:tab/>
        <w:t>收入确认</w:t>
      </w:r>
    </w:p>
    <w:p>
      <w:pPr>
        <w:pStyle w:val="Style31"/>
        <w:keepNext w:val="0"/>
        <w:keepLines w:val="0"/>
        <w:widowControl w:val="0"/>
        <w:shd w:val="clear" w:color="auto" w:fill="auto"/>
        <w:tabs>
          <w:tab w:pos="654" w:val="left"/>
        </w:tabs>
        <w:bidi w:val="0"/>
        <w:spacing w:before="0" w:after="0" w:line="312" w:lineRule="exact"/>
        <w:ind w:left="0" w:right="0" w:firstLine="300"/>
        <w:jc w:val="both"/>
      </w:pPr>
      <w:bookmarkStart w:id="658" w:name="bookmark658"/>
      <w:r>
        <w:rPr>
          <w:rFonts w:ascii="Times New Roman" w:eastAsia="Times New Roman" w:hAnsi="Times New Roman" w:cs="Times New Roman"/>
          <w:color w:val="000000"/>
          <w:spacing w:val="0"/>
          <w:w w:val="100"/>
          <w:position w:val="0"/>
          <w:sz w:val="18"/>
          <w:szCs w:val="18"/>
        </w:rPr>
        <w:t>2</w:t>
      </w:r>
      <w:bookmarkEnd w:id="658"/>
      <w:r>
        <w:rPr>
          <w:color w:val="000000"/>
          <w:spacing w:val="0"/>
          <w:w w:val="100"/>
          <w:position w:val="0"/>
        </w:rPr>
        <w:t>、</w:t>
        <w:tab/>
        <w:t>应收账款减值</w:t>
      </w:r>
    </w:p>
    <w:p>
      <w:pPr>
        <w:pStyle w:val="Style31"/>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(一)收入确认</w:t>
      </w:r>
    </w:p>
    <w:p>
      <w:pPr>
        <w:pStyle w:val="Style31"/>
        <w:keepNext w:val="0"/>
        <w:keepLines w:val="0"/>
        <w:widowControl w:val="0"/>
        <w:shd w:val="clear" w:color="auto" w:fill="auto"/>
        <w:tabs>
          <w:tab w:pos="634" w:val="left"/>
        </w:tabs>
        <w:bidi w:val="0"/>
        <w:spacing w:before="0" w:after="0" w:line="312" w:lineRule="exact"/>
        <w:ind w:left="0" w:right="0" w:firstLine="300"/>
        <w:jc w:val="both"/>
      </w:pPr>
      <w:bookmarkStart w:id="659" w:name="bookmark659"/>
      <w:r>
        <w:rPr>
          <w:rFonts w:ascii="Times New Roman" w:eastAsia="Times New Roman" w:hAnsi="Times New Roman" w:cs="Times New Roman"/>
          <w:color w:val="000000"/>
          <w:spacing w:val="0"/>
          <w:w w:val="100"/>
          <w:position w:val="0"/>
          <w:sz w:val="18"/>
          <w:szCs w:val="18"/>
        </w:rPr>
        <w:t>1</w:t>
      </w:r>
      <w:bookmarkEnd w:id="659"/>
      <w:r>
        <w:rPr>
          <w:color w:val="000000"/>
          <w:spacing w:val="0"/>
          <w:w w:val="100"/>
          <w:position w:val="0"/>
        </w:rPr>
        <w:t>、</w:t>
        <w:tab/>
        <w:t>事项描述</w:t>
      </w:r>
    </w:p>
    <w:p>
      <w:pPr>
        <w:pStyle w:val="Style3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如茂硕电源合并财务报本报告第十二节、七、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、营业收入所示，茂硕电源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年度的收入为</w:t>
      </w:r>
      <w:r>
        <w:rPr>
          <w:rFonts w:ascii="Times New Roman" w:eastAsia="Times New Roman" w:hAnsi="Times New Roman" w:cs="Times New Roman"/>
          <w:color w:val="000000"/>
          <w:spacing w:val="0"/>
          <w:w w:val="100"/>
          <w:position w:val="0"/>
          <w:sz w:val="18"/>
          <w:szCs w:val="18"/>
        </w:rPr>
        <w:t>123,495.87</w:t>
      </w:r>
      <w:r>
        <w:rPr>
          <w:color w:val="000000"/>
          <w:spacing w:val="0"/>
          <w:w w:val="100"/>
          <w:position w:val="0"/>
        </w:rPr>
        <w:t>万元，主要系 电源业务、电站业务及逆变器业务等收入。</w:t>
      </w:r>
    </w:p>
    <w:p>
      <w:pPr>
        <w:pStyle w:val="Style3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由于收入是利润的来源，直接关系到企业的财务状况和经营成果。管理层为了达到特定目标或期望而操纵收入确认时 点的固有风险，因此，我们将收入确认作为关键审计事项。</w:t>
      </w:r>
    </w:p>
    <w:p>
      <w:pPr>
        <w:pStyle w:val="Style31"/>
        <w:keepNext w:val="0"/>
        <w:keepLines w:val="0"/>
        <w:widowControl w:val="0"/>
        <w:shd w:val="clear" w:color="auto" w:fill="auto"/>
        <w:tabs>
          <w:tab w:pos="654" w:val="left"/>
        </w:tabs>
        <w:bidi w:val="0"/>
        <w:spacing w:before="0" w:after="0" w:line="312" w:lineRule="exact"/>
        <w:ind w:left="0" w:right="0" w:firstLine="300"/>
        <w:jc w:val="left"/>
      </w:pPr>
      <w:bookmarkStart w:id="660" w:name="bookmark660"/>
      <w:r>
        <w:rPr>
          <w:rFonts w:ascii="Times New Roman" w:eastAsia="Times New Roman" w:hAnsi="Times New Roman" w:cs="Times New Roman"/>
          <w:color w:val="000000"/>
          <w:spacing w:val="0"/>
          <w:w w:val="100"/>
          <w:position w:val="0"/>
          <w:sz w:val="18"/>
          <w:szCs w:val="18"/>
        </w:rPr>
        <w:t>2</w:t>
      </w:r>
      <w:bookmarkEnd w:id="660"/>
      <w:r>
        <w:rPr>
          <w:color w:val="000000"/>
          <w:spacing w:val="0"/>
          <w:w w:val="100"/>
          <w:position w:val="0"/>
        </w:rPr>
        <w:t>、</w:t>
        <w:tab/>
        <w:t>审计应对</w:t>
      </w:r>
    </w:p>
    <w:p>
      <w:pPr>
        <w:pStyle w:val="Style31"/>
        <w:keepNext w:val="0"/>
        <w:keepLines w:val="0"/>
        <w:widowControl w:val="0"/>
        <w:shd w:val="clear" w:color="auto" w:fill="auto"/>
        <w:bidi w:val="0"/>
        <w:spacing w:before="0" w:after="0" w:line="312" w:lineRule="exact"/>
        <w:ind w:left="0" w:right="0" w:firstLine="300"/>
        <w:jc w:val="left"/>
      </w:pPr>
      <w:r>
        <w:rPr>
          <w:color w:val="000000"/>
          <w:spacing w:val="0"/>
          <w:w w:val="100"/>
          <w:position w:val="0"/>
        </w:rPr>
        <w:t>我们针对收入确认所实施的重要审计程序包括：</w:t>
      </w:r>
    </w:p>
    <w:p>
      <w:pPr>
        <w:pStyle w:val="Style31"/>
        <w:keepNext w:val="0"/>
        <w:keepLines w:val="0"/>
        <w:widowControl w:val="0"/>
        <w:numPr>
          <w:ilvl w:val="0"/>
          <w:numId w:val="23"/>
        </w:numPr>
        <w:shd w:val="clear" w:color="auto" w:fill="auto"/>
        <w:tabs>
          <w:tab w:pos="1006" w:val="left"/>
        </w:tabs>
        <w:bidi w:val="0"/>
        <w:spacing w:before="0" w:after="0" w:line="312" w:lineRule="exact"/>
        <w:ind w:left="0" w:right="0" w:firstLine="600"/>
        <w:jc w:val="both"/>
      </w:pPr>
      <w:bookmarkStart w:id="661" w:name="bookmark661"/>
      <w:bookmarkEnd w:id="661"/>
      <w:r>
        <w:rPr>
          <w:color w:val="000000"/>
          <w:spacing w:val="0"/>
          <w:w w:val="100"/>
          <w:position w:val="0"/>
        </w:rPr>
        <w:t>了解和评价公司与收入确认相关的关键内部控制的设计，并测试关键控制措施运行的有效性；</w:t>
      </w:r>
    </w:p>
    <w:p>
      <w:pPr>
        <w:pStyle w:val="Style31"/>
        <w:keepNext w:val="0"/>
        <w:keepLines w:val="0"/>
        <w:widowControl w:val="0"/>
        <w:numPr>
          <w:ilvl w:val="0"/>
          <w:numId w:val="23"/>
        </w:numPr>
        <w:shd w:val="clear" w:color="auto" w:fill="auto"/>
        <w:tabs>
          <w:tab w:pos="1006" w:val="left"/>
        </w:tabs>
        <w:bidi w:val="0"/>
        <w:spacing w:before="0" w:after="0" w:line="312" w:lineRule="exact"/>
        <w:ind w:left="0" w:right="0" w:firstLine="600"/>
        <w:jc w:val="both"/>
      </w:pPr>
      <w:bookmarkStart w:id="662" w:name="bookmark662"/>
      <w:bookmarkEnd w:id="662"/>
      <w:r>
        <w:rPr>
          <w:color w:val="000000"/>
          <w:spacing w:val="0"/>
          <w:w w:val="100"/>
          <w:position w:val="0"/>
        </w:rPr>
        <w:t>对茂硕电源不同业务的收入确认，获取相关销售合同，根据合同条款判断其收入确认是否符合会计准则规定；</w:t>
      </w:r>
    </w:p>
    <w:p>
      <w:pPr>
        <w:pStyle w:val="Style31"/>
        <w:keepNext w:val="0"/>
        <w:keepLines w:val="0"/>
        <w:widowControl w:val="0"/>
        <w:numPr>
          <w:ilvl w:val="0"/>
          <w:numId w:val="23"/>
        </w:numPr>
        <w:shd w:val="clear" w:color="auto" w:fill="auto"/>
        <w:tabs>
          <w:tab w:pos="1006" w:val="left"/>
        </w:tabs>
        <w:bidi w:val="0"/>
        <w:spacing w:before="0" w:after="0" w:line="312" w:lineRule="exact"/>
        <w:ind w:left="0" w:right="0" w:firstLine="600"/>
        <w:jc w:val="both"/>
      </w:pPr>
      <w:bookmarkStart w:id="663" w:name="bookmark663"/>
      <w:bookmarkEnd w:id="663"/>
      <w:r>
        <w:rPr>
          <w:color w:val="000000"/>
          <w:spacing w:val="0"/>
          <w:w w:val="100"/>
          <w:position w:val="0"/>
        </w:rPr>
        <w:t>实施分析程序，包括但不限于上年同期比较分析、本期月度波动分析、产品类别比较分析等分析程序；</w:t>
      </w:r>
    </w:p>
    <w:p>
      <w:pPr>
        <w:pStyle w:val="Style31"/>
        <w:keepNext w:val="0"/>
        <w:keepLines w:val="0"/>
        <w:widowControl w:val="0"/>
        <w:numPr>
          <w:ilvl w:val="0"/>
          <w:numId w:val="23"/>
        </w:numPr>
        <w:shd w:val="clear" w:color="auto" w:fill="auto"/>
        <w:tabs>
          <w:tab w:pos="1006" w:val="left"/>
        </w:tabs>
        <w:bidi w:val="0"/>
        <w:spacing w:before="0" w:after="0" w:line="316" w:lineRule="exact"/>
        <w:ind w:left="0" w:right="0" w:firstLine="600"/>
        <w:jc w:val="both"/>
      </w:pPr>
      <w:bookmarkStart w:id="664" w:name="bookmark664"/>
      <w:bookmarkEnd w:id="664"/>
      <w:r>
        <w:rPr>
          <w:color w:val="000000"/>
          <w:spacing w:val="0"/>
          <w:w w:val="100"/>
          <w:position w:val="0"/>
        </w:rPr>
        <w:t>选取交易，检查交易的销售合同、发票、出库单、签收单、报关单等支持性文件，以评价收入是否真实发生；</w:t>
      </w:r>
    </w:p>
    <w:p>
      <w:pPr>
        <w:pStyle w:val="Style31"/>
        <w:keepNext w:val="0"/>
        <w:keepLines w:val="0"/>
        <w:widowControl w:val="0"/>
        <w:numPr>
          <w:ilvl w:val="0"/>
          <w:numId w:val="23"/>
        </w:numPr>
        <w:shd w:val="clear" w:color="auto" w:fill="auto"/>
        <w:tabs>
          <w:tab w:pos="1006" w:val="left"/>
        </w:tabs>
        <w:bidi w:val="0"/>
        <w:spacing w:before="0" w:after="0" w:line="316" w:lineRule="exact"/>
        <w:ind w:left="0" w:right="0" w:firstLine="600"/>
        <w:jc w:val="both"/>
      </w:pPr>
      <w:bookmarkStart w:id="665" w:name="bookmark665"/>
      <w:bookmarkEnd w:id="665"/>
      <w:r>
        <w:rPr>
          <w:color w:val="000000"/>
          <w:spacing w:val="0"/>
          <w:w w:val="100"/>
          <w:position w:val="0"/>
        </w:rPr>
        <w:t>对于出口收入，取得海关出口数据并与账面记录进行核对；</w:t>
      </w:r>
    </w:p>
    <w:p>
      <w:pPr>
        <w:pStyle w:val="Style31"/>
        <w:keepNext w:val="0"/>
        <w:keepLines w:val="0"/>
        <w:widowControl w:val="0"/>
        <w:numPr>
          <w:ilvl w:val="0"/>
          <w:numId w:val="23"/>
        </w:numPr>
        <w:shd w:val="clear" w:color="auto" w:fill="auto"/>
        <w:tabs>
          <w:tab w:pos="1006" w:val="left"/>
        </w:tabs>
        <w:bidi w:val="0"/>
        <w:spacing w:before="0" w:after="0" w:line="316" w:lineRule="exact"/>
        <w:ind w:left="0" w:right="0" w:firstLine="600"/>
        <w:jc w:val="both"/>
      </w:pPr>
      <w:bookmarkStart w:id="666" w:name="bookmark666"/>
      <w:bookmarkEnd w:id="666"/>
      <w:r>
        <w:rPr>
          <w:color w:val="000000"/>
          <w:spacing w:val="0"/>
          <w:w w:val="100"/>
          <w:position w:val="0"/>
        </w:rPr>
        <w:t>结合应收账款的审计，选择主要客户函证本期销售额；</w:t>
      </w:r>
    </w:p>
    <w:p>
      <w:pPr>
        <w:pStyle w:val="Style31"/>
        <w:keepNext w:val="0"/>
        <w:keepLines w:val="0"/>
        <w:widowControl w:val="0"/>
        <w:numPr>
          <w:ilvl w:val="0"/>
          <w:numId w:val="23"/>
        </w:numPr>
        <w:shd w:val="clear" w:color="auto" w:fill="auto"/>
        <w:tabs>
          <w:tab w:pos="1006" w:val="left"/>
        </w:tabs>
        <w:bidi w:val="0"/>
        <w:spacing w:before="0" w:after="0" w:line="316" w:lineRule="exact"/>
        <w:ind w:left="0" w:right="0" w:firstLine="600"/>
        <w:jc w:val="both"/>
      </w:pPr>
      <w:bookmarkStart w:id="667" w:name="bookmark667"/>
      <w:bookmarkEnd w:id="667"/>
      <w:r>
        <w:rPr>
          <w:color w:val="000000"/>
          <w:spacing w:val="0"/>
          <w:w w:val="100"/>
          <w:position w:val="0"/>
        </w:rPr>
        <w:t>对资产负债表日前后记录的收入交易进行截止性测试，检查是否存在跨期收入。</w:t>
      </w: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基于上述所实施的审计程序，我们认为，茂硕电源收入确认符合企业会计准则的规定。</w:t>
      </w:r>
    </w:p>
    <w:p>
      <w:pPr>
        <w:pStyle w:val="Style31"/>
        <w:keepNext w:val="0"/>
        <w:keepLines w:val="0"/>
        <w:widowControl w:val="0"/>
        <w:shd w:val="clear" w:color="auto" w:fill="auto"/>
        <w:bidi w:val="0"/>
        <w:spacing w:before="0" w:after="0" w:line="316" w:lineRule="exact"/>
        <w:ind w:left="0" w:right="0" w:firstLine="240"/>
        <w:jc w:val="both"/>
      </w:pPr>
      <w:r>
        <w:rPr>
          <w:color w:val="000000"/>
          <w:spacing w:val="0"/>
          <w:w w:val="100"/>
          <w:position w:val="0"/>
        </w:rPr>
        <w:t>(二)应收账款减值</w:t>
      </w:r>
    </w:p>
    <w:p>
      <w:pPr>
        <w:pStyle w:val="Style31"/>
        <w:keepNext w:val="0"/>
        <w:keepLines w:val="0"/>
        <w:widowControl w:val="0"/>
        <w:shd w:val="clear" w:color="auto" w:fill="auto"/>
        <w:tabs>
          <w:tab w:pos="634" w:val="left"/>
        </w:tabs>
        <w:bidi w:val="0"/>
        <w:spacing w:before="0" w:after="0" w:line="316" w:lineRule="exact"/>
        <w:ind w:left="0" w:right="0" w:firstLine="300"/>
        <w:jc w:val="both"/>
      </w:pPr>
      <w:bookmarkStart w:id="668" w:name="bookmark668"/>
      <w:r>
        <w:rPr>
          <w:rFonts w:ascii="Times New Roman" w:eastAsia="Times New Roman" w:hAnsi="Times New Roman" w:cs="Times New Roman"/>
          <w:color w:val="000000"/>
          <w:spacing w:val="0"/>
          <w:w w:val="100"/>
          <w:position w:val="0"/>
          <w:sz w:val="18"/>
          <w:szCs w:val="18"/>
        </w:rPr>
        <w:t>1</w:t>
      </w:r>
      <w:bookmarkEnd w:id="668"/>
      <w:r>
        <w:rPr>
          <w:color w:val="000000"/>
          <w:spacing w:val="0"/>
          <w:w w:val="100"/>
          <w:position w:val="0"/>
        </w:rPr>
        <w:t>、</w:t>
        <w:tab/>
        <w:t>事项描述</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如茂硕电源合并财务报本报告第十二节、七、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、应收账款所示，截至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日，茂硕电源应收账款账面余额为 </w:t>
      </w:r>
      <w:r>
        <w:rPr>
          <w:rFonts w:ascii="Times New Roman" w:eastAsia="Times New Roman" w:hAnsi="Times New Roman" w:cs="Times New Roman"/>
          <w:color w:val="000000"/>
          <w:spacing w:val="0"/>
          <w:w w:val="100"/>
          <w:position w:val="0"/>
          <w:sz w:val="18"/>
          <w:szCs w:val="18"/>
        </w:rPr>
        <w:t>56,210.48</w:t>
      </w:r>
      <w:r>
        <w:rPr>
          <w:color w:val="000000"/>
          <w:spacing w:val="0"/>
          <w:w w:val="100"/>
          <w:position w:val="0"/>
        </w:rPr>
        <w:t>万元，应收账款坏账准备为</w:t>
      </w:r>
      <w:r>
        <w:rPr>
          <w:rFonts w:ascii="Times New Roman" w:eastAsia="Times New Roman" w:hAnsi="Times New Roman" w:cs="Times New Roman"/>
          <w:color w:val="000000"/>
          <w:spacing w:val="0"/>
          <w:w w:val="100"/>
          <w:position w:val="0"/>
          <w:sz w:val="18"/>
          <w:szCs w:val="18"/>
        </w:rPr>
        <w:t>9,706.56</w:t>
      </w:r>
      <w:r>
        <w:rPr>
          <w:color w:val="000000"/>
          <w:spacing w:val="0"/>
          <w:w w:val="100"/>
          <w:position w:val="0"/>
        </w:rPr>
        <w:t>万元，账面价值为</w:t>
      </w:r>
      <w:r>
        <w:rPr>
          <w:rFonts w:ascii="Times New Roman" w:eastAsia="Times New Roman" w:hAnsi="Times New Roman" w:cs="Times New Roman"/>
          <w:color w:val="000000"/>
          <w:spacing w:val="0"/>
          <w:w w:val="100"/>
          <w:position w:val="0"/>
          <w:sz w:val="18"/>
          <w:szCs w:val="18"/>
        </w:rPr>
        <w:t>46,503.9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万元，占资产总额的比例为</w:t>
      </w:r>
      <w:r>
        <w:rPr>
          <w:rFonts w:ascii="Times New Roman" w:eastAsia="Times New Roman" w:hAnsi="Times New Roman" w:cs="Times New Roman"/>
          <w:color w:val="000000"/>
          <w:spacing w:val="0"/>
          <w:w w:val="100"/>
          <w:position w:val="0"/>
          <w:sz w:val="18"/>
          <w:szCs w:val="18"/>
        </w:rPr>
        <w:t>26.86%</w:t>
      </w:r>
      <w:r>
        <w:rPr>
          <w:color w:val="000000"/>
          <w:spacing w:val="0"/>
          <w:w w:val="100"/>
          <w:position w:val="0"/>
        </w:rPr>
        <w:t>。</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管理层根据各项应收账款的信用风险特征，以单项应收账款或应收账款组合为基础，按照相当于整个存续期内的预期信 用损失金额计量其损失准备。对于以单项为基础计量预期信用损失的应收账款，管理层综合考虑有关过去事项、当前状况以 及未来经济状况预测的合理且有依据的信息，估计预期收取的现金流量，据此确定应计提的应收账款坏账准备；对于以组合 为基础计量预期信用损失的应收账款，管理层参考历史信用损失经验，并根据前瞻性估计予以调整，编制应收账款账龄与整 个存续期预期信用损失率对照表，据此确定应计提的应收账款坏账准备。</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由于应收账款金额重大，且应收账款减值涉及管理层的重大判断和估计，因此，我们将应收账款减值作为关键审计事项。</w:t>
      </w:r>
    </w:p>
    <w:p>
      <w:pPr>
        <w:pStyle w:val="Style31"/>
        <w:keepNext w:val="0"/>
        <w:keepLines w:val="0"/>
        <w:widowControl w:val="0"/>
        <w:shd w:val="clear" w:color="auto" w:fill="auto"/>
        <w:tabs>
          <w:tab w:pos="674" w:val="left"/>
        </w:tabs>
        <w:bidi w:val="0"/>
        <w:spacing w:before="0" w:after="0" w:line="316" w:lineRule="exact"/>
        <w:ind w:left="0" w:right="0" w:firstLine="320"/>
        <w:jc w:val="both"/>
      </w:pPr>
      <w:bookmarkStart w:id="669" w:name="bookmark669"/>
      <w:r>
        <w:rPr>
          <w:rFonts w:ascii="Times New Roman" w:eastAsia="Times New Roman" w:hAnsi="Times New Roman" w:cs="Times New Roman"/>
          <w:color w:val="000000"/>
          <w:spacing w:val="0"/>
          <w:w w:val="100"/>
          <w:position w:val="0"/>
          <w:sz w:val="18"/>
          <w:szCs w:val="18"/>
        </w:rPr>
        <w:t>2</w:t>
      </w:r>
      <w:bookmarkEnd w:id="669"/>
      <w:r>
        <w:rPr>
          <w:color w:val="000000"/>
          <w:spacing w:val="0"/>
          <w:w w:val="100"/>
          <w:position w:val="0"/>
        </w:rPr>
        <w:t>、</w:t>
        <w:tab/>
        <w:t>审计应对</w:t>
      </w:r>
    </w:p>
    <w:p>
      <w:pPr>
        <w:pStyle w:val="Style31"/>
        <w:keepNext w:val="0"/>
        <w:keepLines w:val="0"/>
        <w:widowControl w:val="0"/>
        <w:shd w:val="clear" w:color="auto" w:fill="auto"/>
        <w:bidi w:val="0"/>
        <w:spacing w:before="0" w:after="0" w:line="316" w:lineRule="exact"/>
        <w:ind w:left="0" w:right="0" w:firstLine="320"/>
        <w:jc w:val="both"/>
      </w:pPr>
      <w:r>
        <w:rPr>
          <w:color w:val="000000"/>
          <w:spacing w:val="0"/>
          <w:w w:val="100"/>
          <w:position w:val="0"/>
        </w:rPr>
        <w:t>我们针对应收账款减值认定执行的重要审计程序包括：</w:t>
      </w:r>
    </w:p>
    <w:p>
      <w:pPr>
        <w:pStyle w:val="Style31"/>
        <w:keepNext w:val="0"/>
        <w:keepLines w:val="0"/>
        <w:widowControl w:val="0"/>
        <w:numPr>
          <w:ilvl w:val="0"/>
          <w:numId w:val="25"/>
        </w:numPr>
        <w:shd w:val="clear" w:color="auto" w:fill="auto"/>
        <w:tabs>
          <w:tab w:pos="926" w:val="left"/>
        </w:tabs>
        <w:bidi w:val="0"/>
        <w:spacing w:before="0" w:after="0" w:line="316" w:lineRule="exact"/>
        <w:ind w:left="0" w:right="0" w:firstLine="520"/>
        <w:jc w:val="both"/>
      </w:pPr>
      <w:bookmarkStart w:id="670" w:name="bookmark670"/>
      <w:bookmarkEnd w:id="670"/>
      <w:r>
        <w:rPr>
          <w:color w:val="000000"/>
          <w:spacing w:val="0"/>
          <w:w w:val="100"/>
          <w:position w:val="0"/>
        </w:rPr>
        <w:t>对与应收账款减值相关的内部控制设计及运行有效性进行了解、评估及测试；</w:t>
      </w:r>
    </w:p>
    <w:p>
      <w:pPr>
        <w:pStyle w:val="Style31"/>
        <w:keepNext w:val="0"/>
        <w:keepLines w:val="0"/>
        <w:widowControl w:val="0"/>
        <w:numPr>
          <w:ilvl w:val="0"/>
          <w:numId w:val="25"/>
        </w:numPr>
        <w:shd w:val="clear" w:color="auto" w:fill="auto"/>
        <w:tabs>
          <w:tab w:pos="896" w:val="left"/>
        </w:tabs>
        <w:bidi w:val="0"/>
        <w:spacing w:before="0" w:after="0" w:line="316" w:lineRule="exact"/>
        <w:ind w:left="0" w:right="0" w:firstLine="520"/>
        <w:jc w:val="both"/>
      </w:pPr>
      <w:bookmarkStart w:id="671" w:name="bookmark671"/>
      <w:bookmarkEnd w:id="671"/>
      <w:r>
        <w:rPr>
          <w:color w:val="000000"/>
          <w:spacing w:val="0"/>
          <w:w w:val="100"/>
          <w:position w:val="0"/>
        </w:rPr>
        <w:t>复核管理层对应收账款进行信用风险评估的相关考虑和客观证据,评价管理层是否恰当识别各项应收账款的信用风 险特征；</w:t>
      </w:r>
    </w:p>
    <w:p>
      <w:pPr>
        <w:pStyle w:val="Style31"/>
        <w:keepNext w:val="0"/>
        <w:keepLines w:val="0"/>
        <w:widowControl w:val="0"/>
        <w:numPr>
          <w:ilvl w:val="0"/>
          <w:numId w:val="25"/>
        </w:numPr>
        <w:shd w:val="clear" w:color="auto" w:fill="auto"/>
        <w:tabs>
          <w:tab w:pos="906" w:val="left"/>
        </w:tabs>
        <w:bidi w:val="0"/>
        <w:spacing w:before="0" w:after="0" w:line="316" w:lineRule="exact"/>
        <w:ind w:left="0" w:right="0" w:firstLine="520"/>
        <w:jc w:val="both"/>
      </w:pPr>
      <w:bookmarkStart w:id="672" w:name="bookmark672"/>
      <w:bookmarkEnd w:id="672"/>
      <w:r>
        <w:rPr>
          <w:color w:val="000000"/>
          <w:spacing w:val="0"/>
          <w:w w:val="100"/>
          <w:position w:val="0"/>
        </w:rPr>
        <w:t>对于以单项为基础计量预期信用损失的应收账款，获取并检查管理层对预期收取现金流量的预测，评价在预测中使 用的关键假设的合理性和数据的准确性，并与获取的外部证据进行核对；</w:t>
      </w:r>
    </w:p>
    <w:p>
      <w:pPr>
        <w:pStyle w:val="Style31"/>
        <w:keepNext w:val="0"/>
        <w:keepLines w:val="0"/>
        <w:widowControl w:val="0"/>
        <w:numPr>
          <w:ilvl w:val="0"/>
          <w:numId w:val="25"/>
        </w:numPr>
        <w:shd w:val="clear" w:color="auto" w:fill="auto"/>
        <w:tabs>
          <w:tab w:pos="906" w:val="left"/>
        </w:tabs>
        <w:bidi w:val="0"/>
        <w:spacing w:before="0" w:after="0" w:line="316" w:lineRule="exact"/>
        <w:ind w:left="0" w:right="0" w:firstLine="520"/>
        <w:jc w:val="both"/>
      </w:pPr>
      <w:bookmarkStart w:id="673" w:name="bookmark673"/>
      <w:bookmarkEnd w:id="673"/>
      <w:r>
        <w:rPr>
          <w:color w:val="000000"/>
          <w:spacing w:val="0"/>
          <w:w w:val="100"/>
          <w:position w:val="0"/>
        </w:rPr>
        <w:t>对于以组合为基础计量预期信用损失的应收账款，评价管理层按信用风险特征划分组合的合理性；根据具有类似信 用风险特征组合的历史信用损失经验及前瞻性估计，评价管理层减值测试方法的合理性；</w:t>
      </w:r>
    </w:p>
    <w:p>
      <w:pPr>
        <w:pStyle w:val="Style31"/>
        <w:keepNext w:val="0"/>
        <w:keepLines w:val="0"/>
        <w:widowControl w:val="0"/>
        <w:shd w:val="clear" w:color="auto" w:fill="auto"/>
        <w:bidi w:val="0"/>
        <w:spacing w:before="0" w:after="0" w:line="316" w:lineRule="exact"/>
        <w:ind w:left="0" w:right="0" w:firstLine="5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获取坏账准备计提表，检查计提方法是否按照会计政策执行，重新计算坏账准备计提金额是否准确；</w:t>
      </w:r>
    </w:p>
    <w:p>
      <w:pPr>
        <w:pStyle w:val="Style31"/>
        <w:keepNext w:val="0"/>
        <w:keepLines w:val="0"/>
        <w:widowControl w:val="0"/>
        <w:shd w:val="clear" w:color="auto" w:fill="auto"/>
        <w:bidi w:val="0"/>
        <w:spacing w:before="0" w:after="0" w:line="316" w:lineRule="exact"/>
        <w:ind w:left="0" w:right="0" w:firstLine="5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分析应收账款的账龄和客户信誉情况，并执行应收账款函证程序及检查期后回款情况，评价应收账款坏账准备计提 的合理性；</w:t>
      </w:r>
    </w:p>
    <w:p>
      <w:pPr>
        <w:pStyle w:val="Style31"/>
        <w:keepNext w:val="0"/>
        <w:keepLines w:val="0"/>
        <w:widowControl w:val="0"/>
        <w:shd w:val="clear" w:color="auto" w:fill="auto"/>
        <w:bidi w:val="0"/>
        <w:spacing w:before="0" w:after="0" w:line="316" w:lineRule="exact"/>
        <w:ind w:left="0" w:right="0" w:firstLine="5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评估管理层于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日对应收账款坏账准备的会计处理及披露。</w:t>
      </w:r>
    </w:p>
    <w:p>
      <w:pPr>
        <w:pStyle w:val="Style31"/>
        <w:keepNext w:val="0"/>
        <w:keepLines w:val="0"/>
        <w:widowControl w:val="0"/>
        <w:shd w:val="clear" w:color="auto" w:fill="auto"/>
        <w:bidi w:val="0"/>
        <w:spacing w:before="0" w:after="0" w:line="316" w:lineRule="exact"/>
        <w:ind w:left="0" w:right="0" w:firstLine="320"/>
        <w:jc w:val="both"/>
      </w:pPr>
      <w:r>
        <w:rPr>
          <w:color w:val="000000"/>
          <w:spacing w:val="0"/>
          <w:w w:val="100"/>
          <w:position w:val="0"/>
        </w:rPr>
        <w:t>基于上述所实施的审计程序，我们认为，茂硕电源应收账款减值符合企业会计准则的规定。</w:t>
      </w:r>
    </w:p>
    <w:p>
      <w:pPr>
        <w:pStyle w:val="Style31"/>
        <w:keepNext w:val="0"/>
        <w:keepLines w:val="0"/>
        <w:widowControl w:val="0"/>
        <w:shd w:val="clear" w:color="auto" w:fill="auto"/>
        <w:tabs>
          <w:tab w:pos="746" w:val="left"/>
        </w:tabs>
        <w:bidi w:val="0"/>
        <w:spacing w:before="0" w:after="0" w:line="316" w:lineRule="exact"/>
        <w:ind w:left="0" w:right="0" w:firstLine="320"/>
        <w:jc w:val="both"/>
      </w:pPr>
      <w:bookmarkStart w:id="674" w:name="bookmark674"/>
      <w:r>
        <w:rPr>
          <w:b/>
          <w:bCs/>
          <w:color w:val="000000"/>
          <w:spacing w:val="0"/>
          <w:w w:val="100"/>
          <w:position w:val="0"/>
        </w:rPr>
        <w:t>四</w:t>
      </w:r>
      <w:bookmarkEnd w:id="674"/>
      <w:r>
        <w:rPr>
          <w:b/>
          <w:bCs/>
          <w:color w:val="000000"/>
          <w:spacing w:val="0"/>
          <w:w w:val="100"/>
          <w:position w:val="0"/>
        </w:rPr>
        <w:t>、</w:t>
        <w:tab/>
        <w:t>其他信息</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茂硕电源管理层对其他信息负责。其他信息包括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年度报告中涵盖的信息，但不包括财务报表和我们的审计报告。</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1"/>
        <w:keepNext w:val="0"/>
        <w:keepLines w:val="0"/>
        <w:widowControl w:val="0"/>
        <w:shd w:val="clear" w:color="auto" w:fill="auto"/>
        <w:tabs>
          <w:tab w:pos="760" w:val="left"/>
        </w:tabs>
        <w:bidi w:val="0"/>
        <w:spacing w:before="0" w:after="0" w:line="316" w:lineRule="exact"/>
        <w:ind w:left="0" w:right="0" w:firstLine="320"/>
        <w:jc w:val="both"/>
      </w:pPr>
      <w:bookmarkStart w:id="675" w:name="bookmark675"/>
      <w:r>
        <w:rPr>
          <w:b/>
          <w:bCs/>
          <w:color w:val="000000"/>
          <w:spacing w:val="0"/>
          <w:w w:val="100"/>
          <w:position w:val="0"/>
        </w:rPr>
        <w:t>五</w:t>
      </w:r>
      <w:bookmarkEnd w:id="675"/>
      <w:r>
        <w:rPr>
          <w:b/>
          <w:bCs/>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茂硕电源管理层负责按照企业会计准则的规定编制财务报表，使其实现公允反映，并设计、执行和维护必要的内部控制， 以使财务报表不存在由于舞弊或错误导致的重大错报。</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在编制财务报表时，茂硕电源管理层负责评估茂硕电源的持续经营能力，披露与持续经营相关的事项(如适用)，并运 用持续经营假设，除非管理层计划清算茂硕电源、终止运营或别无其他现实的选择。</w:t>
      </w:r>
    </w:p>
    <w:p>
      <w:pPr>
        <w:pStyle w:val="Style31"/>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治理层负责监督茂硕电源的财务报告过程。</w:t>
      </w:r>
    </w:p>
    <w:p>
      <w:pPr>
        <w:pStyle w:val="Style31"/>
        <w:keepNext w:val="0"/>
        <w:keepLines w:val="0"/>
        <w:widowControl w:val="0"/>
        <w:shd w:val="clear" w:color="auto" w:fill="auto"/>
        <w:tabs>
          <w:tab w:pos="765" w:val="left"/>
        </w:tabs>
        <w:bidi w:val="0"/>
        <w:spacing w:before="0" w:after="0" w:line="316" w:lineRule="exact"/>
        <w:ind w:left="0" w:right="0" w:firstLine="320"/>
        <w:jc w:val="both"/>
      </w:pPr>
      <w:bookmarkStart w:id="676" w:name="bookmark676"/>
      <w:r>
        <w:rPr>
          <w:b/>
          <w:bCs/>
          <w:color w:val="000000"/>
          <w:spacing w:val="0"/>
          <w:w w:val="100"/>
          <w:position w:val="0"/>
        </w:rPr>
        <w:t>六</w:t>
      </w:r>
      <w:bookmarkEnd w:id="676"/>
      <w:r>
        <w:rPr>
          <w:b/>
          <w:bCs/>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after="0" w:line="316" w:lineRule="exact"/>
        <w:ind w:left="0" w:right="0" w:firstLine="320"/>
        <w:jc w:val="both"/>
      </w:pPr>
      <w:r>
        <w:rPr>
          <w:color w:val="000000"/>
          <w:spacing w:val="0"/>
          <w:w w:val="100"/>
          <w:position w:val="0"/>
        </w:rPr>
        <w:t xml:space="preserve">我们的目标是对财务报表整体是否不存在由于舞弊或错误导致的重大错报获取合理保证，并出具包含审计意见的审计报 </w:t>
      </w:r>
      <w:r>
        <w:rPr>
          <w:color w:val="000000"/>
          <w:spacing w:val="0"/>
          <w:w w:val="100"/>
          <w:position w:val="0"/>
        </w:rPr>
        <w:t>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shd w:val="clear" w:color="auto" w:fill="auto"/>
        <w:tabs>
          <w:tab w:pos="594" w:val="left"/>
        </w:tabs>
        <w:bidi w:val="0"/>
        <w:spacing w:before="0" w:after="100" w:line="313" w:lineRule="exact"/>
        <w:ind w:left="0" w:right="0" w:firstLine="320"/>
        <w:jc w:val="both"/>
      </w:pPr>
      <w:bookmarkStart w:id="677" w:name="bookmark677"/>
      <w:r>
        <w:rPr>
          <w:rFonts w:ascii="Times New Roman" w:eastAsia="Times New Roman" w:hAnsi="Times New Roman" w:cs="Times New Roman"/>
          <w:color w:val="000000"/>
          <w:spacing w:val="0"/>
          <w:w w:val="100"/>
          <w:position w:val="0"/>
          <w:sz w:val="18"/>
          <w:szCs w:val="18"/>
        </w:rPr>
        <w:t>1</w:t>
      </w:r>
      <w:bookmarkEnd w:id="677"/>
      <w:r>
        <w:rPr>
          <w:color w:val="000000"/>
          <w:spacing w:val="0"/>
          <w:w w:val="100"/>
          <w:position w:val="0"/>
        </w:rPr>
        <w:t>、</w:t>
        <w:tab/>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31"/>
        <w:keepNext w:val="0"/>
        <w:keepLines w:val="0"/>
        <w:widowControl w:val="0"/>
        <w:shd w:val="clear" w:color="auto" w:fill="auto"/>
        <w:tabs>
          <w:tab w:pos="636" w:val="left"/>
        </w:tabs>
        <w:bidi w:val="0"/>
        <w:spacing w:before="0" w:after="0" w:line="360" w:lineRule="auto"/>
        <w:ind w:left="0" w:right="0" w:firstLine="320"/>
        <w:jc w:val="both"/>
      </w:pPr>
      <w:bookmarkStart w:id="678" w:name="bookmark678"/>
      <w:r>
        <w:rPr>
          <w:rFonts w:ascii="Times New Roman" w:eastAsia="Times New Roman" w:hAnsi="Times New Roman" w:cs="Times New Roman"/>
          <w:color w:val="000000"/>
          <w:spacing w:val="0"/>
          <w:w w:val="100"/>
          <w:position w:val="0"/>
          <w:sz w:val="18"/>
          <w:szCs w:val="18"/>
        </w:rPr>
        <w:t>2</w:t>
      </w:r>
      <w:bookmarkEnd w:id="678"/>
      <w:r>
        <w:rPr>
          <w:color w:val="000000"/>
          <w:spacing w:val="0"/>
          <w:w w:val="100"/>
          <w:position w:val="0"/>
        </w:rPr>
        <w:t>、</w:t>
        <w:tab/>
        <w:t>了解与审计相关的内部控制，以设计恰当的审计程序，但目的并非对内部控制的有效性发表意见。</w:t>
      </w:r>
    </w:p>
    <w:p>
      <w:pPr>
        <w:pStyle w:val="Style31"/>
        <w:keepNext w:val="0"/>
        <w:keepLines w:val="0"/>
        <w:widowControl w:val="0"/>
        <w:shd w:val="clear" w:color="auto" w:fill="auto"/>
        <w:tabs>
          <w:tab w:pos="636" w:val="left"/>
        </w:tabs>
        <w:bidi w:val="0"/>
        <w:spacing w:before="0" w:after="0" w:line="360" w:lineRule="auto"/>
        <w:ind w:left="0" w:right="0" w:firstLine="320"/>
        <w:jc w:val="both"/>
      </w:pPr>
      <w:bookmarkStart w:id="679" w:name="bookmark679"/>
      <w:r>
        <w:rPr>
          <w:rFonts w:ascii="Times New Roman" w:eastAsia="Times New Roman" w:hAnsi="Times New Roman" w:cs="Times New Roman"/>
          <w:color w:val="000000"/>
          <w:spacing w:val="0"/>
          <w:w w:val="100"/>
          <w:position w:val="0"/>
          <w:sz w:val="18"/>
          <w:szCs w:val="18"/>
        </w:rPr>
        <w:t>3</w:t>
      </w:r>
      <w:bookmarkEnd w:id="679"/>
      <w:r>
        <w:rPr>
          <w:color w:val="000000"/>
          <w:spacing w:val="0"/>
          <w:w w:val="100"/>
          <w:position w:val="0"/>
        </w:rPr>
        <w:t>、</w:t>
        <w:tab/>
        <w:t>评价管理层选用会计政策的恰当性和作出会计估计及相关披露的合理性。</w:t>
      </w:r>
    </w:p>
    <w:p>
      <w:pPr>
        <w:pStyle w:val="Style31"/>
        <w:keepNext w:val="0"/>
        <w:keepLines w:val="0"/>
        <w:widowControl w:val="0"/>
        <w:shd w:val="clear" w:color="auto" w:fill="auto"/>
        <w:bidi w:val="0"/>
        <w:spacing w:before="0" w:after="100" w:line="313" w:lineRule="exact"/>
        <w:ind w:left="0" w:right="0" w:firstLine="320"/>
        <w:jc w:val="both"/>
      </w:pPr>
      <w:bookmarkStart w:id="680" w:name="bookmark680"/>
      <w:r>
        <w:rPr>
          <w:rFonts w:ascii="Times New Roman" w:eastAsia="Times New Roman" w:hAnsi="Times New Roman" w:cs="Times New Roman"/>
          <w:color w:val="000000"/>
          <w:spacing w:val="0"/>
          <w:w w:val="100"/>
          <w:position w:val="0"/>
          <w:sz w:val="18"/>
          <w:szCs w:val="18"/>
        </w:rPr>
        <w:t>4</w:t>
      </w:r>
      <w:bookmarkEnd w:id="680"/>
      <w:r>
        <w:rPr>
          <w:color w:val="000000"/>
          <w:spacing w:val="0"/>
          <w:w w:val="100"/>
          <w:position w:val="0"/>
        </w:rPr>
        <w:t>、 对管理层使用持续经营假设的恰当性得出结论。同时，根据获取的审计证据，就可能导致对茂硕电源持续经营能力 产生重大疑虑的事项或情况是否存在重大不确定性得出结论。如果我们得出结论认为存在重大不确定性，审计准则要求我们 在审计报告中提请报告使用者注意财务报表中的相关披露；如果披露不充分，我们应当发表非无保留意见。我们的结论基于 截至审计报告日可获得的信息。然而，未来的事项或情况可能导致茂硕电源不能持续经营。</w:t>
      </w:r>
    </w:p>
    <w:p>
      <w:pPr>
        <w:pStyle w:val="Style31"/>
        <w:keepNext w:val="0"/>
        <w:keepLines w:val="0"/>
        <w:widowControl w:val="0"/>
        <w:shd w:val="clear" w:color="auto" w:fill="auto"/>
        <w:tabs>
          <w:tab w:pos="640" w:val="left"/>
        </w:tabs>
        <w:bidi w:val="0"/>
        <w:spacing w:before="0" w:after="0" w:line="360" w:lineRule="auto"/>
        <w:ind w:left="0" w:right="0" w:firstLine="320"/>
        <w:jc w:val="both"/>
      </w:pPr>
      <w:bookmarkStart w:id="681" w:name="bookmark681"/>
      <w:r>
        <w:rPr>
          <w:rFonts w:ascii="Times New Roman" w:eastAsia="Times New Roman" w:hAnsi="Times New Roman" w:cs="Times New Roman"/>
          <w:color w:val="000000"/>
          <w:spacing w:val="0"/>
          <w:w w:val="100"/>
          <w:position w:val="0"/>
          <w:sz w:val="18"/>
          <w:szCs w:val="18"/>
        </w:rPr>
        <w:t>5</w:t>
      </w:r>
      <w:bookmarkEnd w:id="681"/>
      <w:r>
        <w:rPr>
          <w:color w:val="000000"/>
          <w:spacing w:val="0"/>
          <w:w w:val="100"/>
          <w:position w:val="0"/>
        </w:rPr>
        <w:t>、</w:t>
        <w:tab/>
        <w:t>评价财务报表的总体列报、结构和内容，并评价财务报表是否公允反映相关交易和事项。</w:t>
      </w:r>
    </w:p>
    <w:p>
      <w:pPr>
        <w:pStyle w:val="Style31"/>
        <w:keepNext w:val="0"/>
        <w:keepLines w:val="0"/>
        <w:widowControl w:val="0"/>
        <w:shd w:val="clear" w:color="auto" w:fill="auto"/>
        <w:tabs>
          <w:tab w:pos="594" w:val="left"/>
        </w:tabs>
        <w:bidi w:val="0"/>
        <w:spacing w:before="0" w:after="0" w:line="313" w:lineRule="exact"/>
        <w:ind w:left="0" w:right="0" w:firstLine="320"/>
        <w:jc w:val="both"/>
      </w:pPr>
      <w:bookmarkStart w:id="682" w:name="bookmark682"/>
      <w:r>
        <w:rPr>
          <w:rFonts w:ascii="Times New Roman" w:eastAsia="Times New Roman" w:hAnsi="Times New Roman" w:cs="Times New Roman"/>
          <w:color w:val="000000"/>
          <w:spacing w:val="0"/>
          <w:w w:val="100"/>
          <w:position w:val="0"/>
          <w:sz w:val="18"/>
          <w:szCs w:val="18"/>
        </w:rPr>
        <w:t>6</w:t>
      </w:r>
      <w:bookmarkEnd w:id="682"/>
      <w:r>
        <w:rPr>
          <w:color w:val="000000"/>
          <w:spacing w:val="0"/>
          <w:w w:val="100"/>
          <w:position w:val="0"/>
        </w:rPr>
        <w:t>、</w:t>
        <w:tab/>
        <w:t>就茂硕电源中实体或业务活动的财务信息获取充分、适当的审计证据，以对财务报表发表意见。我们负责指导、监 督和执行集团审计。我们对审计意见承担全部责任。</w:t>
      </w:r>
    </w:p>
    <w:p>
      <w:pPr>
        <w:pStyle w:val="Style31"/>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1"/>
        <w:keepNext w:val="0"/>
        <w:keepLines w:val="0"/>
        <w:widowControl w:val="0"/>
        <w:shd w:val="clear" w:color="auto" w:fill="auto"/>
        <w:bidi w:val="0"/>
        <w:spacing w:before="0" w:after="2540" w:line="313" w:lineRule="exact"/>
        <w:ind w:left="0" w:right="0" w:firstLine="40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tbl>
      <w:tblPr>
        <w:tblOverlap w:val="never"/>
        <w:jc w:val="center"/>
        <w:tblLayout w:type="fixed"/>
      </w:tblPr>
      <w:tblGrid>
        <w:gridCol w:w="5050"/>
        <w:gridCol w:w="3053"/>
        <w:gridCol w:w="1622"/>
      </w:tblGrid>
      <w:tr>
        <w:trPr>
          <w:trHeight w:val="355"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中国注册会计师：</w:t>
            </w:r>
          </w:p>
        </w:tc>
        <w:tc>
          <w:tcPr>
            <w:tcBorders>
              <w:top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北京</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（项目合伙人）</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600"/>
              <w:jc w:val="left"/>
            </w:pPr>
            <w:r>
              <w:rPr>
                <w:color w:val="000000"/>
                <w:spacing w:val="0"/>
                <w:w w:val="100"/>
                <w:position w:val="0"/>
              </w:rPr>
              <w:t>王建华</w:t>
            </w:r>
          </w:p>
        </w:tc>
      </w:tr>
      <w:tr>
        <w:trPr>
          <w:trHeight w:val="346"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中国注册会计师：</w:t>
            </w:r>
          </w:p>
        </w:tc>
        <w:tc>
          <w:tcPr>
            <w:tcBorders>
              <w:top w:val="single" w:sz="4"/>
            </w:tcBorders>
            <w:shd w:val="clear" w:color="auto" w:fill="FFFFFF"/>
            <w:vAlign w:val="top"/>
          </w:tcPr>
          <w:p>
            <w:pPr>
              <w:widowControl w:val="0"/>
              <w:rPr>
                <w:sz w:val="10"/>
                <w:szCs w:val="10"/>
              </w:rPr>
            </w:pPr>
          </w:p>
        </w:tc>
      </w:tr>
      <w:tr>
        <w:trPr>
          <w:trHeight w:val="538"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600"/>
              <w:jc w:val="left"/>
            </w:pPr>
            <w:r>
              <w:rPr>
                <w:color w:val="000000"/>
                <w:spacing w:val="0"/>
                <w:w w:val="100"/>
                <w:position w:val="0"/>
              </w:rPr>
              <w:t>万海青</w:t>
            </w:r>
          </w:p>
        </w:tc>
      </w:tr>
    </w:tbl>
    <w:p>
      <w:pPr>
        <w:pStyle w:val="Style29"/>
        <w:keepNext w:val="0"/>
        <w:keepLines w:val="0"/>
        <w:widowControl w:val="0"/>
        <w:shd w:val="clear" w:color="auto" w:fill="auto"/>
        <w:bidi w:val="0"/>
        <w:spacing w:before="0" w:after="0" w:line="240" w:lineRule="auto"/>
        <w:ind w:left="7498"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二一年四月六日</w:t>
      </w:r>
      <w:r>
        <w:br w:type="page"/>
      </w:r>
    </w:p>
    <w:p>
      <w:pPr>
        <w:pStyle w:val="Style27"/>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sz w:val="24"/>
          <w:szCs w:val="24"/>
        </w:rPr>
        <w:t>二</w:t>
      </w:r>
      <w:bookmarkEnd w:id="685"/>
      <w:r>
        <w:rPr>
          <w:color w:val="000000"/>
          <w:spacing w:val="0"/>
          <w:w w:val="100"/>
          <w:position w:val="0"/>
          <w:sz w:val="24"/>
          <w:szCs w:val="24"/>
        </w:rPr>
        <w:t>、财务报表</w:t>
      </w:r>
      <w:bookmarkEnd w:id="683"/>
      <w:bookmarkEnd w:id="684"/>
      <w:bookmarkEnd w:id="68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、合并资产负债表</w:t>
      </w:r>
      <w:bookmarkEnd w:id="687"/>
      <w:bookmarkEnd w:id="688"/>
      <w:bookmarkEnd w:id="69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编制单位：茂硕电源科技股份有限公司</w:t>
      </w:r>
    </w:p>
    <w:p>
      <w:pPr>
        <w:pStyle w:val="Style50"/>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358,871,313.66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250,188,701.02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81,620,079.73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126,478,802.99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465,039,249.85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462,909,161.03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28,921,565.78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2,448,289.42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4,167,564.38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3,818,436.37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37,483,511.10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23,439,303.05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154,339,823.59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120,300,364.92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15,620,530.84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4,838,779.33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41,066,395.05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41,689,935.02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1,191,968,813.31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1,031,272,993.82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2,769,041.13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7,810,851.59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77,241,535.62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91,887,080.76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7,281,365.84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11,124,887.39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361,243,092.71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384,180,534.44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19,876,162.55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23,191,790.76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14,158,653.22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17,189,832.94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33,251,412.67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34,349,631.70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16,137,246.66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14,713,073.55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539,548,510.40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602,037,683.13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1,731,517,323.71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1,633,310,676.95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390,191,644.45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157,711,834.30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16,403,229.34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491,200,475.02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548,714,830.97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1,568,160.00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13,213,784.27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15,850,416.56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25,149,865.84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30,273,941.93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8,476,524.88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7,348,316.26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22,478,544.93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32,406,978.57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23,462,918.46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35,361,226.79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7,836,441.25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1,002,618,220.73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965,030,913.09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7,259,452.73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30,722,371.20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19,586,380.30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10,456,014.31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9,153,680.87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10,884,310.18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35,999,513.90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52,062,695.69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1,038,617,734.63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1,017,093,608.78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274,327,707.00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274,327,707.00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411,478,059.38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411,478,059.38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-20,803,965.14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-38,233,629.33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25,571,701.00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25,571,701.00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2,374,976.09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-56,796,709.72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692,948,478.33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616,347,128.33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-130,060.16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692,899,589.08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616,217,068.17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1,731,517,323.71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1,633,310,676.95</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030470" simplePos="0" relativeHeight="125829386" behindDoc="0" locked="0" layoutInCell="1" allowOverlap="1">
                <wp:simplePos x="0" y="0"/>
                <wp:positionH relativeFrom="page">
                  <wp:posOffset>704850</wp:posOffset>
                </wp:positionH>
                <wp:positionV relativeFrom="margin">
                  <wp:posOffset>2057400</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法定代表人：王浩涛</w:t>
                            </w:r>
                          </w:p>
                        </w:txbxContent>
                      </wps:txbx>
                      <wps:bodyPr wrap="none" lIns="0" tIns="0" rIns="0" bIns="0">
                        <a:noAutoFit/>
                      </wps:bodyPr>
                    </wps:wsp>
                  </a:graphicData>
                </a:graphic>
              </wp:anchor>
            </w:drawing>
          </mc:Choice>
          <mc:Fallback>
            <w:pict>
              <v:shape id="_x0000_s1056" type="#_x0000_t202" style="position:absolute;margin-left:55.5pt;margin-top:162.pt;width:83.049999999999997pt;height:11.75pt;z-index:-125829367;mso-wrap-distance-left:9.pt;mso-wrap-distance-top:12.pt;mso-wrap-distance-right:396.10000000000002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法定代表人：王浩涛</w:t>
                      </w:r>
                    </w:p>
                  </w:txbxContent>
                </v:textbox>
                <w10:wrap type="topAndBottom" anchorx="page" anchory="margin"/>
              </v:shape>
            </w:pict>
          </mc:Fallback>
        </mc:AlternateContent>
      </w:r>
      <w:r>
        <mc:AlternateContent>
          <mc:Choice Requires="wps">
            <w:drawing>
              <wp:anchor distT="152400" distB="3175" distL="2235835" distR="2458085" simplePos="0" relativeHeight="125829388" behindDoc="0" locked="0" layoutInCell="1" allowOverlap="1">
                <wp:simplePos x="0" y="0"/>
                <wp:positionH relativeFrom="page">
                  <wp:posOffset>2826385</wp:posOffset>
                </wp:positionH>
                <wp:positionV relativeFrom="margin">
                  <wp:posOffset>2057400</wp:posOffset>
                </wp:positionV>
                <wp:extent cx="1505585" cy="146050"/>
                <wp:wrapTopAndBottom/>
                <wp:docPr id="32" name="Shape 3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主管会计工作负责人：楚长征</w:t>
                            </w:r>
                          </w:p>
                        </w:txbxContent>
                      </wps:txbx>
                      <wps:bodyPr wrap="none" lIns="0" tIns="0" rIns="0" bIns="0">
                        <a:noAutoFit/>
                      </wps:bodyPr>
                    </wps:wsp>
                  </a:graphicData>
                </a:graphic>
              </wp:anchor>
            </w:drawing>
          </mc:Choice>
          <mc:Fallback>
            <w:pict>
              <v:shape id="_x0000_s1058" type="#_x0000_t202" style="position:absolute;margin-left:222.55000000000001pt;margin-top:162.pt;width:118.55pt;height:11.5pt;z-index:-125829365;mso-wrap-distance-left:176.05000000000001pt;mso-wrap-distance-top:12.pt;mso-wrap-distance-right:193.55000000000001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主管会计工作负责人：楚长征</w:t>
                      </w:r>
                    </w:p>
                  </w:txbxContent>
                </v:textbox>
                <w10:wrap type="topAndBottom" anchorx="page" anchory="margin"/>
              </v:shape>
            </w:pict>
          </mc:Fallback>
        </mc:AlternateContent>
      </w:r>
      <w:r>
        <mc:AlternateContent>
          <mc:Choice Requires="wps">
            <w:drawing>
              <wp:anchor distT="152400" distB="0" distL="4801870" distR="114300" simplePos="0" relativeHeight="125829390" behindDoc="0" locked="0" layoutInCell="1" allowOverlap="1">
                <wp:simplePos x="0" y="0"/>
                <wp:positionH relativeFrom="page">
                  <wp:posOffset>5392420</wp:posOffset>
                </wp:positionH>
                <wp:positionV relativeFrom="margin">
                  <wp:posOffset>2057400</wp:posOffset>
                </wp:positionV>
                <wp:extent cx="1283335" cy="149225"/>
                <wp:wrapTopAndBottom/>
                <wp:docPr id="34" name="Shape 3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wps:txbx>
                      <wps:bodyPr wrap="none" lIns="0" tIns="0" rIns="0" bIns="0">
                        <a:noAutoFit/>
                      </wps:bodyPr>
                    </wps:wsp>
                  </a:graphicData>
                </a:graphic>
              </wp:anchor>
            </w:drawing>
          </mc:Choice>
          <mc:Fallback>
            <w:pict>
              <v:shape id="_x0000_s1060" type="#_x0000_t202" style="position:absolute;margin-left:424.60000000000002pt;margin-top:162.pt;width:101.05pt;height:11.75pt;z-index:-125829363;mso-wrap-distance-left:378.10000000000002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会计机构负责人：秦利红</w:t>
                      </w:r>
                    </w:p>
                  </w:txbxContent>
                </v:textbox>
                <w10:wrap type="topAndBottom" anchorx="page" anchory="margin"/>
              </v:shape>
            </w:pict>
          </mc:Fallback>
        </mc:AlternateContent>
      </w: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、母公司资产负债表</w:t>
      </w:r>
      <w:bookmarkEnd w:id="691"/>
      <w:bookmarkEnd w:id="692"/>
      <w:bookmarkEnd w:id="69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250,571,317.54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183,109,786.66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16,542,157.70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63,668,705.49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189,449,356.87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195,152,751.74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3,953,920.00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2,448,462.48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66,697,939.95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353,989,739.05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378,934,431.90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5,418,958.15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7,427,239.14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15,681,600.00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7,249,213.64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6,300,407.33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845,304,725.43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901,291,262.21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931,139.37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546,500,909.03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593,657,366.64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7,200,252.00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11,043,773.55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14,018,793.79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19,686,754.09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1,818,917.51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405,628.97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365,767.55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411,496.98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34,038,456.38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23,337,786.35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14,509,295.95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14,669,333.55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618,452,392.21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674,143,279.50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1,463,757,117.64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1,575,434,541.71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120,191,644.45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140,239,525.00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143,853,790.02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51,363,196.46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1,568,160.00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4,631,534.32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4,275,765.08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5,524,707.04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8,545,130.12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798,496.75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170,700.19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140,898,767.42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405,116,207.02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4,623,627.85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213,980.37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687,325,311.13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754,689,920.96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4,144,960.72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5,339,495.68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4,144,960.72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5,339,495.68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691,470,271.85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760,029,416.64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274,327,707.00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274,327,707.00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438,644,178.21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438,644,178.21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-19,885,078.98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-36,041,557.43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25,571,701.00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25,571,701.00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53,628,338.56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112,903,096.29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772,286,845.79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815,405,125.07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1,463,757,117.64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1,575,434,541.71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、合并利润表</w:t>
      </w:r>
      <w:bookmarkEnd w:id="695"/>
      <w:bookmarkEnd w:id="696"/>
      <w:bookmarkEnd w:id="6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1,234,958,706.70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1,247,847,109.57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1,234,958,706.70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1,247,847,109.57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1,183,911,911.32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1,185,438,316.17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974,317,287.57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962,316,426.26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6,329,332.51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7,609,321.48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52,477,552.20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72,306,691.55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57,405,987.19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76,295,882.27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53,466,067.34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50,318,593.18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39,915,684.51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16,591,401.43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24,011,416.23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22,850,201.31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2,634,316.31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1,702,260.07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13,213,747.57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12,140,810.48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9,160,169.93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8,956,080.63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5,422,985.70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-763,202.44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-4,059,801.39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-14,567,444.08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-6,955,191.67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-5,001,528.34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2,058,590.71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2,210,946.43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64,464,310.53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66,147,658.52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699,885.11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2,119,775.17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1,978,200.16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538,485.06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63,185,995.48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67,728,948.63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236,482.25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2,728,491.78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62,949,513.23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65,000,456.85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62,949,513.23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65,000,456.85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62,868,342.32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66,527,398.75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-1,526,941.90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13,733,007.68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-4,369,198.43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13,733,007.68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-4,369,198.43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13,733,007.68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-4,369,198.43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13,733,007.68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-4,369,198.43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76,682,520.91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60,631,258.42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76,601,350.00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62,158,200.32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-1,526,941.90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336" w:val="left"/>
          <w:tab w:pos="7378" w:val="left"/>
        </w:tabs>
        <w:bidi w:val="0"/>
        <w:spacing w:before="0" w:after="400" w:line="240" w:lineRule="auto"/>
        <w:ind w:left="0" w:right="0" w:firstLine="0"/>
        <w:jc w:val="left"/>
      </w:pPr>
      <w:r>
        <w:rPr>
          <w:color w:val="000000"/>
          <w:spacing w:val="0"/>
          <w:w w:val="100"/>
          <w:position w:val="0"/>
        </w:rPr>
        <w:t>法定代表人：王浩涛</w:t>
        <w:tab/>
        <w:t>主管会计工作负责人：楚长征</w:t>
        <w:tab/>
        <w:t>会计机构负责人：秦利红</w:t>
      </w:r>
    </w:p>
    <w:p>
      <w:pPr>
        <w:pStyle w:val="Style34"/>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、母公司利润表</w:t>
      </w:r>
      <w:bookmarkEnd w:id="699"/>
      <w:bookmarkEnd w:id="700"/>
      <w:bookmarkEnd w:id="7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358,279,855.31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397,276,322.01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297,655,949.07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323,802,932.23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999,588.21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606,144.71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9,870,268.35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9,880,291.80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24,094,834.36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31,651,674.13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19,570,369.39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14,039,188.67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14,065,198.20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10,948,402.85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9,822,011.94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13,672,991.42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3,385,970.10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2,487,242.64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5,949,959.77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5,565,540.88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-24,429,662.29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3,730,362.52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7,612,156.34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1,162,735.54</w:t>
            </w:r>
          </w:p>
        </w:tc>
      </w:tr>
      <w:tr>
        <w:trPr>
          <w:trHeight w:val="6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-44,938,522.70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-1,944,656.09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-580,131.30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2,060,061.90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1,893,376.49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-69,914,646.89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15,592,311.42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192,240.71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-69,975,427.76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15,406,973.99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-13,124,141.80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983,824.77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-56,851,285.96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14,423,149.22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9"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-56,851,285.96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14,423,149.22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4"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13,733,006.68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-4,369,198.43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13,733,006.68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-4,369,198.43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13,733,006.68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-4,369,198.43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-43,118,279.28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10,053,950.79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、合并现金流量表</w:t>
      </w:r>
      <w:bookmarkEnd w:id="703"/>
      <w:bookmarkEnd w:id="704"/>
      <w:bookmarkEnd w:id="7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939,357,978.55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1,166,916,620.92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47,484,951.46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60,461,534.29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30,805,959.03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17,354,394.56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1,017,648,889.04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1,244,732,549.77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683,598,134.45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894,731,586.69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177,742,054.04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180,670,585.27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22,126,776.06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53,686,855.96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86,472,052.37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73,886,470.95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969,939,016.92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1,202,975,498.87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47,709,872.12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41,757,050.90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54,029,160.00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3,486,328.77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4,008,641.79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5,843,507.11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61,524,130.56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54,001,283.09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14,990,403.45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41,074,986.39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16,375,100.00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1,711,757.26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45,243,604.01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59,161,843.65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16,280,526.55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-5,160,560.56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380,336,972.22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277,168,610.33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70,369,624.88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274,541,708.34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450,706,597.10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551,710,318.67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340,969,130.00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7,679,427.76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13,741,286.99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177,346,478.13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177,763,781.44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465,025,905.89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532,474,198.43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-14,319,308.79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19,236,120.24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-5,012,110.58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-842,191.60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44,658,979.30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54,990,418.98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174,833,997.60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119,843,578.62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219,492,976.90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174,833,997.60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、母公司现金流量表</w:t>
      </w:r>
      <w:bookmarkEnd w:id="707"/>
      <w:bookmarkEnd w:id="708"/>
      <w:bookmarkEnd w:id="71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283,961,566.81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271,532,417.21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15,682,645.78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11,089,391.06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481,806,053.03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673,531,928.06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781,450,265.62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956,153,736.33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263,538,472.03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467,600,562.96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33,845,711.73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23,041,351.93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291,698.73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791,235.43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409,527,973.08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346,599,639.78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707,203,855.57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838,032,790.10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74,246,410.05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118,120,946.23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53,568,160.00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3,486,328.77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3,911,181.79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5,548,007.11</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60,965,671.43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37,548,007.11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3,155,516.88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610,715.24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253,200.56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1,711,757.26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33,408,717.44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2,322,472.50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27,556,953.99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35,225,534.61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70,301,011.61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101,144,098.84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190,301,011.61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361,144,098.84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340,969,130.00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7,679,427.76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13,741,286.99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135,893,542.58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111,183,870.81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283,572,970.34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465,894,287.80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-93,271,958.73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-104,750,188.96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-1,723,864.57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-1,166,072.96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6,807,540.74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47,430,218.92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111,478,752.16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64,048,533.24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118,286,292.90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111,478,752.16</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、合并所有者权益变动表</w:t>
      </w:r>
      <w:bookmarkEnd w:id="711"/>
      <w:bookmarkEnd w:id="712"/>
      <w:bookmarkEnd w:id="71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411,47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616,34</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411,47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616,34</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7,128.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59,171</w:t>
            </w:r>
          </w:p>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,685.8</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76,601</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76,682</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62,868</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76,601</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76,682</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411,47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55,794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556,695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745.03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411,47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554,18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,809.75</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-4,225,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62,158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62,158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258.42</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411,47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8,059.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,068.17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8</w:t>
      </w:r>
      <w:bookmarkEnd w:id="717"/>
      <w:r>
        <w:rPr>
          <w:color w:val="000000"/>
          <w:spacing w:val="0"/>
          <w:w w:val="100"/>
          <w:position w:val="0"/>
        </w:rPr>
        <w:t>、母公司所有者权益变动表</w:t>
      </w:r>
      <w:bookmarkEnd w:id="715"/>
      <w:bookmarkEnd w:id="716"/>
      <w:bookmarkEnd w:id="71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7,707.0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7,707.0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3,096.2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-59,274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-43,118,27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-56,851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-43,118,27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划变动额结转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7,707.0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772,286,8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7,707.</w:t>
            </w:r>
          </w:p>
          <w:p>
            <w:pPr>
              <w:pStyle w:val="Style23"/>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438,644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67,178,40</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805,721,98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31,301,54</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-370,815.53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7,707.</w:t>
            </w:r>
          </w:p>
          <w:p>
            <w:pPr>
              <w:pStyle w:val="Style23"/>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438,644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98,479,94</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805,351,17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3"/>
              <w:keepNext w:val="0"/>
              <w:keepLines w:val="0"/>
              <w:widowControl w:val="0"/>
              <w:shd w:val="clear" w:color="auto" w:fill="auto"/>
              <w:bidi w:val="0"/>
              <w:spacing w:before="0" w:after="0" w:line="396"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14,423,14</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10,053,950.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14,423,14</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10,053,950.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438,644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815,405,12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r>
    </w:tbl>
    <w:p>
      <w:pPr>
        <w:pStyle w:val="Style27"/>
        <w:keepNext/>
        <w:keepLines/>
        <w:widowControl w:val="0"/>
        <w:shd w:val="clear" w:color="auto" w:fill="auto"/>
        <w:bidi w:val="0"/>
        <w:spacing w:before="0" w:after="24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三</w:t>
      </w:r>
      <w:bookmarkEnd w:id="721"/>
      <w:r>
        <w:rPr>
          <w:color w:val="000000"/>
          <w:spacing w:val="0"/>
          <w:w w:val="100"/>
          <w:position w:val="0"/>
          <w:sz w:val="24"/>
          <w:szCs w:val="24"/>
        </w:rPr>
        <w:t>、公司基本情况</w:t>
      </w:r>
      <w:bookmarkEnd w:id="719"/>
      <w:bookmarkEnd w:id="720"/>
      <w:bookmarkEnd w:id="722"/>
    </w:p>
    <w:p>
      <w:pPr>
        <w:pStyle w:val="Style31"/>
        <w:keepNext w:val="0"/>
        <w:keepLines w:val="0"/>
        <w:widowControl w:val="0"/>
        <w:shd w:val="clear" w:color="auto" w:fill="auto"/>
        <w:tabs>
          <w:tab w:pos="675" w:val="left"/>
        </w:tabs>
        <w:bidi w:val="0"/>
        <w:spacing w:before="0" w:after="0" w:line="312" w:lineRule="exact"/>
        <w:ind w:left="0" w:right="0" w:firstLine="360"/>
        <w:jc w:val="left"/>
      </w:pPr>
      <w:bookmarkStart w:id="723" w:name="bookmark723"/>
      <w:r>
        <w:rPr>
          <w:rFonts w:ascii="Times New Roman" w:eastAsia="Times New Roman" w:hAnsi="Times New Roman" w:cs="Times New Roman"/>
          <w:b/>
          <w:bCs/>
          <w:color w:val="000000"/>
          <w:spacing w:val="0"/>
          <w:w w:val="100"/>
          <w:position w:val="0"/>
          <w:sz w:val="18"/>
          <w:szCs w:val="18"/>
        </w:rPr>
        <w:t>1</w:t>
      </w:r>
      <w:bookmarkEnd w:id="723"/>
      <w:r>
        <w:rPr>
          <w:b/>
          <w:bCs/>
          <w:color w:val="000000"/>
          <w:spacing w:val="0"/>
          <w:w w:val="100"/>
          <w:position w:val="0"/>
        </w:rPr>
        <w:t>、</w:t>
        <w:tab/>
        <w:t>公司注册地、组织形式和总部地址</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茂硕电源科技股份有限公司（以下简称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）前身为深圳茂硕电源科技有限公司</w:t>
      </w:r>
      <w:r>
        <w:rPr>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月经深圳市工 商行政管理局核准，由深圳德旺投资发展有限公司一名法人和周莉等</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名自然人共同发起设立的股份有限公司。公司于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日在深圳证券交易所上市，现持有统一社会信用代码为</w:t>
      </w:r>
      <w:r>
        <w:rPr>
          <w:rFonts w:ascii="Times New Roman" w:eastAsia="Times New Roman" w:hAnsi="Times New Roman" w:cs="Times New Roman"/>
          <w:color w:val="000000"/>
          <w:spacing w:val="0"/>
          <w:w w:val="100"/>
          <w:position w:val="0"/>
          <w:sz w:val="18"/>
          <w:szCs w:val="18"/>
        </w:rPr>
        <w:t>91440300786559921G</w:t>
      </w:r>
      <w:r>
        <w:rPr>
          <w:color w:val="000000"/>
          <w:spacing w:val="0"/>
          <w:w w:val="100"/>
          <w:position w:val="0"/>
        </w:rPr>
        <w:t>的营业执照。</w:t>
      </w:r>
    </w:p>
    <w:p>
      <w:pPr>
        <w:pStyle w:val="Style31"/>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经过历年的派送红股、转增股本及增发新股，截止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74,327,707.00</w:t>
      </w:r>
      <w:r>
        <w:rPr>
          <w:color w:val="000000"/>
          <w:spacing w:val="0"/>
          <w:w w:val="100"/>
          <w:position w:val="0"/>
        </w:rPr>
        <w:t>股，注册 资本为</w:t>
      </w:r>
      <w:r>
        <w:rPr>
          <w:rFonts w:ascii="Times New Roman" w:eastAsia="Times New Roman" w:hAnsi="Times New Roman" w:cs="Times New Roman"/>
          <w:color w:val="000000"/>
          <w:spacing w:val="0"/>
          <w:w w:val="100"/>
          <w:position w:val="0"/>
          <w:sz w:val="18"/>
          <w:szCs w:val="18"/>
        </w:rPr>
        <w:t>274,327,707.00</w:t>
      </w:r>
      <w:r>
        <w:rPr>
          <w:color w:val="000000"/>
          <w:spacing w:val="0"/>
          <w:w w:val="100"/>
          <w:position w:val="0"/>
        </w:rPr>
        <w:t>元，注册地址：深圳市南山区松白路关外小白芒桑泰工业园，总部地址：深圳市南山区松白路关外小 白芒桑泰工业园，公司控股股东为济南产发融盛股权投资有限公司。</w:t>
      </w:r>
    </w:p>
    <w:p>
      <w:pPr>
        <w:pStyle w:val="Style31"/>
        <w:keepNext w:val="0"/>
        <w:keepLines w:val="0"/>
        <w:widowControl w:val="0"/>
        <w:shd w:val="clear" w:color="auto" w:fill="auto"/>
        <w:tabs>
          <w:tab w:pos="690" w:val="left"/>
        </w:tabs>
        <w:bidi w:val="0"/>
        <w:spacing w:before="0" w:after="0" w:line="315" w:lineRule="exact"/>
        <w:ind w:left="0" w:right="0" w:firstLine="360"/>
        <w:jc w:val="left"/>
      </w:pPr>
      <w:bookmarkStart w:id="724" w:name="bookmark724"/>
      <w:r>
        <w:rPr>
          <w:rFonts w:ascii="Times New Roman" w:eastAsia="Times New Roman" w:hAnsi="Times New Roman" w:cs="Times New Roman"/>
          <w:b/>
          <w:bCs/>
          <w:color w:val="000000"/>
          <w:spacing w:val="0"/>
          <w:w w:val="100"/>
          <w:position w:val="0"/>
          <w:sz w:val="18"/>
          <w:szCs w:val="18"/>
        </w:rPr>
        <w:t>2</w:t>
      </w:r>
      <w:bookmarkEnd w:id="724"/>
      <w:r>
        <w:rPr>
          <w:b/>
          <w:bCs/>
          <w:color w:val="000000"/>
          <w:spacing w:val="0"/>
          <w:w w:val="100"/>
          <w:position w:val="0"/>
        </w:rPr>
        <w:t>、</w:t>
        <w:tab/>
        <w:t>公司业务性质和主要经营活动</w:t>
      </w:r>
    </w:p>
    <w:p>
      <w:pPr>
        <w:pStyle w:val="Style31"/>
        <w:keepNext w:val="0"/>
        <w:keepLines w:val="0"/>
        <w:widowControl w:val="0"/>
        <w:shd w:val="clear" w:color="auto" w:fill="auto"/>
        <w:bidi w:val="0"/>
        <w:spacing w:before="0" w:after="0" w:line="315" w:lineRule="exact"/>
        <w:ind w:left="0" w:right="0" w:firstLine="360"/>
        <w:jc w:val="left"/>
      </w:pPr>
      <w:r>
        <w:rPr>
          <w:color w:val="000000"/>
          <w:spacing w:val="0"/>
          <w:w w:val="100"/>
          <w:position w:val="0"/>
        </w:rPr>
        <w:t>根据中国证监会发布的《上市公司行业分类指引》，本公司所从事的行业归属于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计算机、通信及其他电子设备制造业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120" w:line="315" w:lineRule="exact"/>
        <w:ind w:left="0" w:right="0" w:firstLine="360"/>
        <w:jc w:val="left"/>
      </w:pPr>
      <w:r>
        <w:rPr>
          <w:color w:val="000000"/>
          <w:spacing w:val="0"/>
          <w:w w:val="100"/>
          <w:position w:val="0"/>
        </w:rPr>
        <w:t>本公司经营范围：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智能驱动电源，太阳能光伏逆变器，</w:t>
      </w:r>
      <w:r>
        <w:rPr>
          <w:rFonts w:ascii="Times New Roman" w:eastAsia="Times New Roman" w:hAnsi="Times New Roman" w:cs="Times New Roman"/>
          <w:color w:val="000000"/>
          <w:spacing w:val="0"/>
          <w:w w:val="100"/>
          <w:position w:val="0"/>
          <w:sz w:val="18"/>
          <w:szCs w:val="18"/>
        </w:rPr>
        <w:t>DC/DC</w:t>
      </w:r>
      <w:r>
        <w:rPr>
          <w:color w:val="000000"/>
          <w:spacing w:val="0"/>
          <w:w w:val="100"/>
          <w:position w:val="0"/>
        </w:rPr>
        <w:t>高效、高密度模块电源，医疗电源，通信电源，开关 电源，高频变压器的研发和销售；电子元器件，五金塑胶配件的销售以及提供新能源和再生能源的储能系统解决方案（以上 不含限制项目）；经营进出口业务（法律、行政法规、国务院决定禁止的项目除外，限制的项目须取得许可后方可经营）； 房屋租赁；信息技术服务（不含限制项目）；企业管理咨询（不含限制项目）。（以上项目法律、行政法规、国务院决定禁 止的项目除外，限制的项目须取得许可后方可经营），许可经营项目是：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智能驱动电源，太阳能光伏逆变器，</w:t>
      </w:r>
      <w:r>
        <w:rPr>
          <w:rFonts w:ascii="Times New Roman" w:eastAsia="Times New Roman" w:hAnsi="Times New Roman" w:cs="Times New Roman"/>
          <w:color w:val="000000"/>
          <w:spacing w:val="0"/>
          <w:w w:val="100"/>
          <w:position w:val="0"/>
          <w:sz w:val="18"/>
          <w:szCs w:val="18"/>
        </w:rPr>
        <w:t xml:space="preserve">DC/DC </w:t>
      </w:r>
      <w:r>
        <w:rPr>
          <w:color w:val="000000"/>
          <w:spacing w:val="0"/>
          <w:w w:val="100"/>
          <w:position w:val="0"/>
        </w:rPr>
        <w:t>高效、高密度模块电源，医疗电源，通信电源，开关电源，高频变压器的生产；普通货运。</w:t>
      </w:r>
    </w:p>
    <w:p>
      <w:pPr>
        <w:pStyle w:val="Style31"/>
        <w:keepNext w:val="0"/>
        <w:keepLines w:val="0"/>
        <w:widowControl w:val="0"/>
        <w:shd w:val="clear" w:color="auto" w:fill="auto"/>
        <w:tabs>
          <w:tab w:pos="690" w:val="left"/>
        </w:tabs>
        <w:bidi w:val="0"/>
        <w:spacing w:before="0" w:after="0" w:line="315" w:lineRule="exact"/>
        <w:ind w:left="0" w:right="0" w:firstLine="360"/>
        <w:jc w:val="left"/>
      </w:pPr>
      <w:bookmarkStart w:id="725" w:name="bookmark725"/>
      <w:r>
        <w:rPr>
          <w:rFonts w:ascii="Times New Roman" w:eastAsia="Times New Roman" w:hAnsi="Times New Roman" w:cs="Times New Roman"/>
          <w:b/>
          <w:bCs/>
          <w:color w:val="000000"/>
          <w:spacing w:val="0"/>
          <w:w w:val="100"/>
          <w:position w:val="0"/>
          <w:sz w:val="18"/>
          <w:szCs w:val="18"/>
        </w:rPr>
        <w:t>3</w:t>
      </w:r>
      <w:bookmarkEnd w:id="725"/>
      <w:r>
        <w:rPr>
          <w:b/>
          <w:bCs/>
          <w:color w:val="000000"/>
          <w:spacing w:val="0"/>
          <w:w w:val="100"/>
          <w:position w:val="0"/>
        </w:rPr>
        <w:t>、</w:t>
        <w:tab/>
        <w:t>财务报表的批准报出</w:t>
      </w:r>
    </w:p>
    <w:p>
      <w:pPr>
        <w:pStyle w:val="Style31"/>
        <w:keepNext w:val="0"/>
        <w:keepLines w:val="0"/>
        <w:widowControl w:val="0"/>
        <w:shd w:val="clear" w:color="auto" w:fill="auto"/>
        <w:bidi w:val="0"/>
        <w:spacing w:before="0" w:after="240" w:line="315" w:lineRule="exact"/>
        <w:ind w:left="0" w:right="0" w:firstLine="3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日批准报出。</w:t>
      </w:r>
    </w:p>
    <w:p>
      <w:pPr>
        <w:pStyle w:val="Style29"/>
        <w:keepNext w:val="0"/>
        <w:keepLines w:val="0"/>
        <w:widowControl w:val="0"/>
        <w:shd w:val="clear" w:color="auto" w:fill="auto"/>
        <w:tabs>
          <w:tab w:pos="677" w:val="lef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合并财务报表范围</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户，具体包括：</w:t>
      </w:r>
    </w:p>
    <w:tbl>
      <w:tblPr>
        <w:tblOverlap w:val="never"/>
        <w:jc w:val="center"/>
        <w:tblLayout w:type="fixed"/>
      </w:tblPr>
      <w:tblGrid>
        <w:gridCol w:w="3691"/>
        <w:gridCol w:w="1469"/>
        <w:gridCol w:w="1502"/>
        <w:gridCol w:w="835"/>
        <w:gridCol w:w="1171"/>
        <w:gridCol w:w="1008"/>
      </w:tblGrid>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子公司类型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表决权比例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深圳茂硕新能源技术研究院有限公司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茂硕研究院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茂硕电子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海宁茂硕诺华能源有限公司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海宁茂硕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70.60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茂硕电气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79.55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瑞盈茂硕融资租赁（深圳）有限公司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瑞盈茂硕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加码技术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茂硕能源科技（香港）国际有限公司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香港茂硕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茂硕新能源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茂硕科技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香港加码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河北茂硕燚晶光伏电力开发有限公司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茂硕燚晶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新余茂硕新能源科技有限公司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新余茂硕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萍乡茂硕新能源科技有限公司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萍乡茂硕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灵武市茂硕新能源科技有限公司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灵武茂硕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江苏茂硕新能源发展有限公司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江苏茂硕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宁夏茂硕富寅能源科技有限公司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宁夏茂硕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w:t>
            </w:r>
          </w:p>
        </w:tc>
      </w:tr>
    </w:tbl>
    <w:p>
      <w:pPr>
        <w:pStyle w:val="Style29"/>
        <w:keepNext w:val="0"/>
        <w:keepLines w:val="0"/>
        <w:widowControl w:val="0"/>
        <w:shd w:val="clear" w:color="auto" w:fill="auto"/>
        <w:bidi w:val="0"/>
        <w:spacing w:before="0" w:after="0" w:line="240" w:lineRule="auto"/>
        <w:ind w:left="360" w:right="0" w:firstLine="0"/>
        <w:jc w:val="left"/>
      </w:pPr>
      <w:r>
        <w:rPr>
          <w:color w:val="000000"/>
          <w:spacing w:val="0"/>
          <w:w w:val="100"/>
          <w:position w:val="0"/>
        </w:rPr>
        <w:t>子公司的持股比例不同于表决权比例的原因、以及持有半数或以下表决权但仍控制被投资单位的依据说明详见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本报告</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第十二节、八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680" w:line="240" w:lineRule="auto"/>
        <w:ind w:left="0" w:right="0" w:firstLine="0"/>
        <w:jc w:val="both"/>
      </w:pPr>
      <w:r>
        <w:rPr>
          <w:color w:val="000000"/>
          <w:spacing w:val="0"/>
          <w:w w:val="100"/>
          <w:position w:val="0"/>
        </w:rPr>
        <w:t>本期纳入合并财务报表范围的主体与上期相比未发生变化。</w:t>
      </w:r>
    </w:p>
    <w:p>
      <w:pPr>
        <w:pStyle w:val="Style27"/>
        <w:keepNext/>
        <w:keepLines/>
        <w:widowControl w:val="0"/>
        <w:shd w:val="clear" w:color="auto" w:fill="auto"/>
        <w:bidi w:val="0"/>
        <w:spacing w:before="0" w:line="240" w:lineRule="auto"/>
        <w:ind w:left="0" w:right="0" w:firstLine="0"/>
        <w:jc w:val="both"/>
      </w:pPr>
      <w:bookmarkStart w:id="726" w:name="bookmark726"/>
      <w:bookmarkStart w:id="727" w:name="bookmark727"/>
      <w:bookmarkStart w:id="728" w:name="bookmark728"/>
      <w:bookmarkStart w:id="729" w:name="bookmark729"/>
      <w:r>
        <w:rPr>
          <w:color w:val="000000"/>
          <w:spacing w:val="0"/>
          <w:w w:val="100"/>
          <w:position w:val="0"/>
          <w:sz w:val="24"/>
          <w:szCs w:val="24"/>
        </w:rPr>
        <w:t>四</w:t>
      </w:r>
      <w:bookmarkEnd w:id="728"/>
      <w:r>
        <w:rPr>
          <w:color w:val="000000"/>
          <w:spacing w:val="0"/>
          <w:w w:val="100"/>
          <w:position w:val="0"/>
          <w:sz w:val="24"/>
          <w:szCs w:val="24"/>
        </w:rPr>
        <w:t>、财务报表的编制基础</w:t>
      </w:r>
      <w:bookmarkEnd w:id="726"/>
      <w:bookmarkEnd w:id="727"/>
      <w:bookmarkEnd w:id="729"/>
    </w:p>
    <w:p>
      <w:pPr>
        <w:pStyle w:val="Style34"/>
        <w:keepNext/>
        <w:keepLines/>
        <w:widowControl w:val="0"/>
        <w:shd w:val="clear" w:color="auto" w:fill="auto"/>
        <w:bidi w:val="0"/>
        <w:spacing w:before="0" w:after="260" w:line="240" w:lineRule="auto"/>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、编制基础</w:t>
      </w:r>
      <w:bookmarkEnd w:id="730"/>
      <w:bookmarkEnd w:id="731"/>
      <w:bookmarkEnd w:id="733"/>
    </w:p>
    <w:p>
      <w:pPr>
        <w:pStyle w:val="Style31"/>
        <w:keepNext w:val="0"/>
        <w:keepLines w:val="0"/>
        <w:widowControl w:val="0"/>
        <w:shd w:val="clear" w:color="auto" w:fill="auto"/>
        <w:bidi w:val="0"/>
        <w:spacing w:before="0" w:after="680" w:line="314"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 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年修订）的规定，编制 财务报表。</w:t>
      </w:r>
    </w:p>
    <w:p>
      <w:pPr>
        <w:pStyle w:val="Style34"/>
        <w:keepNext/>
        <w:keepLines/>
        <w:widowControl w:val="0"/>
        <w:shd w:val="clear" w:color="auto" w:fill="auto"/>
        <w:bidi w:val="0"/>
        <w:spacing w:before="0" w:after="260" w:line="240" w:lineRule="auto"/>
        <w:ind w:left="0" w:right="0" w:firstLine="0"/>
        <w:jc w:val="both"/>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、持续经营</w:t>
      </w:r>
      <w:bookmarkEnd w:id="734"/>
      <w:bookmarkEnd w:id="735"/>
      <w:bookmarkEnd w:id="737"/>
    </w:p>
    <w:p>
      <w:pPr>
        <w:pStyle w:val="Style31"/>
        <w:keepNext w:val="0"/>
        <w:keepLines w:val="0"/>
        <w:widowControl w:val="0"/>
        <w:shd w:val="clear" w:color="auto" w:fill="auto"/>
        <w:bidi w:val="0"/>
        <w:spacing w:before="0" w:after="680" w:line="326" w:lineRule="exact"/>
        <w:ind w:left="0" w:right="0" w:firstLine="2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7"/>
        <w:keepNext/>
        <w:keepLines/>
        <w:widowControl w:val="0"/>
        <w:shd w:val="clear" w:color="auto" w:fill="auto"/>
        <w:bidi w:val="0"/>
        <w:spacing w:before="0" w:after="26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五</w:t>
      </w:r>
      <w:bookmarkEnd w:id="740"/>
      <w:r>
        <w:rPr>
          <w:color w:val="000000"/>
          <w:spacing w:val="0"/>
          <w:w w:val="100"/>
          <w:position w:val="0"/>
          <w:sz w:val="24"/>
          <w:szCs w:val="24"/>
        </w:rPr>
        <w:t>、重要会计政策及会计估计</w:t>
      </w:r>
      <w:bookmarkEnd w:id="738"/>
      <w:bookmarkEnd w:id="739"/>
      <w:bookmarkEnd w:id="741"/>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本公司及各子公司从事计算机、通信及其他电子设备制造业经营，太阳能光伏发电系统的设计、开发、投资、建设和 经营。本公司及各子公司根据实际生产经营特点，依据相关企业会计准则的规定，对收入确认、建造合同完工百分比确定、 研究开发支出等交易和事项制定了若干项具体会计政策和会计估计，详见本报告第十二节、五、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w:t>
      </w:r>
    </w:p>
    <w:p>
      <w:pPr>
        <w:pStyle w:val="Style34"/>
        <w:keepNext/>
        <w:keepLines/>
        <w:widowControl w:val="0"/>
        <w:shd w:val="clear" w:color="auto" w:fill="auto"/>
        <w:bidi w:val="0"/>
        <w:spacing w:before="0" w:after="2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、遵循企业会计准则的声明</w:t>
      </w:r>
      <w:bookmarkEnd w:id="742"/>
      <w:bookmarkEnd w:id="743"/>
      <w:bookmarkEnd w:id="745"/>
    </w:p>
    <w:p>
      <w:pPr>
        <w:pStyle w:val="Style31"/>
        <w:keepNext w:val="0"/>
        <w:keepLines w:val="0"/>
        <w:widowControl w:val="0"/>
        <w:shd w:val="clear" w:color="auto" w:fill="auto"/>
        <w:bidi w:val="0"/>
        <w:spacing w:before="0" w:after="680" w:line="312"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34"/>
        <w:keepNext/>
        <w:keepLines/>
        <w:widowControl w:val="0"/>
        <w:shd w:val="clear" w:color="auto" w:fill="auto"/>
        <w:bidi w:val="0"/>
        <w:spacing w:before="0" w:line="240" w:lineRule="auto"/>
        <w:ind w:left="0" w:right="0" w:firstLine="0"/>
        <w:jc w:val="both"/>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、会计期间</w:t>
      </w:r>
      <w:bookmarkEnd w:id="746"/>
      <w:bookmarkEnd w:id="747"/>
      <w:bookmarkEnd w:id="749"/>
    </w:p>
    <w:p>
      <w:pPr>
        <w:pStyle w:val="Style31"/>
        <w:keepNext w:val="0"/>
        <w:keepLines w:val="0"/>
        <w:widowControl w:val="0"/>
        <w:shd w:val="clear" w:color="auto" w:fill="auto"/>
        <w:bidi w:val="0"/>
        <w:spacing w:before="0" w:after="680" w:line="240" w:lineRule="auto"/>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4"/>
        <w:keepNext/>
        <w:keepLines/>
        <w:widowControl w:val="0"/>
        <w:shd w:val="clear" w:color="auto" w:fill="auto"/>
        <w:bidi w:val="0"/>
        <w:spacing w:before="0" w:after="26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color w:val="000000"/>
          <w:spacing w:val="0"/>
          <w:w w:val="100"/>
          <w:position w:val="0"/>
        </w:rPr>
        <w:t>、营业周期</w:t>
      </w:r>
      <w:bookmarkEnd w:id="750"/>
      <w:bookmarkEnd w:id="751"/>
      <w:bookmarkEnd w:id="753"/>
    </w:p>
    <w:p>
      <w:pPr>
        <w:pStyle w:val="Style31"/>
        <w:keepNext w:val="0"/>
        <w:keepLines w:val="0"/>
        <w:widowControl w:val="0"/>
        <w:shd w:val="clear" w:color="auto" w:fill="auto"/>
        <w:bidi w:val="0"/>
        <w:spacing w:before="0" w:after="360" w:line="326" w:lineRule="exact"/>
        <w:ind w:left="160" w:right="0" w:firstLine="36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4"/>
        <w:keepNext/>
        <w:keepLines/>
        <w:widowControl w:val="0"/>
        <w:shd w:val="clear" w:color="auto" w:fill="auto"/>
        <w:bidi w:val="0"/>
        <w:spacing w:before="0" w:after="2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、记账本位币</w:t>
      </w:r>
      <w:bookmarkEnd w:id="754"/>
      <w:bookmarkEnd w:id="755"/>
      <w:bookmarkEnd w:id="757"/>
    </w:p>
    <w:p>
      <w:pPr>
        <w:pStyle w:val="Style31"/>
        <w:keepNext w:val="0"/>
        <w:keepLines w:val="0"/>
        <w:widowControl w:val="0"/>
        <w:shd w:val="clear" w:color="auto" w:fill="auto"/>
        <w:bidi w:val="0"/>
        <w:spacing w:before="0" w:after="680" w:line="312" w:lineRule="exact"/>
        <w:ind w:left="0" w:right="0" w:firstLine="360"/>
        <w:jc w:val="both"/>
      </w:pPr>
      <w:r>
        <w:rPr>
          <w:color w:val="000000"/>
          <w:spacing w:val="0"/>
          <w:w w:val="100"/>
          <w:position w:val="0"/>
        </w:rPr>
        <w:t>采用人民币为记账本位币。境外子公司以其经营所处的主要经济环境中的货币为记账本位币，编制财务报表时折算为人 民币。</w:t>
      </w:r>
    </w:p>
    <w:p>
      <w:pPr>
        <w:pStyle w:val="Style34"/>
        <w:keepNext/>
        <w:keepLines/>
        <w:widowControl w:val="0"/>
        <w:shd w:val="clear" w:color="auto" w:fill="auto"/>
        <w:bidi w:val="0"/>
        <w:spacing w:before="0" w:after="2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、同一控制下和非同一控制下企业合并的会计处理方法</w:t>
      </w:r>
      <w:bookmarkEnd w:id="758"/>
      <w:bookmarkEnd w:id="759"/>
      <w:bookmarkEnd w:id="761"/>
    </w:p>
    <w:p>
      <w:pPr>
        <w:pStyle w:val="Style31"/>
        <w:keepNext w:val="0"/>
        <w:keepLines w:val="0"/>
        <w:widowControl w:val="0"/>
        <w:numPr>
          <w:ilvl w:val="0"/>
          <w:numId w:val="27"/>
        </w:numPr>
        <w:shd w:val="clear" w:color="auto" w:fill="auto"/>
        <w:tabs>
          <w:tab w:pos="736" w:val="left"/>
        </w:tabs>
        <w:bidi w:val="0"/>
        <w:spacing w:before="0" w:after="0" w:line="314" w:lineRule="exact"/>
        <w:ind w:left="260" w:right="0" w:firstLine="100"/>
        <w:jc w:val="both"/>
      </w:pPr>
      <w:bookmarkStart w:id="762" w:name="bookmark762"/>
      <w:bookmarkEnd w:id="762"/>
      <w:r>
        <w:rPr>
          <w:b/>
          <w:bCs/>
          <w:color w:val="000000"/>
          <w:spacing w:val="0"/>
          <w:w w:val="100"/>
          <w:position w:val="0"/>
        </w:rPr>
        <w:t>分步实现企业合并过程中的各项交易的条款、条件以及经济影响符合以下一种或多种情况，将多次交易事项作为一 揽子交易进行会计处理</w:t>
      </w:r>
    </w:p>
    <w:p>
      <w:pPr>
        <w:pStyle w:val="Style31"/>
        <w:keepNext w:val="0"/>
        <w:keepLines w:val="0"/>
        <w:widowControl w:val="0"/>
        <w:numPr>
          <w:ilvl w:val="0"/>
          <w:numId w:val="29"/>
        </w:numPr>
        <w:shd w:val="clear" w:color="auto" w:fill="auto"/>
        <w:tabs>
          <w:tab w:pos="696" w:val="left"/>
        </w:tabs>
        <w:bidi w:val="0"/>
        <w:spacing w:before="0" w:after="0" w:line="314" w:lineRule="exact"/>
        <w:ind w:left="0" w:right="0" w:firstLine="340"/>
        <w:jc w:val="both"/>
      </w:pPr>
      <w:bookmarkStart w:id="763" w:name="bookmark763"/>
      <w:bookmarkEnd w:id="763"/>
      <w:r>
        <w:rPr>
          <w:color w:val="000000"/>
          <w:spacing w:val="0"/>
          <w:w w:val="100"/>
          <w:position w:val="0"/>
        </w:rPr>
        <w:t>这些交易是同时或者在考虑了彼此影响的情况下订立的；</w:t>
      </w:r>
    </w:p>
    <w:p>
      <w:pPr>
        <w:pStyle w:val="Style31"/>
        <w:keepNext w:val="0"/>
        <w:keepLines w:val="0"/>
        <w:widowControl w:val="0"/>
        <w:numPr>
          <w:ilvl w:val="0"/>
          <w:numId w:val="29"/>
        </w:numPr>
        <w:shd w:val="clear" w:color="auto" w:fill="auto"/>
        <w:tabs>
          <w:tab w:pos="696" w:val="left"/>
        </w:tabs>
        <w:bidi w:val="0"/>
        <w:spacing w:before="0" w:after="0" w:line="314" w:lineRule="exact"/>
        <w:ind w:left="0" w:right="0" w:firstLine="340"/>
        <w:jc w:val="both"/>
      </w:pPr>
      <w:bookmarkStart w:id="764" w:name="bookmark764"/>
      <w:bookmarkEnd w:id="764"/>
      <w:r>
        <w:rPr>
          <w:color w:val="000000"/>
          <w:spacing w:val="0"/>
          <w:w w:val="100"/>
          <w:position w:val="0"/>
        </w:rPr>
        <w:t>这些交易整体才能达成一项完整的商业结果；</w:t>
      </w:r>
    </w:p>
    <w:p>
      <w:pPr>
        <w:pStyle w:val="Style31"/>
        <w:keepNext w:val="0"/>
        <w:keepLines w:val="0"/>
        <w:widowControl w:val="0"/>
        <w:numPr>
          <w:ilvl w:val="0"/>
          <w:numId w:val="29"/>
        </w:numPr>
        <w:shd w:val="clear" w:color="auto" w:fill="auto"/>
        <w:tabs>
          <w:tab w:pos="696" w:val="left"/>
        </w:tabs>
        <w:bidi w:val="0"/>
        <w:spacing w:before="0" w:after="0" w:line="314" w:lineRule="exact"/>
        <w:ind w:left="0" w:right="0" w:firstLine="340"/>
        <w:jc w:val="both"/>
      </w:pPr>
      <w:bookmarkStart w:id="765" w:name="bookmark765"/>
      <w:bookmarkEnd w:id="765"/>
      <w:r>
        <w:rPr>
          <w:color w:val="000000"/>
          <w:spacing w:val="0"/>
          <w:w w:val="100"/>
          <w:position w:val="0"/>
        </w:rPr>
        <w:t>一项交易的发生取决于其他至少一项交易的发生；</w:t>
      </w:r>
    </w:p>
    <w:p>
      <w:pPr>
        <w:pStyle w:val="Style31"/>
        <w:keepNext w:val="0"/>
        <w:keepLines w:val="0"/>
        <w:widowControl w:val="0"/>
        <w:numPr>
          <w:ilvl w:val="0"/>
          <w:numId w:val="29"/>
        </w:numPr>
        <w:shd w:val="clear" w:color="auto" w:fill="auto"/>
        <w:tabs>
          <w:tab w:pos="696" w:val="left"/>
        </w:tabs>
        <w:bidi w:val="0"/>
        <w:spacing w:before="0" w:after="100" w:line="314" w:lineRule="exact"/>
        <w:ind w:left="0" w:right="0" w:firstLine="340"/>
        <w:jc w:val="both"/>
      </w:pPr>
      <w:bookmarkStart w:id="766" w:name="bookmark766"/>
      <w:bookmarkEnd w:id="766"/>
      <w:r>
        <w:rPr>
          <w:color w:val="000000"/>
          <w:spacing w:val="0"/>
          <w:w w:val="100"/>
          <w:position w:val="0"/>
        </w:rPr>
        <w:t>一项交易单独看是不经济的，但是和其他交易一并考虑时是经济的。</w:t>
      </w:r>
    </w:p>
    <w:p>
      <w:pPr>
        <w:pStyle w:val="Style31"/>
        <w:keepNext w:val="0"/>
        <w:keepLines w:val="0"/>
        <w:widowControl w:val="0"/>
        <w:numPr>
          <w:ilvl w:val="0"/>
          <w:numId w:val="27"/>
        </w:numPr>
        <w:shd w:val="clear" w:color="auto" w:fill="auto"/>
        <w:tabs>
          <w:tab w:pos="720" w:val="left"/>
        </w:tabs>
        <w:bidi w:val="0"/>
        <w:spacing w:before="0" w:after="0" w:line="360" w:lineRule="auto"/>
        <w:ind w:left="0" w:right="0" w:firstLine="340"/>
        <w:jc w:val="both"/>
      </w:pPr>
      <w:bookmarkStart w:id="767" w:name="bookmark767"/>
      <w:bookmarkEnd w:id="767"/>
      <w:r>
        <w:rPr>
          <w:b/>
          <w:bCs/>
          <w:color w:val="000000"/>
          <w:spacing w:val="0"/>
          <w:w w:val="100"/>
          <w:position w:val="0"/>
        </w:rPr>
        <w:t>同一控制下的企业合并</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31"/>
        <w:keepNext w:val="0"/>
        <w:keepLines w:val="0"/>
        <w:widowControl w:val="0"/>
        <w:numPr>
          <w:ilvl w:val="0"/>
          <w:numId w:val="27"/>
        </w:numPr>
        <w:shd w:val="clear" w:color="auto" w:fill="auto"/>
        <w:tabs>
          <w:tab w:pos="720" w:val="left"/>
        </w:tabs>
        <w:bidi w:val="0"/>
        <w:spacing w:before="0" w:after="0" w:line="360" w:lineRule="auto"/>
        <w:ind w:left="0" w:right="0" w:firstLine="340"/>
        <w:jc w:val="left"/>
      </w:pPr>
      <w:bookmarkStart w:id="768" w:name="bookmark768"/>
      <w:bookmarkEnd w:id="768"/>
      <w:r>
        <w:rPr>
          <w:b/>
          <w:bCs/>
          <w:color w:val="000000"/>
          <w:spacing w:val="0"/>
          <w:w w:val="100"/>
          <w:position w:val="0"/>
        </w:rPr>
        <w:t>非同一控制下的企业合并</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31"/>
        <w:keepNext w:val="0"/>
        <w:keepLines w:val="0"/>
        <w:widowControl w:val="0"/>
        <w:numPr>
          <w:ilvl w:val="0"/>
          <w:numId w:val="31"/>
        </w:numPr>
        <w:shd w:val="clear" w:color="auto" w:fill="auto"/>
        <w:tabs>
          <w:tab w:pos="716" w:val="left"/>
        </w:tabs>
        <w:bidi w:val="0"/>
        <w:spacing w:before="0" w:after="0" w:line="314" w:lineRule="exact"/>
        <w:ind w:left="0" w:right="0" w:firstLine="360"/>
        <w:jc w:val="both"/>
      </w:pPr>
      <w:bookmarkStart w:id="769" w:name="bookmark769"/>
      <w:bookmarkEnd w:id="769"/>
      <w:r>
        <w:rPr>
          <w:color w:val="000000"/>
          <w:spacing w:val="0"/>
          <w:w w:val="100"/>
          <w:position w:val="0"/>
        </w:rPr>
        <w:t>企业合并合同或协议已获本公司内部权力机构通过。</w:t>
      </w:r>
    </w:p>
    <w:p>
      <w:pPr>
        <w:pStyle w:val="Style31"/>
        <w:keepNext w:val="0"/>
        <w:keepLines w:val="0"/>
        <w:widowControl w:val="0"/>
        <w:numPr>
          <w:ilvl w:val="0"/>
          <w:numId w:val="31"/>
        </w:numPr>
        <w:shd w:val="clear" w:color="auto" w:fill="auto"/>
        <w:tabs>
          <w:tab w:pos="716" w:val="left"/>
        </w:tabs>
        <w:bidi w:val="0"/>
        <w:spacing w:before="0" w:after="0" w:line="314" w:lineRule="exact"/>
        <w:ind w:left="0" w:right="0" w:firstLine="360"/>
        <w:jc w:val="both"/>
      </w:pPr>
      <w:bookmarkStart w:id="770" w:name="bookmark770"/>
      <w:bookmarkEnd w:id="770"/>
      <w:r>
        <w:rPr>
          <w:color w:val="000000"/>
          <w:spacing w:val="0"/>
          <w:w w:val="100"/>
          <w:position w:val="0"/>
        </w:rPr>
        <w:t>企业合并事项需要经过国家有关主管部门审批的，已获得批准。</w:t>
      </w:r>
    </w:p>
    <w:p>
      <w:pPr>
        <w:pStyle w:val="Style31"/>
        <w:keepNext w:val="0"/>
        <w:keepLines w:val="0"/>
        <w:widowControl w:val="0"/>
        <w:numPr>
          <w:ilvl w:val="0"/>
          <w:numId w:val="31"/>
        </w:numPr>
        <w:shd w:val="clear" w:color="auto" w:fill="auto"/>
        <w:tabs>
          <w:tab w:pos="716" w:val="left"/>
        </w:tabs>
        <w:bidi w:val="0"/>
        <w:spacing w:before="0" w:after="0" w:line="314" w:lineRule="exact"/>
        <w:ind w:left="0" w:right="0" w:firstLine="360"/>
        <w:jc w:val="both"/>
      </w:pPr>
      <w:bookmarkStart w:id="771" w:name="bookmark771"/>
      <w:bookmarkEnd w:id="771"/>
      <w:r>
        <w:rPr>
          <w:color w:val="000000"/>
          <w:spacing w:val="0"/>
          <w:w w:val="100"/>
          <w:position w:val="0"/>
        </w:rPr>
        <w:t>已办理了必要的财产权转移手续。</w:t>
      </w:r>
    </w:p>
    <w:p>
      <w:pPr>
        <w:pStyle w:val="Style31"/>
        <w:keepNext w:val="0"/>
        <w:keepLines w:val="0"/>
        <w:widowControl w:val="0"/>
        <w:numPr>
          <w:ilvl w:val="0"/>
          <w:numId w:val="31"/>
        </w:numPr>
        <w:shd w:val="clear" w:color="auto" w:fill="auto"/>
        <w:tabs>
          <w:tab w:pos="716" w:val="left"/>
        </w:tabs>
        <w:bidi w:val="0"/>
        <w:spacing w:before="0" w:after="100" w:line="314" w:lineRule="exact"/>
        <w:ind w:left="0" w:right="0" w:firstLine="360"/>
        <w:jc w:val="both"/>
      </w:pPr>
      <w:bookmarkStart w:id="772" w:name="bookmark772"/>
      <w:bookmarkEnd w:id="772"/>
      <w:r>
        <w:rPr>
          <w:color w:val="000000"/>
          <w:spacing w:val="0"/>
          <w:w w:val="100"/>
          <w:position w:val="0"/>
        </w:rPr>
        <w:t>本公司已支付了合并价款的大部分，并且有能力、有计划支付剩余款项。</w:t>
      </w:r>
    </w:p>
    <w:p>
      <w:pPr>
        <w:pStyle w:val="Style31"/>
        <w:keepNext w:val="0"/>
        <w:keepLines w:val="0"/>
        <w:widowControl w:val="0"/>
        <w:numPr>
          <w:ilvl w:val="0"/>
          <w:numId w:val="31"/>
        </w:numPr>
        <w:shd w:val="clear" w:color="auto" w:fill="auto"/>
        <w:tabs>
          <w:tab w:pos="716" w:val="left"/>
        </w:tabs>
        <w:bidi w:val="0"/>
        <w:spacing w:before="0" w:after="0" w:line="240" w:lineRule="auto"/>
        <w:ind w:left="0" w:right="0" w:firstLine="360"/>
        <w:jc w:val="both"/>
      </w:pPr>
      <w:bookmarkStart w:id="773" w:name="bookmark773"/>
      <w:bookmarkEnd w:id="773"/>
      <w:r>
        <w:rPr>
          <w:color w:val="000000"/>
          <w:spacing w:val="0"/>
          <w:w w:val="100"/>
          <w:position w:val="0"/>
        </w:rPr>
        <w:t>本公司实际上已经控制了被购买方的财务和经营政策，并享有相应的利益、承担相应的风险。</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 xml:space="preserve">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w:t>
      </w:r>
      <w:r>
        <w:rPr>
          <w:color w:val="000000"/>
          <w:spacing w:val="0"/>
          <w:w w:val="100"/>
          <w:position w:val="0"/>
        </w:rPr>
        <w:t>日当期的投资收益。</w:t>
      </w:r>
    </w:p>
    <w:p>
      <w:pPr>
        <w:pStyle w:val="Style31"/>
        <w:keepNext w:val="0"/>
        <w:keepLines w:val="0"/>
        <w:widowControl w:val="0"/>
        <w:numPr>
          <w:ilvl w:val="0"/>
          <w:numId w:val="27"/>
        </w:numPr>
        <w:shd w:val="clear" w:color="auto" w:fill="auto"/>
        <w:bidi w:val="0"/>
        <w:spacing w:before="0" w:after="0" w:line="317" w:lineRule="exact"/>
        <w:ind w:left="0" w:right="0" w:firstLine="340"/>
        <w:jc w:val="left"/>
      </w:pPr>
      <w:bookmarkStart w:id="774" w:name="bookmark774"/>
      <w:bookmarkEnd w:id="774"/>
      <w:r>
        <w:rPr>
          <w:b/>
          <w:bCs/>
          <w:color w:val="000000"/>
          <w:spacing w:val="0"/>
          <w:w w:val="100"/>
          <w:position w:val="0"/>
        </w:rPr>
        <w:t>为合并发生的相关费用</w:t>
      </w:r>
    </w:p>
    <w:p>
      <w:pPr>
        <w:pStyle w:val="Style31"/>
        <w:keepNext w:val="0"/>
        <w:keepLines w:val="0"/>
        <w:widowControl w:val="0"/>
        <w:shd w:val="clear" w:color="auto" w:fill="auto"/>
        <w:bidi w:val="0"/>
        <w:spacing w:before="0" w:after="680" w:line="317"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34"/>
        <w:keepNext/>
        <w:keepLines/>
        <w:widowControl w:val="0"/>
        <w:shd w:val="clear" w:color="auto" w:fill="auto"/>
        <w:bidi w:val="0"/>
        <w:spacing w:before="0" w:after="40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、合并财务报表的编制方法</w:t>
      </w:r>
      <w:bookmarkEnd w:id="775"/>
      <w:bookmarkEnd w:id="776"/>
      <w:bookmarkEnd w:id="778"/>
    </w:p>
    <w:p>
      <w:pPr>
        <w:pStyle w:val="Style31"/>
        <w:keepNext w:val="0"/>
        <w:keepLines w:val="0"/>
        <w:widowControl w:val="0"/>
        <w:numPr>
          <w:ilvl w:val="0"/>
          <w:numId w:val="33"/>
        </w:numPr>
        <w:shd w:val="clear" w:color="auto" w:fill="auto"/>
        <w:tabs>
          <w:tab w:pos="707" w:val="left"/>
        </w:tabs>
        <w:bidi w:val="0"/>
        <w:spacing w:before="0" w:after="0" w:line="360" w:lineRule="auto"/>
        <w:ind w:left="0" w:right="0" w:firstLine="340"/>
        <w:jc w:val="both"/>
      </w:pPr>
      <w:bookmarkStart w:id="779" w:name="bookmark779"/>
      <w:bookmarkEnd w:id="779"/>
      <w:r>
        <w:rPr>
          <w:b/>
          <w:bCs/>
          <w:color w:val="000000"/>
          <w:spacing w:val="0"/>
          <w:w w:val="100"/>
          <w:position w:val="0"/>
        </w:rPr>
        <w:t>合并范围</w:t>
      </w:r>
    </w:p>
    <w:p>
      <w:pPr>
        <w:pStyle w:val="Style31"/>
        <w:keepNext w:val="0"/>
        <w:keepLines w:val="0"/>
        <w:widowControl w:val="0"/>
        <w:shd w:val="clear" w:color="auto" w:fill="auto"/>
        <w:bidi w:val="0"/>
        <w:spacing w:before="0" w:after="100" w:line="314" w:lineRule="exact"/>
        <w:ind w:left="0" w:right="0" w:firstLine="340"/>
        <w:jc w:val="both"/>
      </w:pPr>
      <w:r>
        <w:rPr>
          <w:color w:val="000000"/>
          <w:spacing w:val="0"/>
          <w:w w:val="100"/>
          <w:position w:val="0"/>
        </w:rPr>
        <w:t>本公司合并财务报表的合并范围以控制为基础确定，所有子公司(包括本公司所控制的单独主体)均纳入合并财务报表。</w:t>
      </w:r>
    </w:p>
    <w:p>
      <w:pPr>
        <w:pStyle w:val="Style31"/>
        <w:keepNext w:val="0"/>
        <w:keepLines w:val="0"/>
        <w:widowControl w:val="0"/>
        <w:numPr>
          <w:ilvl w:val="0"/>
          <w:numId w:val="33"/>
        </w:numPr>
        <w:shd w:val="clear" w:color="auto" w:fill="auto"/>
        <w:tabs>
          <w:tab w:pos="707" w:val="left"/>
        </w:tabs>
        <w:bidi w:val="0"/>
        <w:spacing w:before="0" w:after="0" w:line="360" w:lineRule="auto"/>
        <w:ind w:left="0" w:right="0" w:firstLine="340"/>
        <w:jc w:val="both"/>
      </w:pPr>
      <w:bookmarkStart w:id="780" w:name="bookmark780"/>
      <w:bookmarkEnd w:id="780"/>
      <w:r>
        <w:rPr>
          <w:b/>
          <w:bCs/>
          <w:color w:val="000000"/>
          <w:spacing w:val="0"/>
          <w:w w:val="100"/>
          <w:position w:val="0"/>
        </w:rPr>
        <w:t>合并程序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31"/>
        <w:keepNext w:val="0"/>
        <w:keepLines w:val="0"/>
        <w:widowControl w:val="0"/>
        <w:shd w:val="clear" w:color="auto" w:fill="auto"/>
        <w:bidi w:val="0"/>
        <w:spacing w:before="0" w:after="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31"/>
        <w:keepNext w:val="0"/>
        <w:keepLines w:val="0"/>
        <w:widowControl w:val="0"/>
        <w:numPr>
          <w:ilvl w:val="0"/>
          <w:numId w:val="35"/>
        </w:numPr>
        <w:shd w:val="clear" w:color="auto" w:fill="auto"/>
        <w:tabs>
          <w:tab w:pos="680" w:val="left"/>
        </w:tabs>
        <w:bidi w:val="0"/>
        <w:spacing w:before="0" w:after="0" w:line="360" w:lineRule="auto"/>
        <w:ind w:left="0" w:right="0"/>
        <w:jc w:val="both"/>
      </w:pPr>
      <w:bookmarkStart w:id="781" w:name="bookmark781"/>
      <w:bookmarkEnd w:id="781"/>
      <w:r>
        <w:rPr>
          <w:color w:val="000000"/>
          <w:spacing w:val="0"/>
          <w:w w:val="100"/>
          <w:position w:val="0"/>
        </w:rPr>
        <w:t>增加子公司或业务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31"/>
        <w:keepNext w:val="0"/>
        <w:keepLines w:val="0"/>
        <w:widowControl w:val="0"/>
        <w:numPr>
          <w:ilvl w:val="0"/>
          <w:numId w:val="35"/>
        </w:numPr>
        <w:shd w:val="clear" w:color="auto" w:fill="auto"/>
        <w:tabs>
          <w:tab w:pos="699" w:val="left"/>
        </w:tabs>
        <w:bidi w:val="0"/>
        <w:spacing w:before="0" w:after="0" w:line="360" w:lineRule="auto"/>
        <w:ind w:left="0" w:right="0"/>
        <w:jc w:val="both"/>
      </w:pPr>
      <w:bookmarkStart w:id="782" w:name="bookmark782"/>
      <w:bookmarkEnd w:id="782"/>
      <w:r>
        <w:rPr>
          <w:color w:val="000000"/>
          <w:spacing w:val="0"/>
          <w:w w:val="100"/>
          <w:position w:val="0"/>
        </w:rPr>
        <w:t>处置子公司或业务</w:t>
      </w:r>
    </w:p>
    <w:p>
      <w:pPr>
        <w:pStyle w:val="Style31"/>
        <w:keepNext w:val="0"/>
        <w:keepLines w:val="0"/>
        <w:widowControl w:val="0"/>
        <w:numPr>
          <w:ilvl w:val="0"/>
          <w:numId w:val="37"/>
        </w:numPr>
        <w:shd w:val="clear" w:color="auto" w:fill="auto"/>
        <w:bidi w:val="0"/>
        <w:spacing w:before="0" w:after="0" w:line="313" w:lineRule="exact"/>
        <w:ind w:left="0" w:right="0" w:firstLine="440"/>
        <w:jc w:val="left"/>
      </w:pPr>
      <w:bookmarkStart w:id="783" w:name="bookmark783"/>
      <w:bookmarkEnd w:id="783"/>
      <w:r>
        <w:rPr>
          <w:color w:val="000000"/>
          <w:spacing w:val="0"/>
          <w:w w:val="100"/>
          <w:position w:val="0"/>
        </w:rPr>
        <w:t>一般处理方法</w:t>
      </w:r>
    </w:p>
    <w:p>
      <w:pPr>
        <w:pStyle w:val="Style31"/>
        <w:keepNext w:val="0"/>
        <w:keepLines w:val="0"/>
        <w:widowControl w:val="0"/>
        <w:shd w:val="clear" w:color="auto" w:fill="auto"/>
        <w:bidi w:val="0"/>
        <w:spacing w:before="0" w:after="0" w:line="313" w:lineRule="exact"/>
        <w:ind w:left="0" w:right="0" w:firstLine="340"/>
        <w:jc w:val="both"/>
      </w:pPr>
      <w:r>
        <w:rPr>
          <w:color w:val="000000"/>
          <w:spacing w:val="0"/>
          <w:w w:val="100"/>
          <w:position w:val="0"/>
        </w:rPr>
        <w:t xml:space="preserve">在报告期内，本公司处置子公司或业务，则该子公司或业务期初至处置日的收入、费用、利润纳入合并利润表；该子公 </w:t>
      </w:r>
      <w:r>
        <w:rPr>
          <w:color w:val="000000"/>
          <w:spacing w:val="0"/>
          <w:w w:val="100"/>
          <w:position w:val="0"/>
        </w:rPr>
        <w:t>司或业务期初至处置日的现金流量纳入合并现金流量表。</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31"/>
        <w:keepNext w:val="0"/>
        <w:keepLines w:val="0"/>
        <w:widowControl w:val="0"/>
        <w:numPr>
          <w:ilvl w:val="0"/>
          <w:numId w:val="37"/>
        </w:numPr>
        <w:shd w:val="clear" w:color="auto" w:fill="auto"/>
        <w:bidi w:val="0"/>
        <w:spacing w:before="0" w:after="0" w:line="314" w:lineRule="exact"/>
        <w:ind w:left="0" w:right="0" w:firstLine="360"/>
        <w:jc w:val="left"/>
      </w:pPr>
      <w:bookmarkStart w:id="784" w:name="bookmark784"/>
      <w:bookmarkEnd w:id="784"/>
      <w:r>
        <w:rPr>
          <w:color w:val="000000"/>
          <w:spacing w:val="0"/>
          <w:w w:val="100"/>
          <w:position w:val="0"/>
        </w:rPr>
        <w:t>分步处置子公司</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31"/>
        <w:keepNext w:val="0"/>
        <w:keepLines w:val="0"/>
        <w:widowControl w:val="0"/>
        <w:numPr>
          <w:ilvl w:val="0"/>
          <w:numId w:val="39"/>
        </w:numPr>
        <w:shd w:val="clear" w:color="auto" w:fill="auto"/>
        <w:tabs>
          <w:tab w:pos="699" w:val="left"/>
        </w:tabs>
        <w:bidi w:val="0"/>
        <w:spacing w:before="0" w:after="0" w:line="360" w:lineRule="auto"/>
        <w:ind w:left="0" w:right="0"/>
        <w:jc w:val="both"/>
      </w:pPr>
      <w:bookmarkStart w:id="785" w:name="bookmark785"/>
      <w:bookmarkEnd w:id="785"/>
      <w:r>
        <w:rPr>
          <w:color w:val="000000"/>
          <w:spacing w:val="0"/>
          <w:w w:val="100"/>
          <w:position w:val="0"/>
        </w:rPr>
        <w:t>这些交易是同时或者在考虑了彼此影响的情况下订立的；</w:t>
      </w:r>
    </w:p>
    <w:p>
      <w:pPr>
        <w:pStyle w:val="Style31"/>
        <w:keepNext w:val="0"/>
        <w:keepLines w:val="0"/>
        <w:widowControl w:val="0"/>
        <w:numPr>
          <w:ilvl w:val="0"/>
          <w:numId w:val="39"/>
        </w:numPr>
        <w:shd w:val="clear" w:color="auto" w:fill="auto"/>
        <w:tabs>
          <w:tab w:pos="699" w:val="left"/>
        </w:tabs>
        <w:bidi w:val="0"/>
        <w:spacing w:before="0" w:after="0" w:line="360" w:lineRule="auto"/>
        <w:ind w:left="0" w:right="0"/>
        <w:jc w:val="both"/>
      </w:pPr>
      <w:bookmarkStart w:id="786" w:name="bookmark786"/>
      <w:bookmarkEnd w:id="786"/>
      <w:r>
        <w:rPr>
          <w:color w:val="000000"/>
          <w:spacing w:val="0"/>
          <w:w w:val="100"/>
          <w:position w:val="0"/>
        </w:rPr>
        <w:t>这些交易整体才能达成一项完整的商业结果；</w:t>
      </w:r>
    </w:p>
    <w:p>
      <w:pPr>
        <w:pStyle w:val="Style31"/>
        <w:keepNext w:val="0"/>
        <w:keepLines w:val="0"/>
        <w:widowControl w:val="0"/>
        <w:numPr>
          <w:ilvl w:val="0"/>
          <w:numId w:val="39"/>
        </w:numPr>
        <w:shd w:val="clear" w:color="auto" w:fill="auto"/>
        <w:tabs>
          <w:tab w:pos="699" w:val="left"/>
        </w:tabs>
        <w:bidi w:val="0"/>
        <w:spacing w:before="0" w:after="0" w:line="360" w:lineRule="auto"/>
        <w:ind w:left="0" w:right="0"/>
        <w:jc w:val="both"/>
      </w:pPr>
      <w:bookmarkStart w:id="787" w:name="bookmark787"/>
      <w:bookmarkEnd w:id="787"/>
      <w:r>
        <w:rPr>
          <w:color w:val="000000"/>
          <w:spacing w:val="0"/>
          <w:w w:val="100"/>
          <w:position w:val="0"/>
        </w:rPr>
        <w:t>一项交易的发生取决于其他至少一项交易的发生；</w:t>
      </w:r>
    </w:p>
    <w:p>
      <w:pPr>
        <w:pStyle w:val="Style31"/>
        <w:keepNext w:val="0"/>
        <w:keepLines w:val="0"/>
        <w:widowControl w:val="0"/>
        <w:numPr>
          <w:ilvl w:val="0"/>
          <w:numId w:val="39"/>
        </w:numPr>
        <w:shd w:val="clear" w:color="auto" w:fill="auto"/>
        <w:tabs>
          <w:tab w:pos="699" w:val="left"/>
        </w:tabs>
        <w:bidi w:val="0"/>
        <w:spacing w:before="0" w:after="0" w:line="360" w:lineRule="auto"/>
        <w:ind w:left="0" w:right="0"/>
        <w:jc w:val="both"/>
      </w:pPr>
      <w:bookmarkStart w:id="788" w:name="bookmark788"/>
      <w:bookmarkEnd w:id="788"/>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31"/>
        <w:keepNext w:val="0"/>
        <w:keepLines w:val="0"/>
        <w:widowControl w:val="0"/>
        <w:shd w:val="clear" w:color="auto" w:fill="auto"/>
        <w:bidi w:val="0"/>
        <w:spacing w:before="0" w:after="0" w:line="360" w:lineRule="auto"/>
        <w:ind w:left="0" w:right="0"/>
        <w:jc w:val="both"/>
      </w:pPr>
      <w:bookmarkStart w:id="789" w:name="bookmark789"/>
      <w:r>
        <w:rPr>
          <w:rFonts w:ascii="Times New Roman" w:eastAsia="Times New Roman" w:hAnsi="Times New Roman" w:cs="Times New Roman"/>
          <w:color w:val="000000"/>
          <w:spacing w:val="0"/>
          <w:w w:val="100"/>
          <w:position w:val="0"/>
          <w:sz w:val="18"/>
          <w:szCs w:val="18"/>
        </w:rPr>
        <w:t>3</w:t>
      </w:r>
      <w:bookmarkEnd w:id="789"/>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购买子公司少数股权</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31"/>
        <w:keepNext w:val="0"/>
        <w:keepLines w:val="0"/>
        <w:widowControl w:val="0"/>
        <w:shd w:val="clear" w:color="auto" w:fill="auto"/>
        <w:bidi w:val="0"/>
        <w:spacing w:before="0" w:after="0" w:line="360" w:lineRule="auto"/>
        <w:ind w:left="0" w:right="0" w:firstLine="440"/>
        <w:jc w:val="both"/>
      </w:pPr>
      <w:bookmarkStart w:id="790" w:name="bookmark790"/>
      <w:r>
        <w:rPr>
          <w:rFonts w:ascii="Times New Roman" w:eastAsia="Times New Roman" w:hAnsi="Times New Roman" w:cs="Times New Roman"/>
          <w:color w:val="000000"/>
          <w:spacing w:val="0"/>
          <w:w w:val="100"/>
          <w:position w:val="0"/>
          <w:sz w:val="18"/>
          <w:szCs w:val="18"/>
        </w:rPr>
        <w:t>4</w:t>
      </w:r>
      <w:bookmarkEnd w:id="790"/>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不丧失控制权的情况下部分处置对子公司的股权投资</w:t>
      </w:r>
    </w:p>
    <w:p>
      <w:pPr>
        <w:pStyle w:val="Style31"/>
        <w:keepNext w:val="0"/>
        <w:keepLines w:val="0"/>
        <w:widowControl w:val="0"/>
        <w:shd w:val="clear" w:color="auto" w:fill="auto"/>
        <w:bidi w:val="0"/>
        <w:spacing w:before="0" w:after="700" w:line="314"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4"/>
        <w:keepNext/>
        <w:keepLines/>
        <w:widowControl w:val="0"/>
        <w:shd w:val="clear" w:color="auto" w:fill="auto"/>
        <w:bidi w:val="0"/>
        <w:spacing w:before="0" w:after="26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7</w:t>
      </w:r>
      <w:bookmarkEnd w:id="793"/>
      <w:r>
        <w:rPr>
          <w:color w:val="000000"/>
          <w:spacing w:val="0"/>
          <w:w w:val="100"/>
          <w:position w:val="0"/>
        </w:rPr>
        <w:t>、合营安排分类及共同经营会计处理方法</w:t>
      </w:r>
      <w:bookmarkEnd w:id="791"/>
      <w:bookmarkEnd w:id="792"/>
      <w:bookmarkEnd w:id="794"/>
    </w:p>
    <w:p>
      <w:pPr>
        <w:pStyle w:val="Style31"/>
        <w:keepNext w:val="0"/>
        <w:keepLines w:val="0"/>
        <w:widowControl w:val="0"/>
        <w:shd w:val="clear" w:color="auto" w:fill="auto"/>
        <w:bidi w:val="0"/>
        <w:spacing w:before="0" w:after="700" w:line="312"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企业，是指本公司仅对该安排的净资产享有权利的合营安排。本公司对合营企业的投资采用权益法核算，按照本报告第十二 节、五、</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中所述的会计政策处理。本公司作为合营方对共同经营，确认本公司单独 持有的资产、单独所承担的负债，以及按本公司份额确认共同持有的资产和共同承担的负债；确认出售本公司享有的共同经 营产出份额所产生的收入；按本公司份额确认共同经营因出售产出所产生的收入；确认本公司单独所发生的费用，以及按本 公司份额确认共同经营发生的费用。当本公司作为合营方向共同经营投出或出售资产（该资产不构成业务，下同）、或者自 共同经营购买资产时，在该等资产出售给第三方之前，本公司仅确认因该交易产生的损益中归属于共同经营其他参与方的部 分。该等资产发生符合《企业会计准则第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 售资产的情况，本公司全额确认该损失；对于本公司自共同经营购买资产的情况，本公司按承担的份额确认该损失。</w:t>
      </w:r>
    </w:p>
    <w:p>
      <w:pPr>
        <w:pStyle w:val="Style34"/>
        <w:keepNext/>
        <w:keepLines/>
        <w:widowControl w:val="0"/>
        <w:shd w:val="clear" w:color="auto" w:fill="auto"/>
        <w:bidi w:val="0"/>
        <w:spacing w:before="0" w:after="380" w:line="240" w:lineRule="auto"/>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8</w:t>
      </w:r>
      <w:bookmarkEnd w:id="797"/>
      <w:r>
        <w:rPr>
          <w:color w:val="000000"/>
          <w:spacing w:val="0"/>
          <w:w w:val="100"/>
          <w:position w:val="0"/>
        </w:rPr>
        <w:t>、现金及现金等价物的确定标准</w:t>
      </w:r>
      <w:bookmarkEnd w:id="795"/>
      <w:bookmarkEnd w:id="796"/>
      <w:bookmarkEnd w:id="798"/>
    </w:p>
    <w:p>
      <w:pPr>
        <w:pStyle w:val="Style31"/>
        <w:keepNext w:val="0"/>
        <w:keepLines w:val="0"/>
        <w:widowControl w:val="0"/>
        <w:shd w:val="clear" w:color="auto" w:fill="auto"/>
        <w:bidi w:val="0"/>
        <w:spacing w:before="0" w:after="700" w:line="240" w:lineRule="auto"/>
        <w:ind w:left="0" w:right="0" w:firstLine="360"/>
        <w:jc w:val="both"/>
      </w:pPr>
      <w:r>
        <w:rPr>
          <w:color w:val="000000"/>
          <w:spacing w:val="0"/>
          <w:w w:val="100"/>
          <w:position w:val="0"/>
        </w:rPr>
        <w:t xml:space="preserve">在编制现金流量表时，将本公司库存现金以及可以随时用于支付的存款确认为现金。将同时具备期限短（一般从购买日 </w:t>
      </w:r>
      <w:r>
        <w:rPr>
          <w:color w:val="000000"/>
          <w:spacing w:val="0"/>
          <w:w w:val="100"/>
          <w:position w:val="0"/>
        </w:rPr>
        <w:t>起三个月内到期)、流动性强、易于转换为已知金额的现金、价值变动风险很小四个条件的投资，确定为现金等价物。</w:t>
      </w:r>
    </w:p>
    <w:p>
      <w:pPr>
        <w:pStyle w:val="Style34"/>
        <w:keepNext/>
        <w:keepLines/>
        <w:widowControl w:val="0"/>
        <w:shd w:val="clear" w:color="auto" w:fill="auto"/>
        <w:bidi w:val="0"/>
        <w:spacing w:before="0" w:after="400" w:line="240"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9</w:t>
      </w:r>
      <w:bookmarkEnd w:id="801"/>
      <w:r>
        <w:rPr>
          <w:color w:val="000000"/>
          <w:spacing w:val="0"/>
          <w:w w:val="100"/>
          <w:position w:val="0"/>
        </w:rPr>
        <w:t>、外币业务和外币报表折算</w:t>
      </w:r>
      <w:bookmarkEnd w:id="799"/>
      <w:bookmarkEnd w:id="800"/>
      <w:bookmarkEnd w:id="802"/>
    </w:p>
    <w:p>
      <w:pPr>
        <w:pStyle w:val="Style31"/>
        <w:keepNext w:val="0"/>
        <w:keepLines w:val="0"/>
        <w:widowControl w:val="0"/>
        <w:numPr>
          <w:ilvl w:val="0"/>
          <w:numId w:val="41"/>
        </w:numPr>
        <w:shd w:val="clear" w:color="auto" w:fill="auto"/>
        <w:tabs>
          <w:tab w:pos="777" w:val="left"/>
        </w:tabs>
        <w:bidi w:val="0"/>
        <w:spacing w:before="0" w:after="0" w:line="360" w:lineRule="auto"/>
        <w:ind w:left="0" w:right="0"/>
        <w:jc w:val="both"/>
      </w:pPr>
      <w:bookmarkStart w:id="803" w:name="bookmark803"/>
      <w:bookmarkEnd w:id="803"/>
      <w:r>
        <w:rPr>
          <w:b/>
          <w:bCs/>
          <w:color w:val="000000"/>
          <w:spacing w:val="0"/>
          <w:w w:val="100"/>
          <w:position w:val="0"/>
        </w:rPr>
        <w:t>外币业务</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外币业务交易在初始确认时，采用交易发生日的即期汇率作为折算汇率折合成人民币记账。</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以公允价值计量的外币非货币性项目，采用公允价值确定日的即期汇率折算，由此产生的汇兑差额作为公允价值变动损 益计入当期损益。如属于可供出售外币非货币性项目的，形成的汇兑差额计入其他综合收益。</w:t>
      </w:r>
    </w:p>
    <w:p>
      <w:pPr>
        <w:pStyle w:val="Style31"/>
        <w:keepNext w:val="0"/>
        <w:keepLines w:val="0"/>
        <w:widowControl w:val="0"/>
        <w:numPr>
          <w:ilvl w:val="0"/>
          <w:numId w:val="41"/>
        </w:numPr>
        <w:shd w:val="clear" w:color="auto" w:fill="auto"/>
        <w:tabs>
          <w:tab w:pos="737" w:val="left"/>
        </w:tabs>
        <w:bidi w:val="0"/>
        <w:spacing w:before="0" w:after="0" w:line="360" w:lineRule="auto"/>
        <w:ind w:left="0" w:right="0" w:firstLine="340"/>
        <w:jc w:val="both"/>
      </w:pPr>
      <w:bookmarkStart w:id="804" w:name="bookmark804"/>
      <w:bookmarkEnd w:id="804"/>
      <w:r>
        <w:rPr>
          <w:b/>
          <w:bCs/>
          <w:color w:val="000000"/>
          <w:spacing w:val="0"/>
          <w:w w:val="100"/>
          <w:position w:val="0"/>
        </w:rPr>
        <w:t>外币财务报表的折算</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务报表折算差额计入其他综合收益。</w:t>
      </w:r>
    </w:p>
    <w:p>
      <w:pPr>
        <w:pStyle w:val="Style31"/>
        <w:keepNext w:val="0"/>
        <w:keepLines w:val="0"/>
        <w:widowControl w:val="0"/>
        <w:shd w:val="clear" w:color="auto" w:fill="auto"/>
        <w:bidi w:val="0"/>
        <w:spacing w:before="0" w:after="700" w:line="311" w:lineRule="exact"/>
        <w:ind w:left="0" w:right="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34"/>
        <w:keepNext/>
        <w:keepLines/>
        <w:widowControl w:val="0"/>
        <w:shd w:val="clear" w:color="auto" w:fill="auto"/>
        <w:bidi w:val="0"/>
        <w:spacing w:before="0" w:after="26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05"/>
      <w:bookmarkEnd w:id="806"/>
      <w:bookmarkEnd w:id="808"/>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在本公司成为金融工具合同的一方时确认一项金融资产或金融负债。</w:t>
      </w:r>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31"/>
        <w:keepNext w:val="0"/>
        <w:keepLines w:val="0"/>
        <w:widowControl w:val="0"/>
        <w:shd w:val="clear" w:color="auto" w:fill="auto"/>
        <w:bidi w:val="0"/>
        <w:spacing w:before="0" w:after="0" w:line="318"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numPr>
          <w:ilvl w:val="0"/>
          <w:numId w:val="43"/>
        </w:numPr>
        <w:shd w:val="clear" w:color="auto" w:fill="auto"/>
        <w:bidi w:val="0"/>
        <w:spacing w:before="0" w:after="0" w:line="314" w:lineRule="exact"/>
        <w:ind w:left="0" w:right="0"/>
        <w:jc w:val="both"/>
      </w:pPr>
      <w:bookmarkStart w:id="809" w:name="bookmark809"/>
      <w:bookmarkEnd w:id="809"/>
      <w:r>
        <w:rPr>
          <w:b/>
          <w:bCs/>
          <w:color w:val="000000"/>
          <w:spacing w:val="0"/>
          <w:w w:val="100"/>
          <w:position w:val="0"/>
        </w:rPr>
        <w:t>金融资产分类和计量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31"/>
        <w:keepNext w:val="0"/>
        <w:keepLines w:val="0"/>
        <w:widowControl w:val="0"/>
        <w:numPr>
          <w:ilvl w:val="0"/>
          <w:numId w:val="45"/>
        </w:numPr>
        <w:shd w:val="clear" w:color="auto" w:fill="auto"/>
        <w:tabs>
          <w:tab w:pos="753" w:val="left"/>
        </w:tabs>
        <w:bidi w:val="0"/>
        <w:spacing w:before="0" w:after="0" w:line="314" w:lineRule="exact"/>
        <w:ind w:left="0" w:right="0"/>
        <w:jc w:val="both"/>
      </w:pPr>
      <w:bookmarkStart w:id="810" w:name="bookmark810"/>
      <w:bookmarkEnd w:id="810"/>
      <w:r>
        <w:rPr>
          <w:color w:val="000000"/>
          <w:spacing w:val="0"/>
          <w:w w:val="100"/>
          <w:position w:val="0"/>
        </w:rPr>
        <w:t>摊余成本计量的金融资产。</w:t>
      </w:r>
    </w:p>
    <w:p>
      <w:pPr>
        <w:pStyle w:val="Style31"/>
        <w:keepNext w:val="0"/>
        <w:keepLines w:val="0"/>
        <w:widowControl w:val="0"/>
        <w:numPr>
          <w:ilvl w:val="0"/>
          <w:numId w:val="45"/>
        </w:numPr>
        <w:shd w:val="clear" w:color="auto" w:fill="auto"/>
        <w:tabs>
          <w:tab w:pos="753" w:val="left"/>
        </w:tabs>
        <w:bidi w:val="0"/>
        <w:spacing w:before="0" w:after="0" w:line="314" w:lineRule="exact"/>
        <w:ind w:left="0" w:right="0"/>
        <w:jc w:val="both"/>
      </w:pPr>
      <w:bookmarkStart w:id="811" w:name="bookmark811"/>
      <w:bookmarkEnd w:id="811"/>
      <w:r>
        <w:rPr>
          <w:color w:val="000000"/>
          <w:spacing w:val="0"/>
          <w:w w:val="100"/>
          <w:position w:val="0"/>
        </w:rPr>
        <w:t>以公允价值计量且其变动计入其他综合收益的金融资产。</w:t>
      </w:r>
    </w:p>
    <w:p>
      <w:pPr>
        <w:pStyle w:val="Style31"/>
        <w:keepNext w:val="0"/>
        <w:keepLines w:val="0"/>
        <w:widowControl w:val="0"/>
        <w:numPr>
          <w:ilvl w:val="0"/>
          <w:numId w:val="45"/>
        </w:numPr>
        <w:shd w:val="clear" w:color="auto" w:fill="auto"/>
        <w:tabs>
          <w:tab w:pos="753" w:val="left"/>
        </w:tabs>
        <w:bidi w:val="0"/>
        <w:spacing w:before="0" w:after="0" w:line="314" w:lineRule="exact"/>
        <w:ind w:left="0" w:right="0"/>
        <w:jc w:val="both"/>
      </w:pPr>
      <w:bookmarkStart w:id="812" w:name="bookmark812"/>
      <w:bookmarkEnd w:id="812"/>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31"/>
        <w:keepNext w:val="0"/>
        <w:keepLines w:val="0"/>
        <w:widowControl w:val="0"/>
        <w:numPr>
          <w:ilvl w:val="0"/>
          <w:numId w:val="47"/>
        </w:numPr>
        <w:shd w:val="clear" w:color="auto" w:fill="auto"/>
        <w:bidi w:val="0"/>
        <w:spacing w:before="0" w:after="0" w:line="314" w:lineRule="exact"/>
        <w:ind w:left="0" w:right="0"/>
        <w:jc w:val="both"/>
      </w:pPr>
      <w:bookmarkStart w:id="813" w:name="bookmark813"/>
      <w:bookmarkEnd w:id="813"/>
      <w:r>
        <w:rPr>
          <w:color w:val="000000"/>
          <w:spacing w:val="0"/>
          <w:w w:val="100"/>
          <w:position w:val="0"/>
        </w:rPr>
        <w:t>分类为以摊余成本计量的金融资产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金融资产的合同条款规定在特定日期产生的现金流量仅为对本金和以未偿付本金金额为基础的利息的支付，且管理该金 </w:t>
      </w:r>
      <w:r>
        <w:rPr>
          <w:color w:val="000000"/>
          <w:spacing w:val="0"/>
          <w:w w:val="100"/>
          <w:position w:val="0"/>
        </w:rPr>
        <w:t>融资产的业务模式是以收取合同现金流量为目标，则本公司将该金融资产分类为以摊余成本计量的金融资产。本公司分类为 以摊余成本计量的金融资产包括货币资金、应收账款、其他应收款、长期应收款等。</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31"/>
        <w:keepNext w:val="0"/>
        <w:keepLines w:val="0"/>
        <w:widowControl w:val="0"/>
        <w:shd w:val="clear" w:color="auto" w:fill="auto"/>
        <w:tabs>
          <w:tab w:pos="681" w:val="left"/>
        </w:tabs>
        <w:bidi w:val="0"/>
        <w:spacing w:before="0" w:after="0" w:line="314" w:lineRule="exact"/>
        <w:ind w:left="0" w:right="0"/>
        <w:jc w:val="both"/>
      </w:pPr>
      <w:bookmarkStart w:id="814" w:name="bookmark814"/>
      <w:r>
        <w:rPr>
          <w:rFonts w:ascii="Times New Roman" w:eastAsia="Times New Roman" w:hAnsi="Times New Roman" w:cs="Times New Roman"/>
          <w:color w:val="000000"/>
          <w:spacing w:val="0"/>
          <w:w w:val="100"/>
          <w:position w:val="0"/>
          <w:sz w:val="18"/>
          <w:szCs w:val="18"/>
        </w:rPr>
        <w:t>1</w:t>
      </w:r>
      <w:bookmarkEnd w:id="814"/>
      <w:r>
        <w:rPr>
          <w:color w:val="000000"/>
          <w:spacing w:val="0"/>
          <w:w w:val="100"/>
          <w:position w:val="0"/>
        </w:rPr>
        <w:t>）</w:t>
        <w:tab/>
        <w:t>对于购入或源生的已发生信用减值的金融资产，本公司自初始确认起，按照该金融资产的摊余成本和经信用调整的 实际利率计算确定其利息收入。</w:t>
      </w:r>
    </w:p>
    <w:p>
      <w:pPr>
        <w:pStyle w:val="Style31"/>
        <w:keepNext w:val="0"/>
        <w:keepLines w:val="0"/>
        <w:widowControl w:val="0"/>
        <w:shd w:val="clear" w:color="auto" w:fill="auto"/>
        <w:bidi w:val="0"/>
        <w:spacing w:before="0" w:after="0" w:line="314" w:lineRule="exact"/>
        <w:ind w:left="0" w:right="0"/>
        <w:jc w:val="both"/>
      </w:pPr>
      <w:bookmarkStart w:id="815" w:name="bookmark815"/>
      <w:r>
        <w:rPr>
          <w:rFonts w:ascii="Times New Roman" w:eastAsia="Times New Roman" w:hAnsi="Times New Roman" w:cs="Times New Roman"/>
          <w:color w:val="000000"/>
          <w:spacing w:val="0"/>
          <w:w w:val="100"/>
          <w:position w:val="0"/>
          <w:sz w:val="18"/>
          <w:szCs w:val="18"/>
        </w:rPr>
        <w:t>2</w:t>
      </w:r>
      <w:bookmarkEnd w:id="815"/>
      <w:r>
        <w:rPr>
          <w:color w:val="000000"/>
          <w:spacing w:val="0"/>
          <w:w w:val="100"/>
          <w:position w:val="0"/>
        </w:rPr>
        <w:t>） 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31"/>
        <w:keepNext w:val="0"/>
        <w:keepLines w:val="0"/>
        <w:widowControl w:val="0"/>
        <w:numPr>
          <w:ilvl w:val="0"/>
          <w:numId w:val="47"/>
        </w:numPr>
        <w:shd w:val="clear" w:color="auto" w:fill="auto"/>
        <w:tabs>
          <w:tab w:pos="721" w:val="left"/>
        </w:tabs>
        <w:bidi w:val="0"/>
        <w:spacing w:before="0" w:after="0" w:line="314" w:lineRule="exact"/>
        <w:ind w:left="0" w:right="0"/>
        <w:jc w:val="both"/>
      </w:pPr>
      <w:bookmarkStart w:id="816" w:name="bookmark816"/>
      <w:bookmarkEnd w:id="816"/>
      <w:r>
        <w:rPr>
          <w:color w:val="000000"/>
          <w:spacing w:val="0"/>
          <w:w w:val="100"/>
          <w:position w:val="0"/>
        </w:rPr>
        <w:t>分类为以公允价值计量且其变动计入其他综合收益的金融资产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31"/>
        <w:keepNext w:val="0"/>
        <w:keepLines w:val="0"/>
        <w:widowControl w:val="0"/>
        <w:numPr>
          <w:ilvl w:val="0"/>
          <w:numId w:val="47"/>
        </w:numPr>
        <w:shd w:val="clear" w:color="auto" w:fill="auto"/>
        <w:tabs>
          <w:tab w:pos="721" w:val="left"/>
        </w:tabs>
        <w:bidi w:val="0"/>
        <w:spacing w:before="0" w:after="0" w:line="314" w:lineRule="exact"/>
        <w:ind w:left="0" w:right="0"/>
        <w:jc w:val="both"/>
      </w:pPr>
      <w:bookmarkStart w:id="817" w:name="bookmark817"/>
      <w:bookmarkEnd w:id="817"/>
      <w:r>
        <w:rPr>
          <w:color w:val="000000"/>
          <w:spacing w:val="0"/>
          <w:w w:val="100"/>
          <w:position w:val="0"/>
        </w:rPr>
        <w:t>指定为以公允价值计量且其变动计入其他综合收益的金融资产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31"/>
        <w:keepNext w:val="0"/>
        <w:keepLines w:val="0"/>
        <w:widowControl w:val="0"/>
        <w:numPr>
          <w:ilvl w:val="0"/>
          <w:numId w:val="47"/>
        </w:numPr>
        <w:shd w:val="clear" w:color="auto" w:fill="auto"/>
        <w:tabs>
          <w:tab w:pos="601" w:val="left"/>
        </w:tabs>
        <w:bidi w:val="0"/>
        <w:spacing w:before="0" w:after="0" w:line="314" w:lineRule="exact"/>
        <w:ind w:left="0" w:right="0" w:firstLine="260"/>
        <w:jc w:val="both"/>
      </w:pPr>
      <w:bookmarkStart w:id="818" w:name="bookmark818"/>
      <w:bookmarkEnd w:id="818"/>
      <w:r>
        <w:rPr>
          <w:color w:val="000000"/>
          <w:spacing w:val="0"/>
          <w:w w:val="100"/>
          <w:position w:val="0"/>
        </w:rPr>
        <w:t>分类为以公允价值计量且其变动计入当期损益的金融资产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31"/>
        <w:keepNext w:val="0"/>
        <w:keepLines w:val="0"/>
        <w:widowControl w:val="0"/>
        <w:numPr>
          <w:ilvl w:val="0"/>
          <w:numId w:val="47"/>
        </w:numPr>
        <w:shd w:val="clear" w:color="auto" w:fill="auto"/>
        <w:tabs>
          <w:tab w:pos="601" w:val="left"/>
        </w:tabs>
        <w:bidi w:val="0"/>
        <w:spacing w:before="0" w:after="0" w:line="314" w:lineRule="exact"/>
        <w:ind w:left="0" w:right="0" w:firstLine="260"/>
        <w:jc w:val="both"/>
      </w:pPr>
      <w:bookmarkStart w:id="819" w:name="bookmark819"/>
      <w:bookmarkEnd w:id="819"/>
      <w:r>
        <w:rPr>
          <w:color w:val="000000"/>
          <w:spacing w:val="0"/>
          <w:w w:val="100"/>
          <w:position w:val="0"/>
        </w:rPr>
        <w:t>指定为以公允价值计量且其变动计入当期损益的金融资产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31"/>
        <w:keepNext w:val="0"/>
        <w:keepLines w:val="0"/>
        <w:widowControl w:val="0"/>
        <w:shd w:val="clear" w:color="auto" w:fill="auto"/>
        <w:tabs>
          <w:tab w:pos="677" w:val="left"/>
        </w:tabs>
        <w:bidi w:val="0"/>
        <w:spacing w:before="0" w:after="0" w:line="360" w:lineRule="auto"/>
        <w:ind w:left="0" w:right="0"/>
        <w:jc w:val="both"/>
      </w:pPr>
      <w:bookmarkStart w:id="820" w:name="bookmark820"/>
      <w:r>
        <w:rPr>
          <w:rFonts w:ascii="Times New Roman" w:eastAsia="Times New Roman" w:hAnsi="Times New Roman" w:cs="Times New Roman"/>
          <w:color w:val="000000"/>
          <w:spacing w:val="0"/>
          <w:w w:val="100"/>
          <w:position w:val="0"/>
          <w:sz w:val="18"/>
          <w:szCs w:val="18"/>
        </w:rPr>
        <w:t>1</w:t>
      </w:r>
      <w:bookmarkEnd w:id="8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嵌入衍生工具不会对混合合同的现金流量产生重大改变。</w:t>
      </w:r>
    </w:p>
    <w:p>
      <w:pPr>
        <w:pStyle w:val="Style31"/>
        <w:keepNext w:val="0"/>
        <w:keepLines w:val="0"/>
        <w:widowControl w:val="0"/>
        <w:shd w:val="clear" w:color="auto" w:fill="auto"/>
        <w:tabs>
          <w:tab w:pos="667" w:val="left"/>
        </w:tabs>
        <w:bidi w:val="0"/>
        <w:spacing w:before="0" w:after="0" w:line="314" w:lineRule="exact"/>
        <w:ind w:left="0" w:right="0"/>
        <w:jc w:val="both"/>
      </w:pPr>
      <w:bookmarkStart w:id="821" w:name="bookmark821"/>
      <w:r>
        <w:rPr>
          <w:rFonts w:ascii="Times New Roman" w:eastAsia="Times New Roman" w:hAnsi="Times New Roman" w:cs="Times New Roman"/>
          <w:color w:val="000000"/>
          <w:spacing w:val="0"/>
          <w:w w:val="100"/>
          <w:position w:val="0"/>
          <w:sz w:val="18"/>
          <w:szCs w:val="18"/>
        </w:rPr>
        <w:t>2</w:t>
      </w:r>
      <w:bookmarkEnd w:id="8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在初次确定类似的混合合同是否需要分拆时，几乎不需分析就能明确其包含的嵌入衍生工具不应分拆。如嵌入贷款的 提前还款权，允许持有人以接近摊余成本的金额提前偿还贷款，该提前还款权不需要分拆。</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本公司对此类金融资产采用公允价值进行后续计量，将公允价值变动形成的利得或损失以及与此类金融资产相关的股利 </w:t>
      </w:r>
      <w:r>
        <w:rPr>
          <w:color w:val="000000"/>
          <w:spacing w:val="0"/>
          <w:w w:val="100"/>
          <w:position w:val="0"/>
        </w:rPr>
        <w:t>和利息收入计入当期损益。</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本公司对此类金融资产根据其流动性在交易性金融资产、其他非流动金融资产项目列报。</w:t>
      </w:r>
    </w:p>
    <w:p>
      <w:pPr>
        <w:pStyle w:val="Style31"/>
        <w:keepNext w:val="0"/>
        <w:keepLines w:val="0"/>
        <w:widowControl w:val="0"/>
        <w:shd w:val="clear" w:color="auto" w:fill="auto"/>
        <w:tabs>
          <w:tab w:pos="777" w:val="left"/>
        </w:tabs>
        <w:bidi w:val="0"/>
        <w:spacing w:before="0" w:after="0" w:line="360" w:lineRule="auto"/>
        <w:ind w:left="0" w:right="0"/>
        <w:jc w:val="both"/>
      </w:pPr>
      <w:bookmarkStart w:id="822" w:name="bookmark822"/>
      <w:r>
        <w:rPr>
          <w:rFonts w:ascii="Times New Roman" w:eastAsia="Times New Roman" w:hAnsi="Times New Roman" w:cs="Times New Roman"/>
          <w:b/>
          <w:bCs/>
          <w:color w:val="000000"/>
          <w:spacing w:val="0"/>
          <w:w w:val="100"/>
          <w:position w:val="0"/>
          <w:sz w:val="18"/>
          <w:szCs w:val="18"/>
        </w:rPr>
        <w:t>（</w:t>
      </w:r>
      <w:bookmarkEnd w:id="822"/>
      <w:r>
        <w:rPr>
          <w:rFonts w:ascii="Times New Roman" w:eastAsia="Times New Roman" w:hAnsi="Times New Roman" w:cs="Times New Roman"/>
          <w:b/>
          <w:bCs/>
          <w:color w:val="000000"/>
          <w:spacing w:val="0"/>
          <w:w w:val="100"/>
          <w:position w:val="0"/>
          <w:sz w:val="18"/>
          <w:szCs w:val="18"/>
        </w:rPr>
        <w:t>2）</w:t>
        <w:tab/>
      </w:r>
      <w:r>
        <w:rPr>
          <w:b/>
          <w:bCs/>
          <w:color w:val="000000"/>
          <w:spacing w:val="0"/>
          <w:w w:val="100"/>
          <w:position w:val="0"/>
        </w:rPr>
        <w:t>金融负债分类和计量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金融负债的后续计量取决于其分类：</w:t>
      </w:r>
    </w:p>
    <w:p>
      <w:pPr>
        <w:pStyle w:val="Style31"/>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823" w:name="bookmark823"/>
      <w:bookmarkEnd w:id="823"/>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31"/>
        <w:keepNext w:val="0"/>
        <w:keepLines w:val="0"/>
        <w:widowControl w:val="0"/>
        <w:shd w:val="clear" w:color="auto" w:fill="auto"/>
        <w:tabs>
          <w:tab w:pos="710" w:val="left"/>
        </w:tabs>
        <w:bidi w:val="0"/>
        <w:spacing w:before="0" w:after="0" w:line="360" w:lineRule="auto"/>
        <w:ind w:left="0" w:right="0"/>
        <w:jc w:val="both"/>
      </w:pPr>
      <w:bookmarkStart w:id="824" w:name="bookmark824"/>
      <w:r>
        <w:rPr>
          <w:rFonts w:ascii="Times New Roman" w:eastAsia="Times New Roman" w:hAnsi="Times New Roman" w:cs="Times New Roman"/>
          <w:color w:val="000000"/>
          <w:spacing w:val="0"/>
          <w:w w:val="100"/>
          <w:position w:val="0"/>
          <w:sz w:val="18"/>
          <w:szCs w:val="18"/>
        </w:rPr>
        <w:t>1</w:t>
      </w:r>
      <w:bookmarkEnd w:id="8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能够消除或显著减少会计错配。</w:t>
      </w:r>
    </w:p>
    <w:p>
      <w:pPr>
        <w:pStyle w:val="Style31"/>
        <w:keepNext w:val="0"/>
        <w:keepLines w:val="0"/>
        <w:widowControl w:val="0"/>
        <w:shd w:val="clear" w:color="auto" w:fill="auto"/>
        <w:tabs>
          <w:tab w:pos="694" w:val="left"/>
        </w:tabs>
        <w:bidi w:val="0"/>
        <w:spacing w:before="0" w:after="0" w:line="312" w:lineRule="exact"/>
        <w:ind w:left="0" w:right="0"/>
        <w:jc w:val="both"/>
      </w:pPr>
      <w:bookmarkStart w:id="825" w:name="bookmark825"/>
      <w:r>
        <w:rPr>
          <w:rFonts w:ascii="Times New Roman" w:eastAsia="Times New Roman" w:hAnsi="Times New Roman" w:cs="Times New Roman"/>
          <w:color w:val="000000"/>
          <w:spacing w:val="0"/>
          <w:w w:val="100"/>
          <w:position w:val="0"/>
          <w:sz w:val="18"/>
          <w:szCs w:val="18"/>
        </w:rPr>
        <w:t>2</w:t>
      </w:r>
      <w:bookmarkEnd w:id="8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根据正式书面文件载明的企业风险管理或投资策略，以公允价值为基础对金融负债组合或金融资产和金融负债组合进 行管理和业绩评价，并在企业内部以此为基础向关键管理人员报告。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31"/>
        <w:keepNext w:val="0"/>
        <w:keepLines w:val="0"/>
        <w:widowControl w:val="0"/>
        <w:numPr>
          <w:ilvl w:val="0"/>
          <w:numId w:val="49"/>
        </w:numPr>
        <w:shd w:val="clear" w:color="auto" w:fill="auto"/>
        <w:tabs>
          <w:tab w:pos="753" w:val="left"/>
        </w:tabs>
        <w:bidi w:val="0"/>
        <w:spacing w:before="0" w:after="0" w:line="312" w:lineRule="exact"/>
        <w:ind w:left="0" w:right="0"/>
        <w:jc w:val="both"/>
      </w:pPr>
      <w:bookmarkStart w:id="826" w:name="bookmark826"/>
      <w:bookmarkEnd w:id="826"/>
      <w:r>
        <w:rPr>
          <w:color w:val="000000"/>
          <w:spacing w:val="0"/>
          <w:w w:val="100"/>
          <w:position w:val="0"/>
        </w:rPr>
        <w:t>其他金融负债</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31"/>
        <w:keepNext w:val="0"/>
        <w:keepLines w:val="0"/>
        <w:widowControl w:val="0"/>
        <w:shd w:val="clear" w:color="auto" w:fill="auto"/>
        <w:tabs>
          <w:tab w:pos="710" w:val="left"/>
        </w:tabs>
        <w:bidi w:val="0"/>
        <w:spacing w:before="0" w:after="0" w:line="360" w:lineRule="auto"/>
        <w:ind w:left="0" w:right="0"/>
        <w:jc w:val="both"/>
      </w:pPr>
      <w:bookmarkStart w:id="827" w:name="bookmark827"/>
      <w:r>
        <w:rPr>
          <w:rFonts w:ascii="Times New Roman" w:eastAsia="Times New Roman" w:hAnsi="Times New Roman" w:cs="Times New Roman"/>
          <w:color w:val="000000"/>
          <w:spacing w:val="0"/>
          <w:w w:val="100"/>
          <w:position w:val="0"/>
          <w:sz w:val="18"/>
          <w:szCs w:val="18"/>
        </w:rPr>
        <w:t>1</w:t>
      </w:r>
      <w:bookmarkEnd w:id="8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以公允价值计量且其变动计入当期损益的金融负债。</w:t>
      </w:r>
    </w:p>
    <w:p>
      <w:pPr>
        <w:pStyle w:val="Style31"/>
        <w:keepNext w:val="0"/>
        <w:keepLines w:val="0"/>
        <w:widowControl w:val="0"/>
        <w:shd w:val="clear" w:color="auto" w:fill="auto"/>
        <w:tabs>
          <w:tab w:pos="729" w:val="left"/>
        </w:tabs>
        <w:bidi w:val="0"/>
        <w:spacing w:before="0" w:after="0" w:line="360" w:lineRule="auto"/>
        <w:ind w:left="0" w:right="0"/>
        <w:jc w:val="both"/>
      </w:pPr>
      <w:bookmarkStart w:id="828" w:name="bookmark828"/>
      <w:r>
        <w:rPr>
          <w:rFonts w:ascii="Times New Roman" w:eastAsia="Times New Roman" w:hAnsi="Times New Roman" w:cs="Times New Roman"/>
          <w:color w:val="000000"/>
          <w:spacing w:val="0"/>
          <w:w w:val="100"/>
          <w:position w:val="0"/>
          <w:sz w:val="18"/>
          <w:szCs w:val="18"/>
        </w:rPr>
        <w:t>2</w:t>
      </w:r>
      <w:bookmarkEnd w:id="82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31"/>
        <w:keepNext w:val="0"/>
        <w:keepLines w:val="0"/>
        <w:widowControl w:val="0"/>
        <w:shd w:val="clear" w:color="auto" w:fill="auto"/>
        <w:tabs>
          <w:tab w:pos="729" w:val="left"/>
        </w:tabs>
        <w:bidi w:val="0"/>
        <w:spacing w:before="0" w:after="0" w:line="360" w:lineRule="auto"/>
        <w:ind w:left="0" w:right="0"/>
        <w:jc w:val="both"/>
      </w:pPr>
      <w:bookmarkStart w:id="829" w:name="bookmark829"/>
      <w:r>
        <w:rPr>
          <w:rFonts w:ascii="Times New Roman" w:eastAsia="Times New Roman" w:hAnsi="Times New Roman" w:cs="Times New Roman"/>
          <w:color w:val="000000"/>
          <w:spacing w:val="0"/>
          <w:w w:val="100"/>
          <w:position w:val="0"/>
          <w:sz w:val="18"/>
          <w:szCs w:val="18"/>
        </w:rPr>
        <w:t>3</w:t>
      </w:r>
      <w:bookmarkEnd w:id="82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31"/>
        <w:keepNext w:val="0"/>
        <w:keepLines w:val="0"/>
        <w:widowControl w:val="0"/>
        <w:shd w:val="clear" w:color="auto" w:fill="auto"/>
        <w:tabs>
          <w:tab w:pos="777" w:val="left"/>
        </w:tabs>
        <w:bidi w:val="0"/>
        <w:spacing w:before="0" w:after="0" w:line="360" w:lineRule="auto"/>
        <w:ind w:left="0" w:right="0"/>
        <w:jc w:val="both"/>
      </w:pPr>
      <w:bookmarkStart w:id="830" w:name="bookmark830"/>
      <w:r>
        <w:rPr>
          <w:rFonts w:ascii="Times New Roman" w:eastAsia="Times New Roman" w:hAnsi="Times New Roman" w:cs="Times New Roman"/>
          <w:b/>
          <w:bCs/>
          <w:color w:val="000000"/>
          <w:spacing w:val="0"/>
          <w:w w:val="100"/>
          <w:position w:val="0"/>
          <w:sz w:val="18"/>
          <w:szCs w:val="18"/>
        </w:rPr>
        <w:t>（</w:t>
      </w:r>
      <w:bookmarkEnd w:id="830"/>
      <w:r>
        <w:rPr>
          <w:rFonts w:ascii="Times New Roman" w:eastAsia="Times New Roman" w:hAnsi="Times New Roman" w:cs="Times New Roman"/>
          <w:b/>
          <w:bCs/>
          <w:color w:val="000000"/>
          <w:spacing w:val="0"/>
          <w:w w:val="100"/>
          <w:position w:val="0"/>
          <w:sz w:val="18"/>
          <w:szCs w:val="18"/>
        </w:rPr>
        <w:t>3）</w:t>
        <w:tab/>
      </w:r>
      <w:r>
        <w:rPr>
          <w:b/>
          <w:bCs/>
          <w:color w:val="000000"/>
          <w:spacing w:val="0"/>
          <w:w w:val="100"/>
          <w:position w:val="0"/>
        </w:rPr>
        <w:t>金融资产和金融负债的终止确认</w:t>
      </w:r>
    </w:p>
    <w:p>
      <w:pPr>
        <w:pStyle w:val="Style31"/>
        <w:keepNext w:val="0"/>
        <w:keepLines w:val="0"/>
        <w:widowControl w:val="0"/>
        <w:numPr>
          <w:ilvl w:val="0"/>
          <w:numId w:val="51"/>
        </w:numPr>
        <w:shd w:val="clear" w:color="auto" w:fill="auto"/>
        <w:tabs>
          <w:tab w:pos="753" w:val="left"/>
        </w:tabs>
        <w:bidi w:val="0"/>
        <w:spacing w:before="0" w:after="100" w:line="312" w:lineRule="exact"/>
        <w:ind w:left="0" w:right="0"/>
        <w:jc w:val="both"/>
      </w:pPr>
      <w:bookmarkStart w:id="831" w:name="bookmark831"/>
      <w:bookmarkEnd w:id="831"/>
      <w:r>
        <w:rPr>
          <w:color w:val="000000"/>
          <w:spacing w:val="0"/>
          <w:w w:val="100"/>
          <w:position w:val="0"/>
        </w:rPr>
        <w:t>金融资产满足下列条件之一的，终止确认金融资产，即从其账户和资产负债表内予以转销：</w:t>
      </w:r>
    </w:p>
    <w:p>
      <w:pPr>
        <w:pStyle w:val="Style31"/>
        <w:keepNext w:val="0"/>
        <w:keepLines w:val="0"/>
        <w:widowControl w:val="0"/>
        <w:shd w:val="clear" w:color="auto" w:fill="auto"/>
        <w:tabs>
          <w:tab w:pos="330" w:val="left"/>
        </w:tabs>
        <w:bidi w:val="0"/>
        <w:spacing w:before="0" w:after="0" w:line="360" w:lineRule="auto"/>
        <w:ind w:left="0" w:right="0" w:firstLine="0"/>
        <w:jc w:val="left"/>
      </w:pPr>
      <w:bookmarkStart w:id="832" w:name="bookmark832"/>
      <w:r>
        <w:rPr>
          <w:rFonts w:ascii="Times New Roman" w:eastAsia="Times New Roman" w:hAnsi="Times New Roman" w:cs="Times New Roman"/>
          <w:color w:val="000000"/>
          <w:spacing w:val="0"/>
          <w:w w:val="100"/>
          <w:position w:val="0"/>
          <w:sz w:val="18"/>
          <w:szCs w:val="18"/>
        </w:rPr>
        <w:t>1</w:t>
      </w:r>
      <w:bookmarkEnd w:id="83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收取该金融资产现金流量的合同权利终止。</w:t>
      </w:r>
    </w:p>
    <w:p>
      <w:pPr>
        <w:pStyle w:val="Style31"/>
        <w:keepNext w:val="0"/>
        <w:keepLines w:val="0"/>
        <w:widowControl w:val="0"/>
        <w:shd w:val="clear" w:color="auto" w:fill="auto"/>
        <w:tabs>
          <w:tab w:pos="349" w:val="left"/>
        </w:tabs>
        <w:bidi w:val="0"/>
        <w:spacing w:before="0" w:after="0" w:line="360" w:lineRule="auto"/>
        <w:ind w:left="0" w:right="0" w:firstLine="0"/>
        <w:jc w:val="left"/>
      </w:pPr>
      <w:bookmarkStart w:id="833" w:name="bookmark833"/>
      <w:r>
        <w:rPr>
          <w:rFonts w:ascii="Times New Roman" w:eastAsia="Times New Roman" w:hAnsi="Times New Roman" w:cs="Times New Roman"/>
          <w:color w:val="000000"/>
          <w:spacing w:val="0"/>
          <w:w w:val="100"/>
          <w:position w:val="0"/>
          <w:sz w:val="18"/>
          <w:szCs w:val="18"/>
        </w:rPr>
        <w:t>2</w:t>
      </w:r>
      <w:bookmarkEnd w:id="83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该金融资产已转移，且该转移满足金融资产终止确认的规定。</w:t>
      </w:r>
    </w:p>
    <w:p>
      <w:pPr>
        <w:pStyle w:val="Style31"/>
        <w:keepNext w:val="0"/>
        <w:keepLines w:val="0"/>
        <w:widowControl w:val="0"/>
        <w:numPr>
          <w:ilvl w:val="0"/>
          <w:numId w:val="51"/>
        </w:numPr>
        <w:shd w:val="clear" w:color="auto" w:fill="auto"/>
        <w:tabs>
          <w:tab w:pos="753" w:val="left"/>
        </w:tabs>
        <w:bidi w:val="0"/>
        <w:spacing w:before="0" w:after="0" w:line="312" w:lineRule="exact"/>
        <w:ind w:left="0" w:right="0"/>
        <w:jc w:val="both"/>
      </w:pPr>
      <w:bookmarkStart w:id="834" w:name="bookmark834"/>
      <w:bookmarkEnd w:id="834"/>
      <w:r>
        <w:rPr>
          <w:color w:val="000000"/>
          <w:spacing w:val="0"/>
          <w:w w:val="100"/>
          <w:position w:val="0"/>
        </w:rPr>
        <w:t>金融负债终止确认条件</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金融负债（或其一部分）的现时义务已经解除的，则终止确认该金融负债（或该部分金融负债）。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w:t>
      </w:r>
      <w:r>
        <w:rPr>
          <w:color w:val="000000"/>
          <w:spacing w:val="0"/>
          <w:w w:val="100"/>
          <w:position w:val="0"/>
        </w:rPr>
        <w:t>之间的差额，应当计入当期损益。</w:t>
      </w:r>
    </w:p>
    <w:p>
      <w:pPr>
        <w:pStyle w:val="Style31"/>
        <w:keepNext w:val="0"/>
        <w:keepLines w:val="0"/>
        <w:widowControl w:val="0"/>
        <w:shd w:val="clear" w:color="auto" w:fill="auto"/>
        <w:tabs>
          <w:tab w:pos="748" w:val="left"/>
        </w:tabs>
        <w:bidi w:val="0"/>
        <w:spacing w:before="0" w:after="0" w:line="314" w:lineRule="exact"/>
        <w:ind w:left="0" w:right="0" w:firstLine="360"/>
        <w:jc w:val="both"/>
      </w:pPr>
      <w:bookmarkStart w:id="835" w:name="bookmark835"/>
      <w:r>
        <w:rPr>
          <w:rFonts w:ascii="Times New Roman" w:eastAsia="Times New Roman" w:hAnsi="Times New Roman" w:cs="Times New Roman"/>
          <w:b/>
          <w:bCs/>
          <w:color w:val="000000"/>
          <w:spacing w:val="0"/>
          <w:w w:val="100"/>
          <w:position w:val="0"/>
          <w:sz w:val="18"/>
          <w:szCs w:val="18"/>
        </w:rPr>
        <w:t>（</w:t>
      </w:r>
      <w:bookmarkEnd w:id="835"/>
      <w:r>
        <w:rPr>
          <w:rFonts w:ascii="Times New Roman" w:eastAsia="Times New Roman" w:hAnsi="Times New Roman" w:cs="Times New Roman"/>
          <w:b/>
          <w:bCs/>
          <w:color w:val="000000"/>
          <w:spacing w:val="0"/>
          <w:w w:val="100"/>
          <w:position w:val="0"/>
          <w:sz w:val="18"/>
          <w:szCs w:val="18"/>
        </w:rPr>
        <w:t>4）</w:t>
        <w:tab/>
      </w:r>
      <w:r>
        <w:rPr>
          <w:b/>
          <w:bCs/>
          <w:color w:val="000000"/>
          <w:spacing w:val="0"/>
          <w:w w:val="100"/>
          <w:position w:val="0"/>
        </w:rPr>
        <w:t>金融资产转移的确认依据和计量方法</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31"/>
        <w:keepNext w:val="0"/>
        <w:keepLines w:val="0"/>
        <w:widowControl w:val="0"/>
        <w:numPr>
          <w:ilvl w:val="0"/>
          <w:numId w:val="53"/>
        </w:numPr>
        <w:shd w:val="clear" w:color="auto" w:fill="auto"/>
        <w:tabs>
          <w:tab w:pos="720" w:val="left"/>
        </w:tabs>
        <w:bidi w:val="0"/>
        <w:spacing w:before="0" w:after="0" w:line="314" w:lineRule="exact"/>
        <w:ind w:left="0" w:right="0" w:firstLine="360"/>
        <w:jc w:val="both"/>
      </w:pPr>
      <w:bookmarkStart w:id="836" w:name="bookmark836"/>
      <w:bookmarkEnd w:id="836"/>
      <w:r>
        <w:rPr>
          <w:color w:val="000000"/>
          <w:spacing w:val="0"/>
          <w:w w:val="100"/>
          <w:position w:val="0"/>
        </w:rPr>
        <w:t>转移了金融资产所有权上几乎所有风险和报酬的，则终止确认该金融资产，并将转移中产生或保留的权利和义务单独 确认为资产或负债。</w:t>
      </w:r>
    </w:p>
    <w:p>
      <w:pPr>
        <w:pStyle w:val="Style31"/>
        <w:keepNext w:val="0"/>
        <w:keepLines w:val="0"/>
        <w:widowControl w:val="0"/>
        <w:numPr>
          <w:ilvl w:val="0"/>
          <w:numId w:val="53"/>
        </w:numPr>
        <w:shd w:val="clear" w:color="auto" w:fill="auto"/>
        <w:tabs>
          <w:tab w:pos="724" w:val="left"/>
        </w:tabs>
        <w:bidi w:val="0"/>
        <w:spacing w:before="0" w:after="0" w:line="314" w:lineRule="exact"/>
        <w:ind w:left="0" w:right="0" w:firstLine="360"/>
        <w:jc w:val="both"/>
      </w:pPr>
      <w:bookmarkStart w:id="837" w:name="bookmark837"/>
      <w:bookmarkEnd w:id="837"/>
      <w:r>
        <w:rPr>
          <w:color w:val="000000"/>
          <w:spacing w:val="0"/>
          <w:w w:val="100"/>
          <w:position w:val="0"/>
        </w:rPr>
        <w:t>保留了金融资产所有权上几乎所有风险和报酬的，则继续确认该金融资产。</w:t>
      </w:r>
    </w:p>
    <w:p>
      <w:pPr>
        <w:pStyle w:val="Style31"/>
        <w:keepNext w:val="0"/>
        <w:keepLines w:val="0"/>
        <w:widowControl w:val="0"/>
        <w:numPr>
          <w:ilvl w:val="0"/>
          <w:numId w:val="53"/>
        </w:numPr>
        <w:shd w:val="clear" w:color="auto" w:fill="auto"/>
        <w:tabs>
          <w:tab w:pos="720" w:val="left"/>
        </w:tabs>
        <w:bidi w:val="0"/>
        <w:spacing w:before="0" w:after="0" w:line="314" w:lineRule="exact"/>
        <w:ind w:left="0" w:right="0" w:firstLine="360"/>
        <w:jc w:val="both"/>
      </w:pPr>
      <w:bookmarkStart w:id="838" w:name="bookmark838"/>
      <w:bookmarkEnd w:id="838"/>
      <w:r>
        <w:rPr>
          <w:color w:val="000000"/>
          <w:spacing w:val="0"/>
          <w:w w:val="100"/>
          <w:position w:val="0"/>
        </w:rPr>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）之外的其他情形），则根据 其是否保留了对金融资产的控制，分别下列情形处理：</w:t>
      </w:r>
    </w:p>
    <w:p>
      <w:pPr>
        <w:pStyle w:val="Style31"/>
        <w:keepNext w:val="0"/>
        <w:keepLines w:val="0"/>
        <w:widowControl w:val="0"/>
        <w:shd w:val="clear" w:color="auto" w:fill="auto"/>
        <w:tabs>
          <w:tab w:pos="681" w:val="left"/>
        </w:tabs>
        <w:bidi w:val="0"/>
        <w:spacing w:before="0" w:after="0" w:line="314" w:lineRule="exact"/>
        <w:ind w:left="0" w:right="0" w:firstLine="360"/>
        <w:jc w:val="both"/>
      </w:pPr>
      <w:bookmarkStart w:id="839" w:name="bookmark839"/>
      <w:r>
        <w:rPr>
          <w:rFonts w:ascii="Times New Roman" w:eastAsia="Times New Roman" w:hAnsi="Times New Roman" w:cs="Times New Roman"/>
          <w:color w:val="000000"/>
          <w:spacing w:val="0"/>
          <w:w w:val="100"/>
          <w:position w:val="0"/>
          <w:sz w:val="18"/>
          <w:szCs w:val="18"/>
        </w:rPr>
        <w:t>1</w:t>
      </w:r>
      <w:bookmarkEnd w:id="8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未保留对该金融资产控制的，则终止确认该金融资产，并将转移中产生或保留的权利和义务单独确认为资产或负债。</w:t>
      </w:r>
    </w:p>
    <w:p>
      <w:pPr>
        <w:pStyle w:val="Style31"/>
        <w:keepNext w:val="0"/>
        <w:keepLines w:val="0"/>
        <w:widowControl w:val="0"/>
        <w:shd w:val="clear" w:color="auto" w:fill="auto"/>
        <w:tabs>
          <w:tab w:pos="691" w:val="left"/>
        </w:tabs>
        <w:bidi w:val="0"/>
        <w:spacing w:before="0" w:after="0" w:line="314" w:lineRule="exact"/>
        <w:ind w:left="0" w:right="0" w:firstLine="360"/>
        <w:jc w:val="both"/>
      </w:pPr>
      <w:bookmarkStart w:id="840" w:name="bookmark840"/>
      <w:r>
        <w:rPr>
          <w:rFonts w:ascii="Times New Roman" w:eastAsia="Times New Roman" w:hAnsi="Times New Roman" w:cs="Times New Roman"/>
          <w:color w:val="000000"/>
          <w:spacing w:val="0"/>
          <w:w w:val="100"/>
          <w:position w:val="0"/>
          <w:sz w:val="18"/>
          <w:szCs w:val="18"/>
        </w:rPr>
        <w:t>2</w:t>
      </w:r>
      <w:bookmarkEnd w:id="8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保留了对该金融资产控制的，则按照其继续涉入被转移金融资产的程度继续确认有关金融资产，并相应确认相关负债。 继续涉入被转移金融资产的程度，是指本公司承担的被转移金融资产价值变动风险或报酬的程度。</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31"/>
        <w:keepNext w:val="0"/>
        <w:keepLines w:val="0"/>
        <w:widowControl w:val="0"/>
        <w:numPr>
          <w:ilvl w:val="0"/>
          <w:numId w:val="55"/>
        </w:numPr>
        <w:shd w:val="clear" w:color="auto" w:fill="auto"/>
        <w:tabs>
          <w:tab w:pos="724" w:val="left"/>
        </w:tabs>
        <w:bidi w:val="0"/>
        <w:spacing w:before="0" w:after="0" w:line="314" w:lineRule="exact"/>
        <w:ind w:left="0" w:right="0" w:firstLine="360"/>
        <w:jc w:val="both"/>
      </w:pPr>
      <w:bookmarkStart w:id="841" w:name="bookmark841"/>
      <w:bookmarkEnd w:id="841"/>
      <w:r>
        <w:rPr>
          <w:color w:val="000000"/>
          <w:spacing w:val="0"/>
          <w:w w:val="100"/>
          <w:position w:val="0"/>
        </w:rPr>
        <w:t>金融资产整体转移满足终止确认条件的，将下列两项金额的差额计入当期损益：</w:t>
      </w:r>
    </w:p>
    <w:p>
      <w:pPr>
        <w:pStyle w:val="Style31"/>
        <w:keepNext w:val="0"/>
        <w:keepLines w:val="0"/>
        <w:widowControl w:val="0"/>
        <w:shd w:val="clear" w:color="auto" w:fill="auto"/>
        <w:tabs>
          <w:tab w:pos="681" w:val="left"/>
        </w:tabs>
        <w:bidi w:val="0"/>
        <w:spacing w:before="0" w:after="0" w:line="314" w:lineRule="exact"/>
        <w:ind w:left="0" w:right="0" w:firstLine="360"/>
        <w:jc w:val="both"/>
      </w:pPr>
      <w:bookmarkStart w:id="842" w:name="bookmark842"/>
      <w:r>
        <w:rPr>
          <w:rFonts w:ascii="Times New Roman" w:eastAsia="Times New Roman" w:hAnsi="Times New Roman" w:cs="Times New Roman"/>
          <w:color w:val="000000"/>
          <w:spacing w:val="0"/>
          <w:w w:val="100"/>
          <w:position w:val="0"/>
          <w:sz w:val="18"/>
          <w:szCs w:val="18"/>
        </w:rPr>
        <w:t>1</w:t>
      </w:r>
      <w:bookmarkEnd w:id="8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被转移金融资产在终止确认日的账面价值。</w:t>
      </w:r>
    </w:p>
    <w:p>
      <w:pPr>
        <w:pStyle w:val="Style31"/>
        <w:keepNext w:val="0"/>
        <w:keepLines w:val="0"/>
        <w:widowControl w:val="0"/>
        <w:shd w:val="clear" w:color="auto" w:fill="auto"/>
        <w:tabs>
          <w:tab w:pos="691" w:val="left"/>
        </w:tabs>
        <w:bidi w:val="0"/>
        <w:spacing w:before="0" w:after="0" w:line="314" w:lineRule="exact"/>
        <w:ind w:left="0" w:right="0" w:firstLine="360"/>
        <w:jc w:val="both"/>
      </w:pPr>
      <w:bookmarkStart w:id="843" w:name="bookmark843"/>
      <w:r>
        <w:rPr>
          <w:rFonts w:ascii="Times New Roman" w:eastAsia="Times New Roman" w:hAnsi="Times New Roman" w:cs="Times New Roman"/>
          <w:color w:val="000000"/>
          <w:spacing w:val="0"/>
          <w:w w:val="100"/>
          <w:position w:val="0"/>
          <w:sz w:val="18"/>
          <w:szCs w:val="18"/>
        </w:rPr>
        <w:t>2</w:t>
      </w:r>
      <w:bookmarkEnd w:id="8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因转移金融资产而收到的对价，与原直接计入其他综合收益的公允价值变动累计额中对应终止确认部分的金额（涉及 转移的金融资产为以公允价值计量且其变动计入其他综合收益的金融资产）之和。</w:t>
      </w:r>
    </w:p>
    <w:p>
      <w:pPr>
        <w:pStyle w:val="Style31"/>
        <w:keepNext w:val="0"/>
        <w:keepLines w:val="0"/>
        <w:widowControl w:val="0"/>
        <w:numPr>
          <w:ilvl w:val="0"/>
          <w:numId w:val="55"/>
        </w:numPr>
        <w:shd w:val="clear" w:color="auto" w:fill="auto"/>
        <w:tabs>
          <w:tab w:pos="720" w:val="left"/>
        </w:tabs>
        <w:bidi w:val="0"/>
        <w:spacing w:before="0" w:after="0" w:line="314" w:lineRule="exact"/>
        <w:ind w:left="0" w:right="0" w:firstLine="360"/>
        <w:jc w:val="both"/>
      </w:pPr>
      <w:bookmarkStart w:id="844" w:name="bookmark844"/>
      <w:bookmarkEnd w:id="844"/>
      <w:r>
        <w:rPr>
          <w:color w:val="000000"/>
          <w:spacing w:val="0"/>
          <w:w w:val="100"/>
          <w:position w:val="0"/>
        </w:rPr>
        <w:t>金融资产部分转移且该被转移部分整体满足终止确认条件的，将转移前金融资产整体的账面价值，在终止确认部分和 继续确认部分（在此种情形下，所保留的服务资产应当视同继续确认金融资产的一部分）之间，按照转移日各自的相对公允 价值进行分摊，并将下列两项金额的差额计入当期损益：</w:t>
      </w:r>
    </w:p>
    <w:p>
      <w:pPr>
        <w:pStyle w:val="Style31"/>
        <w:keepNext w:val="0"/>
        <w:keepLines w:val="0"/>
        <w:widowControl w:val="0"/>
        <w:shd w:val="clear" w:color="auto" w:fill="auto"/>
        <w:tabs>
          <w:tab w:pos="681" w:val="left"/>
        </w:tabs>
        <w:bidi w:val="0"/>
        <w:spacing w:before="0" w:after="0" w:line="314" w:lineRule="exact"/>
        <w:ind w:left="0" w:right="0" w:firstLine="360"/>
        <w:jc w:val="both"/>
      </w:pPr>
      <w:bookmarkStart w:id="845" w:name="bookmark845"/>
      <w:r>
        <w:rPr>
          <w:rFonts w:ascii="Times New Roman" w:eastAsia="Times New Roman" w:hAnsi="Times New Roman" w:cs="Times New Roman"/>
          <w:color w:val="000000"/>
          <w:spacing w:val="0"/>
          <w:w w:val="100"/>
          <w:position w:val="0"/>
          <w:sz w:val="18"/>
          <w:szCs w:val="18"/>
        </w:rPr>
        <w:t>1</w:t>
      </w:r>
      <w:bookmarkEnd w:id="8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终止确认部分在终止确认日的账面价值。</w:t>
      </w:r>
    </w:p>
    <w:p>
      <w:pPr>
        <w:pStyle w:val="Style31"/>
        <w:keepNext w:val="0"/>
        <w:keepLines w:val="0"/>
        <w:widowControl w:val="0"/>
        <w:shd w:val="clear" w:color="auto" w:fill="auto"/>
        <w:tabs>
          <w:tab w:pos="686" w:val="left"/>
        </w:tabs>
        <w:bidi w:val="0"/>
        <w:spacing w:before="0" w:after="0" w:line="314" w:lineRule="exact"/>
        <w:ind w:left="0" w:right="0" w:firstLine="360"/>
        <w:jc w:val="both"/>
      </w:pPr>
      <w:bookmarkStart w:id="846" w:name="bookmark846"/>
      <w:r>
        <w:rPr>
          <w:rFonts w:ascii="Times New Roman" w:eastAsia="Times New Roman" w:hAnsi="Times New Roman" w:cs="Times New Roman"/>
          <w:color w:val="000000"/>
          <w:spacing w:val="0"/>
          <w:w w:val="100"/>
          <w:position w:val="0"/>
          <w:sz w:val="18"/>
          <w:szCs w:val="18"/>
        </w:rPr>
        <w:t>2</w:t>
      </w:r>
      <w:bookmarkEnd w:id="8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终止确认部分收到的对价，与原计入其他综合收益的公允价值变动累计额中对应终止确认部分的金额（涉及转移的金 融资产为以公允价值计量且其变动计入其他综合收益的金融资产）之和。</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shd w:val="clear" w:color="auto" w:fill="auto"/>
        <w:tabs>
          <w:tab w:pos="748" w:val="left"/>
        </w:tabs>
        <w:bidi w:val="0"/>
        <w:spacing w:before="0" w:after="0" w:line="314" w:lineRule="exact"/>
        <w:ind w:left="0" w:right="0" w:firstLine="360"/>
        <w:jc w:val="both"/>
      </w:pPr>
      <w:bookmarkStart w:id="847" w:name="bookmark847"/>
      <w:r>
        <w:rPr>
          <w:rFonts w:ascii="Times New Roman" w:eastAsia="Times New Roman" w:hAnsi="Times New Roman" w:cs="Times New Roman"/>
          <w:b/>
          <w:bCs/>
          <w:color w:val="000000"/>
          <w:spacing w:val="0"/>
          <w:w w:val="100"/>
          <w:position w:val="0"/>
          <w:sz w:val="18"/>
          <w:szCs w:val="18"/>
        </w:rPr>
        <w:t>（</w:t>
      </w:r>
      <w:bookmarkEnd w:id="847"/>
      <w:r>
        <w:rPr>
          <w:rFonts w:ascii="Times New Roman" w:eastAsia="Times New Roman" w:hAnsi="Times New Roman" w:cs="Times New Roman"/>
          <w:b/>
          <w:bCs/>
          <w:color w:val="000000"/>
          <w:spacing w:val="0"/>
          <w:w w:val="100"/>
          <w:position w:val="0"/>
          <w:sz w:val="18"/>
          <w:szCs w:val="18"/>
        </w:rPr>
        <w:t>5）</w:t>
        <w:tab/>
      </w:r>
      <w:r>
        <w:rPr>
          <w:b/>
          <w:bCs/>
          <w:color w:val="000000"/>
          <w:spacing w:val="0"/>
          <w:w w:val="100"/>
          <w:position w:val="0"/>
        </w:rPr>
        <w:t>金融资产和金融负债公允价值的确定方法</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初始取得或衍生的金融资产或承担的金融负债，以市场交易价格作为确定其公允价值的基础。</w:t>
      </w:r>
    </w:p>
    <w:p>
      <w:pPr>
        <w:pStyle w:val="Style3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31"/>
        <w:keepNext w:val="0"/>
        <w:keepLines w:val="0"/>
        <w:widowControl w:val="0"/>
        <w:shd w:val="clear" w:color="auto" w:fill="auto"/>
        <w:tabs>
          <w:tab w:pos="748" w:val="left"/>
        </w:tabs>
        <w:bidi w:val="0"/>
        <w:spacing w:before="0" w:after="0" w:line="360" w:lineRule="auto"/>
        <w:ind w:left="0" w:right="0" w:firstLine="360"/>
        <w:jc w:val="both"/>
      </w:pPr>
      <w:bookmarkStart w:id="848" w:name="bookmark848"/>
      <w:r>
        <w:rPr>
          <w:rFonts w:ascii="Times New Roman" w:eastAsia="Times New Roman" w:hAnsi="Times New Roman" w:cs="Times New Roman"/>
          <w:b/>
          <w:bCs/>
          <w:color w:val="000000"/>
          <w:spacing w:val="0"/>
          <w:w w:val="100"/>
          <w:position w:val="0"/>
          <w:sz w:val="18"/>
          <w:szCs w:val="18"/>
        </w:rPr>
        <w:t>（</w:t>
      </w:r>
      <w:bookmarkEnd w:id="848"/>
      <w:r>
        <w:rPr>
          <w:rFonts w:ascii="Times New Roman" w:eastAsia="Times New Roman" w:hAnsi="Times New Roman" w:cs="Times New Roman"/>
          <w:b/>
          <w:bCs/>
          <w:color w:val="000000"/>
          <w:spacing w:val="0"/>
          <w:w w:val="100"/>
          <w:position w:val="0"/>
          <w:sz w:val="18"/>
          <w:szCs w:val="18"/>
        </w:rPr>
        <w:t>6）</w:t>
        <w:tab/>
      </w:r>
      <w:r>
        <w:rPr>
          <w:b/>
          <w:bCs/>
          <w:color w:val="000000"/>
          <w:spacing w:val="0"/>
          <w:w w:val="100"/>
          <w:position w:val="0"/>
        </w:rPr>
        <w:t>金融工具减值</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本公司以预期信用损失为基础，对分类为以摊余成本计量的金融资产、分类为以公允价值计量且其变动计入其他综合收 益的金融资产以及财务担保合同，进行减值会计处理并确认损失准备。</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对由收入准则规范的交易形成的应收款项，本公司运用简化计量方法，按照相当于整个存续期内预期信用损失的金额计 量损失准备。</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w:t>
      </w:r>
      <w:r>
        <w:rPr>
          <w:color w:val="000000"/>
          <w:spacing w:val="0"/>
          <w:w w:val="100"/>
          <w:position w:val="0"/>
        </w:rPr>
        <w:t>使该资产负债表日确定的整个存续期内预期信用损失小于初始确认时估计现金流量所反映的预期信用损失的金额，也将预期 信用损失的有利变动确认为减值利得。</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31"/>
        <w:keepNext w:val="0"/>
        <w:keepLines w:val="0"/>
        <w:widowControl w:val="0"/>
        <w:numPr>
          <w:ilvl w:val="0"/>
          <w:numId w:val="57"/>
        </w:numPr>
        <w:shd w:val="clear" w:color="auto" w:fill="auto"/>
        <w:tabs>
          <w:tab w:pos="728" w:val="left"/>
        </w:tabs>
        <w:bidi w:val="0"/>
        <w:spacing w:before="0" w:after="0" w:line="313" w:lineRule="exact"/>
        <w:ind w:left="0" w:right="0"/>
        <w:jc w:val="both"/>
      </w:pPr>
      <w:bookmarkStart w:id="849" w:name="bookmark849"/>
      <w:bookmarkEnd w:id="849"/>
      <w:r>
        <w:rPr>
          <w:color w:val="000000"/>
          <w:spacing w:val="0"/>
          <w:w w:val="100"/>
          <w:position w:val="0"/>
        </w:rPr>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 信用损失的金额计量其损失准备，并按照账面余额和实际利率计算利息收入。</w:t>
      </w:r>
    </w:p>
    <w:p>
      <w:pPr>
        <w:pStyle w:val="Style31"/>
        <w:keepNext w:val="0"/>
        <w:keepLines w:val="0"/>
        <w:widowControl w:val="0"/>
        <w:numPr>
          <w:ilvl w:val="0"/>
          <w:numId w:val="57"/>
        </w:numPr>
        <w:shd w:val="clear" w:color="auto" w:fill="auto"/>
        <w:tabs>
          <w:tab w:pos="728" w:val="left"/>
        </w:tabs>
        <w:bidi w:val="0"/>
        <w:spacing w:before="0" w:after="0" w:line="313" w:lineRule="exact"/>
        <w:ind w:left="0" w:right="0"/>
        <w:jc w:val="both"/>
      </w:pPr>
      <w:bookmarkStart w:id="850" w:name="bookmark850"/>
      <w:bookmarkEnd w:id="850"/>
      <w:r>
        <w:rPr>
          <w:color w:val="000000"/>
          <w:spacing w:val="0"/>
          <w:w w:val="100"/>
          <w:position w:val="0"/>
        </w:rPr>
        <w:t>如果该金融工具的信用风险自初始确认后已显著增加但尚未发生信用减值的，处于第二阶段，则按照相当于该金融工 具整个存续期内预期信用损失的金额计量其损失准备，并按照账面余额和实际利率计算利息收入。</w:t>
      </w:r>
    </w:p>
    <w:p>
      <w:pPr>
        <w:pStyle w:val="Style31"/>
        <w:keepNext w:val="0"/>
        <w:keepLines w:val="0"/>
        <w:widowControl w:val="0"/>
        <w:numPr>
          <w:ilvl w:val="0"/>
          <w:numId w:val="57"/>
        </w:numPr>
        <w:shd w:val="clear" w:color="auto" w:fill="auto"/>
        <w:tabs>
          <w:tab w:pos="728" w:val="left"/>
        </w:tabs>
        <w:bidi w:val="0"/>
        <w:spacing w:before="0" w:after="0" w:line="313" w:lineRule="exact"/>
        <w:ind w:left="0" w:right="0"/>
        <w:jc w:val="both"/>
      </w:pPr>
      <w:bookmarkStart w:id="851" w:name="bookmark851"/>
      <w:bookmarkEnd w:id="851"/>
      <w:r>
        <w:rPr>
          <w:color w:val="000000"/>
          <w:spacing w:val="0"/>
          <w:w w:val="100"/>
          <w:position w:val="0"/>
        </w:rPr>
        <w:t>如果该金融工具自初始确认后已经发生信用减值的，处于第三阶段，本公司按照相当于该金融工具整个存续期内预期 信用损失的金额计量其损失准备，并按照摊余成本和实际利率计算利息收入。</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31"/>
        <w:keepNext w:val="0"/>
        <w:keepLines w:val="0"/>
        <w:widowControl w:val="0"/>
        <w:numPr>
          <w:ilvl w:val="0"/>
          <w:numId w:val="59"/>
        </w:numPr>
        <w:shd w:val="clear" w:color="auto" w:fill="auto"/>
        <w:tabs>
          <w:tab w:pos="753" w:val="left"/>
        </w:tabs>
        <w:bidi w:val="0"/>
        <w:spacing w:before="0" w:after="0" w:line="313" w:lineRule="exact"/>
        <w:ind w:left="0" w:right="0"/>
        <w:jc w:val="both"/>
      </w:pPr>
      <w:bookmarkStart w:id="852" w:name="bookmark852"/>
      <w:bookmarkEnd w:id="852"/>
      <w:r>
        <w:rPr>
          <w:color w:val="000000"/>
          <w:spacing w:val="0"/>
          <w:w w:val="100"/>
          <w:position w:val="0"/>
        </w:rPr>
        <w:t>信用风险显著增加</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本公司在评估信用风险是否显著增加时会考虑如下因素：</w:t>
      </w:r>
    </w:p>
    <w:p>
      <w:pPr>
        <w:pStyle w:val="Style31"/>
        <w:keepNext w:val="0"/>
        <w:keepLines w:val="0"/>
        <w:widowControl w:val="0"/>
        <w:shd w:val="clear" w:color="auto" w:fill="auto"/>
        <w:tabs>
          <w:tab w:pos="729" w:val="left"/>
        </w:tabs>
        <w:bidi w:val="0"/>
        <w:spacing w:before="0" w:after="0" w:line="360" w:lineRule="auto"/>
        <w:ind w:left="0" w:right="0"/>
        <w:jc w:val="both"/>
      </w:pPr>
      <w:bookmarkStart w:id="853" w:name="bookmark853"/>
      <w:r>
        <w:rPr>
          <w:rFonts w:ascii="Times New Roman" w:eastAsia="Times New Roman" w:hAnsi="Times New Roman" w:cs="Times New Roman"/>
          <w:color w:val="000000"/>
          <w:spacing w:val="0"/>
          <w:w w:val="100"/>
          <w:position w:val="0"/>
          <w:sz w:val="18"/>
          <w:szCs w:val="18"/>
        </w:rPr>
        <w:t>1</w:t>
      </w:r>
      <w:bookmarkEnd w:id="853"/>
      <w:r>
        <w:rPr>
          <w:color w:val="000000"/>
          <w:spacing w:val="0"/>
          <w:w w:val="100"/>
          <w:position w:val="0"/>
        </w:rPr>
        <w:t>）</w:t>
        <w:tab/>
        <w:t>债务人经营成果实际或预期是否发生显著变化；</w:t>
      </w:r>
    </w:p>
    <w:p>
      <w:pPr>
        <w:pStyle w:val="Style31"/>
        <w:keepNext w:val="0"/>
        <w:keepLines w:val="0"/>
        <w:widowControl w:val="0"/>
        <w:shd w:val="clear" w:color="auto" w:fill="auto"/>
        <w:tabs>
          <w:tab w:pos="748" w:val="left"/>
        </w:tabs>
        <w:bidi w:val="0"/>
        <w:spacing w:before="0" w:after="0" w:line="360" w:lineRule="auto"/>
        <w:ind w:left="0" w:right="0"/>
        <w:jc w:val="both"/>
      </w:pPr>
      <w:bookmarkStart w:id="854" w:name="bookmark854"/>
      <w:r>
        <w:rPr>
          <w:rFonts w:ascii="Times New Roman" w:eastAsia="Times New Roman" w:hAnsi="Times New Roman" w:cs="Times New Roman"/>
          <w:color w:val="000000"/>
          <w:spacing w:val="0"/>
          <w:w w:val="100"/>
          <w:position w:val="0"/>
          <w:sz w:val="18"/>
          <w:szCs w:val="18"/>
        </w:rPr>
        <w:t>2</w:t>
      </w:r>
      <w:bookmarkEnd w:id="854"/>
      <w:r>
        <w:rPr>
          <w:color w:val="000000"/>
          <w:spacing w:val="0"/>
          <w:w w:val="100"/>
          <w:position w:val="0"/>
        </w:rPr>
        <w:t>）</w:t>
        <w:tab/>
        <w:t>债务人所处的监管、经济或技术环境是否发生显著不利变化；</w:t>
      </w:r>
    </w:p>
    <w:p>
      <w:pPr>
        <w:pStyle w:val="Style31"/>
        <w:keepNext w:val="0"/>
        <w:keepLines w:val="0"/>
        <w:widowControl w:val="0"/>
        <w:shd w:val="clear" w:color="auto" w:fill="auto"/>
        <w:tabs>
          <w:tab w:pos="718" w:val="left"/>
        </w:tabs>
        <w:bidi w:val="0"/>
        <w:spacing w:before="0" w:after="100" w:line="313" w:lineRule="exact"/>
        <w:ind w:left="0" w:right="0"/>
        <w:jc w:val="both"/>
      </w:pPr>
      <w:bookmarkStart w:id="855" w:name="bookmark855"/>
      <w:r>
        <w:rPr>
          <w:rFonts w:ascii="Times New Roman" w:eastAsia="Times New Roman" w:hAnsi="Times New Roman" w:cs="Times New Roman"/>
          <w:color w:val="000000"/>
          <w:spacing w:val="0"/>
          <w:w w:val="100"/>
          <w:position w:val="0"/>
          <w:sz w:val="18"/>
          <w:szCs w:val="18"/>
        </w:rPr>
        <w:t>3</w:t>
      </w:r>
      <w:bookmarkEnd w:id="855"/>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31"/>
        <w:keepNext w:val="0"/>
        <w:keepLines w:val="0"/>
        <w:widowControl w:val="0"/>
        <w:shd w:val="clear" w:color="auto" w:fill="auto"/>
        <w:tabs>
          <w:tab w:pos="748" w:val="left"/>
        </w:tabs>
        <w:bidi w:val="0"/>
        <w:spacing w:before="0" w:after="0" w:line="360" w:lineRule="auto"/>
        <w:ind w:left="0" w:right="0"/>
        <w:jc w:val="both"/>
      </w:pPr>
      <w:bookmarkStart w:id="856" w:name="bookmark856"/>
      <w:r>
        <w:rPr>
          <w:rFonts w:ascii="Times New Roman" w:eastAsia="Times New Roman" w:hAnsi="Times New Roman" w:cs="Times New Roman"/>
          <w:color w:val="000000"/>
          <w:spacing w:val="0"/>
          <w:w w:val="100"/>
          <w:position w:val="0"/>
          <w:sz w:val="18"/>
          <w:szCs w:val="18"/>
        </w:rPr>
        <w:t>4</w:t>
      </w:r>
      <w:bookmarkEnd w:id="856"/>
      <w:r>
        <w:rPr>
          <w:color w:val="000000"/>
          <w:spacing w:val="0"/>
          <w:w w:val="100"/>
          <w:position w:val="0"/>
        </w:rPr>
        <w:t>）</w:t>
        <w:tab/>
        <w:t>债务人预期表现和还款行为是否发生显著变化；</w:t>
      </w:r>
    </w:p>
    <w:p>
      <w:pPr>
        <w:pStyle w:val="Style31"/>
        <w:keepNext w:val="0"/>
        <w:keepLines w:val="0"/>
        <w:widowControl w:val="0"/>
        <w:shd w:val="clear" w:color="auto" w:fill="auto"/>
        <w:tabs>
          <w:tab w:pos="748" w:val="left"/>
        </w:tabs>
        <w:bidi w:val="0"/>
        <w:spacing w:before="0" w:after="0" w:line="360" w:lineRule="auto"/>
        <w:ind w:left="0" w:right="0"/>
        <w:jc w:val="both"/>
      </w:pPr>
      <w:bookmarkStart w:id="857" w:name="bookmark857"/>
      <w:r>
        <w:rPr>
          <w:rFonts w:ascii="Times New Roman" w:eastAsia="Times New Roman" w:hAnsi="Times New Roman" w:cs="Times New Roman"/>
          <w:color w:val="000000"/>
          <w:spacing w:val="0"/>
          <w:w w:val="100"/>
          <w:position w:val="0"/>
          <w:sz w:val="18"/>
          <w:szCs w:val="18"/>
        </w:rPr>
        <w:t>5</w:t>
      </w:r>
      <w:bookmarkEnd w:id="857"/>
      <w:r>
        <w:rPr>
          <w:color w:val="000000"/>
          <w:spacing w:val="0"/>
          <w:w w:val="100"/>
          <w:position w:val="0"/>
        </w:rPr>
        <w:t>）</w:t>
        <w:tab/>
        <w:t>本公司对金融工具信用管理方法是否发生变化等。</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31"/>
        <w:keepNext w:val="0"/>
        <w:keepLines w:val="0"/>
        <w:widowControl w:val="0"/>
        <w:numPr>
          <w:ilvl w:val="0"/>
          <w:numId w:val="59"/>
        </w:numPr>
        <w:shd w:val="clear" w:color="auto" w:fill="auto"/>
        <w:tabs>
          <w:tab w:pos="753" w:val="left"/>
        </w:tabs>
        <w:bidi w:val="0"/>
        <w:spacing w:before="0" w:after="0" w:line="313" w:lineRule="exact"/>
        <w:ind w:left="0" w:right="0"/>
        <w:jc w:val="both"/>
      </w:pPr>
      <w:bookmarkStart w:id="858" w:name="bookmark858"/>
      <w:bookmarkEnd w:id="858"/>
      <w:r>
        <w:rPr>
          <w:color w:val="000000"/>
          <w:spacing w:val="0"/>
          <w:w w:val="100"/>
          <w:position w:val="0"/>
        </w:rPr>
        <w:t>已发生信用减值的金融资产</w:t>
      </w:r>
    </w:p>
    <w:p>
      <w:pPr>
        <w:pStyle w:val="Style31"/>
        <w:keepNext w:val="0"/>
        <w:keepLines w:val="0"/>
        <w:widowControl w:val="0"/>
        <w:shd w:val="clear" w:color="auto" w:fill="auto"/>
        <w:bidi w:val="0"/>
        <w:spacing w:before="0" w:after="100" w:line="313"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31"/>
        <w:keepNext w:val="0"/>
        <w:keepLines w:val="0"/>
        <w:widowControl w:val="0"/>
        <w:shd w:val="clear" w:color="auto" w:fill="auto"/>
        <w:tabs>
          <w:tab w:pos="729" w:val="left"/>
        </w:tabs>
        <w:bidi w:val="0"/>
        <w:spacing w:before="0" w:after="0" w:line="360" w:lineRule="auto"/>
        <w:ind w:left="0" w:right="0"/>
        <w:jc w:val="both"/>
      </w:pPr>
      <w:bookmarkStart w:id="859" w:name="bookmark859"/>
      <w:r>
        <w:rPr>
          <w:rFonts w:ascii="Times New Roman" w:eastAsia="Times New Roman" w:hAnsi="Times New Roman" w:cs="Times New Roman"/>
          <w:color w:val="000000"/>
          <w:spacing w:val="0"/>
          <w:w w:val="100"/>
          <w:position w:val="0"/>
          <w:sz w:val="18"/>
          <w:szCs w:val="18"/>
        </w:rPr>
        <w:t>1</w:t>
      </w:r>
      <w:bookmarkEnd w:id="859"/>
      <w:r>
        <w:rPr>
          <w:color w:val="000000"/>
          <w:spacing w:val="0"/>
          <w:w w:val="100"/>
          <w:position w:val="0"/>
        </w:rPr>
        <w:t>）</w:t>
        <w:tab/>
        <w:t>发行方或债务人发生重大财务困难；</w:t>
      </w:r>
    </w:p>
    <w:p>
      <w:pPr>
        <w:pStyle w:val="Style31"/>
        <w:keepNext w:val="0"/>
        <w:keepLines w:val="0"/>
        <w:widowControl w:val="0"/>
        <w:shd w:val="clear" w:color="auto" w:fill="auto"/>
        <w:tabs>
          <w:tab w:pos="748" w:val="left"/>
        </w:tabs>
        <w:bidi w:val="0"/>
        <w:spacing w:before="0" w:after="0" w:line="360" w:lineRule="auto"/>
        <w:ind w:left="0" w:right="0"/>
        <w:jc w:val="both"/>
      </w:pPr>
      <w:bookmarkStart w:id="860" w:name="bookmark860"/>
      <w:r>
        <w:rPr>
          <w:rFonts w:ascii="Times New Roman" w:eastAsia="Times New Roman" w:hAnsi="Times New Roman" w:cs="Times New Roman"/>
          <w:color w:val="000000"/>
          <w:spacing w:val="0"/>
          <w:w w:val="100"/>
          <w:position w:val="0"/>
          <w:sz w:val="18"/>
          <w:szCs w:val="18"/>
        </w:rPr>
        <w:t>2</w:t>
      </w:r>
      <w:bookmarkEnd w:id="860"/>
      <w:r>
        <w:rPr>
          <w:color w:val="000000"/>
          <w:spacing w:val="0"/>
          <w:w w:val="100"/>
          <w:position w:val="0"/>
        </w:rPr>
        <w:t>）</w:t>
        <w:tab/>
        <w:t>债务人违反合同，如偿付利息或本金违约或逾期等；</w:t>
      </w:r>
    </w:p>
    <w:p>
      <w:pPr>
        <w:pStyle w:val="Style31"/>
        <w:keepNext w:val="0"/>
        <w:keepLines w:val="0"/>
        <w:widowControl w:val="0"/>
        <w:shd w:val="clear" w:color="auto" w:fill="auto"/>
        <w:tabs>
          <w:tab w:pos="738" w:val="left"/>
        </w:tabs>
        <w:bidi w:val="0"/>
        <w:spacing w:before="0" w:after="0" w:line="360" w:lineRule="auto"/>
        <w:ind w:left="0" w:right="0"/>
        <w:jc w:val="both"/>
      </w:pPr>
      <w:bookmarkStart w:id="861" w:name="bookmark861"/>
      <w:r>
        <w:rPr>
          <w:rFonts w:ascii="Times New Roman" w:eastAsia="Times New Roman" w:hAnsi="Times New Roman" w:cs="Times New Roman"/>
          <w:color w:val="000000"/>
          <w:spacing w:val="0"/>
          <w:w w:val="100"/>
          <w:position w:val="0"/>
          <w:sz w:val="18"/>
          <w:szCs w:val="18"/>
        </w:rPr>
        <w:t>3</w:t>
      </w:r>
      <w:bookmarkEnd w:id="861"/>
      <w:r>
        <w:rPr>
          <w:color w:val="000000"/>
          <w:spacing w:val="0"/>
          <w:w w:val="100"/>
          <w:position w:val="0"/>
        </w:rPr>
        <w:t>）</w:t>
        <w:tab/>
        <w:t>债权人出于与债务人财务困难有关的经济或合同考虑，给予债务人在任何其他情况下都不会做出的让步；</w:t>
      </w:r>
    </w:p>
    <w:p>
      <w:pPr>
        <w:pStyle w:val="Style31"/>
        <w:keepNext w:val="0"/>
        <w:keepLines w:val="0"/>
        <w:widowControl w:val="0"/>
        <w:shd w:val="clear" w:color="auto" w:fill="auto"/>
        <w:tabs>
          <w:tab w:pos="748" w:val="left"/>
        </w:tabs>
        <w:bidi w:val="0"/>
        <w:spacing w:before="0" w:after="0" w:line="360" w:lineRule="auto"/>
        <w:ind w:left="0" w:right="0"/>
        <w:jc w:val="both"/>
      </w:pPr>
      <w:bookmarkStart w:id="862" w:name="bookmark862"/>
      <w:r>
        <w:rPr>
          <w:rFonts w:ascii="Times New Roman" w:eastAsia="Times New Roman" w:hAnsi="Times New Roman" w:cs="Times New Roman"/>
          <w:color w:val="000000"/>
          <w:spacing w:val="0"/>
          <w:w w:val="100"/>
          <w:position w:val="0"/>
          <w:sz w:val="18"/>
          <w:szCs w:val="18"/>
        </w:rPr>
        <w:t>4</w:t>
      </w:r>
      <w:bookmarkEnd w:id="862"/>
      <w:r>
        <w:rPr>
          <w:color w:val="000000"/>
          <w:spacing w:val="0"/>
          <w:w w:val="100"/>
          <w:position w:val="0"/>
        </w:rPr>
        <w:t>）</w:t>
        <w:tab/>
        <w:t>债务人很可能破产或进行其他财务重组；</w:t>
      </w:r>
    </w:p>
    <w:p>
      <w:pPr>
        <w:pStyle w:val="Style31"/>
        <w:keepNext w:val="0"/>
        <w:keepLines w:val="0"/>
        <w:widowControl w:val="0"/>
        <w:shd w:val="clear" w:color="auto" w:fill="auto"/>
        <w:tabs>
          <w:tab w:pos="748" w:val="left"/>
        </w:tabs>
        <w:bidi w:val="0"/>
        <w:spacing w:before="0" w:after="0" w:line="360" w:lineRule="auto"/>
        <w:ind w:left="0" w:right="0"/>
        <w:jc w:val="both"/>
      </w:pPr>
      <w:bookmarkStart w:id="863" w:name="bookmark863"/>
      <w:r>
        <w:rPr>
          <w:rFonts w:ascii="Times New Roman" w:eastAsia="Times New Roman" w:hAnsi="Times New Roman" w:cs="Times New Roman"/>
          <w:color w:val="000000"/>
          <w:spacing w:val="0"/>
          <w:w w:val="100"/>
          <w:position w:val="0"/>
          <w:sz w:val="18"/>
          <w:szCs w:val="18"/>
        </w:rPr>
        <w:t>5</w:t>
      </w:r>
      <w:bookmarkEnd w:id="863"/>
      <w:r>
        <w:rPr>
          <w:color w:val="000000"/>
          <w:spacing w:val="0"/>
          <w:w w:val="100"/>
          <w:position w:val="0"/>
        </w:rPr>
        <w:t>）</w:t>
        <w:tab/>
        <w:t>发行方或债务人财务困难导致该金融资产的活跃市场消失；</w:t>
      </w:r>
    </w:p>
    <w:p>
      <w:pPr>
        <w:pStyle w:val="Style31"/>
        <w:keepNext w:val="0"/>
        <w:keepLines w:val="0"/>
        <w:widowControl w:val="0"/>
        <w:shd w:val="clear" w:color="auto" w:fill="auto"/>
        <w:tabs>
          <w:tab w:pos="748" w:val="left"/>
        </w:tabs>
        <w:bidi w:val="0"/>
        <w:spacing w:before="0" w:after="0" w:line="360" w:lineRule="auto"/>
        <w:ind w:left="0" w:right="0"/>
        <w:jc w:val="both"/>
      </w:pPr>
      <w:bookmarkStart w:id="864" w:name="bookmark864"/>
      <w:r>
        <w:rPr>
          <w:rFonts w:ascii="Times New Roman" w:eastAsia="Times New Roman" w:hAnsi="Times New Roman" w:cs="Times New Roman"/>
          <w:color w:val="000000"/>
          <w:spacing w:val="0"/>
          <w:w w:val="100"/>
          <w:position w:val="0"/>
          <w:sz w:val="18"/>
          <w:szCs w:val="18"/>
        </w:rPr>
        <w:t>6</w:t>
      </w:r>
      <w:bookmarkEnd w:id="864"/>
      <w:r>
        <w:rPr>
          <w:color w:val="000000"/>
          <w:spacing w:val="0"/>
          <w:w w:val="100"/>
          <w:position w:val="0"/>
        </w:rPr>
        <w:t>）</w:t>
        <w:tab/>
        <w:t>以大幅折扣购买或源生一项金融资产，该折扣反映了发生信用损失的事实。</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金融资产发生信用减值，有可能是多个事件的共同作用所致，未必是可单独识别的事件所致。</w:t>
      </w:r>
    </w:p>
    <w:p>
      <w:pPr>
        <w:pStyle w:val="Style31"/>
        <w:keepNext w:val="0"/>
        <w:keepLines w:val="0"/>
        <w:widowControl w:val="0"/>
        <w:numPr>
          <w:ilvl w:val="0"/>
          <w:numId w:val="59"/>
        </w:numPr>
        <w:shd w:val="clear" w:color="auto" w:fill="auto"/>
        <w:tabs>
          <w:tab w:pos="753" w:val="left"/>
        </w:tabs>
        <w:bidi w:val="0"/>
        <w:spacing w:before="0" w:after="0" w:line="313" w:lineRule="exact"/>
        <w:ind w:left="0" w:right="0"/>
        <w:jc w:val="both"/>
      </w:pPr>
      <w:bookmarkStart w:id="865" w:name="bookmark865"/>
      <w:bookmarkEnd w:id="865"/>
      <w:r>
        <w:rPr>
          <w:color w:val="000000"/>
          <w:spacing w:val="0"/>
          <w:w w:val="100"/>
          <w:position w:val="0"/>
        </w:rPr>
        <w:t>预期信用损失的确定</w:t>
      </w:r>
    </w:p>
    <w:p>
      <w:pPr>
        <w:pStyle w:val="Style31"/>
        <w:keepNext w:val="0"/>
        <w:keepLines w:val="0"/>
        <w:widowControl w:val="0"/>
        <w:shd w:val="clear" w:color="auto" w:fill="auto"/>
        <w:bidi w:val="0"/>
        <w:spacing w:before="0" w:after="60" w:line="313" w:lineRule="exact"/>
        <w:ind w:left="0" w:right="0"/>
        <w:jc w:val="both"/>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31"/>
        <w:keepNext w:val="0"/>
        <w:keepLines w:val="0"/>
        <w:widowControl w:val="0"/>
        <w:shd w:val="clear" w:color="auto" w:fill="auto"/>
        <w:bidi w:val="0"/>
        <w:spacing w:before="0" w:after="100" w:line="314" w:lineRule="exact"/>
        <w:ind w:left="0" w:right="0"/>
        <w:jc w:val="left"/>
      </w:pPr>
      <w:r>
        <w:rPr>
          <w:color w:val="000000"/>
          <w:spacing w:val="0"/>
          <w:w w:val="100"/>
          <w:position w:val="0"/>
        </w:rPr>
        <w:t>本公司按照下列方法确定相关金融工具的预期信用损失：</w:t>
      </w:r>
    </w:p>
    <w:p>
      <w:pPr>
        <w:pStyle w:val="Style31"/>
        <w:keepNext w:val="0"/>
        <w:keepLines w:val="0"/>
        <w:widowControl w:val="0"/>
        <w:shd w:val="clear" w:color="auto" w:fill="auto"/>
        <w:tabs>
          <w:tab w:pos="729" w:val="left"/>
        </w:tabs>
        <w:bidi w:val="0"/>
        <w:spacing w:before="0" w:after="0" w:line="360" w:lineRule="auto"/>
        <w:ind w:left="0" w:right="0"/>
        <w:jc w:val="left"/>
      </w:pPr>
      <w:bookmarkStart w:id="866" w:name="bookmark866"/>
      <w:r>
        <w:rPr>
          <w:rFonts w:ascii="Times New Roman" w:eastAsia="Times New Roman" w:hAnsi="Times New Roman" w:cs="Times New Roman"/>
          <w:color w:val="000000"/>
          <w:spacing w:val="0"/>
          <w:w w:val="100"/>
          <w:position w:val="0"/>
          <w:sz w:val="18"/>
          <w:szCs w:val="18"/>
        </w:rPr>
        <w:t>1</w:t>
      </w:r>
      <w:bookmarkEnd w:id="866"/>
      <w:r>
        <w:rPr>
          <w:color w:val="000000"/>
          <w:spacing w:val="0"/>
          <w:w w:val="100"/>
          <w:position w:val="0"/>
        </w:rPr>
        <w:t>）</w:t>
        <w:tab/>
        <w:t>对于金融资产，信用损失为本公司应收取的合同现金流量与预期收取的现金流量之间差额的现值。</w:t>
      </w:r>
    </w:p>
    <w:p>
      <w:pPr>
        <w:pStyle w:val="Style31"/>
        <w:keepNext w:val="0"/>
        <w:keepLines w:val="0"/>
        <w:widowControl w:val="0"/>
        <w:shd w:val="clear" w:color="auto" w:fill="auto"/>
        <w:tabs>
          <w:tab w:pos="718" w:val="left"/>
        </w:tabs>
        <w:bidi w:val="0"/>
        <w:spacing w:before="0" w:after="0" w:line="314" w:lineRule="exact"/>
        <w:ind w:left="0" w:right="0"/>
        <w:jc w:val="left"/>
      </w:pPr>
      <w:bookmarkStart w:id="867" w:name="bookmark867"/>
      <w:r>
        <w:rPr>
          <w:rFonts w:ascii="Times New Roman" w:eastAsia="Times New Roman" w:hAnsi="Times New Roman" w:cs="Times New Roman"/>
          <w:color w:val="000000"/>
          <w:spacing w:val="0"/>
          <w:w w:val="100"/>
          <w:position w:val="0"/>
          <w:sz w:val="18"/>
          <w:szCs w:val="18"/>
        </w:rPr>
        <w:t>2</w:t>
      </w:r>
      <w:bookmarkEnd w:id="867"/>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31"/>
        <w:keepNext w:val="0"/>
        <w:keepLines w:val="0"/>
        <w:widowControl w:val="0"/>
        <w:shd w:val="clear" w:color="auto" w:fill="auto"/>
        <w:tabs>
          <w:tab w:pos="723" w:val="left"/>
        </w:tabs>
        <w:bidi w:val="0"/>
        <w:spacing w:before="0" w:after="0" w:line="314" w:lineRule="exact"/>
        <w:ind w:left="0" w:right="0"/>
        <w:jc w:val="left"/>
      </w:pPr>
      <w:bookmarkStart w:id="868" w:name="bookmark868"/>
      <w:r>
        <w:rPr>
          <w:rFonts w:ascii="Times New Roman" w:eastAsia="Times New Roman" w:hAnsi="Times New Roman" w:cs="Times New Roman"/>
          <w:color w:val="000000"/>
          <w:spacing w:val="0"/>
          <w:w w:val="100"/>
          <w:position w:val="0"/>
          <w:sz w:val="18"/>
          <w:szCs w:val="18"/>
        </w:rPr>
        <w:t>3</w:t>
      </w:r>
      <w:bookmarkEnd w:id="868"/>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31"/>
        <w:keepNext w:val="0"/>
        <w:keepLines w:val="0"/>
        <w:widowControl w:val="0"/>
        <w:numPr>
          <w:ilvl w:val="0"/>
          <w:numId w:val="59"/>
        </w:numPr>
        <w:shd w:val="clear" w:color="auto" w:fill="auto"/>
        <w:bidi w:val="0"/>
        <w:spacing w:before="0" w:after="0" w:line="314" w:lineRule="exact"/>
        <w:ind w:left="0" w:right="0"/>
        <w:jc w:val="left"/>
      </w:pPr>
      <w:bookmarkStart w:id="869" w:name="bookmark869"/>
      <w:bookmarkEnd w:id="869"/>
      <w:r>
        <w:rPr>
          <w:color w:val="000000"/>
          <w:spacing w:val="0"/>
          <w:w w:val="100"/>
          <w:position w:val="0"/>
        </w:rPr>
        <w:t>减记金融资产</w:t>
      </w:r>
    </w:p>
    <w:p>
      <w:pPr>
        <w:pStyle w:val="Style31"/>
        <w:keepNext w:val="0"/>
        <w:keepLines w:val="0"/>
        <w:widowControl w:val="0"/>
        <w:shd w:val="clear" w:color="auto" w:fill="auto"/>
        <w:bidi w:val="0"/>
        <w:spacing w:before="0" w:after="100" w:line="341" w:lineRule="exact"/>
        <w:ind w:left="0" w:right="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3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金融资产及金融负债的抵销</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31"/>
        <w:keepNext w:val="0"/>
        <w:keepLines w:val="0"/>
        <w:widowControl w:val="0"/>
        <w:numPr>
          <w:ilvl w:val="0"/>
          <w:numId w:val="61"/>
        </w:numPr>
        <w:shd w:val="clear" w:color="auto" w:fill="auto"/>
        <w:tabs>
          <w:tab w:pos="753" w:val="left"/>
        </w:tabs>
        <w:bidi w:val="0"/>
        <w:spacing w:before="0" w:after="0" w:line="317" w:lineRule="exact"/>
        <w:ind w:left="0" w:right="0"/>
        <w:jc w:val="left"/>
      </w:pPr>
      <w:bookmarkStart w:id="870" w:name="bookmark870"/>
      <w:bookmarkEnd w:id="870"/>
      <w:r>
        <w:rPr>
          <w:color w:val="000000"/>
          <w:spacing w:val="0"/>
          <w:w w:val="100"/>
          <w:position w:val="0"/>
        </w:rPr>
        <w:t>本公司具有抵销已确认金额的法定权利，且该种法定权利是当前可执行的；</w:t>
      </w:r>
    </w:p>
    <w:p>
      <w:pPr>
        <w:pStyle w:val="Style31"/>
        <w:keepNext w:val="0"/>
        <w:keepLines w:val="0"/>
        <w:widowControl w:val="0"/>
        <w:numPr>
          <w:ilvl w:val="0"/>
          <w:numId w:val="61"/>
        </w:numPr>
        <w:shd w:val="clear" w:color="auto" w:fill="auto"/>
        <w:tabs>
          <w:tab w:pos="753" w:val="left"/>
        </w:tabs>
        <w:bidi w:val="0"/>
        <w:spacing w:before="0" w:after="700" w:line="317" w:lineRule="exact"/>
        <w:ind w:left="0" w:right="0"/>
        <w:jc w:val="left"/>
      </w:pPr>
      <w:bookmarkStart w:id="871" w:name="bookmark871"/>
      <w:bookmarkEnd w:id="871"/>
      <w:r>
        <w:rPr>
          <w:color w:val="000000"/>
          <w:spacing w:val="0"/>
          <w:w w:val="100"/>
          <w:position w:val="0"/>
        </w:rPr>
        <w:t>本公司计划以净额结算，或同时变现该金融资产和清偿该金融负债。</w:t>
      </w:r>
    </w:p>
    <w:p>
      <w:pPr>
        <w:pStyle w:val="Style34"/>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72"/>
      <w:bookmarkEnd w:id="873"/>
      <w:bookmarkEnd w:id="875"/>
    </w:p>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本公司对应收票据的预期信用损失的确定方法及会计处理方法详见本报告第十二节、五、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29"/>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center"/>
        <w:tblLayout w:type="fixed"/>
      </w:tblPr>
      <w:tblGrid>
        <w:gridCol w:w="1661"/>
        <w:gridCol w:w="4118"/>
        <w:gridCol w:w="389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无风险银行承兑票据 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出票人具有较高的信用评级，历史上未发生票据违 约，信用损失风险极低，在短期内履行其支付合同现 金流量义务的能力很强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 经济状况的预测，通过违约风险敞口和未来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或整个存续期预期信用损失率，计算预期信用损失</w:t>
            </w:r>
          </w:p>
        </w:tc>
      </w:tr>
      <w:tr>
        <w:trPr>
          <w:trHeight w:val="97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无风险银行之外的承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兑票据组合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以无风险银行承兑之外的银行承兑汇票和商业承兑 汇票的账龄作为信用特征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 经济状况的预测，根据应收款项账龄组合与整个存 续期预期信用损失率对照表，计算预期信用损失</w:t>
            </w:r>
          </w:p>
        </w:tc>
      </w:tr>
    </w:tbl>
    <w:p>
      <w:pPr>
        <w:widowControl w:val="0"/>
        <w:spacing w:after="619" w:line="1" w:lineRule="exact"/>
      </w:pPr>
    </w:p>
    <w:p>
      <w:pPr>
        <w:pStyle w:val="Style34"/>
        <w:keepNext/>
        <w:keepLines/>
        <w:widowControl w:val="0"/>
        <w:shd w:val="clear" w:color="auto" w:fill="auto"/>
        <w:bidi w:val="0"/>
        <w:spacing w:before="0" w:after="26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76"/>
      <w:bookmarkEnd w:id="877"/>
      <w:bookmarkEnd w:id="879"/>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本公司对应收账款的预期信用损失的确定方法及会计处理方法详见本报告第十二节、五、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本公司对在单项工具层面能以合理成本评估预期信用损失的充分证据的应收账款单独确定其信用损失。</w:t>
      </w:r>
    </w:p>
    <w:p>
      <w:pPr>
        <w:pStyle w:val="Style31"/>
        <w:keepNext w:val="0"/>
        <w:keepLines w:val="0"/>
        <w:widowControl w:val="0"/>
        <w:shd w:val="clear" w:color="auto" w:fill="auto"/>
        <w:bidi w:val="0"/>
        <w:spacing w:before="0" w:after="18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2611"/>
        <w:gridCol w:w="3293"/>
        <w:gridCol w:w="371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12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合并范围内关联往来组合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应收合并范围内关联方往来款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 未来经济状况的预测，通过违约风险敞口和未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个月或整个存续期预期信用损失率，计算 预期信用损失</w:t>
            </w:r>
          </w:p>
        </w:tc>
      </w:tr>
      <w:tr>
        <w:trPr>
          <w:trHeight w:val="128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政府机构应收款项组合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主要包括应收政府部门款项，如应收国家 电网电费、应收国家财政支付的电费补贴 款、应收出口退税等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 未来经济状况的预测，通过违约风险敞口和未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个月或整个存续期预期信用损失率，计算 预期信用损失</w:t>
            </w:r>
          </w:p>
        </w:tc>
      </w:tr>
      <w:tr>
        <w:trPr>
          <w:trHeight w:val="12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保证金、押金组合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主要包括应收的房屋租赁保证金、质量保 证金、合约保证金等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 未来经济状况的预测，通过违约风险敞口和未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个月或整个存续期预期信用损失率，计算 预期信用损失</w:t>
            </w:r>
          </w:p>
        </w:tc>
      </w:tr>
      <w:tr>
        <w:trPr>
          <w:trHeight w:val="129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除上述组合之外的应收款项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 未来经济状况的预测，通过违约风险敞口和未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个月或整个存续期预期信用损失率，计算 预期信用损失</w:t>
            </w:r>
          </w:p>
        </w:tc>
      </w:tr>
    </w:tbl>
    <w:p>
      <w:pPr>
        <w:widowControl w:val="0"/>
        <w:spacing w:after="639" w:line="1" w:lineRule="exact"/>
      </w:pPr>
    </w:p>
    <w:p>
      <w:pPr>
        <w:pStyle w:val="Style34"/>
        <w:keepNext/>
        <w:keepLines/>
        <w:widowControl w:val="0"/>
        <w:shd w:val="clear" w:color="auto" w:fill="auto"/>
        <w:bidi w:val="0"/>
        <w:spacing w:before="0" w:after="40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3</w:t>
      </w:r>
      <w:r>
        <w:rPr>
          <w:color w:val="000000"/>
          <w:spacing w:val="0"/>
          <w:w w:val="100"/>
          <w:position w:val="0"/>
        </w:rPr>
        <w:t>、应收款项融资</w:t>
      </w:r>
      <w:bookmarkEnd w:id="880"/>
      <w:bookmarkEnd w:id="881"/>
      <w:bookmarkEnd w:id="883"/>
    </w:p>
    <w:p>
      <w:pPr>
        <w:pStyle w:val="Style31"/>
        <w:keepNext w:val="0"/>
        <w:keepLines w:val="0"/>
        <w:widowControl w:val="0"/>
        <w:shd w:val="clear" w:color="auto" w:fill="auto"/>
        <w:bidi w:val="0"/>
        <w:spacing w:before="0" w:after="700" w:line="240" w:lineRule="auto"/>
        <w:ind w:left="0" w:right="0" w:firstLine="320"/>
        <w:jc w:val="left"/>
      </w:pPr>
      <w:r>
        <w:rPr>
          <w:color w:val="000000"/>
          <w:spacing w:val="0"/>
          <w:w w:val="100"/>
          <w:position w:val="0"/>
        </w:rPr>
        <w:t>本公司对应收款项融资的预期信用损失的确定方法及会计处理方法详见本报告第十二节、五、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keepLines/>
        <w:widowControl w:val="0"/>
        <w:shd w:val="clear" w:color="auto" w:fill="auto"/>
        <w:bidi w:val="0"/>
        <w:spacing w:before="0" w:after="40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4</w:t>
      </w:r>
      <w:r>
        <w:rPr>
          <w:color w:val="000000"/>
          <w:spacing w:val="0"/>
          <w:w w:val="100"/>
          <w:position w:val="0"/>
        </w:rPr>
        <w:t>、其他应收款</w:t>
      </w:r>
      <w:bookmarkEnd w:id="884"/>
      <w:bookmarkEnd w:id="885"/>
      <w:bookmarkEnd w:id="88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700" w:line="240" w:lineRule="auto"/>
        <w:ind w:left="0" w:right="0" w:firstLine="320"/>
        <w:jc w:val="left"/>
      </w:pPr>
      <w:r>
        <w:rPr>
          <w:color w:val="000000"/>
          <w:spacing w:val="0"/>
          <w:w w:val="100"/>
          <w:position w:val="0"/>
        </w:rPr>
        <w:t>本公司对其他应收款的预期信用损失的确定方法及会计处理方法详见本报告第十二节、五、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4"/>
        <w:keepNext/>
        <w:keepLines/>
        <w:widowControl w:val="0"/>
        <w:shd w:val="clear" w:color="auto" w:fill="auto"/>
        <w:bidi w:val="0"/>
        <w:spacing w:before="0" w:after="280" w:line="240" w:lineRule="auto"/>
        <w:ind w:left="0" w:right="0" w:firstLine="0"/>
        <w:jc w:val="left"/>
      </w:pPr>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888"/>
      <w:bookmarkEnd w:id="889"/>
      <w:bookmarkEnd w:id="890"/>
    </w:p>
    <w:p>
      <w:pPr>
        <w:pStyle w:val="Style31"/>
        <w:keepNext w:val="0"/>
        <w:keepLines w:val="0"/>
        <w:widowControl w:val="0"/>
        <w:numPr>
          <w:ilvl w:val="0"/>
          <w:numId w:val="63"/>
        </w:numPr>
        <w:shd w:val="clear" w:color="auto" w:fill="auto"/>
        <w:tabs>
          <w:tab w:pos="717" w:val="left"/>
        </w:tabs>
        <w:bidi w:val="0"/>
        <w:spacing w:before="0" w:after="0" w:line="313" w:lineRule="exact"/>
        <w:ind w:left="0" w:right="0" w:firstLine="320"/>
        <w:jc w:val="both"/>
      </w:pPr>
      <w:bookmarkStart w:id="891" w:name="bookmark891"/>
      <w:bookmarkEnd w:id="891"/>
      <w:r>
        <w:rPr>
          <w:b/>
          <w:bCs/>
          <w:color w:val="000000"/>
          <w:spacing w:val="0"/>
          <w:w w:val="100"/>
          <w:position w:val="0"/>
        </w:rPr>
        <w:t>存货的分类</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耗用的材料和物料等。主要包括原材料、周转材料、委托加工材料、在产品、自制半成品、产成品(库存商品)、发出商品 等。</w:t>
      </w:r>
    </w:p>
    <w:p>
      <w:pPr>
        <w:pStyle w:val="Style31"/>
        <w:keepNext w:val="0"/>
        <w:keepLines w:val="0"/>
        <w:widowControl w:val="0"/>
        <w:numPr>
          <w:ilvl w:val="0"/>
          <w:numId w:val="63"/>
        </w:numPr>
        <w:shd w:val="clear" w:color="auto" w:fill="auto"/>
        <w:tabs>
          <w:tab w:pos="717" w:val="left"/>
        </w:tabs>
        <w:bidi w:val="0"/>
        <w:spacing w:before="0" w:after="0" w:line="313" w:lineRule="exact"/>
        <w:ind w:left="0" w:right="0" w:firstLine="320"/>
        <w:jc w:val="left"/>
      </w:pPr>
      <w:bookmarkStart w:id="892" w:name="bookmark892"/>
      <w:bookmarkEnd w:id="892"/>
      <w:r>
        <w:rPr>
          <w:b/>
          <w:bCs/>
          <w:color w:val="000000"/>
          <w:spacing w:val="0"/>
          <w:w w:val="100"/>
          <w:position w:val="0"/>
        </w:rPr>
        <w:t>存货的计价方法</w:t>
      </w:r>
    </w:p>
    <w:p>
      <w:pPr>
        <w:pStyle w:val="Style31"/>
        <w:keepNext w:val="0"/>
        <w:keepLines w:val="0"/>
        <w:widowControl w:val="0"/>
        <w:shd w:val="clear" w:color="auto" w:fill="auto"/>
        <w:bidi w:val="0"/>
        <w:spacing w:before="0" w:after="0" w:line="313" w:lineRule="exact"/>
        <w:ind w:left="0" w:right="0" w:firstLine="320"/>
        <w:jc w:val="left"/>
      </w:pPr>
      <w:r>
        <w:rPr>
          <w:color w:val="000000"/>
          <w:spacing w:val="0"/>
          <w:w w:val="100"/>
          <w:position w:val="0"/>
        </w:rPr>
        <w:t>存货在取得时，按成本进行初始计量，包括采购成本、加工成本和其他成本。存货发出时按按加权平均法计价。</w:t>
      </w:r>
    </w:p>
    <w:p>
      <w:pPr>
        <w:pStyle w:val="Style31"/>
        <w:keepNext w:val="0"/>
        <w:keepLines w:val="0"/>
        <w:widowControl w:val="0"/>
        <w:numPr>
          <w:ilvl w:val="0"/>
          <w:numId w:val="63"/>
        </w:numPr>
        <w:shd w:val="clear" w:color="auto" w:fill="auto"/>
        <w:tabs>
          <w:tab w:pos="717" w:val="left"/>
        </w:tabs>
        <w:bidi w:val="0"/>
        <w:spacing w:before="0" w:after="0" w:line="313" w:lineRule="exact"/>
        <w:ind w:left="0" w:right="0" w:firstLine="320"/>
        <w:jc w:val="left"/>
      </w:pPr>
      <w:bookmarkStart w:id="893" w:name="bookmark893"/>
      <w:bookmarkEnd w:id="893"/>
      <w:r>
        <w:rPr>
          <w:b/>
          <w:bCs/>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0" w:line="313" w:lineRule="exact"/>
        <w:ind w:left="0" w:right="0" w:firstLine="360"/>
        <w:jc w:val="left"/>
      </w:pPr>
      <w:r>
        <w:rPr>
          <w:color w:val="000000"/>
          <w:spacing w:val="0"/>
          <w:w w:val="100"/>
          <w:position w:val="0"/>
        </w:rPr>
        <w:t xml:space="preserve">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w:t>
      </w:r>
      <w:r>
        <w:rPr>
          <w:color w:val="000000"/>
          <w:spacing w:val="0"/>
          <w:w w:val="100"/>
          <w:position w:val="0"/>
        </w:rPr>
        <w:t>价格为基础计算。</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31"/>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31"/>
        <w:keepNext w:val="0"/>
        <w:keepLines w:val="0"/>
        <w:widowControl w:val="0"/>
        <w:numPr>
          <w:ilvl w:val="0"/>
          <w:numId w:val="63"/>
        </w:numPr>
        <w:shd w:val="clear" w:color="auto" w:fill="auto"/>
        <w:tabs>
          <w:tab w:pos="667" w:val="left"/>
        </w:tabs>
        <w:bidi w:val="0"/>
        <w:spacing w:before="0" w:after="0" w:line="360" w:lineRule="auto"/>
        <w:ind w:left="0" w:right="0" w:firstLine="300"/>
        <w:jc w:val="left"/>
      </w:pPr>
      <w:bookmarkStart w:id="894" w:name="bookmark894"/>
      <w:bookmarkEnd w:id="894"/>
      <w:r>
        <w:rPr>
          <w:b/>
          <w:bCs/>
          <w:color w:val="000000"/>
          <w:spacing w:val="0"/>
          <w:w w:val="100"/>
          <w:position w:val="0"/>
        </w:rPr>
        <w:t>存货的盘存制度</w:t>
      </w:r>
    </w:p>
    <w:p>
      <w:pPr>
        <w:pStyle w:val="Style31"/>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采用永续盘存制。</w:t>
      </w:r>
    </w:p>
    <w:p>
      <w:pPr>
        <w:pStyle w:val="Style31"/>
        <w:keepNext w:val="0"/>
        <w:keepLines w:val="0"/>
        <w:widowControl w:val="0"/>
        <w:numPr>
          <w:ilvl w:val="0"/>
          <w:numId w:val="63"/>
        </w:numPr>
        <w:shd w:val="clear" w:color="auto" w:fill="auto"/>
        <w:tabs>
          <w:tab w:pos="667" w:val="left"/>
        </w:tabs>
        <w:bidi w:val="0"/>
        <w:spacing w:before="0" w:after="0" w:line="360" w:lineRule="auto"/>
        <w:ind w:left="0" w:right="0" w:firstLine="300"/>
        <w:jc w:val="left"/>
      </w:pPr>
      <w:bookmarkStart w:id="895" w:name="bookmark895"/>
      <w:bookmarkEnd w:id="895"/>
      <w:r>
        <w:rPr>
          <w:b/>
          <w:bCs/>
          <w:color w:val="000000"/>
          <w:spacing w:val="0"/>
          <w:w w:val="100"/>
          <w:position w:val="0"/>
        </w:rPr>
        <w:t>低值易耗品和包装物的摊销方法</w:t>
      </w:r>
    </w:p>
    <w:p>
      <w:pPr>
        <w:pStyle w:val="Style31"/>
        <w:keepNext w:val="0"/>
        <w:keepLines w:val="0"/>
        <w:widowControl w:val="0"/>
        <w:numPr>
          <w:ilvl w:val="0"/>
          <w:numId w:val="65"/>
        </w:numPr>
        <w:shd w:val="clear" w:color="auto" w:fill="auto"/>
        <w:tabs>
          <w:tab w:pos="783" w:val="left"/>
        </w:tabs>
        <w:bidi w:val="0"/>
        <w:spacing w:before="0" w:after="0" w:line="312" w:lineRule="exact"/>
        <w:ind w:left="0" w:right="0" w:firstLine="440"/>
        <w:jc w:val="both"/>
      </w:pPr>
      <w:bookmarkStart w:id="896" w:name="bookmark896"/>
      <w:bookmarkEnd w:id="896"/>
      <w:r>
        <w:rPr>
          <w:color w:val="000000"/>
          <w:spacing w:val="0"/>
          <w:w w:val="100"/>
          <w:position w:val="0"/>
        </w:rPr>
        <w:t>低值易耗品采用一次转销法；</w:t>
      </w:r>
    </w:p>
    <w:p>
      <w:pPr>
        <w:pStyle w:val="Style31"/>
        <w:keepNext w:val="0"/>
        <w:keepLines w:val="0"/>
        <w:widowControl w:val="0"/>
        <w:numPr>
          <w:ilvl w:val="0"/>
          <w:numId w:val="65"/>
        </w:numPr>
        <w:shd w:val="clear" w:color="auto" w:fill="auto"/>
        <w:tabs>
          <w:tab w:pos="783" w:val="left"/>
        </w:tabs>
        <w:bidi w:val="0"/>
        <w:spacing w:before="0" w:after="700" w:line="312" w:lineRule="exact"/>
        <w:ind w:left="0" w:right="0" w:firstLine="440"/>
        <w:jc w:val="both"/>
      </w:pPr>
      <w:bookmarkStart w:id="897" w:name="bookmark897"/>
      <w:bookmarkEnd w:id="897"/>
      <w:r>
        <w:rPr>
          <w:color w:val="000000"/>
          <w:spacing w:val="0"/>
          <w:w w:val="100"/>
          <w:position w:val="0"/>
        </w:rPr>
        <w:t>包装物采用一次转销法。</w:t>
      </w:r>
    </w:p>
    <w:p>
      <w:pPr>
        <w:pStyle w:val="Style34"/>
        <w:keepNext/>
        <w:keepLines/>
        <w:widowControl w:val="0"/>
        <w:shd w:val="clear" w:color="auto" w:fill="auto"/>
        <w:bidi w:val="0"/>
        <w:spacing w:before="0" w:after="2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98"/>
      <w:bookmarkEnd w:id="899"/>
      <w:bookmarkEnd w:id="901"/>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合同资产，是指公司已向客户转让商品而有权收取对价的权利，且该权利取决于时间流逝之外的其他因素。如公司向客 户销售两项可明确区分的商品，因已交付其中一项商品而有权收取款项，但收取该款项还取决于交付另一项商品的，公司将 该收款权利作为合同资产。</w:t>
      </w:r>
    </w:p>
    <w:p>
      <w:pPr>
        <w:pStyle w:val="Style31"/>
        <w:keepNext w:val="0"/>
        <w:keepLines w:val="0"/>
        <w:widowControl w:val="0"/>
        <w:shd w:val="clear" w:color="auto" w:fill="auto"/>
        <w:bidi w:val="0"/>
        <w:spacing w:before="0" w:after="700" w:line="313" w:lineRule="exact"/>
        <w:ind w:left="0" w:right="0" w:firstLine="360"/>
        <w:jc w:val="both"/>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、应收账款相关内容描述。公司在资产负债表日计算合同资产预期信 用损失，如果该预期信用损失大于当前合同资产减值准备的账面金额，公司将其差额确认为减值损失，借记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。相反，公司将差额确认为减值利得，做相反的会计记录。公司实际发生信用损失，认定相关合同 资产无法收回，经批准予以核销的，根据批准的核销金额，借记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。若核销金额大于已 计提的损失准备，按其差额借记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2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902"/>
      <w:bookmarkEnd w:id="903"/>
      <w:bookmarkEnd w:id="905"/>
    </w:p>
    <w:p>
      <w:pPr>
        <w:pStyle w:val="Style31"/>
        <w:keepNext w:val="0"/>
        <w:keepLines w:val="0"/>
        <w:widowControl w:val="0"/>
        <w:numPr>
          <w:ilvl w:val="0"/>
          <w:numId w:val="67"/>
        </w:numPr>
        <w:shd w:val="clear" w:color="auto" w:fill="auto"/>
        <w:tabs>
          <w:tab w:pos="676" w:val="left"/>
        </w:tabs>
        <w:bidi w:val="0"/>
        <w:spacing w:before="0" w:after="0" w:line="314" w:lineRule="exact"/>
        <w:ind w:left="0" w:right="0" w:firstLine="300"/>
        <w:jc w:val="both"/>
      </w:pPr>
      <w:bookmarkStart w:id="906" w:name="bookmark906"/>
      <w:bookmarkEnd w:id="906"/>
      <w:r>
        <w:rPr>
          <w:color w:val="000000"/>
          <w:spacing w:val="0"/>
          <w:w w:val="100"/>
          <w:position w:val="0"/>
        </w:rPr>
        <w:t>与合同成本有关的资产金额的确定方法本公司与合同成本有关的资产包括合同履约成本和合同取得成本。</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合同履约成本，即本公司为履行合同发生的成本，不属于其他企业会计准则规范范围且同时满足下列条件的，作为合同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用)、明确由客户承担的成本以及仅因该合同而发生的其他成本；该成本增加了本公司未来用于履行履约义务的资源；该成 本预期能够收回。</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合同取得成本，即本公司为取得合同发生的增量成本预期能够收回的，作为合同取得成本确认为一项资产；该资产摊销 期限不超过一年的，在发生时计入当期损益。增量成本，是指本公司不取得合同就不会发生的成本(如销售佣金等)。本公 司为取得合同发生的、除预期能够收回的增量成本之外的其他支出(如无论是否取得合同均会发生的差旅费等)，在发生时 计入当期损益，但是，明确由客户承担的除外。</w:t>
      </w:r>
    </w:p>
    <w:p>
      <w:pPr>
        <w:pStyle w:val="Style31"/>
        <w:keepNext w:val="0"/>
        <w:keepLines w:val="0"/>
        <w:widowControl w:val="0"/>
        <w:numPr>
          <w:ilvl w:val="0"/>
          <w:numId w:val="67"/>
        </w:numPr>
        <w:shd w:val="clear" w:color="auto" w:fill="auto"/>
        <w:tabs>
          <w:tab w:pos="731" w:val="left"/>
        </w:tabs>
        <w:bidi w:val="0"/>
        <w:spacing w:before="0" w:after="0" w:line="314" w:lineRule="exact"/>
        <w:ind w:left="0" w:right="0" w:firstLine="360"/>
        <w:jc w:val="both"/>
      </w:pPr>
      <w:bookmarkStart w:id="907" w:name="bookmark907"/>
      <w:bookmarkEnd w:id="907"/>
      <w:r>
        <w:rPr>
          <w:color w:val="000000"/>
          <w:spacing w:val="0"/>
          <w:w w:val="100"/>
          <w:position w:val="0"/>
        </w:rPr>
        <w:t>与合同成本有关的资产的摊销本公司与合同成本有关的资产采用与该资产相关的商品收入确认相同的基础进行摊 销，计入当期损益。</w:t>
      </w:r>
    </w:p>
    <w:p>
      <w:pPr>
        <w:pStyle w:val="Style31"/>
        <w:keepNext w:val="0"/>
        <w:keepLines w:val="0"/>
        <w:widowControl w:val="0"/>
        <w:numPr>
          <w:ilvl w:val="0"/>
          <w:numId w:val="67"/>
        </w:numPr>
        <w:shd w:val="clear" w:color="auto" w:fill="auto"/>
        <w:bidi w:val="0"/>
        <w:spacing w:before="0" w:after="0" w:line="314" w:lineRule="exact"/>
        <w:ind w:left="0" w:right="0" w:firstLine="360"/>
        <w:jc w:val="both"/>
      </w:pPr>
      <w:bookmarkStart w:id="908" w:name="bookmark908"/>
      <w:bookmarkEnd w:id="908"/>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与合同成本有关的资产的减值本公司在确定与合同成本有关的资产的减值损失时，首先对按照其他相关企业会计准 则确认的、与合同有关的其他资产确定减值损失；然后根据其</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账面价值高于本公司因转让与该资产相关的商品预期能够取得的剩余对价以及为转让该相关商品估计将要发生的成本 这两项差额的，超出部分应当计提减值准备，并确认为资产减值损失。</w:t>
      </w:r>
    </w:p>
    <w:p>
      <w:pPr>
        <w:pStyle w:val="Style31"/>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34"/>
        <w:keepNext/>
        <w:keepLines/>
        <w:widowControl w:val="0"/>
        <w:shd w:val="clear" w:color="auto" w:fill="auto"/>
        <w:bidi w:val="0"/>
        <w:spacing w:before="0" w:after="280" w:line="240" w:lineRule="auto"/>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09"/>
      <w:bookmarkEnd w:id="910"/>
      <w:bookmarkEnd w:id="912"/>
    </w:p>
    <w:p>
      <w:pPr>
        <w:pStyle w:val="Style31"/>
        <w:keepNext w:val="0"/>
        <w:keepLines w:val="0"/>
        <w:widowControl w:val="0"/>
        <w:numPr>
          <w:ilvl w:val="0"/>
          <w:numId w:val="69"/>
        </w:numPr>
        <w:shd w:val="clear" w:color="auto" w:fill="auto"/>
        <w:bidi w:val="0"/>
        <w:spacing w:before="0" w:after="0" w:line="313" w:lineRule="exact"/>
        <w:ind w:left="0" w:right="0" w:firstLine="360"/>
        <w:jc w:val="both"/>
      </w:pPr>
      <w:bookmarkStart w:id="913" w:name="bookmark913"/>
      <w:bookmarkEnd w:id="913"/>
      <w:r>
        <w:rPr>
          <w:b/>
          <w:bCs/>
          <w:color w:val="000000"/>
          <w:spacing w:val="0"/>
          <w:w w:val="100"/>
          <w:position w:val="0"/>
        </w:rPr>
        <w:t>划分为持有待售确认标准</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本公司将同时满足下列条件的非流动资产或处置组确认为持有待售组成部分：</w:t>
      </w:r>
    </w:p>
    <w:p>
      <w:pPr>
        <w:pStyle w:val="Style31"/>
        <w:keepNext w:val="0"/>
        <w:keepLines w:val="0"/>
        <w:widowControl w:val="0"/>
        <w:numPr>
          <w:ilvl w:val="0"/>
          <w:numId w:val="71"/>
        </w:numPr>
        <w:shd w:val="clear" w:color="auto" w:fill="auto"/>
        <w:tabs>
          <w:tab w:pos="733" w:val="left"/>
        </w:tabs>
        <w:bidi w:val="0"/>
        <w:spacing w:before="0" w:after="0" w:line="313" w:lineRule="exact"/>
        <w:ind w:left="0" w:right="0" w:firstLine="360"/>
        <w:jc w:val="both"/>
      </w:pPr>
      <w:bookmarkStart w:id="914" w:name="bookmark914"/>
      <w:bookmarkEnd w:id="914"/>
      <w:r>
        <w:rPr>
          <w:color w:val="000000"/>
          <w:spacing w:val="0"/>
          <w:w w:val="100"/>
          <w:position w:val="0"/>
        </w:rPr>
        <w:t>根据类似交易中出售此类资产或处置组的惯例，在当前状况下即可立即出售；</w:t>
      </w:r>
    </w:p>
    <w:p>
      <w:pPr>
        <w:pStyle w:val="Style31"/>
        <w:keepNext w:val="0"/>
        <w:keepLines w:val="0"/>
        <w:widowControl w:val="0"/>
        <w:numPr>
          <w:ilvl w:val="0"/>
          <w:numId w:val="71"/>
        </w:numPr>
        <w:shd w:val="clear" w:color="auto" w:fill="auto"/>
        <w:tabs>
          <w:tab w:pos="728" w:val="left"/>
        </w:tabs>
        <w:bidi w:val="0"/>
        <w:spacing w:before="0" w:after="0" w:line="313" w:lineRule="exact"/>
        <w:ind w:left="0" w:right="0" w:firstLine="360"/>
        <w:jc w:val="both"/>
      </w:pPr>
      <w:bookmarkStart w:id="915" w:name="bookmark915"/>
      <w:bookmarkEnd w:id="915"/>
      <w:r>
        <w:rPr>
          <w:color w:val="000000"/>
          <w:spacing w:val="0"/>
          <w:w w:val="100"/>
          <w:position w:val="0"/>
        </w:rPr>
        <w:t>出售极可能发生，即本公司已经就一项出售计划作出决议，并已获得监管部门批准，且获得确定的购买承诺，预计出 售将在一年内完成。确定的购买承诺，是指本公司与其他方签订的具有法律约束力的购买协议，该协议包含交易价格、时间 和足够严厉的违约惩罚等重要条款，使协议出现重大调整或者撤销的可能性极小。</w:t>
      </w:r>
    </w:p>
    <w:p>
      <w:pPr>
        <w:pStyle w:val="Style31"/>
        <w:keepNext w:val="0"/>
        <w:keepLines w:val="0"/>
        <w:widowControl w:val="0"/>
        <w:numPr>
          <w:ilvl w:val="0"/>
          <w:numId w:val="69"/>
        </w:numPr>
        <w:shd w:val="clear" w:color="auto" w:fill="auto"/>
        <w:bidi w:val="0"/>
        <w:spacing w:before="0" w:after="0" w:line="313" w:lineRule="exact"/>
        <w:ind w:left="0" w:right="0" w:firstLine="320"/>
        <w:jc w:val="left"/>
      </w:pPr>
      <w:bookmarkStart w:id="916" w:name="bookmark916"/>
      <w:bookmarkEnd w:id="916"/>
      <w:r>
        <w:rPr>
          <w:b/>
          <w:bCs/>
          <w:color w:val="000000"/>
          <w:spacing w:val="0"/>
          <w:w w:val="100"/>
          <w:position w:val="0"/>
        </w:rPr>
        <w:t>持有待售核算方法</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31"/>
        <w:keepNext w:val="0"/>
        <w:keepLines w:val="0"/>
        <w:widowControl w:val="0"/>
        <w:shd w:val="clear" w:color="auto" w:fill="auto"/>
        <w:bidi w:val="0"/>
        <w:spacing w:before="0" w:after="700" w:line="313" w:lineRule="exact"/>
        <w:ind w:left="0" w:right="0" w:firstLine="36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34"/>
        <w:keepNext/>
        <w:keepLines/>
        <w:widowControl w:val="0"/>
        <w:shd w:val="clear" w:color="auto" w:fill="auto"/>
        <w:bidi w:val="0"/>
        <w:spacing w:before="0" w:after="380" w:line="240" w:lineRule="auto"/>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917"/>
      <w:bookmarkEnd w:id="918"/>
      <w:bookmarkEnd w:id="920"/>
    </w:p>
    <w:p>
      <w:pPr>
        <w:pStyle w:val="Style31"/>
        <w:keepNext w:val="0"/>
        <w:keepLines w:val="0"/>
        <w:widowControl w:val="0"/>
        <w:shd w:val="clear" w:color="auto" w:fill="auto"/>
        <w:bidi w:val="0"/>
        <w:spacing w:before="0" w:after="700" w:line="240" w:lineRule="auto"/>
        <w:ind w:left="0" w:right="0" w:firstLine="300"/>
        <w:jc w:val="left"/>
      </w:pP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921"/>
      <w:bookmarkEnd w:id="922"/>
      <w:bookmarkEnd w:id="924"/>
    </w:p>
    <w:p>
      <w:pPr>
        <w:pStyle w:val="Style31"/>
        <w:keepNext w:val="0"/>
        <w:keepLines w:val="0"/>
        <w:widowControl w:val="0"/>
        <w:shd w:val="clear" w:color="auto" w:fill="auto"/>
        <w:bidi w:val="0"/>
        <w:spacing w:before="0" w:after="700" w:line="240" w:lineRule="auto"/>
        <w:ind w:left="0" w:right="0" w:firstLine="300"/>
        <w:jc w:val="left"/>
      </w:pP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both"/>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bookmarkEnd w:id="927"/>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925"/>
      <w:bookmarkEnd w:id="926"/>
      <w:bookmarkEnd w:id="928"/>
    </w:p>
    <w:p>
      <w:pPr>
        <w:pStyle w:val="Style31"/>
        <w:keepNext w:val="0"/>
        <w:keepLines w:val="0"/>
        <w:widowControl w:val="0"/>
        <w:shd w:val="clear" w:color="auto" w:fill="auto"/>
        <w:bidi w:val="0"/>
        <w:spacing w:before="0" w:after="700" w:line="312" w:lineRule="exact"/>
        <w:ind w:left="320" w:right="0" w:firstLine="40"/>
        <w:jc w:val="left"/>
      </w:pPr>
      <w:r>
        <w:rPr>
          <w:color w:val="000000"/>
          <w:spacing w:val="0"/>
          <w:w w:val="100"/>
          <w:position w:val="0"/>
        </w:rPr>
        <w:t>本公司对长期应收款的预期信用损失的确定方法及会计处理方法详见本报告第十二节、五、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 本公司对在单项工具层面能以合理成本评估预期信用损失的充分证据的长期应收款单独确定其信用损失。</w:t>
      </w:r>
    </w:p>
    <w:p>
      <w:pPr>
        <w:pStyle w:val="Style34"/>
        <w:keepNext/>
        <w:keepLines/>
        <w:widowControl w:val="0"/>
        <w:shd w:val="clear" w:color="auto" w:fill="auto"/>
        <w:bidi w:val="0"/>
        <w:spacing w:before="0" w:after="280" w:line="240" w:lineRule="auto"/>
        <w:ind w:left="0" w:right="0" w:firstLine="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929"/>
      <w:bookmarkEnd w:id="930"/>
      <w:bookmarkEnd w:id="932"/>
    </w:p>
    <w:p>
      <w:pPr>
        <w:pStyle w:val="Style31"/>
        <w:keepNext w:val="0"/>
        <w:keepLines w:val="0"/>
        <w:widowControl w:val="0"/>
        <w:numPr>
          <w:ilvl w:val="0"/>
          <w:numId w:val="73"/>
        </w:numPr>
        <w:shd w:val="clear" w:color="auto" w:fill="auto"/>
        <w:bidi w:val="0"/>
        <w:spacing w:before="0" w:after="0" w:line="322" w:lineRule="exact"/>
        <w:ind w:left="0" w:right="0" w:firstLine="360"/>
        <w:jc w:val="both"/>
      </w:pPr>
      <w:bookmarkStart w:id="933" w:name="bookmark933"/>
      <w:bookmarkEnd w:id="933"/>
      <w:r>
        <w:rPr>
          <w:b/>
          <w:bCs/>
          <w:color w:val="000000"/>
          <w:spacing w:val="0"/>
          <w:w w:val="100"/>
          <w:position w:val="0"/>
        </w:rPr>
        <w:t>初始投资成本的确定</w:t>
      </w:r>
    </w:p>
    <w:p>
      <w:pPr>
        <w:pStyle w:val="Style31"/>
        <w:keepNext w:val="0"/>
        <w:keepLines w:val="0"/>
        <w:widowControl w:val="0"/>
        <w:numPr>
          <w:ilvl w:val="0"/>
          <w:numId w:val="75"/>
        </w:numPr>
        <w:shd w:val="clear" w:color="auto" w:fill="auto"/>
        <w:tabs>
          <w:tab w:pos="728" w:val="left"/>
        </w:tabs>
        <w:bidi w:val="0"/>
        <w:spacing w:before="0" w:after="0" w:line="322" w:lineRule="exact"/>
        <w:ind w:left="0" w:right="0" w:firstLine="360"/>
        <w:jc w:val="both"/>
      </w:pPr>
      <w:bookmarkStart w:id="934" w:name="bookmark934"/>
      <w:bookmarkEnd w:id="934"/>
      <w:r>
        <w:rPr>
          <w:color w:val="000000"/>
          <w:spacing w:val="0"/>
          <w:w w:val="100"/>
          <w:position w:val="0"/>
        </w:rPr>
        <w:t>企业合并形成的长期股权投资，具体会计政策详见第十二节、五、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同一控制下和非同一控制下企业合并的会计处理 方法。</w:t>
      </w:r>
    </w:p>
    <w:p>
      <w:pPr>
        <w:pStyle w:val="Style31"/>
        <w:keepNext w:val="0"/>
        <w:keepLines w:val="0"/>
        <w:widowControl w:val="0"/>
        <w:numPr>
          <w:ilvl w:val="0"/>
          <w:numId w:val="75"/>
        </w:numPr>
        <w:shd w:val="clear" w:color="auto" w:fill="auto"/>
        <w:tabs>
          <w:tab w:pos="733" w:val="left"/>
        </w:tabs>
        <w:bidi w:val="0"/>
        <w:spacing w:before="0" w:after="0" w:line="322" w:lineRule="exact"/>
        <w:ind w:left="0" w:right="0" w:firstLine="360"/>
        <w:jc w:val="both"/>
      </w:pPr>
      <w:bookmarkStart w:id="935" w:name="bookmark935"/>
      <w:bookmarkEnd w:id="935"/>
      <w:r>
        <w:rPr>
          <w:color w:val="000000"/>
          <w:spacing w:val="0"/>
          <w:w w:val="100"/>
          <w:position w:val="0"/>
        </w:rPr>
        <w:t>其他方式取得的长期股权投资</w:t>
      </w:r>
    </w:p>
    <w:p>
      <w:pPr>
        <w:pStyle w:val="Style31"/>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 xml:space="preserve">以支付现金方式取得的长期股权投资，按照实际支付的购买价款作为初始投资成本。初始投资成本包括与取得长期股权 </w:t>
      </w:r>
      <w:r>
        <w:rPr>
          <w:color w:val="000000"/>
          <w:spacing w:val="0"/>
          <w:w w:val="100"/>
          <w:position w:val="0"/>
        </w:rPr>
        <w:t>投资直接相关的费用、税金及其他必要支出。</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通过债务重组取得的长期股权投资，其初始投资成本按照公允价值为基础确定。</w:t>
      </w:r>
    </w:p>
    <w:p>
      <w:pPr>
        <w:pStyle w:val="Style31"/>
        <w:keepNext w:val="0"/>
        <w:keepLines w:val="0"/>
        <w:widowControl w:val="0"/>
        <w:numPr>
          <w:ilvl w:val="0"/>
          <w:numId w:val="73"/>
        </w:numPr>
        <w:shd w:val="clear" w:color="auto" w:fill="auto"/>
        <w:tabs>
          <w:tab w:pos="744" w:val="left"/>
        </w:tabs>
        <w:bidi w:val="0"/>
        <w:spacing w:before="0" w:after="0" w:line="360" w:lineRule="auto"/>
        <w:ind w:left="0" w:right="0"/>
        <w:jc w:val="both"/>
      </w:pPr>
      <w:bookmarkStart w:id="936" w:name="bookmark936"/>
      <w:bookmarkEnd w:id="936"/>
      <w:r>
        <w:rPr>
          <w:b/>
          <w:bCs/>
          <w:color w:val="000000"/>
          <w:spacing w:val="0"/>
          <w:w w:val="100"/>
          <w:position w:val="0"/>
        </w:rPr>
        <w:t>后续计量及损益确认</w:t>
      </w:r>
    </w:p>
    <w:p>
      <w:pPr>
        <w:pStyle w:val="Style31"/>
        <w:keepNext w:val="0"/>
        <w:keepLines w:val="0"/>
        <w:widowControl w:val="0"/>
        <w:numPr>
          <w:ilvl w:val="0"/>
          <w:numId w:val="77"/>
        </w:numPr>
        <w:shd w:val="clear" w:color="auto" w:fill="auto"/>
        <w:tabs>
          <w:tab w:pos="720" w:val="left"/>
        </w:tabs>
        <w:bidi w:val="0"/>
        <w:spacing w:before="0" w:after="0" w:line="311" w:lineRule="exact"/>
        <w:ind w:left="0" w:right="0"/>
        <w:jc w:val="both"/>
      </w:pPr>
      <w:bookmarkStart w:id="937" w:name="bookmark937"/>
      <w:bookmarkEnd w:id="937"/>
      <w:r>
        <w:rPr>
          <w:color w:val="000000"/>
          <w:spacing w:val="0"/>
          <w:w w:val="100"/>
          <w:position w:val="0"/>
        </w:rPr>
        <w:t>成本法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31"/>
        <w:keepNext w:val="0"/>
        <w:keepLines w:val="0"/>
        <w:widowControl w:val="0"/>
        <w:numPr>
          <w:ilvl w:val="0"/>
          <w:numId w:val="77"/>
        </w:numPr>
        <w:shd w:val="clear" w:color="auto" w:fill="auto"/>
        <w:tabs>
          <w:tab w:pos="720" w:val="left"/>
        </w:tabs>
        <w:bidi w:val="0"/>
        <w:spacing w:before="0" w:after="0" w:line="311" w:lineRule="exact"/>
        <w:ind w:left="0" w:right="0"/>
        <w:jc w:val="both"/>
      </w:pPr>
      <w:bookmarkStart w:id="938" w:name="bookmark938"/>
      <w:bookmarkEnd w:id="938"/>
      <w:r>
        <w:rPr>
          <w:color w:val="000000"/>
          <w:spacing w:val="0"/>
          <w:w w:val="100"/>
          <w:position w:val="0"/>
        </w:rPr>
        <w:t>权益法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31"/>
        <w:keepNext w:val="0"/>
        <w:keepLines w:val="0"/>
        <w:widowControl w:val="0"/>
        <w:numPr>
          <w:ilvl w:val="0"/>
          <w:numId w:val="73"/>
        </w:numPr>
        <w:shd w:val="clear" w:color="auto" w:fill="auto"/>
        <w:tabs>
          <w:tab w:pos="744" w:val="left"/>
        </w:tabs>
        <w:bidi w:val="0"/>
        <w:spacing w:before="0" w:after="0" w:line="360" w:lineRule="auto"/>
        <w:ind w:left="0" w:right="0"/>
        <w:jc w:val="both"/>
      </w:pPr>
      <w:bookmarkStart w:id="939" w:name="bookmark939"/>
      <w:bookmarkEnd w:id="939"/>
      <w:r>
        <w:rPr>
          <w:b/>
          <w:bCs/>
          <w:color w:val="000000"/>
          <w:spacing w:val="0"/>
          <w:w w:val="100"/>
          <w:position w:val="0"/>
        </w:rPr>
        <w:t>长期股权投资核算方法的转换</w:t>
      </w:r>
    </w:p>
    <w:p>
      <w:pPr>
        <w:pStyle w:val="Style31"/>
        <w:keepNext w:val="0"/>
        <w:keepLines w:val="0"/>
        <w:widowControl w:val="0"/>
        <w:numPr>
          <w:ilvl w:val="0"/>
          <w:numId w:val="79"/>
        </w:numPr>
        <w:shd w:val="clear" w:color="auto" w:fill="auto"/>
        <w:tabs>
          <w:tab w:pos="720" w:val="left"/>
        </w:tabs>
        <w:bidi w:val="0"/>
        <w:spacing w:before="0" w:after="0" w:line="314" w:lineRule="exact"/>
        <w:ind w:left="0" w:right="0"/>
        <w:jc w:val="both"/>
      </w:pPr>
      <w:bookmarkStart w:id="940" w:name="bookmark940"/>
      <w:bookmarkEnd w:id="940"/>
      <w:r>
        <w:rPr>
          <w:color w:val="000000"/>
          <w:spacing w:val="0"/>
          <w:w w:val="100"/>
          <w:position w:val="0"/>
        </w:rPr>
        <w:t>公允价值计量转权益法核算</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原持有的股权投资分类为可供出售金融资产的，其公允价值与账面价值之间的差额，以及原计入其他综合收益的累计公 允价值变动转入改按权益法核算的当期损益。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31"/>
        <w:keepNext w:val="0"/>
        <w:keepLines w:val="0"/>
        <w:widowControl w:val="0"/>
        <w:numPr>
          <w:ilvl w:val="0"/>
          <w:numId w:val="79"/>
        </w:numPr>
        <w:shd w:val="clear" w:color="auto" w:fill="auto"/>
        <w:tabs>
          <w:tab w:pos="720" w:val="left"/>
        </w:tabs>
        <w:bidi w:val="0"/>
        <w:spacing w:before="0" w:after="0" w:line="314" w:lineRule="exact"/>
        <w:ind w:left="0" w:right="0"/>
        <w:jc w:val="both"/>
      </w:pPr>
      <w:bookmarkStart w:id="941" w:name="bookmark941"/>
      <w:bookmarkEnd w:id="941"/>
      <w:r>
        <w:rPr>
          <w:color w:val="000000"/>
          <w:spacing w:val="0"/>
          <w:w w:val="100"/>
          <w:position w:val="0"/>
        </w:rPr>
        <w:t>公允价值计量或权益法核算转成本法核算</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购买日之前持有的股权投资因采用权益法核算而确认的其他综合收益，在处置该项投资时采用与被投资单位直接处置相 </w:t>
      </w:r>
      <w:r>
        <w:rPr>
          <w:color w:val="000000"/>
          <w:spacing w:val="0"/>
          <w:w w:val="100"/>
          <w:position w:val="0"/>
        </w:rPr>
        <w:t>关资产或负债相同的基础进行会计处理。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31"/>
        <w:keepNext w:val="0"/>
        <w:keepLines w:val="0"/>
        <w:widowControl w:val="0"/>
        <w:numPr>
          <w:ilvl w:val="0"/>
          <w:numId w:val="79"/>
        </w:numPr>
        <w:shd w:val="clear" w:color="auto" w:fill="auto"/>
        <w:tabs>
          <w:tab w:pos="729" w:val="left"/>
        </w:tabs>
        <w:bidi w:val="0"/>
        <w:spacing w:before="0" w:after="0" w:line="312" w:lineRule="exact"/>
        <w:ind w:left="0" w:right="0"/>
        <w:jc w:val="both"/>
      </w:pPr>
      <w:bookmarkStart w:id="942" w:name="bookmark942"/>
      <w:bookmarkEnd w:id="942"/>
      <w:r>
        <w:rPr>
          <w:color w:val="000000"/>
          <w:spacing w:val="0"/>
          <w:w w:val="100"/>
          <w:position w:val="0"/>
        </w:rPr>
        <w:t>权益法核算转公允价值计量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号——金融工具确认和计量》核算，其在丧失共同控制或重大影响之日的公允价值与账面价值之间的差额计入当期损 </w:t>
      </w:r>
      <w:r>
        <w:rPr>
          <w:color w:val="000000"/>
          <w:spacing w:val="0"/>
          <w:w w:val="100"/>
          <w:position w:val="0"/>
          <w:u w:val="single"/>
        </w:rPr>
        <w:t>益</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31"/>
        <w:keepNext w:val="0"/>
        <w:keepLines w:val="0"/>
        <w:widowControl w:val="0"/>
        <w:numPr>
          <w:ilvl w:val="0"/>
          <w:numId w:val="79"/>
        </w:numPr>
        <w:shd w:val="clear" w:color="auto" w:fill="auto"/>
        <w:tabs>
          <w:tab w:pos="729" w:val="left"/>
        </w:tabs>
        <w:bidi w:val="0"/>
        <w:spacing w:before="0" w:after="0" w:line="312" w:lineRule="exact"/>
        <w:ind w:left="0" w:right="0"/>
        <w:jc w:val="both"/>
      </w:pPr>
      <w:bookmarkStart w:id="943" w:name="bookmark943"/>
      <w:bookmarkEnd w:id="943"/>
      <w:r>
        <w:rPr>
          <w:color w:val="000000"/>
          <w:spacing w:val="0"/>
          <w:w w:val="100"/>
          <w:position w:val="0"/>
        </w:rPr>
        <w:t>成本法转权益法</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31"/>
        <w:keepNext w:val="0"/>
        <w:keepLines w:val="0"/>
        <w:widowControl w:val="0"/>
        <w:numPr>
          <w:ilvl w:val="0"/>
          <w:numId w:val="79"/>
        </w:numPr>
        <w:shd w:val="clear" w:color="auto" w:fill="auto"/>
        <w:tabs>
          <w:tab w:pos="729" w:val="left"/>
        </w:tabs>
        <w:bidi w:val="0"/>
        <w:spacing w:before="0" w:after="0" w:line="312" w:lineRule="exact"/>
        <w:ind w:left="0" w:right="0"/>
        <w:jc w:val="both"/>
      </w:pPr>
      <w:bookmarkStart w:id="944" w:name="bookmark944"/>
      <w:bookmarkEnd w:id="944"/>
      <w:r>
        <w:rPr>
          <w:color w:val="000000"/>
          <w:spacing w:val="0"/>
          <w:w w:val="100"/>
          <w:position w:val="0"/>
        </w:rPr>
        <w:t>成本法转公允价值计量</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 理，其在丧失控制之日的公允价值与账面价值间的差额计入当期损益。</w:t>
      </w:r>
    </w:p>
    <w:p>
      <w:pPr>
        <w:pStyle w:val="Style31"/>
        <w:keepNext w:val="0"/>
        <w:keepLines w:val="0"/>
        <w:widowControl w:val="0"/>
        <w:numPr>
          <w:ilvl w:val="0"/>
          <w:numId w:val="73"/>
        </w:numPr>
        <w:shd w:val="clear" w:color="auto" w:fill="auto"/>
        <w:tabs>
          <w:tab w:pos="753" w:val="left"/>
        </w:tabs>
        <w:bidi w:val="0"/>
        <w:spacing w:before="0" w:after="0" w:line="360" w:lineRule="auto"/>
        <w:ind w:left="0" w:right="0"/>
        <w:jc w:val="both"/>
      </w:pPr>
      <w:bookmarkStart w:id="945" w:name="bookmark945"/>
      <w:bookmarkEnd w:id="945"/>
      <w:r>
        <w:rPr>
          <w:b/>
          <w:bCs/>
          <w:color w:val="000000"/>
          <w:spacing w:val="0"/>
          <w:w w:val="100"/>
          <w:position w:val="0"/>
        </w:rPr>
        <w:t>长期股权投资的处置</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31"/>
        <w:keepNext w:val="0"/>
        <w:keepLines w:val="0"/>
        <w:widowControl w:val="0"/>
        <w:numPr>
          <w:ilvl w:val="0"/>
          <w:numId w:val="81"/>
        </w:numPr>
        <w:shd w:val="clear" w:color="auto" w:fill="auto"/>
        <w:tabs>
          <w:tab w:pos="729" w:val="left"/>
        </w:tabs>
        <w:bidi w:val="0"/>
        <w:spacing w:before="0" w:after="0" w:line="312" w:lineRule="exact"/>
        <w:ind w:left="0" w:right="0"/>
        <w:jc w:val="both"/>
      </w:pPr>
      <w:bookmarkStart w:id="946" w:name="bookmark946"/>
      <w:bookmarkEnd w:id="946"/>
      <w:r>
        <w:rPr>
          <w:color w:val="000000"/>
          <w:spacing w:val="0"/>
          <w:w w:val="100"/>
          <w:position w:val="0"/>
        </w:rPr>
        <w:t>这些交易是同时或者在考虑了彼此影响的情况下订立的；</w:t>
      </w:r>
    </w:p>
    <w:p>
      <w:pPr>
        <w:pStyle w:val="Style31"/>
        <w:keepNext w:val="0"/>
        <w:keepLines w:val="0"/>
        <w:widowControl w:val="0"/>
        <w:numPr>
          <w:ilvl w:val="0"/>
          <w:numId w:val="81"/>
        </w:numPr>
        <w:shd w:val="clear" w:color="auto" w:fill="auto"/>
        <w:tabs>
          <w:tab w:pos="729" w:val="left"/>
        </w:tabs>
        <w:bidi w:val="0"/>
        <w:spacing w:before="0" w:after="0" w:line="312" w:lineRule="exact"/>
        <w:ind w:left="0" w:right="0"/>
        <w:jc w:val="both"/>
      </w:pPr>
      <w:bookmarkStart w:id="947" w:name="bookmark947"/>
      <w:bookmarkEnd w:id="947"/>
      <w:r>
        <w:rPr>
          <w:color w:val="000000"/>
          <w:spacing w:val="0"/>
          <w:w w:val="100"/>
          <w:position w:val="0"/>
        </w:rPr>
        <w:t>这些交易整体才能达成一项完整的商业结果；</w:t>
      </w:r>
    </w:p>
    <w:p>
      <w:pPr>
        <w:pStyle w:val="Style31"/>
        <w:keepNext w:val="0"/>
        <w:keepLines w:val="0"/>
        <w:widowControl w:val="0"/>
        <w:numPr>
          <w:ilvl w:val="0"/>
          <w:numId w:val="81"/>
        </w:numPr>
        <w:shd w:val="clear" w:color="auto" w:fill="auto"/>
        <w:tabs>
          <w:tab w:pos="729" w:val="left"/>
        </w:tabs>
        <w:bidi w:val="0"/>
        <w:spacing w:before="0" w:after="0" w:line="312" w:lineRule="exact"/>
        <w:ind w:left="0" w:right="0"/>
        <w:jc w:val="both"/>
      </w:pPr>
      <w:bookmarkStart w:id="948" w:name="bookmark948"/>
      <w:bookmarkEnd w:id="948"/>
      <w:r>
        <w:rPr>
          <w:color w:val="000000"/>
          <w:spacing w:val="0"/>
          <w:w w:val="100"/>
          <w:position w:val="0"/>
        </w:rPr>
        <w:t>一项交易的发生取决于其他至少一项交易的发生；</w:t>
      </w:r>
    </w:p>
    <w:p>
      <w:pPr>
        <w:pStyle w:val="Style31"/>
        <w:keepNext w:val="0"/>
        <w:keepLines w:val="0"/>
        <w:widowControl w:val="0"/>
        <w:numPr>
          <w:ilvl w:val="0"/>
          <w:numId w:val="81"/>
        </w:numPr>
        <w:shd w:val="clear" w:color="auto" w:fill="auto"/>
        <w:tabs>
          <w:tab w:pos="729" w:val="left"/>
        </w:tabs>
        <w:bidi w:val="0"/>
        <w:spacing w:before="0" w:after="0" w:line="312" w:lineRule="exact"/>
        <w:ind w:left="0" w:right="0"/>
        <w:jc w:val="both"/>
      </w:pPr>
      <w:bookmarkStart w:id="949" w:name="bookmark949"/>
      <w:bookmarkEnd w:id="949"/>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31"/>
        <w:keepNext w:val="0"/>
        <w:keepLines w:val="0"/>
        <w:widowControl w:val="0"/>
        <w:numPr>
          <w:ilvl w:val="0"/>
          <w:numId w:val="83"/>
        </w:numPr>
        <w:shd w:val="clear" w:color="auto" w:fill="auto"/>
        <w:tabs>
          <w:tab w:pos="709" w:val="left"/>
        </w:tabs>
        <w:bidi w:val="0"/>
        <w:spacing w:before="0" w:after="0" w:line="312" w:lineRule="exact"/>
        <w:ind w:left="0" w:right="0"/>
        <w:jc w:val="both"/>
      </w:pPr>
      <w:bookmarkStart w:id="950" w:name="bookmark950"/>
      <w:bookmarkEnd w:id="950"/>
      <w:r>
        <w:rPr>
          <w:color w:val="000000"/>
          <w:spacing w:val="0"/>
          <w:w w:val="100"/>
          <w:position w:val="0"/>
        </w:rPr>
        <w:t>在个别财务报表中，对于处置的股权，其账面价值与实际取得价款之间的差额计入当期损益。处置后的剩余股权能够 对被投资单位实施共同控制或施加重大影响的，改按权益法核算，并对该剩余股权视同自取得时即采用权益法核算进行调整；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 的有关规定进行会计处理，其在丧失控制之日的公允价值与账面价值间的差额计入当期损益。</w:t>
      </w:r>
    </w:p>
    <w:p>
      <w:pPr>
        <w:pStyle w:val="Style31"/>
        <w:keepNext w:val="0"/>
        <w:keepLines w:val="0"/>
        <w:widowControl w:val="0"/>
        <w:numPr>
          <w:ilvl w:val="0"/>
          <w:numId w:val="83"/>
        </w:numPr>
        <w:shd w:val="clear" w:color="auto" w:fill="auto"/>
        <w:tabs>
          <w:tab w:pos="709" w:val="left"/>
        </w:tabs>
        <w:bidi w:val="0"/>
        <w:spacing w:before="0" w:after="0" w:line="312" w:lineRule="exact"/>
        <w:ind w:left="0" w:right="0"/>
        <w:jc w:val="both"/>
      </w:pPr>
      <w:bookmarkStart w:id="951" w:name="bookmark951"/>
      <w:bookmarkEnd w:id="951"/>
      <w:r>
        <w:rPr>
          <w:color w:val="000000"/>
          <w:spacing w:val="0"/>
          <w:w w:val="100"/>
          <w:position w:val="0"/>
        </w:rPr>
        <w:t>在合并财务报表中，对于在丧失对子公司控制权以前的各项交易，处置价款与处置长期股权投资相应对享有子公司自 购买日或合并日开始持续计算的净资产份额之间的差额，调整资本公积(股本溢价)，资本公积不足冲减的，调整留存收益； 在丧失对子公司控制权时，对于剩余股权，按照其在丧失控制权日的公允价值进行重新计量。处置股权取得的对价与剩余股 权公允价值之和，减去按原持股比例计算应享有原有子公司自购买日开始持续计算的净资产的份额之间的差额，计入丧失控 制权当期的投资收益，同时冲减商誉。与原有子公司股权投资相关的其他综合收益等，在丧失控制权时转为当期投资收益。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31"/>
        <w:keepNext w:val="0"/>
        <w:keepLines w:val="0"/>
        <w:widowControl w:val="0"/>
        <w:numPr>
          <w:ilvl w:val="0"/>
          <w:numId w:val="85"/>
        </w:numPr>
        <w:shd w:val="clear" w:color="auto" w:fill="auto"/>
        <w:tabs>
          <w:tab w:pos="704" w:val="left"/>
        </w:tabs>
        <w:bidi w:val="0"/>
        <w:spacing w:before="0" w:after="0" w:line="312" w:lineRule="exact"/>
        <w:ind w:left="0" w:right="0"/>
        <w:jc w:val="both"/>
      </w:pPr>
      <w:bookmarkStart w:id="952" w:name="bookmark952"/>
      <w:bookmarkEnd w:id="952"/>
      <w:r>
        <w:rPr>
          <w:color w:val="000000"/>
          <w:spacing w:val="0"/>
          <w:w w:val="100"/>
          <w:position w:val="0"/>
        </w:rPr>
        <w:t>在个别财务报表中，在丧失控制权之前每一次处置价款与处置的股权对应的长期股权投资账面价值之间的差额，确认 为其他综合收益，在丧失控制权时一并转入丧失控制权当期的损益。</w:t>
      </w:r>
    </w:p>
    <w:p>
      <w:pPr>
        <w:pStyle w:val="Style31"/>
        <w:keepNext w:val="0"/>
        <w:keepLines w:val="0"/>
        <w:widowControl w:val="0"/>
        <w:numPr>
          <w:ilvl w:val="0"/>
          <w:numId w:val="85"/>
        </w:numPr>
        <w:shd w:val="clear" w:color="auto" w:fill="auto"/>
        <w:tabs>
          <w:tab w:pos="704" w:val="left"/>
        </w:tabs>
        <w:bidi w:val="0"/>
        <w:spacing w:before="0" w:after="100" w:line="312" w:lineRule="exact"/>
        <w:ind w:left="0" w:right="0"/>
        <w:jc w:val="both"/>
      </w:pPr>
      <w:bookmarkStart w:id="953" w:name="bookmark953"/>
      <w:bookmarkEnd w:id="953"/>
      <w:r>
        <w:rPr>
          <w:color w:val="000000"/>
          <w:spacing w:val="0"/>
          <w:w w:val="100"/>
          <w:position w:val="0"/>
        </w:rPr>
        <w:t>在合并财务报表中，在丧失控制权之前每一次处置价款与处置投资对应的享有该子公司净资产份额的差额，确认为其 他综合收益，在丧失控制权时一并转入丧失控制权当期的损益。</w:t>
      </w:r>
    </w:p>
    <w:p>
      <w:pPr>
        <w:pStyle w:val="Style31"/>
        <w:keepNext w:val="0"/>
        <w:keepLines w:val="0"/>
        <w:widowControl w:val="0"/>
        <w:numPr>
          <w:ilvl w:val="0"/>
          <w:numId w:val="73"/>
        </w:numPr>
        <w:shd w:val="clear" w:color="auto" w:fill="auto"/>
        <w:tabs>
          <w:tab w:pos="753" w:val="left"/>
        </w:tabs>
        <w:bidi w:val="0"/>
        <w:spacing w:before="0" w:after="0" w:line="360" w:lineRule="auto"/>
        <w:ind w:left="0" w:right="0"/>
        <w:jc w:val="both"/>
      </w:pPr>
      <w:bookmarkStart w:id="954" w:name="bookmark954"/>
      <w:bookmarkEnd w:id="954"/>
      <w:r>
        <w:rPr>
          <w:b/>
          <w:bCs/>
          <w:color w:val="000000"/>
          <w:spacing w:val="0"/>
          <w:w w:val="100"/>
          <w:position w:val="0"/>
        </w:rPr>
        <w:t>共同控制、重大影响的判断标准</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31"/>
        <w:keepNext w:val="0"/>
        <w:keepLines w:val="0"/>
        <w:widowControl w:val="0"/>
        <w:shd w:val="clear" w:color="auto" w:fill="auto"/>
        <w:bidi w:val="0"/>
        <w:spacing w:before="0" w:after="680" w:line="314"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这些政策的制定。本公司通过以下一种或多种情形，并综合考虑所有事实和情况后，判断对被投资单位具有重大影响：①在 被投资单位的董事会或类似权力机构中派有代表;②参与被投资单位财务和经营政策制定过程③与被投资单位之间发生重要 交易；④向被投资单位派出管理人员；⑤向被投资单位提供关键技术资料。</w:t>
      </w:r>
    </w:p>
    <w:p>
      <w:pPr>
        <w:pStyle w:val="Style34"/>
        <w:keepNext/>
        <w:keepLines/>
        <w:widowControl w:val="0"/>
        <w:shd w:val="clear" w:color="auto" w:fill="auto"/>
        <w:tabs>
          <w:tab w:pos="440" w:val="left"/>
        </w:tabs>
        <w:bidi w:val="0"/>
        <w:spacing w:before="0" w:after="260" w:line="240" w:lineRule="auto"/>
        <w:ind w:left="0" w:right="0" w:firstLine="0"/>
        <w:jc w:val="both"/>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55"/>
      <w:bookmarkEnd w:id="956"/>
      <w:bookmarkEnd w:id="958"/>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34"/>
        <w:keepNext/>
        <w:keepLines/>
        <w:widowControl w:val="0"/>
        <w:shd w:val="clear" w:color="auto" w:fill="auto"/>
        <w:tabs>
          <w:tab w:pos="440" w:val="left"/>
        </w:tabs>
        <w:bidi w:val="0"/>
        <w:spacing w:before="0" w:after="38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59"/>
      <w:bookmarkEnd w:id="960"/>
      <w:bookmarkEnd w:id="962"/>
    </w:p>
    <w:p>
      <w:pPr>
        <w:pStyle w:val="Style40"/>
        <w:keepNext/>
        <w:keepLines/>
        <w:widowControl w:val="0"/>
        <w:shd w:val="clear" w:color="auto" w:fill="auto"/>
        <w:bidi w:val="0"/>
        <w:spacing w:before="0" w:after="260" w:line="240" w:lineRule="auto"/>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63"/>
      <w:bookmarkEnd w:id="964"/>
      <w:bookmarkEnd w:id="966"/>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同时满足下列条件时予以确认：①与该固定资产有关的经济利益很可能流入企业；②该固定资产的成本能够可靠地计量。</w:t>
      </w:r>
    </w:p>
    <w:p>
      <w:pPr>
        <w:pStyle w:val="Style40"/>
        <w:keepNext/>
        <w:keepLines/>
        <w:widowControl w:val="0"/>
        <w:shd w:val="clear" w:color="auto" w:fill="auto"/>
        <w:bidi w:val="0"/>
        <w:spacing w:before="0" w:after="320" w:line="240" w:lineRule="auto"/>
        <w:ind w:left="0" w:right="0" w:firstLine="14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67"/>
      <w:bookmarkEnd w:id="968"/>
      <w:bookmarkEnd w:id="97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4.75-3.80%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w:t>
            </w:r>
          </w:p>
        </w:tc>
      </w:tr>
    </w:tbl>
    <w:p>
      <w:pPr>
        <w:widowControl w:val="0"/>
        <w:spacing w:after="319" w:line="1" w:lineRule="exact"/>
      </w:pPr>
    </w:p>
    <w:p>
      <w:pPr>
        <w:pStyle w:val="Style40"/>
        <w:keepNext/>
        <w:keepLines/>
        <w:widowControl w:val="0"/>
        <w:shd w:val="clear" w:color="auto" w:fill="auto"/>
        <w:bidi w:val="0"/>
        <w:spacing w:before="0" w:after="26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71"/>
      <w:bookmarkEnd w:id="972"/>
      <w:bookmarkEnd w:id="974"/>
    </w:p>
    <w:p>
      <w:pPr>
        <w:pStyle w:val="Style31"/>
        <w:keepNext w:val="0"/>
        <w:keepLines w:val="0"/>
        <w:widowControl w:val="0"/>
        <w:shd w:val="clear" w:color="auto" w:fill="auto"/>
        <w:bidi w:val="0"/>
        <w:spacing w:before="0" w:after="400" w:line="311" w:lineRule="exact"/>
        <w:ind w:left="0" w:right="0"/>
        <w:jc w:val="both"/>
      </w:pPr>
      <w:r>
        <w:rPr>
          <w:color w:val="000000"/>
          <w:spacing w:val="0"/>
          <w:w w:val="100"/>
          <w:position w:val="0"/>
        </w:rPr>
        <w:t xml:space="preserve">当本公司租入的固定资产符合下列一项或数项标准时，确认为融资租入固定资产：①在租赁期届满时，租赁资产的所 有权转移给本公司。②本公司有购买租赁资产的选择权，所订立的购买价款预计将远低于行使选择权时租赁资产的公允价 值，因而在租赁开始日就可以合理确定本公司将会行使这种选择权。③即使资产的所有权不转移，但租赁期占租赁资产使用 寿命的大部分。④本公司在租赁开始日的最低租赁付款额现值，几乎相当于租赁开始日租赁资产公允价值。⑤租赁资产性 质特殊，如果不作较大改造，只有本公司才能使用。融资租赁租入的固定资产，按租赁开始日租赁资产公允价值与最低租赁 付款额的现值两者中较低者，作为入账价值。最低租赁付款额作为长期应付款的入账价值，其差额作为未确认融资费用。在 租赁谈判和签订租赁合同过程中发生的，可归属于租赁项目的手续费、律师费、差旅费、印花税等初始直接费用，计入租入 资产价值。未确认融资费用在租赁期内各个期间采用实际利率法进行分摊。本公司采用与自有固定资产相一致的折旧政策计 提融资租入固定资产折旧。能够合理确定租赁期届满时取得租赁资产所有权的，在租赁资产使用寿命内计提折旧。无法合理 </w:t>
      </w:r>
      <w:r>
        <w:rPr>
          <w:color w:val="000000"/>
          <w:spacing w:val="0"/>
          <w:w w:val="100"/>
          <w:position w:val="0"/>
        </w:rPr>
        <w:t>确定租赁期届满时能够取得租赁资产所有权的，在租赁期与租赁资产使用寿命两者中较短的期间内计提折旧。</w:t>
      </w:r>
    </w:p>
    <w:p>
      <w:pPr>
        <w:pStyle w:val="Style34"/>
        <w:keepNext/>
        <w:keepLines/>
        <w:widowControl w:val="0"/>
        <w:shd w:val="clear" w:color="auto" w:fill="auto"/>
        <w:bidi w:val="0"/>
        <w:spacing w:before="0" w:after="40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75"/>
      <w:bookmarkEnd w:id="976"/>
      <w:bookmarkEnd w:id="978"/>
    </w:p>
    <w:p>
      <w:pPr>
        <w:pStyle w:val="Style31"/>
        <w:keepNext w:val="0"/>
        <w:keepLines w:val="0"/>
        <w:widowControl w:val="0"/>
        <w:numPr>
          <w:ilvl w:val="0"/>
          <w:numId w:val="87"/>
        </w:numPr>
        <w:shd w:val="clear" w:color="auto" w:fill="auto"/>
        <w:tabs>
          <w:tab w:pos="717" w:val="left"/>
        </w:tabs>
        <w:bidi w:val="0"/>
        <w:spacing w:before="0" w:after="0" w:line="360" w:lineRule="auto"/>
        <w:ind w:left="0" w:right="0" w:firstLine="320"/>
        <w:jc w:val="left"/>
      </w:pPr>
      <w:bookmarkStart w:id="979" w:name="bookmark979"/>
      <w:bookmarkEnd w:id="979"/>
      <w:r>
        <w:rPr>
          <w:b/>
          <w:bCs/>
          <w:color w:val="000000"/>
          <w:spacing w:val="0"/>
          <w:w w:val="100"/>
          <w:position w:val="0"/>
        </w:rPr>
        <w:t>在建工程初始计量</w:t>
      </w:r>
    </w:p>
    <w:p>
      <w:pPr>
        <w:pStyle w:val="Style31"/>
        <w:keepNext w:val="0"/>
        <w:keepLines w:val="0"/>
        <w:widowControl w:val="0"/>
        <w:shd w:val="clear" w:color="auto" w:fill="auto"/>
        <w:bidi w:val="0"/>
        <w:spacing w:before="0" w:after="100" w:line="312" w:lineRule="exact"/>
        <w:ind w:left="0" w:right="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包括工程用物资成本、人工成本、交纳的相关税费等。</w:t>
      </w:r>
    </w:p>
    <w:p>
      <w:pPr>
        <w:pStyle w:val="Style31"/>
        <w:keepNext w:val="0"/>
        <w:keepLines w:val="0"/>
        <w:widowControl w:val="0"/>
        <w:numPr>
          <w:ilvl w:val="0"/>
          <w:numId w:val="87"/>
        </w:numPr>
        <w:shd w:val="clear" w:color="auto" w:fill="auto"/>
        <w:tabs>
          <w:tab w:pos="717" w:val="left"/>
        </w:tabs>
        <w:bidi w:val="0"/>
        <w:spacing w:before="0" w:after="0" w:line="360" w:lineRule="auto"/>
        <w:ind w:left="0" w:right="0" w:firstLine="320"/>
        <w:jc w:val="both"/>
      </w:pPr>
      <w:bookmarkStart w:id="980" w:name="bookmark980"/>
      <w:bookmarkEnd w:id="980"/>
      <w:r>
        <w:rPr>
          <w:b/>
          <w:bCs/>
          <w:color w:val="000000"/>
          <w:spacing w:val="0"/>
          <w:w w:val="100"/>
          <w:position w:val="0"/>
        </w:rPr>
        <w:t>在建工程结转为固定资产的标准和时点</w:t>
      </w:r>
    </w:p>
    <w:p>
      <w:pPr>
        <w:pStyle w:val="Style31"/>
        <w:keepNext w:val="0"/>
        <w:keepLines w:val="0"/>
        <w:widowControl w:val="0"/>
        <w:shd w:val="clear" w:color="auto" w:fill="auto"/>
        <w:bidi w:val="0"/>
        <w:spacing w:before="0" w:after="700" w:line="312" w:lineRule="exact"/>
        <w:ind w:left="0" w:right="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34"/>
        <w:keepNext/>
        <w:keepLines/>
        <w:widowControl w:val="0"/>
        <w:shd w:val="clear" w:color="auto" w:fill="auto"/>
        <w:bidi w:val="0"/>
        <w:spacing w:before="0" w:after="28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981"/>
      <w:bookmarkEnd w:id="982"/>
      <w:bookmarkEnd w:id="984"/>
    </w:p>
    <w:p>
      <w:pPr>
        <w:pStyle w:val="Style31"/>
        <w:keepNext w:val="0"/>
        <w:keepLines w:val="0"/>
        <w:widowControl w:val="0"/>
        <w:numPr>
          <w:ilvl w:val="0"/>
          <w:numId w:val="89"/>
        </w:numPr>
        <w:shd w:val="clear" w:color="auto" w:fill="auto"/>
        <w:tabs>
          <w:tab w:pos="817" w:val="left"/>
        </w:tabs>
        <w:bidi w:val="0"/>
        <w:spacing w:before="0" w:after="0" w:line="314" w:lineRule="exact"/>
        <w:ind w:left="0" w:right="0" w:firstLine="420"/>
        <w:jc w:val="both"/>
      </w:pPr>
      <w:bookmarkStart w:id="985" w:name="bookmark985"/>
      <w:bookmarkEnd w:id="985"/>
      <w:r>
        <w:rPr>
          <w:b/>
          <w:bCs/>
          <w:color w:val="000000"/>
          <w:spacing w:val="0"/>
          <w:w w:val="100"/>
          <w:position w:val="0"/>
        </w:rPr>
        <w:t>借款费用资本化的确认原则</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借款费用同时满足下列条件时开始资本化：</w:t>
      </w:r>
    </w:p>
    <w:p>
      <w:pPr>
        <w:pStyle w:val="Style31"/>
        <w:keepNext w:val="0"/>
        <w:keepLines w:val="0"/>
        <w:widowControl w:val="0"/>
        <w:numPr>
          <w:ilvl w:val="0"/>
          <w:numId w:val="91"/>
        </w:numPr>
        <w:shd w:val="clear" w:color="auto" w:fill="auto"/>
        <w:tabs>
          <w:tab w:pos="723" w:val="left"/>
        </w:tabs>
        <w:bidi w:val="0"/>
        <w:spacing w:before="0" w:after="0" w:line="314" w:lineRule="exact"/>
        <w:ind w:left="0" w:right="0"/>
        <w:jc w:val="both"/>
      </w:pPr>
      <w:bookmarkStart w:id="986" w:name="bookmark986"/>
      <w:bookmarkEnd w:id="986"/>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31"/>
        <w:keepNext w:val="0"/>
        <w:keepLines w:val="0"/>
        <w:widowControl w:val="0"/>
        <w:numPr>
          <w:ilvl w:val="0"/>
          <w:numId w:val="91"/>
        </w:numPr>
        <w:shd w:val="clear" w:color="auto" w:fill="auto"/>
        <w:tabs>
          <w:tab w:pos="693" w:val="left"/>
        </w:tabs>
        <w:bidi w:val="0"/>
        <w:spacing w:before="0" w:after="0" w:line="314" w:lineRule="exact"/>
        <w:ind w:left="0" w:right="0" w:firstLine="320"/>
        <w:jc w:val="left"/>
      </w:pPr>
      <w:bookmarkStart w:id="987" w:name="bookmark987"/>
      <w:bookmarkEnd w:id="987"/>
      <w:r>
        <w:rPr>
          <w:color w:val="000000"/>
          <w:spacing w:val="0"/>
          <w:w w:val="100"/>
          <w:position w:val="0"/>
        </w:rPr>
        <w:t>借款费用已经发生；</w:t>
      </w:r>
    </w:p>
    <w:p>
      <w:pPr>
        <w:pStyle w:val="Style31"/>
        <w:keepNext w:val="0"/>
        <w:keepLines w:val="0"/>
        <w:widowControl w:val="0"/>
        <w:numPr>
          <w:ilvl w:val="0"/>
          <w:numId w:val="91"/>
        </w:numPr>
        <w:shd w:val="clear" w:color="auto" w:fill="auto"/>
        <w:tabs>
          <w:tab w:pos="693" w:val="left"/>
        </w:tabs>
        <w:bidi w:val="0"/>
        <w:spacing w:before="0" w:after="0" w:line="314" w:lineRule="exact"/>
        <w:ind w:left="0" w:right="0" w:firstLine="320"/>
        <w:jc w:val="left"/>
      </w:pPr>
      <w:bookmarkStart w:id="988" w:name="bookmark988"/>
      <w:bookmarkEnd w:id="988"/>
      <w:r>
        <w:rPr>
          <w:color w:val="000000"/>
          <w:spacing w:val="0"/>
          <w:w w:val="100"/>
          <w:position w:val="0"/>
        </w:rPr>
        <w:t>为使资产达到预定可使用或者可销售状态所必要的购建或者生产活动已经开始。</w:t>
      </w:r>
    </w:p>
    <w:p>
      <w:pPr>
        <w:pStyle w:val="Style31"/>
        <w:keepNext w:val="0"/>
        <w:keepLines w:val="0"/>
        <w:widowControl w:val="0"/>
        <w:numPr>
          <w:ilvl w:val="0"/>
          <w:numId w:val="89"/>
        </w:numPr>
        <w:shd w:val="clear" w:color="auto" w:fill="auto"/>
        <w:tabs>
          <w:tab w:pos="817" w:val="left"/>
        </w:tabs>
        <w:bidi w:val="0"/>
        <w:spacing w:before="0" w:after="0" w:line="314" w:lineRule="exact"/>
        <w:ind w:left="0" w:right="0" w:firstLine="420"/>
        <w:jc w:val="both"/>
      </w:pPr>
      <w:bookmarkStart w:id="989" w:name="bookmark989"/>
      <w:bookmarkEnd w:id="989"/>
      <w:r>
        <w:rPr>
          <w:b/>
          <w:bCs/>
          <w:color w:val="000000"/>
          <w:spacing w:val="0"/>
          <w:w w:val="100"/>
          <w:position w:val="0"/>
        </w:rPr>
        <w:t>借款费用资本化期间</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资本化期间，指从借款费用开始资本化时点到停止资本化时点的期间，借款费用暂停资本化的期间不包括在内。</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0" w:line="314" w:lineRule="exact"/>
        <w:ind w:left="0" w:right="0" w:firstLine="320"/>
        <w:jc w:val="left"/>
      </w:pPr>
      <w:r>
        <w:rPr>
          <w:color w:val="000000"/>
          <w:spacing w:val="0"/>
          <w:w w:val="100"/>
          <w:position w:val="0"/>
        </w:rPr>
        <w:t>当购建或者生产符合资本化条件的资产中部分项目分别完工且可单独使用时，该部分资产借款费用停止资本化。</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1"/>
        <w:keepNext w:val="0"/>
        <w:keepLines w:val="0"/>
        <w:widowControl w:val="0"/>
        <w:numPr>
          <w:ilvl w:val="0"/>
          <w:numId w:val="89"/>
        </w:numPr>
        <w:shd w:val="clear" w:color="auto" w:fill="auto"/>
        <w:tabs>
          <w:tab w:pos="817" w:val="left"/>
        </w:tabs>
        <w:bidi w:val="0"/>
        <w:spacing w:before="0" w:after="0" w:line="314" w:lineRule="exact"/>
        <w:ind w:left="0" w:right="0" w:firstLine="420"/>
        <w:jc w:val="both"/>
      </w:pPr>
      <w:bookmarkStart w:id="990" w:name="bookmark990"/>
      <w:bookmarkEnd w:id="990"/>
      <w:r>
        <w:rPr>
          <w:b/>
          <w:bCs/>
          <w:color w:val="000000"/>
          <w:spacing w:val="0"/>
          <w:w w:val="100"/>
          <w:position w:val="0"/>
        </w:rPr>
        <w:t>暂停资本化期间</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val="0"/>
        <w:keepLines w:val="0"/>
        <w:widowControl w:val="0"/>
        <w:numPr>
          <w:ilvl w:val="0"/>
          <w:numId w:val="89"/>
        </w:numPr>
        <w:shd w:val="clear" w:color="auto" w:fill="auto"/>
        <w:tabs>
          <w:tab w:pos="717" w:val="left"/>
        </w:tabs>
        <w:bidi w:val="0"/>
        <w:spacing w:before="0" w:after="0" w:line="314" w:lineRule="exact"/>
        <w:ind w:left="0" w:right="0" w:firstLine="320"/>
        <w:jc w:val="left"/>
      </w:pPr>
      <w:bookmarkStart w:id="991" w:name="bookmark991"/>
      <w:bookmarkEnd w:id="991"/>
      <w:r>
        <w:rPr>
          <w:b/>
          <w:bCs/>
          <w:color w:val="000000"/>
          <w:spacing w:val="0"/>
          <w:w w:val="100"/>
          <w:position w:val="0"/>
        </w:rPr>
        <w:t>借款费用资本化金额的计算方法</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31"/>
        <w:keepNext w:val="0"/>
        <w:keepLines w:val="0"/>
        <w:widowControl w:val="0"/>
        <w:shd w:val="clear" w:color="auto" w:fill="auto"/>
        <w:bidi w:val="0"/>
        <w:spacing w:before="0" w:after="200" w:line="314" w:lineRule="exact"/>
        <w:ind w:left="0" w:right="0" w:firstLine="320"/>
        <w:jc w:val="left"/>
      </w:pPr>
      <w:r>
        <w:rPr>
          <w:color w:val="000000"/>
          <w:spacing w:val="0"/>
          <w:w w:val="100"/>
          <w:position w:val="0"/>
        </w:rPr>
        <w:t>借款存在折价或者溢价的，按照实际利率法确定每一会计期间应摊销的折价或者溢价金额，调整每期利息金额。</w:t>
      </w:r>
    </w:p>
    <w:p>
      <w:pPr>
        <w:pStyle w:val="Style34"/>
        <w:keepNext/>
        <w:keepLines/>
        <w:widowControl w:val="0"/>
        <w:shd w:val="clear" w:color="auto" w:fill="auto"/>
        <w:bidi w:val="0"/>
        <w:spacing w:before="0" w:after="3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7</w:t>
      </w:r>
      <w:r>
        <w:rPr>
          <w:color w:val="000000"/>
          <w:spacing w:val="0"/>
          <w:w w:val="100"/>
          <w:position w:val="0"/>
        </w:rPr>
        <w:t>、生物资产</w:t>
      </w:r>
      <w:bookmarkEnd w:id="992"/>
      <w:bookmarkEnd w:id="993"/>
      <w:bookmarkEnd w:id="995"/>
    </w:p>
    <w:p>
      <w:pPr>
        <w:pStyle w:val="Style31"/>
        <w:keepNext w:val="0"/>
        <w:keepLines w:val="0"/>
        <w:widowControl w:val="0"/>
        <w:shd w:val="clear" w:color="auto" w:fill="auto"/>
        <w:bidi w:val="0"/>
        <w:spacing w:before="0" w:after="700" w:line="240" w:lineRule="auto"/>
        <w:ind w:left="0" w:right="0" w:firstLine="400"/>
        <w:jc w:val="left"/>
      </w:pP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8</w:t>
      </w:r>
      <w:r>
        <w:rPr>
          <w:color w:val="000000"/>
          <w:spacing w:val="0"/>
          <w:w w:val="100"/>
          <w:position w:val="0"/>
        </w:rPr>
        <w:t>、油气资产</w:t>
      </w:r>
      <w:bookmarkEnd w:id="996"/>
      <w:bookmarkEnd w:id="997"/>
      <w:bookmarkEnd w:id="999"/>
    </w:p>
    <w:p>
      <w:pPr>
        <w:pStyle w:val="Style31"/>
        <w:keepNext w:val="0"/>
        <w:keepLines w:val="0"/>
        <w:widowControl w:val="0"/>
        <w:shd w:val="clear" w:color="auto" w:fill="auto"/>
        <w:bidi w:val="0"/>
        <w:spacing w:before="0" w:after="700" w:line="240" w:lineRule="auto"/>
        <w:ind w:left="0" w:right="0" w:firstLine="400"/>
        <w:jc w:val="left"/>
      </w:pP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9</w:t>
      </w:r>
      <w:r>
        <w:rPr>
          <w:color w:val="000000"/>
          <w:spacing w:val="0"/>
          <w:w w:val="100"/>
          <w:position w:val="0"/>
        </w:rPr>
        <w:t>、使用权资产</w:t>
      </w:r>
      <w:bookmarkEnd w:id="1000"/>
      <w:bookmarkEnd w:id="1001"/>
      <w:bookmarkEnd w:id="1003"/>
    </w:p>
    <w:p>
      <w:pPr>
        <w:pStyle w:val="Style31"/>
        <w:keepNext w:val="0"/>
        <w:keepLines w:val="0"/>
        <w:widowControl w:val="0"/>
        <w:shd w:val="clear" w:color="auto" w:fill="auto"/>
        <w:bidi w:val="0"/>
        <w:spacing w:before="0" w:after="700" w:line="240" w:lineRule="auto"/>
        <w:ind w:left="0" w:right="0" w:firstLine="400"/>
        <w:jc w:val="left"/>
      </w:pP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04"/>
      <w:bookmarkEnd w:id="1005"/>
      <w:bookmarkEnd w:id="1007"/>
    </w:p>
    <w:p>
      <w:pPr>
        <w:pStyle w:val="Style40"/>
        <w:keepNext/>
        <w:keepLines/>
        <w:widowControl w:val="0"/>
        <w:shd w:val="clear" w:color="auto" w:fill="auto"/>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8"/>
      <w:bookmarkEnd w:id="1009"/>
      <w:bookmarkEnd w:id="1011"/>
    </w:p>
    <w:p>
      <w:pPr>
        <w:pStyle w:val="Style31"/>
        <w:keepNext w:val="0"/>
        <w:keepLines w:val="0"/>
        <w:widowControl w:val="0"/>
        <w:shd w:val="clear" w:color="auto" w:fill="auto"/>
        <w:bidi w:val="0"/>
        <w:spacing w:before="0" w:after="0" w:line="312" w:lineRule="exact"/>
        <w:ind w:left="0" w:right="0" w:firstLine="400"/>
        <w:jc w:val="both"/>
      </w:pPr>
      <w:bookmarkStart w:id="1012" w:name="bookmark1012"/>
      <w:r>
        <w:rPr>
          <w:rFonts w:ascii="Times New Roman" w:eastAsia="Times New Roman" w:hAnsi="Times New Roman" w:cs="Times New Roman"/>
          <w:b/>
          <w:bCs/>
          <w:color w:val="000000"/>
          <w:spacing w:val="0"/>
          <w:w w:val="100"/>
          <w:position w:val="0"/>
          <w:sz w:val="18"/>
          <w:szCs w:val="18"/>
        </w:rPr>
        <w:t>1</w:t>
      </w:r>
      <w:bookmarkEnd w:id="1012"/>
      <w:r>
        <w:rPr>
          <w:b/>
          <w:bCs/>
          <w:color w:val="000000"/>
          <w:spacing w:val="0"/>
          <w:w w:val="100"/>
          <w:position w:val="0"/>
        </w:rPr>
        <w:t>）无形资产的初始计量</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31"/>
        <w:keepNext w:val="0"/>
        <w:keepLines w:val="0"/>
        <w:widowControl w:val="0"/>
        <w:shd w:val="clear" w:color="auto" w:fill="auto"/>
        <w:bidi w:val="0"/>
        <w:spacing w:before="0" w:after="0" w:line="312" w:lineRule="exact"/>
        <w:ind w:left="0" w:right="0" w:firstLine="320"/>
        <w:jc w:val="left"/>
      </w:pPr>
      <w:bookmarkStart w:id="1013" w:name="bookmark1013"/>
      <w:r>
        <w:rPr>
          <w:rFonts w:ascii="Times New Roman" w:eastAsia="Times New Roman" w:hAnsi="Times New Roman" w:cs="Times New Roman"/>
          <w:b/>
          <w:bCs/>
          <w:color w:val="000000"/>
          <w:spacing w:val="0"/>
          <w:w w:val="100"/>
          <w:position w:val="0"/>
          <w:sz w:val="18"/>
          <w:szCs w:val="18"/>
        </w:rPr>
        <w:t>2</w:t>
      </w:r>
      <w:bookmarkEnd w:id="1013"/>
      <w:r>
        <w:rPr>
          <w:b/>
          <w:bCs/>
          <w:color w:val="000000"/>
          <w:spacing w:val="0"/>
          <w:w w:val="100"/>
          <w:position w:val="0"/>
        </w:rPr>
        <w:t>）无形资产的后续计量</w:t>
      </w:r>
    </w:p>
    <w:p>
      <w:pPr>
        <w:pStyle w:val="Style31"/>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本公司在取得无形资产时分析判断其使用寿命，划分为使用寿命有限和使用寿命不确定的无形资产。</w:t>
      </w:r>
    </w:p>
    <w:p>
      <w:pPr>
        <w:pStyle w:val="Style31"/>
        <w:keepNext w:val="0"/>
        <w:keepLines w:val="0"/>
        <w:widowControl w:val="0"/>
        <w:numPr>
          <w:ilvl w:val="0"/>
          <w:numId w:val="93"/>
        </w:numPr>
        <w:shd w:val="clear" w:color="auto" w:fill="auto"/>
        <w:bidi w:val="0"/>
        <w:spacing w:before="0" w:after="0" w:line="312" w:lineRule="exact"/>
        <w:ind w:left="0" w:right="0" w:firstLine="280"/>
        <w:jc w:val="left"/>
      </w:pPr>
      <w:bookmarkStart w:id="1014" w:name="bookmark1014"/>
      <w:bookmarkEnd w:id="1014"/>
      <w:r>
        <w:rPr>
          <w:color w:val="000000"/>
          <w:spacing w:val="0"/>
          <w:w w:val="100"/>
          <w:position w:val="0"/>
        </w:rPr>
        <w:t>用寿命有限的无形资产</w:t>
      </w:r>
    </w:p>
    <w:p>
      <w:pPr>
        <w:pStyle w:val="Style31"/>
        <w:keepNext w:val="0"/>
        <w:keepLines w:val="0"/>
        <w:widowControl w:val="0"/>
        <w:shd w:val="clear" w:color="auto" w:fill="auto"/>
        <w:bidi w:val="0"/>
        <w:spacing w:before="0" w:after="40" w:line="312" w:lineRule="exact"/>
        <w:ind w:left="280" w:right="0" w:firstLine="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center"/>
        <w:tblLayout w:type="fixed"/>
      </w:tblPr>
      <w:tblGrid>
        <w:gridCol w:w="3240"/>
        <w:gridCol w:w="3235"/>
        <w:gridCol w:w="3240"/>
      </w:tblGrid>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土地使用权证期限</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预计受益期限</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预计受益期限</w:t>
            </w:r>
          </w:p>
        </w:tc>
      </w:tr>
    </w:tbl>
    <w:p>
      <w:pPr>
        <w:pStyle w:val="Style29"/>
        <w:keepNext w:val="0"/>
        <w:keepLines w:val="0"/>
        <w:widowControl w:val="0"/>
        <w:shd w:val="clear" w:color="auto" w:fill="auto"/>
        <w:bidi w:val="0"/>
        <w:spacing w:before="0" w:after="0" w:line="312" w:lineRule="exact"/>
        <w:ind w:left="274"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9"/>
        <w:keepNext w:val="0"/>
        <w:keepLines w:val="0"/>
        <w:widowControl w:val="0"/>
        <w:shd w:val="clear" w:color="auto" w:fill="auto"/>
        <w:bidi w:val="0"/>
        <w:spacing w:before="0" w:after="0" w:line="312" w:lineRule="exact"/>
        <w:ind w:left="274" w:right="0" w:firstLine="0"/>
        <w:jc w:val="left"/>
      </w:pPr>
      <w:r>
        <w:rPr>
          <w:color w:val="000000"/>
          <w:spacing w:val="0"/>
          <w:w w:val="100"/>
          <w:position w:val="0"/>
        </w:rPr>
        <w:t>②使用寿命不确定的无形资产</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无法预见无形资产为企业带来经济利益期限的，视为使用寿命不确定的无形资产。对于使用寿命不确定的无形资产，在 持有期间内不摊销，每期末对无形资产的寿命进行复核。如果期末重新复核后仍为不确定的，在每个会计期间继续进行减值 测试。</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经复核，该类无形资产的使用寿命仍为不确定。</w:t>
      </w:r>
    </w:p>
    <w:p>
      <w:pPr>
        <w:pStyle w:val="Style31"/>
        <w:keepNext w:val="0"/>
        <w:keepLines w:val="0"/>
        <w:widowControl w:val="0"/>
        <w:shd w:val="clear" w:color="auto" w:fill="auto"/>
        <w:bidi w:val="0"/>
        <w:spacing w:before="0" w:after="700" w:line="310" w:lineRule="exact"/>
        <w:ind w:left="0" w:right="0"/>
        <w:jc w:val="both"/>
      </w:pPr>
      <w:r>
        <w:rPr>
          <w:color w:val="000000"/>
          <w:spacing w:val="0"/>
          <w:w w:val="100"/>
          <w:position w:val="0"/>
        </w:rPr>
        <w:t>无形资产的减值测试方法和减值准备计提方法详见本报告第十二节、五、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0"/>
        <w:keepNext/>
        <w:keepLines/>
        <w:widowControl w:val="0"/>
        <w:shd w:val="clear" w:color="auto" w:fill="auto"/>
        <w:bidi w:val="0"/>
        <w:spacing w:before="0" w:after="26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15"/>
      <w:bookmarkEnd w:id="1016"/>
      <w:bookmarkEnd w:id="1018"/>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本公司内部研究开发项目的支出分为研究阶段支出与开发阶段支出。研究阶段的支出，于发生时计入当期损益。</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开发阶段的支出同时满足下列条件的，确认为无形资产，不能满足下述条件的开发阶段的支出计入当期损益：</w:t>
      </w:r>
    </w:p>
    <w:p>
      <w:pPr>
        <w:pStyle w:val="Style31"/>
        <w:keepNext w:val="0"/>
        <w:keepLines w:val="0"/>
        <w:widowControl w:val="0"/>
        <w:numPr>
          <w:ilvl w:val="0"/>
          <w:numId w:val="95"/>
        </w:numPr>
        <w:shd w:val="clear" w:color="auto" w:fill="auto"/>
        <w:tabs>
          <w:tab w:pos="753" w:val="left"/>
        </w:tabs>
        <w:bidi w:val="0"/>
        <w:spacing w:before="0" w:after="0" w:line="310" w:lineRule="exact"/>
        <w:ind w:left="0" w:right="0"/>
        <w:jc w:val="both"/>
      </w:pPr>
      <w:bookmarkStart w:id="1019" w:name="bookmark1019"/>
      <w:bookmarkEnd w:id="1019"/>
      <w:r>
        <w:rPr>
          <w:color w:val="000000"/>
          <w:spacing w:val="0"/>
          <w:w w:val="100"/>
          <w:position w:val="0"/>
        </w:rPr>
        <w:t>完成该无形资产以使其能够使用或出售在技术上具有可行性；</w:t>
      </w:r>
    </w:p>
    <w:p>
      <w:pPr>
        <w:pStyle w:val="Style31"/>
        <w:keepNext w:val="0"/>
        <w:keepLines w:val="0"/>
        <w:widowControl w:val="0"/>
        <w:numPr>
          <w:ilvl w:val="0"/>
          <w:numId w:val="95"/>
        </w:numPr>
        <w:shd w:val="clear" w:color="auto" w:fill="auto"/>
        <w:tabs>
          <w:tab w:pos="753" w:val="left"/>
        </w:tabs>
        <w:bidi w:val="0"/>
        <w:spacing w:before="0" w:after="0" w:line="310" w:lineRule="exact"/>
        <w:ind w:left="0" w:right="0"/>
        <w:jc w:val="both"/>
      </w:pPr>
      <w:bookmarkStart w:id="1020" w:name="bookmark1020"/>
      <w:bookmarkEnd w:id="1020"/>
      <w:r>
        <w:rPr>
          <w:color w:val="000000"/>
          <w:spacing w:val="0"/>
          <w:w w:val="100"/>
          <w:position w:val="0"/>
        </w:rPr>
        <w:t>具有完成该无形资产并使用或出售的意图；</w:t>
      </w:r>
    </w:p>
    <w:p>
      <w:pPr>
        <w:pStyle w:val="Style31"/>
        <w:keepNext w:val="0"/>
        <w:keepLines w:val="0"/>
        <w:widowControl w:val="0"/>
        <w:numPr>
          <w:ilvl w:val="0"/>
          <w:numId w:val="95"/>
        </w:numPr>
        <w:shd w:val="clear" w:color="auto" w:fill="auto"/>
        <w:tabs>
          <w:tab w:pos="728" w:val="left"/>
        </w:tabs>
        <w:bidi w:val="0"/>
        <w:spacing w:before="0" w:after="0" w:line="310" w:lineRule="exact"/>
        <w:ind w:left="0" w:right="0"/>
        <w:jc w:val="both"/>
      </w:pPr>
      <w:bookmarkStart w:id="1021" w:name="bookmark1021"/>
      <w:bookmarkEnd w:id="1021"/>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1"/>
        <w:keepNext w:val="0"/>
        <w:keepLines w:val="0"/>
        <w:widowControl w:val="0"/>
        <w:numPr>
          <w:ilvl w:val="0"/>
          <w:numId w:val="95"/>
        </w:numPr>
        <w:shd w:val="clear" w:color="auto" w:fill="auto"/>
        <w:tabs>
          <w:tab w:pos="753" w:val="left"/>
        </w:tabs>
        <w:bidi w:val="0"/>
        <w:spacing w:before="0" w:after="0" w:line="310" w:lineRule="exact"/>
        <w:ind w:left="0" w:right="0"/>
        <w:jc w:val="both"/>
      </w:pPr>
      <w:bookmarkStart w:id="1022" w:name="bookmark1022"/>
      <w:bookmarkEnd w:id="1022"/>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95"/>
        </w:numPr>
        <w:shd w:val="clear" w:color="auto" w:fill="auto"/>
        <w:tabs>
          <w:tab w:pos="728" w:val="left"/>
        </w:tabs>
        <w:bidi w:val="0"/>
        <w:spacing w:before="0" w:after="700" w:line="310" w:lineRule="exact"/>
        <w:ind w:left="0" w:right="0"/>
        <w:jc w:val="both"/>
      </w:pPr>
      <w:bookmarkStart w:id="1023" w:name="bookmark1023"/>
      <w:bookmarkEnd w:id="1023"/>
      <w:r>
        <w:rPr>
          <w:color w:val="000000"/>
          <w:spacing w:val="0"/>
          <w:w w:val="100"/>
          <w:position w:val="0"/>
        </w:rPr>
        <w:t>归属于该无形资产开发阶段的支出能够可靠地计量。无法区分研究阶段支出和开发阶段支出的，将发生的研发支出 全部计入当期损益。</w:t>
      </w:r>
    </w:p>
    <w:p>
      <w:pPr>
        <w:pStyle w:val="Style34"/>
        <w:keepNext/>
        <w:keepLines/>
        <w:widowControl w:val="0"/>
        <w:shd w:val="clear" w:color="auto" w:fill="auto"/>
        <w:bidi w:val="0"/>
        <w:spacing w:before="0" w:after="26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24"/>
      <w:bookmarkEnd w:id="1025"/>
      <w:bookmarkEnd w:id="1027"/>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31"/>
        <w:keepNext w:val="0"/>
        <w:keepLines w:val="0"/>
        <w:widowControl w:val="0"/>
        <w:shd w:val="clear" w:color="auto" w:fill="auto"/>
        <w:bidi w:val="0"/>
        <w:spacing w:before="0" w:after="700" w:line="312"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34"/>
        <w:keepNext/>
        <w:keepLines/>
        <w:widowControl w:val="0"/>
        <w:shd w:val="clear" w:color="auto" w:fill="auto"/>
        <w:bidi w:val="0"/>
        <w:spacing w:before="0" w:after="26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28"/>
      <w:bookmarkEnd w:id="1029"/>
      <w:bookmarkEnd w:id="1031"/>
    </w:p>
    <w:p>
      <w:pPr>
        <w:pStyle w:val="Style31"/>
        <w:keepNext w:val="0"/>
        <w:keepLines w:val="0"/>
        <w:widowControl w:val="0"/>
        <w:shd w:val="clear" w:color="auto" w:fill="auto"/>
        <w:bidi w:val="0"/>
        <w:spacing w:before="0" w:after="260" w:line="312" w:lineRule="exact"/>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 益期内按直线法分期摊销。</w:t>
      </w:r>
    </w:p>
    <w:p>
      <w:pPr>
        <w:pStyle w:val="Style34"/>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3</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032"/>
      <w:bookmarkEnd w:id="1033"/>
      <w:bookmarkEnd w:id="1035"/>
    </w:p>
    <w:p>
      <w:pPr>
        <w:pStyle w:val="Style31"/>
        <w:keepNext w:val="0"/>
        <w:keepLines w:val="0"/>
        <w:widowControl w:val="0"/>
        <w:shd w:val="clear" w:color="auto" w:fill="auto"/>
        <w:bidi w:val="0"/>
        <w:spacing w:before="0" w:after="1000" w:line="240" w:lineRule="auto"/>
        <w:ind w:left="0" w:right="0"/>
        <w:jc w:val="both"/>
      </w:pPr>
      <w:r>
        <w:rPr>
          <w:color w:val="000000"/>
          <w:spacing w:val="0"/>
          <w:w w:val="100"/>
          <w:position w:val="0"/>
        </w:rPr>
        <w:t>本公司将已收或应收客户对价而应向客户转让商品的义务部分确认为合同负债。</w:t>
      </w:r>
    </w:p>
    <w:p>
      <w:pPr>
        <w:pStyle w:val="Style34"/>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1036"/>
      <w:bookmarkEnd w:id="1037"/>
      <w:bookmarkEnd w:id="1039"/>
    </w:p>
    <w:p>
      <w:pPr>
        <w:pStyle w:val="Style40"/>
        <w:keepNext/>
        <w:keepLines/>
        <w:widowControl w:val="0"/>
        <w:numPr>
          <w:ilvl w:val="0"/>
          <w:numId w:val="97"/>
        </w:numPr>
        <w:shd w:val="clear" w:color="auto" w:fill="auto"/>
        <w:bidi w:val="0"/>
        <w:spacing w:before="0" w:after="28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短期薪酬的会计处理方法</w:t>
      </w:r>
      <w:bookmarkEnd w:id="1040"/>
      <w:bookmarkEnd w:id="1041"/>
      <w:bookmarkEnd w:id="1043"/>
    </w:p>
    <w:p>
      <w:pPr>
        <w:pStyle w:val="Style31"/>
        <w:keepNext w:val="0"/>
        <w:keepLines w:val="0"/>
        <w:widowControl w:val="0"/>
        <w:shd w:val="clear" w:color="auto" w:fill="auto"/>
        <w:bidi w:val="0"/>
        <w:spacing w:before="0" w:after="700" w:line="312" w:lineRule="exact"/>
        <w:ind w:left="0" w:right="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40"/>
        <w:keepNext/>
        <w:keepLines/>
        <w:widowControl w:val="0"/>
        <w:numPr>
          <w:ilvl w:val="0"/>
          <w:numId w:val="97"/>
        </w:numPr>
        <w:shd w:val="clear" w:color="auto" w:fill="auto"/>
        <w:bidi w:val="0"/>
        <w:spacing w:before="0" w:after="280" w:line="240" w:lineRule="auto"/>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离职后福利的会计处理方法</w:t>
      </w:r>
      <w:bookmarkEnd w:id="1044"/>
      <w:bookmarkEnd w:id="1045"/>
      <w:bookmarkEnd w:id="1047"/>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本公司的离职后福利计划分类为设定提存计划和设定受益计划。</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31"/>
        <w:keepNext w:val="0"/>
        <w:keepLines w:val="0"/>
        <w:widowControl w:val="0"/>
        <w:shd w:val="clear" w:color="auto" w:fill="auto"/>
        <w:bidi w:val="0"/>
        <w:spacing w:before="0" w:after="700" w:line="314" w:lineRule="exact"/>
        <w:ind w:left="0" w:right="0"/>
        <w:jc w:val="both"/>
      </w:pPr>
      <w:r>
        <w:rPr>
          <w:color w:val="000000"/>
          <w:spacing w:val="0"/>
          <w:w w:val="100"/>
          <w:position w:val="0"/>
        </w:rPr>
        <w:t>本公司按照国家规定的标准定期缴付上述款项后，不再有其他的支付义务。</w:t>
      </w:r>
    </w:p>
    <w:p>
      <w:pPr>
        <w:pStyle w:val="Style40"/>
        <w:keepNext/>
        <w:keepLines/>
        <w:widowControl w:val="0"/>
        <w:numPr>
          <w:ilvl w:val="0"/>
          <w:numId w:val="97"/>
        </w:numPr>
        <w:shd w:val="clear" w:color="auto" w:fill="auto"/>
        <w:bidi w:val="0"/>
        <w:spacing w:before="0" w:after="280" w:line="240" w:lineRule="auto"/>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辞退福利的会计处理方法</w:t>
      </w:r>
      <w:bookmarkEnd w:id="1048"/>
      <w:bookmarkEnd w:id="1049"/>
      <w:bookmarkEnd w:id="1051"/>
    </w:p>
    <w:p>
      <w:pPr>
        <w:pStyle w:val="Style31"/>
        <w:keepNext w:val="0"/>
        <w:keepLines w:val="0"/>
        <w:widowControl w:val="0"/>
        <w:shd w:val="clear" w:color="auto" w:fill="auto"/>
        <w:bidi w:val="0"/>
        <w:spacing w:before="0" w:after="700" w:line="312" w:lineRule="exact"/>
        <w:ind w:left="0" w:right="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40"/>
        <w:keepNext/>
        <w:keepLines/>
        <w:widowControl w:val="0"/>
        <w:numPr>
          <w:ilvl w:val="0"/>
          <w:numId w:val="97"/>
        </w:numPr>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其他长期职工福利的会计处理方法</w:t>
      </w:r>
      <w:bookmarkEnd w:id="1052"/>
      <w:bookmarkEnd w:id="1053"/>
      <w:bookmarkEnd w:id="1055"/>
    </w:p>
    <w:p>
      <w:pPr>
        <w:pStyle w:val="Style34"/>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3</w:t>
      </w:r>
      <w:bookmarkEnd w:id="1058"/>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56"/>
      <w:bookmarkEnd w:id="1057"/>
      <w:bookmarkEnd w:id="1059"/>
    </w:p>
    <w:p>
      <w:pPr>
        <w:pStyle w:val="Style31"/>
        <w:keepNext w:val="0"/>
        <w:keepLines w:val="0"/>
        <w:widowControl w:val="0"/>
        <w:shd w:val="clear" w:color="auto" w:fill="auto"/>
        <w:bidi w:val="0"/>
        <w:spacing w:before="0" w:after="700" w:line="240" w:lineRule="auto"/>
        <w:ind w:left="0" w:right="0" w:firstLine="520"/>
        <w:jc w:val="left"/>
      </w:pP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w:t>
      </w:r>
      <w:bookmarkEnd w:id="1062"/>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060"/>
      <w:bookmarkEnd w:id="1061"/>
      <w:bookmarkEnd w:id="1063"/>
    </w:p>
    <w:p>
      <w:pPr>
        <w:pStyle w:val="Style3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预计负债的确认标准</w:t>
      </w:r>
    </w:p>
    <w:p>
      <w:pPr>
        <w:pStyle w:val="Style31"/>
        <w:keepNext w:val="0"/>
        <w:keepLines w:val="0"/>
        <w:widowControl w:val="0"/>
        <w:shd w:val="clear" w:color="auto" w:fill="auto"/>
        <w:bidi w:val="0"/>
        <w:spacing w:before="0" w:after="0" w:line="312" w:lineRule="exact"/>
        <w:ind w:left="380" w:right="0" w:firstLine="0"/>
        <w:jc w:val="both"/>
      </w:pPr>
      <w:r>
        <w:rPr>
          <w:color w:val="000000"/>
          <w:spacing w:val="0"/>
          <w:w w:val="100"/>
          <w:position w:val="0"/>
        </w:rPr>
        <w:t>与或有事项相关的义务同时满足下列条件时，本公司确认为预计负债: 该义务是本公司承担的现时义务；</w:t>
      </w:r>
    </w:p>
    <w:p>
      <w:pPr>
        <w:pStyle w:val="Style31"/>
        <w:keepNext w:val="0"/>
        <w:keepLines w:val="0"/>
        <w:widowControl w:val="0"/>
        <w:shd w:val="clear" w:color="auto" w:fill="auto"/>
        <w:bidi w:val="0"/>
        <w:spacing w:before="0" w:after="380" w:line="312" w:lineRule="exact"/>
        <w:ind w:left="380" w:right="0" w:firstLine="0"/>
        <w:jc w:val="both"/>
      </w:pPr>
      <w:r>
        <w:rPr>
          <w:color w:val="000000"/>
          <w:spacing w:val="0"/>
          <w:w w:val="100"/>
          <w:position w:val="0"/>
        </w:rPr>
        <w:t>履行该义务很可能导致经济利益流出本公司；</w:t>
      </w:r>
    </w:p>
    <w:p>
      <w:pPr>
        <w:pStyle w:val="Style31"/>
        <w:keepNext w:val="0"/>
        <w:keepLines w:val="0"/>
        <w:widowControl w:val="0"/>
        <w:shd w:val="clear" w:color="auto" w:fill="auto"/>
        <w:bidi w:val="0"/>
        <w:spacing w:before="0" w:after="100" w:line="314" w:lineRule="exact"/>
        <w:ind w:left="0" w:right="0"/>
        <w:jc w:val="left"/>
      </w:pPr>
      <w:r>
        <w:rPr>
          <w:color w:val="000000"/>
          <w:spacing w:val="0"/>
          <w:w w:val="100"/>
          <w:position w:val="0"/>
        </w:rPr>
        <w:t>该义务的金额能够可靠地计量。</w:t>
      </w:r>
    </w:p>
    <w:p>
      <w:pPr>
        <w:pStyle w:val="Style31"/>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预计负债的计量方法</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本公司预计负债按履行相关现时义务所需的支出的最佳估计数进行初始计量。</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最佳估计数分别以下情况处理：</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31"/>
        <w:keepNext w:val="0"/>
        <w:keepLines w:val="0"/>
        <w:widowControl w:val="0"/>
        <w:shd w:val="clear" w:color="auto" w:fill="auto"/>
        <w:bidi w:val="0"/>
        <w:spacing w:before="0" w:after="680" w:line="314" w:lineRule="exact"/>
        <w:ind w:left="0" w:right="0"/>
        <w:jc w:val="left"/>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4"/>
        <w:keepNext/>
        <w:keepLines/>
        <w:widowControl w:val="0"/>
        <w:shd w:val="clear" w:color="auto" w:fill="auto"/>
        <w:bidi w:val="0"/>
        <w:spacing w:before="0" w:after="30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3</w:t>
      </w:r>
      <w:bookmarkEnd w:id="1066"/>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64"/>
      <w:bookmarkEnd w:id="1065"/>
      <w:bookmarkEnd w:id="1067"/>
    </w:p>
    <w:p>
      <w:pPr>
        <w:pStyle w:val="Style31"/>
        <w:keepNext w:val="0"/>
        <w:keepLines w:val="0"/>
        <w:widowControl w:val="0"/>
        <w:numPr>
          <w:ilvl w:val="0"/>
          <w:numId w:val="99"/>
        </w:numPr>
        <w:shd w:val="clear" w:color="auto" w:fill="auto"/>
        <w:tabs>
          <w:tab w:pos="745" w:val="left"/>
        </w:tabs>
        <w:bidi w:val="0"/>
        <w:spacing w:before="0" w:after="0" w:line="311" w:lineRule="exact"/>
        <w:ind w:left="0" w:right="0"/>
        <w:jc w:val="left"/>
      </w:pPr>
      <w:bookmarkStart w:id="1068" w:name="bookmark1068"/>
      <w:bookmarkEnd w:id="1068"/>
      <w:r>
        <w:rPr>
          <w:b/>
          <w:bCs/>
          <w:color w:val="000000"/>
          <w:spacing w:val="0"/>
          <w:w w:val="100"/>
          <w:position w:val="0"/>
        </w:rPr>
        <w:t>股份支付的会计处理方法</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股份支付是为了获取职工或其他方提供服务而授予权益工具或者承担以权益工具为基础确定的负债的交易。 股份支付分为以权益结算的股份支付和以现金结算的股份支付。</w:t>
      </w:r>
    </w:p>
    <w:p>
      <w:pPr>
        <w:pStyle w:val="Style31"/>
        <w:keepNext w:val="0"/>
        <w:keepLines w:val="0"/>
        <w:widowControl w:val="0"/>
        <w:numPr>
          <w:ilvl w:val="0"/>
          <w:numId w:val="101"/>
        </w:numPr>
        <w:shd w:val="clear" w:color="auto" w:fill="auto"/>
        <w:tabs>
          <w:tab w:pos="705" w:val="left"/>
        </w:tabs>
        <w:bidi w:val="0"/>
        <w:spacing w:before="0" w:after="0" w:line="311" w:lineRule="exact"/>
        <w:ind w:left="0" w:right="0"/>
        <w:jc w:val="both"/>
      </w:pPr>
      <w:bookmarkStart w:id="1069" w:name="bookmark1069"/>
      <w:bookmarkEnd w:id="1069"/>
      <w:r>
        <w:rPr>
          <w:color w:val="000000"/>
          <w:spacing w:val="0"/>
          <w:w w:val="100"/>
          <w:position w:val="0"/>
        </w:rPr>
        <w:t>以权益结算的股份支付用以换取职工提供的服务的权益结算的股份支付，以授予职工权益工具在授予日的 公允价值计量。该公允价值的金额在完成等待期内的服务或达到规定业绩条件才可行权的情况下，在等待期内以 对可行权权益工具数量的最佳估计为基础，按直线法计算计入相关成本或费用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日计入相关成本或费用，相应增加资本公积。</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在等待期内每个资产负债表日，本公司根据最新取得的可行权职工人数变动等后续信息做出最佳估计，修正 预计可行权的权益工具数量。上述估计的影响计入当期相关成本或费用，并相应调整资本公积。</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用以换取其他方服务的权益结算的股份支付，如果其他方服务的公允价值能够可靠计量，按照其他方服务在 取得日的公允价值计量，如果其他方服务的公允价值不能可靠计量，但权益工具的公允价值能够可靠计量的，按 照权益工具在服务取得日的公允价值计量，计入相关成本或费用，相应增加股东权益。</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当授予权益工具的公允价值无法可靠计量时，在服务取得日、后续的每个资产负债表日以及结算日，按权益 工具的内在价值计量，内在价值变动计入当期损益。</w:t>
      </w:r>
    </w:p>
    <w:p>
      <w:pPr>
        <w:pStyle w:val="Style31"/>
        <w:keepNext w:val="0"/>
        <w:keepLines w:val="0"/>
        <w:widowControl w:val="0"/>
        <w:numPr>
          <w:ilvl w:val="0"/>
          <w:numId w:val="101"/>
        </w:numPr>
        <w:shd w:val="clear" w:color="auto" w:fill="auto"/>
        <w:tabs>
          <w:tab w:pos="701" w:val="left"/>
        </w:tabs>
        <w:bidi w:val="0"/>
        <w:spacing w:before="0" w:after="0" w:line="311" w:lineRule="exact"/>
        <w:ind w:left="0" w:right="0"/>
        <w:jc w:val="both"/>
      </w:pPr>
      <w:bookmarkStart w:id="1070" w:name="bookmark1070"/>
      <w:bookmarkEnd w:id="1070"/>
      <w:r>
        <w:rPr>
          <w:color w:val="000000"/>
          <w:spacing w:val="0"/>
          <w:w w:val="100"/>
          <w:position w:val="0"/>
        </w:rPr>
        <w:t>以现金结算的股份支付以现金结算的股份支付，按照本公司承担的以股份或其他权益工具为基础确定的负 债的公允价值计量。如授予后立即可行权，在授予日计入相关成本或费用，相应增加负债；如须完成等待期内的 服务或达到规定业绩条件以后才可行权，在等待期的每个资产负债表日，以对可行权情况的最佳估计为基础，按 照本公司承担负债的公允价值金额，将当期取得的服务计入成本或费用，相应增加负债。</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在相关负债结算前的每个资产负债表日以及结算日，对负债的公允价值重新计量，其变动计入当期损益。</w:t>
      </w:r>
    </w:p>
    <w:p>
      <w:pPr>
        <w:pStyle w:val="Style31"/>
        <w:keepNext w:val="0"/>
        <w:keepLines w:val="0"/>
        <w:widowControl w:val="0"/>
        <w:numPr>
          <w:ilvl w:val="0"/>
          <w:numId w:val="99"/>
        </w:numPr>
        <w:shd w:val="clear" w:color="auto" w:fill="auto"/>
        <w:tabs>
          <w:tab w:pos="745" w:val="left"/>
        </w:tabs>
        <w:bidi w:val="0"/>
        <w:spacing w:before="0" w:after="0" w:line="311" w:lineRule="exact"/>
        <w:ind w:left="0" w:right="0"/>
        <w:jc w:val="both"/>
      </w:pPr>
      <w:bookmarkStart w:id="1071" w:name="bookmark1071"/>
      <w:bookmarkEnd w:id="1071"/>
      <w:r>
        <w:rPr>
          <w:b/>
          <w:bCs/>
          <w:color w:val="000000"/>
          <w:spacing w:val="0"/>
          <w:w w:val="100"/>
          <w:position w:val="0"/>
        </w:rPr>
        <w:t>修改、终止股份支付计划的相关会计处理</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本公司对股份支付计划进行修改时，若修改增加了所授予权益工具的公允价值，按照权益工具公允价值的增 加相应确认取得服务的增加。权益工具公允价值的增加是指修改前后的权益工具在修改日的公允价值之间的差 额。若修改减少了股份支付公允价值总额或采用了其他不利于职工的方式，则仍继续对取得的服务进行会计处 理，视同该变更从未发生，除非本公司取消了部分或全部已授予的权益工具。</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在等待期内，如果取消了授予的权益工具，本公司对取消所授予的权益性工具作为加速行权处理，将剩余等 待期内应确认的金额立即计入当期损益，同时确认资本公积。职工或其他方能够选择满足非可行权条件但在等待 期内未满足的，本公司将其作为授予权益工具的取消处理。</w:t>
      </w:r>
    </w:p>
    <w:p>
      <w:pPr>
        <w:pStyle w:val="Style31"/>
        <w:keepNext w:val="0"/>
        <w:keepLines w:val="0"/>
        <w:widowControl w:val="0"/>
        <w:shd w:val="clear" w:color="auto" w:fill="auto"/>
        <w:bidi w:val="0"/>
        <w:spacing w:before="0" w:after="0" w:line="317" w:lineRule="exact"/>
        <w:ind w:left="0" w:right="0"/>
        <w:jc w:val="both"/>
      </w:pPr>
      <w:bookmarkStart w:id="1072" w:name="bookmark1072"/>
      <w:r>
        <w:rPr>
          <w:rFonts w:ascii="Times New Roman" w:eastAsia="Times New Roman" w:hAnsi="Times New Roman" w:cs="Times New Roman"/>
          <w:b/>
          <w:bCs/>
          <w:color w:val="000000"/>
          <w:spacing w:val="0"/>
          <w:w w:val="100"/>
          <w:position w:val="0"/>
          <w:sz w:val="18"/>
          <w:szCs w:val="18"/>
        </w:rPr>
        <w:t>（</w:t>
      </w:r>
      <w:bookmarkEnd w:id="107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涉及本公司与本公司股东或实际控制人的股份支付交易的会计处理</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涉及本公司与本公司股东或实际控制人的股份支付交易，结算企业与接受服务企业中其一在本公司内，另一 在本公司外的，在本公司合并财务报表中按照以下规定进行会计处理：</w:t>
      </w:r>
    </w:p>
    <w:p>
      <w:pPr>
        <w:pStyle w:val="Style31"/>
        <w:keepNext w:val="0"/>
        <w:keepLines w:val="0"/>
        <w:widowControl w:val="0"/>
        <w:numPr>
          <w:ilvl w:val="0"/>
          <w:numId w:val="103"/>
        </w:numPr>
        <w:shd w:val="clear" w:color="auto" w:fill="auto"/>
        <w:tabs>
          <w:tab w:pos="728" w:val="left"/>
        </w:tabs>
        <w:bidi w:val="0"/>
        <w:spacing w:before="0" w:after="0" w:line="317" w:lineRule="exact"/>
        <w:ind w:left="0" w:right="0"/>
        <w:jc w:val="both"/>
      </w:pPr>
      <w:bookmarkStart w:id="1073" w:name="bookmark1073"/>
      <w:bookmarkEnd w:id="1073"/>
      <w:r>
        <w:rPr>
          <w:color w:val="000000"/>
          <w:spacing w:val="0"/>
          <w:w w:val="100"/>
          <w:position w:val="0"/>
        </w:rPr>
        <w:t>结算企业以其本身权益工具结算的，将该股份支付交易作为权益结算的股份支付处理；除此之外，作为现 金结算的股份支付处理。</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结算企业是接受服务企业的投资者的，按照授予日权益工具的公允价值或应承担负债的公允价值确认为对接 受服务企业的长期股权投资，同时确认资本公积（其他资本公积）或负债。</w:t>
      </w:r>
    </w:p>
    <w:p>
      <w:pPr>
        <w:pStyle w:val="Style31"/>
        <w:keepNext w:val="0"/>
        <w:keepLines w:val="0"/>
        <w:widowControl w:val="0"/>
        <w:numPr>
          <w:ilvl w:val="0"/>
          <w:numId w:val="103"/>
        </w:numPr>
        <w:shd w:val="clear" w:color="auto" w:fill="auto"/>
        <w:tabs>
          <w:tab w:pos="728" w:val="left"/>
        </w:tabs>
        <w:bidi w:val="0"/>
        <w:spacing w:before="0" w:after="0" w:line="317" w:lineRule="exact"/>
        <w:ind w:left="0" w:right="0"/>
        <w:jc w:val="both"/>
      </w:pPr>
      <w:bookmarkStart w:id="1074" w:name="bookmark1074"/>
      <w:bookmarkEnd w:id="1074"/>
      <w:r>
        <w:rPr>
          <w:color w:val="000000"/>
          <w:spacing w:val="0"/>
          <w:w w:val="100"/>
          <w:position w:val="0"/>
        </w:rPr>
        <w:t>接受服务企业没有结算义务或授予本企业职工的是其本身权益工具的，将该股份支付交易作为权益结算的 股份支付处理；接受服务企业具有结算义务且授予本企业职工的并非其本身权益工具的，将该股份支付交易作为 现金结算的股份支付处理。</w:t>
      </w:r>
    </w:p>
    <w:p>
      <w:pPr>
        <w:pStyle w:val="Style31"/>
        <w:keepNext w:val="0"/>
        <w:keepLines w:val="0"/>
        <w:widowControl w:val="0"/>
        <w:shd w:val="clear" w:color="auto" w:fill="auto"/>
        <w:bidi w:val="0"/>
        <w:spacing w:before="0" w:after="700" w:line="317" w:lineRule="exact"/>
        <w:ind w:left="0" w:right="0"/>
        <w:jc w:val="both"/>
      </w:pPr>
      <w:r>
        <w:rPr>
          <w:color w:val="000000"/>
          <w:spacing w:val="0"/>
          <w:w w:val="100"/>
          <w:position w:val="0"/>
        </w:rPr>
        <w:t>本公司内各企业之间发生的股份支付交易，接受服务企业和结算企业不是同一企业的，在接受服务企业和结 算企业各自的个别财务报表中对该股份支付交易的确认和计量，比照上述原则处理。</w:t>
      </w:r>
    </w:p>
    <w:p>
      <w:pPr>
        <w:pStyle w:val="Style34"/>
        <w:keepNext/>
        <w:keepLines/>
        <w:widowControl w:val="0"/>
        <w:shd w:val="clear" w:color="auto" w:fill="auto"/>
        <w:tabs>
          <w:tab w:pos="563" w:val="left"/>
        </w:tabs>
        <w:bidi w:val="0"/>
        <w:spacing w:before="0" w:after="26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3</w:t>
      </w:r>
      <w:bookmarkEnd w:id="107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75"/>
      <w:bookmarkEnd w:id="1076"/>
      <w:bookmarkEnd w:id="1078"/>
    </w:p>
    <w:p>
      <w:pPr>
        <w:pStyle w:val="Style31"/>
        <w:keepNext w:val="0"/>
        <w:keepLines w:val="0"/>
        <w:widowControl w:val="0"/>
        <w:shd w:val="clear" w:color="auto" w:fill="auto"/>
        <w:bidi w:val="0"/>
        <w:spacing w:before="0" w:after="380" w:line="311" w:lineRule="exact"/>
        <w:ind w:left="0" w:right="0" w:firstLine="440"/>
        <w:jc w:val="left"/>
      </w:pPr>
      <w:r>
        <w:rPr>
          <w:color w:val="000000"/>
          <w:spacing w:val="0"/>
          <w:w w:val="100"/>
          <w:position w:val="0"/>
        </w:rPr>
        <w:t>不适用。</w:t>
      </w:r>
    </w:p>
    <w:p>
      <w:pPr>
        <w:pStyle w:val="Style34"/>
        <w:keepNext/>
        <w:keepLines/>
        <w:widowControl w:val="0"/>
        <w:shd w:val="clear" w:color="auto" w:fill="auto"/>
        <w:tabs>
          <w:tab w:pos="563" w:val="left"/>
        </w:tabs>
        <w:bidi w:val="0"/>
        <w:spacing w:before="0" w:after="26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79"/>
      <w:bookmarkEnd w:id="1080"/>
      <w:bookmarkEnd w:id="1082"/>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100" w:line="311" w:lineRule="exact"/>
        <w:ind w:left="0" w:right="0"/>
        <w:jc w:val="left"/>
      </w:pPr>
      <w:r>
        <w:rPr>
          <w:color w:val="000000"/>
          <w:spacing w:val="0"/>
          <w:w w:val="100"/>
          <w:position w:val="0"/>
        </w:rPr>
        <w:t>公司的收入主要来源于如下业务类型：电源业务、电站业务及逆变器业务。</w:t>
      </w:r>
    </w:p>
    <w:p>
      <w:pPr>
        <w:pStyle w:val="Style31"/>
        <w:keepNext w:val="0"/>
        <w:keepLines w:val="0"/>
        <w:widowControl w:val="0"/>
        <w:shd w:val="clear" w:color="auto" w:fill="auto"/>
        <w:tabs>
          <w:tab w:pos="810" w:val="left"/>
        </w:tabs>
        <w:bidi w:val="0"/>
        <w:spacing w:before="0" w:after="0" w:line="326" w:lineRule="auto"/>
        <w:ind w:left="0" w:right="0"/>
        <w:jc w:val="left"/>
      </w:pPr>
      <w:bookmarkStart w:id="1083" w:name="bookmark1083"/>
      <w:r>
        <w:rPr>
          <w:rFonts w:ascii="Times New Roman" w:eastAsia="Times New Roman" w:hAnsi="Times New Roman" w:cs="Times New Roman"/>
          <w:b/>
          <w:bCs/>
          <w:color w:val="000000"/>
          <w:spacing w:val="0"/>
          <w:w w:val="100"/>
          <w:position w:val="0"/>
          <w:sz w:val="20"/>
          <w:szCs w:val="20"/>
        </w:rPr>
        <w:t>（</w:t>
      </w:r>
      <w:bookmarkEnd w:id="1083"/>
      <w:r>
        <w:rPr>
          <w:rFonts w:ascii="Times New Roman" w:eastAsia="Times New Roman" w:hAnsi="Times New Roman" w:cs="Times New Roman"/>
          <w:b/>
          <w:bCs/>
          <w:color w:val="000000"/>
          <w:spacing w:val="0"/>
          <w:w w:val="100"/>
          <w:position w:val="0"/>
          <w:sz w:val="20"/>
          <w:szCs w:val="20"/>
        </w:rPr>
        <w:t>1）</w:t>
        <w:tab/>
      </w:r>
      <w:r>
        <w:rPr>
          <w:b/>
          <w:bCs/>
          <w:color w:val="000000"/>
          <w:spacing w:val="0"/>
          <w:w w:val="100"/>
          <w:position w:val="0"/>
        </w:rPr>
        <w:t>收入确认的一般原则</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公司在履行了合同中的履约义务，即在客户取得相关商品或服务控制权时，按照分摊至该项履约义务的交易价格确认收 入。</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履约义务，是指合同中公司向客户转让可明确区分商品或服务的承诺。</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取得相关商品控制权，是指能够主导该商品的使用并从中获得几乎全部的经济利益。</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公司在合同开始日即对合同进行评估，识别该合同所包含的各单项履约义务，并确定各单项履约义务是在某一时段内履 行，还是某一时点履行。满足下列条件之一的，属于在某一时间段内履行的履约义务，公司按照履约进度，在一段时间内确 认收入：</w:t>
      </w:r>
      <w:r>
        <w:rPr>
          <w:rFonts w:ascii="Calibri" w:eastAsia="Calibri" w:hAnsi="Calibri" w:cs="Calibri"/>
          <w:color w:val="000000"/>
          <w:spacing w:val="0"/>
          <w:w w:val="100"/>
          <w:position w:val="0"/>
          <w:sz w:val="20"/>
          <w:szCs w:val="20"/>
        </w:rPr>
        <w:t>①</w:t>
      </w:r>
      <w:r>
        <w:rPr>
          <w:color w:val="000000"/>
          <w:spacing w:val="0"/>
          <w:w w:val="100"/>
          <w:position w:val="0"/>
        </w:rPr>
        <w:t>客户在公司履约的同时即取得并消耗公司履约所带来的经济利益；</w:t>
      </w:r>
      <w:r>
        <w:rPr>
          <w:rFonts w:ascii="Calibri" w:eastAsia="Calibri" w:hAnsi="Calibri" w:cs="Calibri"/>
          <w:color w:val="000000"/>
          <w:spacing w:val="0"/>
          <w:w w:val="100"/>
          <w:position w:val="0"/>
          <w:sz w:val="20"/>
          <w:szCs w:val="20"/>
        </w:rPr>
        <w:t>②</w:t>
      </w:r>
      <w:r>
        <w:rPr>
          <w:color w:val="000000"/>
          <w:spacing w:val="0"/>
          <w:w w:val="100"/>
          <w:position w:val="0"/>
        </w:rPr>
        <w:t xml:space="preserve">客户能够控制公司履约过程中在建的商品； </w:t>
      </w:r>
      <w:r>
        <w:rPr>
          <w:rFonts w:ascii="Calibri" w:eastAsia="Calibri" w:hAnsi="Calibri" w:cs="Calibri"/>
          <w:color w:val="000000"/>
          <w:spacing w:val="0"/>
          <w:w w:val="100"/>
          <w:position w:val="0"/>
          <w:sz w:val="20"/>
          <w:szCs w:val="20"/>
        </w:rPr>
        <w:t>③</w:t>
      </w:r>
      <w:r>
        <w:rPr>
          <w:color w:val="000000"/>
          <w:spacing w:val="0"/>
          <w:w w:val="100"/>
          <w:position w:val="0"/>
        </w:rPr>
        <w:t>公司履约过程中所产出的商品具有不可替代用途，且公司在整个合同期间内有权就累计至今已完成的履约部分收取款项。 否则，公司在客户取得相关商品或服务控制权的时点确认收入。</w:t>
      </w:r>
    </w:p>
    <w:p>
      <w:pPr>
        <w:pStyle w:val="Style31"/>
        <w:keepNext w:val="0"/>
        <w:keepLines w:val="0"/>
        <w:widowControl w:val="0"/>
        <w:shd w:val="clear" w:color="auto" w:fill="auto"/>
        <w:bidi w:val="0"/>
        <w:spacing w:before="0" w:after="100" w:line="311" w:lineRule="exact"/>
        <w:ind w:left="0" w:right="0"/>
        <w:jc w:val="left"/>
      </w:pPr>
      <w:r>
        <w:rPr>
          <w:color w:val="000000"/>
          <w:spacing w:val="0"/>
          <w:w w:val="100"/>
          <w:position w:val="0"/>
        </w:rPr>
        <w:t>对于在某一时段内履行的履约义务，公司根据商品和劳务的性质，采用产出法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投入法确定恰当的履约进度。产出法是 根据已转移给客户的商品对于客户的价值确定履约进度（投入法是根据公司为履行履约义务的投入确定履约进度）。当履约 进度不能合理确定时，公司已经发生的成本预计能够得到补偿的，按照已经发生的成本金额确认收入，直到履约进度能够合 理确定为止。</w:t>
      </w:r>
    </w:p>
    <w:p>
      <w:pPr>
        <w:pStyle w:val="Style31"/>
        <w:keepNext w:val="0"/>
        <w:keepLines w:val="0"/>
        <w:widowControl w:val="0"/>
        <w:shd w:val="clear" w:color="auto" w:fill="auto"/>
        <w:tabs>
          <w:tab w:pos="810" w:val="left"/>
        </w:tabs>
        <w:bidi w:val="0"/>
        <w:spacing w:before="0" w:after="0" w:line="326" w:lineRule="auto"/>
        <w:ind w:left="0" w:right="0"/>
        <w:jc w:val="left"/>
      </w:pPr>
      <w:bookmarkStart w:id="1084" w:name="bookmark1084"/>
      <w:r>
        <w:rPr>
          <w:rFonts w:ascii="Times New Roman" w:eastAsia="Times New Roman" w:hAnsi="Times New Roman" w:cs="Times New Roman"/>
          <w:b/>
          <w:bCs/>
          <w:color w:val="000000"/>
          <w:spacing w:val="0"/>
          <w:w w:val="100"/>
          <w:position w:val="0"/>
          <w:sz w:val="20"/>
          <w:szCs w:val="20"/>
        </w:rPr>
        <w:t>（</w:t>
      </w:r>
      <w:bookmarkEnd w:id="1084"/>
      <w:r>
        <w:rPr>
          <w:rFonts w:ascii="Times New Roman" w:eastAsia="Times New Roman" w:hAnsi="Times New Roman" w:cs="Times New Roman"/>
          <w:b/>
          <w:bCs/>
          <w:color w:val="000000"/>
          <w:spacing w:val="0"/>
          <w:w w:val="100"/>
          <w:position w:val="0"/>
          <w:sz w:val="20"/>
          <w:szCs w:val="20"/>
        </w:rPr>
        <w:t>2）</w:t>
        <w:tab/>
      </w:r>
      <w:r>
        <w:rPr>
          <w:b/>
          <w:bCs/>
          <w:color w:val="000000"/>
          <w:spacing w:val="0"/>
          <w:w w:val="100"/>
          <w:position w:val="0"/>
        </w:rPr>
        <w:t>特定交易的收入处理原则</w:t>
      </w:r>
    </w:p>
    <w:p>
      <w:pPr>
        <w:pStyle w:val="Style31"/>
        <w:keepNext w:val="0"/>
        <w:keepLines w:val="0"/>
        <w:widowControl w:val="0"/>
        <w:numPr>
          <w:ilvl w:val="0"/>
          <w:numId w:val="105"/>
        </w:numPr>
        <w:shd w:val="clear" w:color="auto" w:fill="auto"/>
        <w:tabs>
          <w:tab w:pos="832" w:val="left"/>
        </w:tabs>
        <w:bidi w:val="0"/>
        <w:spacing w:before="0" w:after="0" w:line="311" w:lineRule="exact"/>
        <w:ind w:left="0" w:right="0" w:firstLine="440"/>
        <w:jc w:val="left"/>
      </w:pPr>
      <w:bookmarkStart w:id="1085" w:name="bookmark1085"/>
      <w:bookmarkEnd w:id="1085"/>
      <w:r>
        <w:rPr>
          <w:color w:val="000000"/>
          <w:spacing w:val="0"/>
          <w:w w:val="100"/>
          <w:position w:val="0"/>
        </w:rPr>
        <w:t>附有销售退回条款的合同</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在客户取得相关商品控制权时，按照因向客户转让商品而预期有权收取的对价金额（即，不包含预期因销售退回将退还 的金额）确认收入，按照预期因销售退回将退还的金额确认负债。</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销售商品时预期将退回商品的账面价值，扣除收回该商品预计发生的成本（包括退回商品的价值减损）后的余额，在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 收退货成本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项下核算。</w:t>
      </w:r>
    </w:p>
    <w:p>
      <w:pPr>
        <w:pStyle w:val="Style31"/>
        <w:keepNext w:val="0"/>
        <w:keepLines w:val="0"/>
        <w:widowControl w:val="0"/>
        <w:numPr>
          <w:ilvl w:val="0"/>
          <w:numId w:val="105"/>
        </w:numPr>
        <w:shd w:val="clear" w:color="auto" w:fill="auto"/>
        <w:tabs>
          <w:tab w:pos="837" w:val="left"/>
        </w:tabs>
        <w:bidi w:val="0"/>
        <w:spacing w:before="0" w:after="0" w:line="311" w:lineRule="exact"/>
        <w:ind w:left="0" w:right="0" w:firstLine="440"/>
        <w:jc w:val="left"/>
      </w:pPr>
      <w:bookmarkStart w:id="1086" w:name="bookmark1086"/>
      <w:bookmarkEnd w:id="1086"/>
      <w:r>
        <w:rPr>
          <w:color w:val="000000"/>
          <w:spacing w:val="0"/>
          <w:w w:val="100"/>
          <w:position w:val="0"/>
        </w:rPr>
        <w:t>附有质量保证条款的合同</w:t>
      </w:r>
    </w:p>
    <w:p>
      <w:pPr>
        <w:pStyle w:val="Style31"/>
        <w:keepNext w:val="0"/>
        <w:keepLines w:val="0"/>
        <w:widowControl w:val="0"/>
        <w:shd w:val="clear" w:color="auto" w:fill="auto"/>
        <w:bidi w:val="0"/>
        <w:spacing w:before="0" w:after="100" w:line="311" w:lineRule="exact"/>
        <w:ind w:left="0" w:right="0"/>
        <w:jc w:val="left"/>
      </w:pPr>
      <w:r>
        <w:rPr>
          <w:color w:val="000000"/>
          <w:spacing w:val="0"/>
          <w:w w:val="100"/>
          <w:position w:val="0"/>
        </w:rPr>
        <w:t xml:space="preserve">评估该质量保证是否在向客户保证所销售商品符合既定标准之外提供了一项单独的服务。公司提供额外服务的，则作为 </w:t>
      </w:r>
      <w:r>
        <w:rPr>
          <w:color w:val="000000"/>
          <w:spacing w:val="0"/>
          <w:w w:val="100"/>
          <w:position w:val="0"/>
        </w:rPr>
        <w:t>单项履约义务，按照收入准则规定进行会计处理；否则，质量保证责任按照或有事项的会计准则规定进行会计处理。</w:t>
      </w:r>
    </w:p>
    <w:p>
      <w:pPr>
        <w:pStyle w:val="Style31"/>
        <w:keepNext w:val="0"/>
        <w:keepLines w:val="0"/>
        <w:widowControl w:val="0"/>
        <w:numPr>
          <w:ilvl w:val="0"/>
          <w:numId w:val="105"/>
        </w:numPr>
        <w:shd w:val="clear" w:color="auto" w:fill="auto"/>
        <w:tabs>
          <w:tab w:pos="836" w:val="left"/>
        </w:tabs>
        <w:bidi w:val="0"/>
        <w:spacing w:before="0" w:after="0" w:line="305" w:lineRule="auto"/>
        <w:ind w:left="0" w:right="0" w:firstLine="440"/>
        <w:jc w:val="both"/>
      </w:pPr>
      <w:bookmarkStart w:id="1087" w:name="bookmark1087"/>
      <w:bookmarkEnd w:id="1087"/>
      <w:r>
        <w:rPr>
          <w:color w:val="000000"/>
          <w:spacing w:val="0"/>
          <w:w w:val="100"/>
          <w:position w:val="0"/>
        </w:rPr>
        <w:t>附有客户额外购买选择权的销售合同</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公司评估该选择权是否向客户提供了一项重大权利。提供重大权利的，则作为单项履约义务，将交易价格分摊至该履约 义务，在客户未来行使购买选择权取得相关商品控制权时，或者该选择权失效时，确认相应的收入。客户额外购买选择权的 单独售价无法直接观察的，则综合考虑客户行使和不行使该选择权所能获得的折扣的差异、客户行使该选择权的可能性等全 部相关信息后，予以合理估计。</w:t>
      </w:r>
    </w:p>
    <w:p>
      <w:pPr>
        <w:pStyle w:val="Style31"/>
        <w:keepNext w:val="0"/>
        <w:keepLines w:val="0"/>
        <w:widowControl w:val="0"/>
        <w:numPr>
          <w:ilvl w:val="0"/>
          <w:numId w:val="105"/>
        </w:numPr>
        <w:shd w:val="clear" w:color="auto" w:fill="auto"/>
        <w:tabs>
          <w:tab w:pos="836" w:val="left"/>
        </w:tabs>
        <w:bidi w:val="0"/>
        <w:spacing w:before="0" w:after="0" w:line="305" w:lineRule="auto"/>
        <w:ind w:left="0" w:right="0" w:firstLine="440"/>
        <w:jc w:val="both"/>
      </w:pPr>
      <w:bookmarkStart w:id="1088" w:name="bookmark1088"/>
      <w:bookmarkEnd w:id="1088"/>
      <w:r>
        <w:rPr>
          <w:color w:val="000000"/>
          <w:spacing w:val="0"/>
          <w:w w:val="100"/>
          <w:position w:val="0"/>
        </w:rPr>
        <w:t>向客户授予知识产权许可的合同</w:t>
      </w:r>
    </w:p>
    <w:p>
      <w:pPr>
        <w:pStyle w:val="Style31"/>
        <w:keepNext w:val="0"/>
        <w:keepLines w:val="0"/>
        <w:widowControl w:val="0"/>
        <w:shd w:val="clear" w:color="auto" w:fill="auto"/>
        <w:bidi w:val="0"/>
        <w:spacing w:before="0" w:after="100" w:line="314" w:lineRule="exact"/>
        <w:ind w:left="0" w:right="0"/>
        <w:jc w:val="both"/>
      </w:pPr>
      <w:r>
        <w:rPr>
          <w:color w:val="000000"/>
          <w:spacing w:val="0"/>
          <w:w w:val="100"/>
          <w:position w:val="0"/>
        </w:rPr>
        <w:t>评估该知识产权许可是否构成单项履约义务，构成单项履约义务的，则进一步确定其是在某一时段内履行还是在某一时 点履行。向客户授予知识产权许可，并约定按客户实际销售或使用情况收取特许权使用费的，则在下列两项孰晚的时点确认 收入：客户后续销售或使用行为实际发生；公司履行相关履约义务。</w:t>
      </w:r>
    </w:p>
    <w:p>
      <w:pPr>
        <w:pStyle w:val="Style31"/>
        <w:keepNext w:val="0"/>
        <w:keepLines w:val="0"/>
        <w:widowControl w:val="0"/>
        <w:numPr>
          <w:ilvl w:val="0"/>
          <w:numId w:val="105"/>
        </w:numPr>
        <w:shd w:val="clear" w:color="auto" w:fill="auto"/>
        <w:tabs>
          <w:tab w:pos="836" w:val="left"/>
        </w:tabs>
        <w:bidi w:val="0"/>
        <w:spacing w:before="0" w:after="0" w:line="305" w:lineRule="auto"/>
        <w:ind w:left="0" w:right="0" w:firstLine="440"/>
        <w:jc w:val="both"/>
      </w:pPr>
      <w:bookmarkStart w:id="1089" w:name="bookmark1089"/>
      <w:bookmarkEnd w:id="1089"/>
      <w:r>
        <w:rPr>
          <w:color w:val="000000"/>
          <w:spacing w:val="0"/>
          <w:w w:val="100"/>
          <w:position w:val="0"/>
        </w:rPr>
        <w:t>售后回购</w:t>
      </w:r>
    </w:p>
    <w:p>
      <w:pPr>
        <w:pStyle w:val="Style31"/>
        <w:keepNext w:val="0"/>
        <w:keepLines w:val="0"/>
        <w:widowControl w:val="0"/>
        <w:numPr>
          <w:ilvl w:val="0"/>
          <w:numId w:val="107"/>
        </w:numPr>
        <w:shd w:val="clear" w:color="auto" w:fill="auto"/>
        <w:tabs>
          <w:tab w:pos="698" w:val="left"/>
        </w:tabs>
        <w:bidi w:val="0"/>
        <w:spacing w:before="0" w:after="0" w:line="314" w:lineRule="exact"/>
        <w:ind w:left="0" w:right="0"/>
        <w:jc w:val="both"/>
      </w:pPr>
      <w:bookmarkStart w:id="1090" w:name="bookmark1090"/>
      <w:bookmarkEnd w:id="1090"/>
      <w:r>
        <w:rPr>
          <w:color w:val="000000"/>
          <w:spacing w:val="0"/>
          <w:w w:val="100"/>
          <w:position w:val="0"/>
        </w:rPr>
        <w:t>因与客户的远期安排而负有回购义务的合同：这种情况下客户在销售时点并未取得相关商品控制权，因此作为租赁交 易或融资交易进行相应的会计处理。其中，回购价格低于原售价的视为租赁交易，按照企业会计准则对租赁的相关规定进行 会计处理；回购价格不低于原售价的视为融资交易，在收到客户款项时确认金融负债，并将该款项和回购价格的差额在回购 期间内确认为利息费用等。公司到期未行使回购权利的，则在该回购权利到期时终止确认金融负债，同时确认收入。</w:t>
      </w:r>
    </w:p>
    <w:p>
      <w:pPr>
        <w:pStyle w:val="Style31"/>
        <w:keepNext w:val="0"/>
        <w:keepLines w:val="0"/>
        <w:widowControl w:val="0"/>
        <w:numPr>
          <w:ilvl w:val="0"/>
          <w:numId w:val="107"/>
        </w:numPr>
        <w:shd w:val="clear" w:color="auto" w:fill="auto"/>
        <w:tabs>
          <w:tab w:pos="693" w:val="left"/>
        </w:tabs>
        <w:bidi w:val="0"/>
        <w:spacing w:before="0" w:after="100" w:line="314" w:lineRule="exact"/>
        <w:ind w:left="0" w:right="0"/>
        <w:jc w:val="both"/>
      </w:pPr>
      <w:bookmarkStart w:id="1091" w:name="bookmark1091"/>
      <w:bookmarkEnd w:id="1091"/>
      <w:r>
        <w:rPr>
          <w:color w:val="000000"/>
          <w:spacing w:val="0"/>
          <w:w w:val="100"/>
          <w:position w:val="0"/>
        </w:rPr>
        <w:t>应客户要求产生的回购义务的合同：经评估客户具有重大经济动因的，将售后回购作为租赁交易或融资交易，按照本 条</w:t>
      </w:r>
      <w:r>
        <w:rPr>
          <w:color w:val="000000"/>
          <w:spacing w:val="0"/>
          <w:w w:val="100"/>
          <w:position w:val="0"/>
          <w:sz w:val="18"/>
          <w:szCs w:val="18"/>
        </w:rPr>
        <w:t>1)</w:t>
      </w:r>
      <w:r>
        <w:rPr>
          <w:color w:val="000000"/>
          <w:spacing w:val="0"/>
          <w:w w:val="100"/>
          <w:position w:val="0"/>
        </w:rPr>
        <w:t>规定进行会计处理；否则将其作为附有销售退回条款的销售交易进行处理。</w:t>
      </w:r>
    </w:p>
    <w:p>
      <w:pPr>
        <w:pStyle w:val="Style31"/>
        <w:keepNext w:val="0"/>
        <w:keepLines w:val="0"/>
        <w:widowControl w:val="0"/>
        <w:numPr>
          <w:ilvl w:val="0"/>
          <w:numId w:val="99"/>
        </w:numPr>
        <w:shd w:val="clear" w:color="auto" w:fill="auto"/>
        <w:bidi w:val="0"/>
        <w:spacing w:before="0" w:after="0" w:line="329" w:lineRule="auto"/>
        <w:ind w:left="0" w:right="0"/>
        <w:jc w:val="both"/>
      </w:pPr>
      <w:bookmarkStart w:id="1092" w:name="bookmark1092"/>
      <w:bookmarkEnd w:id="1092"/>
      <w:r>
        <w:rPr>
          <w:b/>
          <w:bCs/>
          <w:color w:val="000000"/>
          <w:spacing w:val="0"/>
          <w:w w:val="100"/>
          <w:position w:val="0"/>
        </w:rPr>
        <w:t>收入确认的具体方法</w:t>
      </w:r>
    </w:p>
    <w:p>
      <w:pPr>
        <w:pStyle w:val="Style31"/>
        <w:keepNext w:val="0"/>
        <w:keepLines w:val="0"/>
        <w:widowControl w:val="0"/>
        <w:numPr>
          <w:ilvl w:val="0"/>
          <w:numId w:val="109"/>
        </w:numPr>
        <w:shd w:val="clear" w:color="auto" w:fill="auto"/>
        <w:tabs>
          <w:tab w:pos="752" w:val="left"/>
        </w:tabs>
        <w:bidi w:val="0"/>
        <w:spacing w:before="0" w:after="0" w:line="314" w:lineRule="exact"/>
        <w:ind w:left="0" w:right="0"/>
        <w:jc w:val="both"/>
      </w:pPr>
      <w:bookmarkStart w:id="1093" w:name="bookmark1093"/>
      <w:bookmarkEnd w:id="1093"/>
      <w:r>
        <w:rPr>
          <w:color w:val="000000"/>
          <w:spacing w:val="0"/>
          <w:w w:val="100"/>
          <w:position w:val="0"/>
        </w:rPr>
        <w:t>内销收入：</w:t>
      </w:r>
    </w:p>
    <w:p>
      <w:pPr>
        <w:pStyle w:val="Style31"/>
        <w:keepNext w:val="0"/>
        <w:keepLines w:val="0"/>
        <w:widowControl w:val="0"/>
        <w:numPr>
          <w:ilvl w:val="0"/>
          <w:numId w:val="111"/>
        </w:numPr>
        <w:shd w:val="clear" w:color="auto" w:fill="auto"/>
        <w:tabs>
          <w:tab w:pos="631" w:val="left"/>
        </w:tabs>
        <w:bidi w:val="0"/>
        <w:spacing w:before="0" w:after="0" w:line="314" w:lineRule="exact"/>
        <w:ind w:left="0" w:right="0"/>
        <w:jc w:val="both"/>
      </w:pPr>
      <w:bookmarkStart w:id="1094" w:name="bookmark1094"/>
      <w:bookmarkEnd w:id="1094"/>
      <w:r>
        <w:rPr>
          <w:color w:val="000000"/>
          <w:spacing w:val="0"/>
          <w:w w:val="100"/>
          <w:position w:val="0"/>
        </w:rPr>
        <w:t>电源类和逆变器类业务，在产品运输至客户指定地点或交付给客户后，相关控制权已转移至客户，因此，将客户签收 日期作为销售收入确认时点；</w:t>
      </w:r>
    </w:p>
    <w:p>
      <w:pPr>
        <w:pStyle w:val="Style31"/>
        <w:keepNext w:val="0"/>
        <w:keepLines w:val="0"/>
        <w:widowControl w:val="0"/>
        <w:numPr>
          <w:ilvl w:val="0"/>
          <w:numId w:val="111"/>
        </w:numPr>
        <w:shd w:val="clear" w:color="auto" w:fill="auto"/>
        <w:tabs>
          <w:tab w:pos="669" w:val="left"/>
        </w:tabs>
        <w:bidi w:val="0"/>
        <w:spacing w:before="0" w:after="0" w:line="314" w:lineRule="exact"/>
        <w:ind w:left="0" w:right="0"/>
        <w:jc w:val="both"/>
      </w:pPr>
      <w:bookmarkStart w:id="1095" w:name="bookmark1095"/>
      <w:bookmarkEnd w:id="1095"/>
      <w:r>
        <w:rPr>
          <w:color w:val="000000"/>
          <w:spacing w:val="0"/>
          <w:w w:val="100"/>
          <w:position w:val="0"/>
        </w:rPr>
        <w:t>光伏电站业务收入确认方法：光伏电站依据当期与电网公司确认的《电量结算单》，配比销售电价及补贴电价确认收 入。</w:t>
      </w:r>
    </w:p>
    <w:p>
      <w:pPr>
        <w:pStyle w:val="Style31"/>
        <w:keepNext w:val="0"/>
        <w:keepLines w:val="0"/>
        <w:widowControl w:val="0"/>
        <w:numPr>
          <w:ilvl w:val="0"/>
          <w:numId w:val="109"/>
        </w:numPr>
        <w:shd w:val="clear" w:color="auto" w:fill="auto"/>
        <w:tabs>
          <w:tab w:pos="727" w:val="left"/>
        </w:tabs>
        <w:bidi w:val="0"/>
        <w:spacing w:before="0" w:after="340" w:line="314" w:lineRule="exact"/>
        <w:ind w:left="0" w:right="0"/>
        <w:jc w:val="both"/>
      </w:pPr>
      <w:bookmarkStart w:id="1096" w:name="bookmark1096"/>
      <w:bookmarkEnd w:id="1096"/>
      <w:r>
        <w:rPr>
          <w:color w:val="000000"/>
          <w:spacing w:val="0"/>
          <w:w w:val="100"/>
          <w:position w:val="0"/>
        </w:rPr>
        <w:t>出口收入：出口货物报关单列示的出口日期即结关日期，结关日期是指载货工具于出口前办理完海关手续，海关准许 离岗出行的日期。货物结关后，相关控制权已经转移至客户，因此，将采用结关日期作为出口销售收入确认时点。</w:t>
      </w:r>
    </w:p>
    <w:p>
      <w:pPr>
        <w:pStyle w:val="Style31"/>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同类业务采用不同经营模式导致收入确认会计政策存在差异的情况</w:t>
      </w:r>
    </w:p>
    <w:p>
      <w:pPr>
        <w:pStyle w:val="Style34"/>
        <w:keepNext/>
        <w:keepLines/>
        <w:widowControl w:val="0"/>
        <w:shd w:val="clear" w:color="auto" w:fill="auto"/>
        <w:bidi w:val="0"/>
        <w:spacing w:before="0" w:after="40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4</w:t>
      </w:r>
      <w:bookmarkEnd w:id="109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97"/>
      <w:bookmarkEnd w:id="1098"/>
      <w:bookmarkEnd w:id="1100"/>
    </w:p>
    <w:p>
      <w:pPr>
        <w:pStyle w:val="Style50"/>
        <w:keepNext w:val="0"/>
        <w:keepLines w:val="0"/>
        <w:widowControl w:val="0"/>
        <w:numPr>
          <w:ilvl w:val="0"/>
          <w:numId w:val="113"/>
        </w:numPr>
        <w:shd w:val="clear" w:color="auto" w:fill="auto"/>
        <w:tabs>
          <w:tab w:pos="836" w:val="left"/>
        </w:tabs>
        <w:bidi w:val="0"/>
        <w:spacing w:before="0" w:after="0" w:line="360" w:lineRule="auto"/>
        <w:ind w:left="0" w:right="0" w:firstLine="440"/>
        <w:jc w:val="both"/>
        <w:rPr>
          <w:sz w:val="17"/>
          <w:szCs w:val="17"/>
        </w:rPr>
      </w:pPr>
      <w:bookmarkStart w:id="1101" w:name="bookmark1101"/>
      <w:bookmarkEnd w:id="1101"/>
      <w:r>
        <w:rPr>
          <w:rFonts w:ascii="SimSun" w:eastAsia="SimSun" w:hAnsi="SimSun" w:cs="SimSun"/>
          <w:b/>
          <w:bCs/>
          <w:color w:val="000000"/>
          <w:spacing w:val="0"/>
          <w:w w:val="100"/>
          <w:position w:val="0"/>
          <w:sz w:val="17"/>
          <w:szCs w:val="17"/>
        </w:rPr>
        <w:t>类型</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1"/>
        <w:keepNext w:val="0"/>
        <w:keepLines w:val="0"/>
        <w:widowControl w:val="0"/>
        <w:numPr>
          <w:ilvl w:val="0"/>
          <w:numId w:val="113"/>
        </w:numPr>
        <w:shd w:val="clear" w:color="auto" w:fill="auto"/>
        <w:tabs>
          <w:tab w:pos="836" w:val="left"/>
        </w:tabs>
        <w:bidi w:val="0"/>
        <w:spacing w:before="0" w:after="0" w:line="360" w:lineRule="auto"/>
        <w:ind w:left="0" w:right="0" w:firstLine="440"/>
        <w:jc w:val="both"/>
      </w:pPr>
      <w:bookmarkStart w:id="1102" w:name="bookmark1102"/>
      <w:bookmarkEnd w:id="1102"/>
      <w:r>
        <w:rPr>
          <w:b/>
          <w:bCs/>
          <w:color w:val="000000"/>
          <w:spacing w:val="0"/>
          <w:w w:val="100"/>
          <w:position w:val="0"/>
        </w:rPr>
        <w:t>政府补助的确认</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31"/>
        <w:keepNext w:val="0"/>
        <w:keepLines w:val="0"/>
        <w:widowControl w:val="0"/>
        <w:shd w:val="clear" w:color="auto" w:fill="auto"/>
        <w:bidi w:val="0"/>
        <w:spacing w:before="0" w:after="100" w:line="311"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31"/>
        <w:keepNext w:val="0"/>
        <w:keepLines w:val="0"/>
        <w:widowControl w:val="0"/>
        <w:numPr>
          <w:ilvl w:val="0"/>
          <w:numId w:val="113"/>
        </w:numPr>
        <w:shd w:val="clear" w:color="auto" w:fill="auto"/>
        <w:bidi w:val="0"/>
        <w:spacing w:before="0" w:after="0" w:line="360" w:lineRule="auto"/>
        <w:ind w:left="0" w:right="0" w:firstLine="560"/>
        <w:jc w:val="both"/>
      </w:pPr>
      <w:bookmarkStart w:id="1103" w:name="bookmark1103"/>
      <w:bookmarkEnd w:id="1103"/>
      <w:r>
        <w:rPr>
          <w:b/>
          <w:bCs/>
          <w:color w:val="000000"/>
          <w:spacing w:val="0"/>
          <w:w w:val="100"/>
          <w:position w:val="0"/>
        </w:rPr>
        <w:t>会计处理方法</w:t>
      </w:r>
    </w:p>
    <w:p>
      <w:pPr>
        <w:pStyle w:val="Style31"/>
        <w:keepNext w:val="0"/>
        <w:keepLines w:val="0"/>
        <w:widowControl w:val="0"/>
        <w:shd w:val="clear" w:color="auto" w:fill="auto"/>
        <w:bidi w:val="0"/>
        <w:spacing w:before="0" w:after="40" w:line="311" w:lineRule="exact"/>
        <w:ind w:left="0" w:right="0"/>
        <w:jc w:val="both"/>
      </w:pPr>
      <w:r>
        <w:rPr>
          <w:color w:val="000000"/>
          <w:spacing w:val="0"/>
          <w:w w:val="100"/>
          <w:position w:val="0"/>
        </w:rPr>
        <w:t>本公司根据经济业务的实质，确定某一类政府补助业务应当采用总额法还是净额法进行会计处理。通常情况下，本公司 对于同类或类似政府补助业务只选用一种方法，且对该业务一贯地运用该方法。</w:t>
      </w:r>
    </w:p>
    <w:tbl>
      <w:tblPr>
        <w:tblOverlap w:val="never"/>
        <w:jc w:val="center"/>
        <w:tblLayout w:type="fixed"/>
      </w:tblPr>
      <w:tblGrid>
        <w:gridCol w:w="4838"/>
        <w:gridCol w:w="4838"/>
      </w:tblGrid>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bl>
    <w:p>
      <w:pPr>
        <w:widowControl w:val="0"/>
        <w:spacing w:line="1" w:lineRule="exact"/>
      </w:pPr>
    </w:p>
    <w:tbl>
      <w:tblPr>
        <w:tblOverlap w:val="never"/>
        <w:jc w:val="center"/>
        <w:tblLayout w:type="fixed"/>
      </w:tblPr>
      <w:tblGrid>
        <w:gridCol w:w="4838"/>
        <w:gridCol w:w="4838"/>
      </w:tblGrid>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除贷款贴息外的所有政府补助</w:t>
            </w:r>
          </w:p>
        </w:tc>
      </w:tr>
    </w:tbl>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与企业日常活动相关的政府补助计入其他收益或冲减相关成本费用；与企业日常活动无关的政府补助计入营业外收支。 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31"/>
        <w:keepNext w:val="0"/>
        <w:keepLines w:val="0"/>
        <w:widowControl w:val="0"/>
        <w:shd w:val="clear" w:color="auto" w:fill="auto"/>
        <w:bidi w:val="0"/>
        <w:spacing w:before="0" w:after="700" w:line="314" w:lineRule="exact"/>
        <w:ind w:left="0" w:right="0"/>
        <w:jc w:val="left"/>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34"/>
        <w:keepNext/>
        <w:keepLines/>
        <w:widowControl w:val="0"/>
        <w:shd w:val="clear" w:color="auto" w:fill="auto"/>
        <w:bidi w:val="0"/>
        <w:spacing w:before="0" w:after="26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4</w:t>
      </w:r>
      <w:bookmarkEnd w:id="1106"/>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04"/>
      <w:bookmarkEnd w:id="1105"/>
      <w:bookmarkEnd w:id="1107"/>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31"/>
        <w:keepNext w:val="0"/>
        <w:keepLines w:val="0"/>
        <w:widowControl w:val="0"/>
        <w:shd w:val="clear" w:color="auto" w:fill="auto"/>
        <w:tabs>
          <w:tab w:pos="774" w:val="left"/>
        </w:tabs>
        <w:bidi w:val="0"/>
        <w:spacing w:before="0" w:after="0" w:line="311" w:lineRule="exact"/>
        <w:ind w:left="0" w:right="0"/>
        <w:jc w:val="left"/>
      </w:pPr>
      <w:bookmarkStart w:id="1108" w:name="bookmark1108"/>
      <w:r>
        <w:rPr>
          <w:rFonts w:ascii="Times New Roman" w:eastAsia="Times New Roman" w:hAnsi="Times New Roman" w:cs="Times New Roman"/>
          <w:b/>
          <w:bCs/>
          <w:color w:val="000000"/>
          <w:spacing w:val="0"/>
          <w:w w:val="100"/>
          <w:position w:val="0"/>
          <w:sz w:val="18"/>
          <w:szCs w:val="18"/>
        </w:rPr>
        <w:t>（</w:t>
      </w:r>
      <w:bookmarkEnd w:id="1108"/>
      <w:r>
        <w:rPr>
          <w:rFonts w:ascii="Times New Roman" w:eastAsia="Times New Roman" w:hAnsi="Times New Roman" w:cs="Times New Roman"/>
          <w:b/>
          <w:bCs/>
          <w:color w:val="000000"/>
          <w:spacing w:val="0"/>
          <w:w w:val="100"/>
          <w:position w:val="0"/>
          <w:sz w:val="18"/>
          <w:szCs w:val="18"/>
        </w:rPr>
        <w:t>1）</w:t>
        <w:tab/>
      </w:r>
      <w:r>
        <w:rPr>
          <w:b/>
          <w:bCs/>
          <w:color w:val="000000"/>
          <w:spacing w:val="0"/>
          <w:w w:val="100"/>
          <w:position w:val="0"/>
        </w:rPr>
        <w:t>确认递延所得税资产的依据</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31"/>
        <w:keepNext w:val="0"/>
        <w:keepLines w:val="0"/>
        <w:widowControl w:val="0"/>
        <w:shd w:val="clear" w:color="auto" w:fill="auto"/>
        <w:tabs>
          <w:tab w:pos="774" w:val="left"/>
        </w:tabs>
        <w:bidi w:val="0"/>
        <w:spacing w:before="0" w:after="0" w:line="311" w:lineRule="exact"/>
        <w:ind w:left="0" w:right="0"/>
        <w:jc w:val="left"/>
      </w:pPr>
      <w:bookmarkStart w:id="1109" w:name="bookmark1109"/>
      <w:r>
        <w:rPr>
          <w:rFonts w:ascii="Times New Roman" w:eastAsia="Times New Roman" w:hAnsi="Times New Roman" w:cs="Times New Roman"/>
          <w:b/>
          <w:bCs/>
          <w:color w:val="000000"/>
          <w:spacing w:val="0"/>
          <w:w w:val="100"/>
          <w:position w:val="0"/>
          <w:sz w:val="18"/>
          <w:szCs w:val="18"/>
        </w:rPr>
        <w:t>（</w:t>
      </w:r>
      <w:bookmarkEnd w:id="1109"/>
      <w:r>
        <w:rPr>
          <w:rFonts w:ascii="Times New Roman" w:eastAsia="Times New Roman" w:hAnsi="Times New Roman" w:cs="Times New Roman"/>
          <w:b/>
          <w:bCs/>
          <w:color w:val="000000"/>
          <w:spacing w:val="0"/>
          <w:w w:val="100"/>
          <w:position w:val="0"/>
          <w:sz w:val="18"/>
          <w:szCs w:val="18"/>
        </w:rPr>
        <w:t>2）</w:t>
        <w:tab/>
      </w:r>
      <w:r>
        <w:rPr>
          <w:b/>
          <w:bCs/>
          <w:color w:val="000000"/>
          <w:spacing w:val="0"/>
          <w:w w:val="100"/>
          <w:position w:val="0"/>
        </w:rPr>
        <w:t>确认递延所得税负债的依据</w:t>
      </w:r>
    </w:p>
    <w:p>
      <w:pPr>
        <w:pStyle w:val="Style31"/>
        <w:keepNext w:val="0"/>
        <w:keepLines w:val="0"/>
        <w:widowControl w:val="0"/>
        <w:shd w:val="clear" w:color="auto" w:fill="auto"/>
        <w:bidi w:val="0"/>
        <w:spacing w:before="0" w:after="0" w:line="311" w:lineRule="exact"/>
        <w:ind w:left="0" w:right="0"/>
        <w:jc w:val="left"/>
      </w:pPr>
      <w:r>
        <w:rPr>
          <w:color w:val="000000"/>
          <w:spacing w:val="0"/>
          <w:w w:val="100"/>
          <w:position w:val="0"/>
        </w:rPr>
        <w:t>公司将当期与以前期间应交未交的应纳税暂时性差异确认为递延所得税负债。但不包括：</w:t>
      </w:r>
    </w:p>
    <w:p>
      <w:pPr>
        <w:pStyle w:val="Style31"/>
        <w:keepNext w:val="0"/>
        <w:keepLines w:val="0"/>
        <w:widowControl w:val="0"/>
        <w:numPr>
          <w:ilvl w:val="0"/>
          <w:numId w:val="115"/>
        </w:numPr>
        <w:shd w:val="clear" w:color="auto" w:fill="auto"/>
        <w:tabs>
          <w:tab w:pos="750" w:val="left"/>
        </w:tabs>
        <w:bidi w:val="0"/>
        <w:spacing w:before="0" w:after="0" w:line="311" w:lineRule="exact"/>
        <w:ind w:left="0" w:right="0"/>
        <w:jc w:val="left"/>
      </w:pPr>
      <w:bookmarkStart w:id="1110" w:name="bookmark1110"/>
      <w:bookmarkEnd w:id="1110"/>
      <w:r>
        <w:rPr>
          <w:color w:val="000000"/>
          <w:spacing w:val="0"/>
          <w:w w:val="100"/>
          <w:position w:val="0"/>
        </w:rPr>
        <w:t>商誉的初始确认所形成的暂时性差异；</w:t>
      </w:r>
    </w:p>
    <w:p>
      <w:pPr>
        <w:pStyle w:val="Style31"/>
        <w:keepNext w:val="0"/>
        <w:keepLines w:val="0"/>
        <w:widowControl w:val="0"/>
        <w:numPr>
          <w:ilvl w:val="0"/>
          <w:numId w:val="115"/>
        </w:numPr>
        <w:shd w:val="clear" w:color="auto" w:fill="auto"/>
        <w:tabs>
          <w:tab w:pos="725" w:val="left"/>
        </w:tabs>
        <w:bidi w:val="0"/>
        <w:spacing w:before="0" w:after="0" w:line="311" w:lineRule="exact"/>
        <w:ind w:left="0" w:right="0"/>
        <w:jc w:val="left"/>
      </w:pPr>
      <w:bookmarkStart w:id="1111" w:name="bookmark1111"/>
      <w:bookmarkEnd w:id="1111"/>
      <w:r>
        <w:rPr>
          <w:color w:val="000000"/>
          <w:spacing w:val="0"/>
          <w:w w:val="100"/>
          <w:position w:val="0"/>
        </w:rPr>
        <w:t>非企业合并形成的交易或事项，且该交易或事项发生时既不影响会计利润，也不影响应纳税所得额（或可抵扣亏损） 所形成的暂时性差异；</w:t>
      </w:r>
    </w:p>
    <w:p>
      <w:pPr>
        <w:pStyle w:val="Style31"/>
        <w:keepNext w:val="0"/>
        <w:keepLines w:val="0"/>
        <w:widowControl w:val="0"/>
        <w:numPr>
          <w:ilvl w:val="0"/>
          <w:numId w:val="115"/>
        </w:numPr>
        <w:shd w:val="clear" w:color="auto" w:fill="auto"/>
        <w:tabs>
          <w:tab w:pos="725" w:val="left"/>
        </w:tabs>
        <w:bidi w:val="0"/>
        <w:spacing w:before="0" w:after="700" w:line="311" w:lineRule="exact"/>
        <w:ind w:left="0" w:right="0"/>
        <w:jc w:val="left"/>
      </w:pPr>
      <w:bookmarkStart w:id="1112" w:name="bookmark1112"/>
      <w:bookmarkEnd w:id="1112"/>
      <w:r>
        <w:rPr>
          <w:color w:val="000000"/>
          <w:spacing w:val="0"/>
          <w:w w:val="100"/>
          <w:position w:val="0"/>
        </w:rPr>
        <w:t>对于与子公司、联营企业投资相关的应纳税暂时性差异，该暂时性差异转回的时间能够控制并且该暂时性差异在可预 见的未来很可能不会转回。</w:t>
      </w:r>
    </w:p>
    <w:p>
      <w:pPr>
        <w:pStyle w:val="Style34"/>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1113"/>
      <w:bookmarkEnd w:id="1114"/>
      <w:bookmarkEnd w:id="1115"/>
    </w:p>
    <w:p>
      <w:pPr>
        <w:pStyle w:val="Style40"/>
        <w:keepNext/>
        <w:keepLines/>
        <w:widowControl w:val="0"/>
        <w:shd w:val="clear" w:color="auto" w:fill="auto"/>
        <w:bidi w:val="0"/>
        <w:spacing w:before="0" w:after="26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16"/>
      <w:bookmarkEnd w:id="1117"/>
      <w:bookmarkEnd w:id="1119"/>
    </w:p>
    <w:p>
      <w:pPr>
        <w:pStyle w:val="Style31"/>
        <w:keepNext w:val="0"/>
        <w:keepLines w:val="0"/>
        <w:widowControl w:val="0"/>
        <w:numPr>
          <w:ilvl w:val="0"/>
          <w:numId w:val="117"/>
        </w:numPr>
        <w:shd w:val="clear" w:color="auto" w:fill="auto"/>
        <w:tabs>
          <w:tab w:pos="750" w:val="left"/>
        </w:tabs>
        <w:bidi w:val="0"/>
        <w:spacing w:before="0" w:after="0" w:line="313" w:lineRule="exact"/>
        <w:ind w:left="0" w:right="0"/>
        <w:jc w:val="both"/>
      </w:pPr>
      <w:bookmarkStart w:id="1120" w:name="bookmark1120"/>
      <w:bookmarkEnd w:id="1120"/>
      <w:r>
        <w:rPr>
          <w:color w:val="000000"/>
          <w:spacing w:val="0"/>
          <w:w w:val="100"/>
          <w:position w:val="0"/>
        </w:rPr>
        <w:t>经营租入资产</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31"/>
        <w:keepNext w:val="0"/>
        <w:keepLines w:val="0"/>
        <w:widowControl w:val="0"/>
        <w:numPr>
          <w:ilvl w:val="0"/>
          <w:numId w:val="117"/>
        </w:numPr>
        <w:shd w:val="clear" w:color="auto" w:fill="auto"/>
        <w:tabs>
          <w:tab w:pos="750" w:val="left"/>
        </w:tabs>
        <w:bidi w:val="0"/>
        <w:spacing w:before="0" w:after="0" w:line="313" w:lineRule="exact"/>
        <w:ind w:left="0" w:right="0"/>
        <w:jc w:val="both"/>
      </w:pPr>
      <w:bookmarkStart w:id="1121" w:name="bookmark1121"/>
      <w:bookmarkEnd w:id="1121"/>
      <w:r>
        <w:rPr>
          <w:color w:val="000000"/>
          <w:spacing w:val="0"/>
          <w:w w:val="100"/>
          <w:position w:val="0"/>
        </w:rPr>
        <w:t>经营租出资产</w:t>
      </w:r>
    </w:p>
    <w:p>
      <w:pPr>
        <w:pStyle w:val="Style31"/>
        <w:keepNext w:val="0"/>
        <w:keepLines w:val="0"/>
        <w:widowControl w:val="0"/>
        <w:shd w:val="clear" w:color="auto" w:fill="auto"/>
        <w:bidi w:val="0"/>
        <w:spacing w:before="0" w:after="320" w:line="313" w:lineRule="exact"/>
        <w:ind w:left="0" w:right="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31"/>
        <w:keepNext w:val="0"/>
        <w:keepLines w:val="0"/>
        <w:widowControl w:val="0"/>
        <w:shd w:val="clear" w:color="auto" w:fill="auto"/>
        <w:bidi w:val="0"/>
        <w:spacing w:before="0" w:after="680" w:line="322"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0"/>
        <w:keepNext/>
        <w:keepLines/>
        <w:widowControl w:val="0"/>
        <w:shd w:val="clear" w:color="auto" w:fill="auto"/>
        <w:bidi w:val="0"/>
        <w:spacing w:before="0" w:after="26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22"/>
      <w:bookmarkEnd w:id="1123"/>
      <w:bookmarkEnd w:id="1125"/>
    </w:p>
    <w:p>
      <w:pPr>
        <w:pStyle w:val="Style31"/>
        <w:keepNext w:val="0"/>
        <w:keepLines w:val="0"/>
        <w:widowControl w:val="0"/>
        <w:numPr>
          <w:ilvl w:val="0"/>
          <w:numId w:val="119"/>
        </w:numPr>
        <w:shd w:val="clear" w:color="auto" w:fill="auto"/>
        <w:tabs>
          <w:tab w:pos="733" w:val="left"/>
        </w:tabs>
        <w:bidi w:val="0"/>
        <w:spacing w:before="0" w:after="0" w:line="312" w:lineRule="exact"/>
        <w:ind w:left="0" w:right="0"/>
        <w:jc w:val="both"/>
      </w:pPr>
      <w:bookmarkStart w:id="1126" w:name="bookmark1126"/>
      <w:bookmarkEnd w:id="1126"/>
      <w:r>
        <w:rPr>
          <w:color w:val="000000"/>
          <w:spacing w:val="0"/>
          <w:w w:val="100"/>
          <w:position w:val="0"/>
        </w:rPr>
        <w:t>融资租入资产：公司在承租开始日，将租赁资产公允价值与最低租赁付款额现值两者中较低者作为租入资产的入账价 值，将最低租赁付款额作为长期应付款的入账价值，其差额作为未确认的融资费用。融资租入资产的认定依据、计价和折旧 方法详见本报告第十二节、五、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固定资产。</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公司采用实际利率法对未确认的融资费用，在资产租赁期间内摊销，计入财务费用。</w:t>
      </w:r>
    </w:p>
    <w:p>
      <w:pPr>
        <w:pStyle w:val="Style31"/>
        <w:keepNext w:val="0"/>
        <w:keepLines w:val="0"/>
        <w:widowControl w:val="0"/>
        <w:numPr>
          <w:ilvl w:val="0"/>
          <w:numId w:val="119"/>
        </w:numPr>
        <w:shd w:val="clear" w:color="auto" w:fill="auto"/>
        <w:tabs>
          <w:tab w:pos="728" w:val="left"/>
        </w:tabs>
        <w:bidi w:val="0"/>
        <w:spacing w:before="0" w:after="680" w:line="312" w:lineRule="exact"/>
        <w:ind w:left="0" w:right="0"/>
        <w:jc w:val="both"/>
      </w:pPr>
      <w:bookmarkStart w:id="1127" w:name="bookmark1127"/>
      <w:bookmarkEnd w:id="1127"/>
      <w:r>
        <w:rPr>
          <w:color w:val="000000"/>
          <w:spacing w:val="0"/>
          <w:w w:val="100"/>
          <w:position w:val="0"/>
        </w:rPr>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p>
    <w:p>
      <w:pPr>
        <w:pStyle w:val="Style34"/>
        <w:keepNext/>
        <w:keepLines/>
        <w:widowControl w:val="0"/>
        <w:shd w:val="clear" w:color="auto" w:fill="auto"/>
        <w:tabs>
          <w:tab w:pos="483" w:val="left"/>
        </w:tabs>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4</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28"/>
      <w:bookmarkEnd w:id="1129"/>
      <w:bookmarkEnd w:id="1131"/>
    </w:p>
    <w:p>
      <w:pPr>
        <w:pStyle w:val="Style34"/>
        <w:keepNext/>
        <w:keepLines/>
        <w:widowControl w:val="0"/>
        <w:shd w:val="clear" w:color="auto" w:fill="auto"/>
        <w:tabs>
          <w:tab w:pos="483" w:val="left"/>
        </w:tabs>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4</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32"/>
      <w:bookmarkEnd w:id="1133"/>
      <w:bookmarkEnd w:id="1135"/>
    </w:p>
    <w:p>
      <w:pPr>
        <w:pStyle w:val="Style40"/>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36"/>
      <w:bookmarkEnd w:id="1137"/>
      <w:bookmarkEnd w:id="113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112"/>
        <w:gridCol w:w="2126"/>
        <w:gridCol w:w="234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 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董事会审批通过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①</w:t>
            </w:r>
          </w:p>
        </w:tc>
      </w:tr>
    </w:tbl>
    <w:p>
      <w:pPr>
        <w:pStyle w:val="Style29"/>
        <w:keepNext w:val="0"/>
        <w:keepLines w:val="0"/>
        <w:widowControl w:val="0"/>
        <w:shd w:val="clear" w:color="auto" w:fill="auto"/>
        <w:bidi w:val="0"/>
        <w:spacing w:before="0" w:after="100" w:line="240" w:lineRule="auto"/>
        <w:ind w:left="350" w:right="0" w:firstLine="0"/>
        <w:jc w:val="left"/>
      </w:pPr>
      <w:r>
        <w:rPr>
          <w:b/>
          <w:bCs/>
          <w:color w:val="000000"/>
          <w:spacing w:val="0"/>
          <w:w w:val="100"/>
          <w:position w:val="0"/>
        </w:rPr>
        <w:t>①执行新收入准则对本公司的影响</w:t>
      </w:r>
    </w:p>
    <w:p>
      <w:pPr>
        <w:pStyle w:val="Style29"/>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收入》，变更后的会计政策详见本报告第十</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二节、五、重要会计政策及会计估计。</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 表其他相关项目金额，对可比期间信息不予调整。</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 确定交易价格以及在已履行的和尚未履行的履约义务之间分摊交易价格。</w:t>
      </w:r>
    </w:p>
    <w:p>
      <w:pPr>
        <w:pStyle w:val="Style31"/>
        <w:keepNext w:val="0"/>
        <w:keepLines w:val="0"/>
        <w:widowControl w:val="0"/>
        <w:shd w:val="clear" w:color="auto" w:fill="auto"/>
        <w:bidi w:val="0"/>
        <w:spacing w:before="0" w:after="80" w:line="314" w:lineRule="exact"/>
        <w:ind w:left="0" w:right="0"/>
        <w:jc w:val="both"/>
      </w:pPr>
      <w:r>
        <w:rPr>
          <w:color w:val="000000"/>
          <w:spacing w:val="0"/>
          <w:w w:val="100"/>
          <w:position w:val="0"/>
        </w:rPr>
        <w:t>执行新收入准则对本期期初资产负债表相关项目的影响列示如下：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766"/>
        <w:gridCol w:w="1598"/>
        <w:gridCol w:w="1282"/>
        <w:gridCol w:w="1488"/>
        <w:gridCol w:w="1608"/>
      </w:tblGrid>
      <w:tr>
        <w:trPr>
          <w:trHeight w:val="355"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小计</w:t>
            </w:r>
          </w:p>
        </w:tc>
        <w:tc>
          <w:tcPr>
            <w:vMerge/>
            <w:tcBorders>
              <w:left w:val="single" w:sz="4"/>
              <w:right w:val="single" w:sz="4"/>
            </w:tcBorders>
            <w:shd w:val="clear" w:color="auto" w:fill="FFFFFF"/>
            <w:vAlign w:val="bottom"/>
          </w:tcPr>
          <w:p>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12,905,205.89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13,213,784.27</w:t>
            </w:r>
          </w:p>
        </w:tc>
      </w:tr>
    </w:tbl>
    <w:p>
      <w:pPr>
        <w:pStyle w:val="Style29"/>
        <w:keepNext w:val="0"/>
        <w:keepLines w:val="0"/>
        <w:widowControl w:val="0"/>
        <w:shd w:val="clear" w:color="auto" w:fill="auto"/>
        <w:bidi w:val="0"/>
        <w:spacing w:before="0" w:after="0" w:line="317" w:lineRule="exact"/>
        <w:ind w:left="14" w:right="0" w:firstLine="0"/>
        <w:jc w:val="left"/>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pStyle w:val="Style40"/>
        <w:keepNext/>
        <w:keepLines/>
        <w:widowControl w:val="0"/>
        <w:numPr>
          <w:ilvl w:val="0"/>
          <w:numId w:val="121"/>
        </w:numPr>
        <w:shd w:val="clear" w:color="auto" w:fill="auto"/>
        <w:tabs>
          <w:tab w:pos="493" w:val="left"/>
        </w:tabs>
        <w:bidi w:val="0"/>
        <w:spacing w:before="0" w:after="38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重要会计估计变更</w:t>
      </w:r>
      <w:bookmarkEnd w:id="1140"/>
      <w:bookmarkEnd w:id="1141"/>
      <w:bookmarkEnd w:id="1143"/>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21"/>
        </w:numPr>
        <w:shd w:val="clear" w:color="auto" w:fill="auto"/>
        <w:tabs>
          <w:tab w:pos="493" w:val="left"/>
        </w:tabs>
        <w:bidi w:val="0"/>
        <w:spacing w:before="0" w:after="380" w:line="240" w:lineRule="auto"/>
        <w:ind w:left="0" w:right="0" w:firstLine="0"/>
        <w:jc w:val="left"/>
      </w:pPr>
      <w:bookmarkStart w:id="1144" w:name="bookmark1144"/>
      <w:bookmarkStart w:id="1145" w:name="bookmark1145"/>
      <w:bookmarkStart w:id="1146" w:name="bookmark1146"/>
      <w:bookmarkStart w:id="1147" w:name="bookmark1147"/>
      <w:bookmarkEnd w:id="1146"/>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44"/>
      <w:bookmarkEnd w:id="1145"/>
      <w:bookmarkEnd w:id="114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250,188,701.02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250,188,701.02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126,478,802.99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126,478,802.99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462,909,161.03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462,909,161.03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2,448,289.42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2,448,289.42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3,818,436.37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3,818,436.37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23,439,303.05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23,439,303.05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120,300,364.92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120,300,364.92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41,689,935.02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41,689,935.02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1,031,272,993.82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1,031,272,993.82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7,810,851.59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7,810,851.59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91,887,080.76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91,887,080.76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11,124,887.39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11,124,887.39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384,180,534.44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384,180,534.44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23,191,790.76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23,191,790.76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17,189,832.94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17,189,832.94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34,349,631.70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34,349,631.70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14,713,073.55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14,713,073.55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602,037,683.13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602,037,683.13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1,633,310,676.95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1,633,310,676.95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157,711,834.30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157,711,834.30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548,714,830.97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548,714,830.97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-13,213,784.27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30,273,941.93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30,273,941.93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7,348,316.26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7,348,316.26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32,406,978.57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32,406,978.57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35,361,226.79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35,361,226.79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965,030,913.09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965,030,913.09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30,722,371.20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30,722,371.20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10,456,014.31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10,456,014.31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10,884,310.18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10,884,310.18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52,062,695.69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52,062,695.69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1,017,093,608.78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1,017,093,608.78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274,327,707.00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274,327,707.00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411,478,059.38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411,478,059.38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-38,233,629.33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-38,233,629.33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25,571,701.00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-56,796,709.72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-56,796,709.72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616,347,128.33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616,347,128.33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-130,060.16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616,217,068.17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616,217,068.17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1,633,310,676.95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1,633,310,676.95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收入》，变更后的会计政策详见本报告第十 二节、五、重要会计政策及会计估计。</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 表其他相关项目金额，对可比期间信息不予调整。</w:t>
      </w:r>
    </w:p>
    <w:p>
      <w:pPr>
        <w:pStyle w:val="Style31"/>
        <w:keepNext w:val="0"/>
        <w:keepLines w:val="0"/>
        <w:widowControl w:val="0"/>
        <w:shd w:val="clear" w:color="auto" w:fill="auto"/>
        <w:bidi w:val="0"/>
        <w:spacing w:before="0" w:after="340" w:line="317" w:lineRule="exact"/>
        <w:ind w:left="0" w:right="0"/>
        <w:jc w:val="both"/>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 确定交易价格以及在已履行的和尚未履行的履约义务之间分摊交易价格。</w:t>
      </w:r>
    </w:p>
    <w:p>
      <w:pPr>
        <w:pStyle w:val="Style3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183,109,786.66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183,109,786.66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63,668,705.49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63,668,705.49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195,152,751.74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195,152,751.74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66,697,939.95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66,697,939.95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378,934,431.90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378,934,431.90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7,427,239.14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7,427,239.14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6,300,407.33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6,300,407.33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901,291,262.21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901,291,262.21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931,139.37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931,139.37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593,657,366.64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593,657,366.64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11,043,773.55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11,043,773.55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19,686,754.09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19,686,754.09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405,628.97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405,628.97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411,496.98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411,496.98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23,337,786.35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23,337,786.35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14,669,333.55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14,669,333.55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674,143,279.50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674,143,279.50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1,575,434,541.71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1,575,434,541.71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140,239,525.00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140,239,525.00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51,363,196.46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51,363,196.46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4,631,534.32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-4,631,534.32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4,512,715.82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4,512,715.82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8,545,130.12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8,545,130.12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170,700.19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170,700.19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405,116,207.02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405,116,207.02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4,623,627.85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4,623,627.85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118,818.50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754,689,920.96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754,689,920.96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5,339,495.68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5,339,495.68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5,339,495.68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5,339,495.68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760,029,416.64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760,029,416.64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274,327,707.00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274,327,707.00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438,644,178.21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438,644,178.21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-36,041,557.43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-36,041,557.43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25,571,701.00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112,903,096.29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112,903,096.29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815,405,125.07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815,405,125.07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1,575,434,541.71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1,575,434,541.71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收入》，变更后的会计政策详见本报告第十 二节、五、重要会计政策及会计估计。</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 表其他相关项目金额，对可比期间信息不予调整。</w:t>
      </w:r>
    </w:p>
    <w:p>
      <w:pPr>
        <w:pStyle w:val="Style31"/>
        <w:keepNext w:val="0"/>
        <w:keepLines w:val="0"/>
        <w:widowControl w:val="0"/>
        <w:shd w:val="clear" w:color="auto" w:fill="auto"/>
        <w:bidi w:val="0"/>
        <w:spacing w:before="0" w:after="700" w:line="317" w:lineRule="exact"/>
        <w:ind w:left="0" w:right="0"/>
        <w:jc w:val="both"/>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 确定交易价格以及在已履行的和尚未履行的履约义务之间分摊交易价格。</w:t>
      </w:r>
    </w:p>
    <w:p>
      <w:pPr>
        <w:pStyle w:val="Style40"/>
        <w:keepNext/>
        <w:keepLines/>
        <w:widowControl w:val="0"/>
        <w:shd w:val="clear" w:color="auto" w:fill="auto"/>
        <w:bidi w:val="0"/>
        <w:spacing w:before="0" w:after="260" w:line="240" w:lineRule="auto"/>
        <w:ind w:left="0" w:right="0" w:firstLine="0"/>
        <w:jc w:val="both"/>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48"/>
      <w:bookmarkEnd w:id="1149"/>
      <w:bookmarkEnd w:id="1151"/>
    </w:p>
    <w:p>
      <w:pPr>
        <w:pStyle w:val="Style3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123"/>
        </w:numPr>
        <w:shd w:val="clear" w:color="auto" w:fill="auto"/>
        <w:bidi w:val="0"/>
        <w:spacing w:before="0" w:after="0" w:line="317" w:lineRule="exact"/>
        <w:ind w:left="0" w:right="0"/>
        <w:jc w:val="both"/>
      </w:pPr>
      <w:bookmarkStart w:id="1152" w:name="bookmark1152"/>
      <w:bookmarkEnd w:id="1152"/>
      <w:r>
        <w:rPr>
          <w:b/>
          <w:bCs/>
          <w:color w:val="000000"/>
          <w:spacing w:val="0"/>
          <w:w w:val="100"/>
          <w:position w:val="0"/>
        </w:rPr>
        <w:t>执行新收入准则对本公司的影响</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收入》，变更后的会计政策详见本报告第十 二节、五、重要会计政策及会计估计。</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日）留存收益及财务报 表其他相关项目金额，对可比期间信息不予调整。</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在执行新收入准则时，本公司仅对首次执行日尚未执行完成的合同的累计影响数进行调整；对于最早可比期间期初之前 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年年初之前发生的合同变更未进行追溯调整，而是根据合同变更的最终安排，识别已履行的和尚未履行的履约义务、 确定交易价格以及在已履行的和尚未履行的履约义务之间分摊交易价格。</w:t>
      </w:r>
    </w:p>
    <w:p>
      <w:pPr>
        <w:pStyle w:val="Style31"/>
        <w:keepNext w:val="0"/>
        <w:keepLines w:val="0"/>
        <w:widowControl w:val="0"/>
        <w:shd w:val="clear" w:color="auto" w:fill="auto"/>
        <w:bidi w:val="0"/>
        <w:spacing w:before="0" w:after="100" w:line="317" w:lineRule="exact"/>
        <w:ind w:left="0" w:right="0"/>
        <w:jc w:val="both"/>
      </w:pPr>
      <w:r>
        <w:rPr>
          <w:color w:val="000000"/>
          <w:spacing w:val="0"/>
          <w:w w:val="100"/>
          <w:position w:val="0"/>
        </w:rPr>
        <w:t>执行新收入准则对本期期初资产负债表相关项目的影响列示如下：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766"/>
        <w:gridCol w:w="1598"/>
        <w:gridCol w:w="1282"/>
        <w:gridCol w:w="1488"/>
        <w:gridCol w:w="1608"/>
      </w:tblGrid>
      <w:tr>
        <w:trPr>
          <w:trHeight w:val="355"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重新计量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小计</w:t>
            </w:r>
          </w:p>
        </w:tc>
        <w:tc>
          <w:tcPr>
            <w:vMerge/>
            <w:tcBorders>
              <w:left w:val="single" w:sz="4"/>
              <w:right w:val="single" w:sz="4"/>
            </w:tcBorders>
            <w:shd w:val="clear" w:color="auto" w:fill="FFFFFF"/>
            <w:vAlign w:val="bottom"/>
          </w:tcPr>
          <w:p>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12,905,205.89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13,213,784.27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13,213,784.27</w:t>
            </w:r>
          </w:p>
        </w:tc>
      </w:tr>
    </w:tbl>
    <w:p>
      <w:pPr>
        <w:pStyle w:val="Style29"/>
        <w:keepNext w:val="0"/>
        <w:keepLines w:val="0"/>
        <w:widowControl w:val="0"/>
        <w:shd w:val="clear" w:color="auto" w:fill="auto"/>
        <w:bidi w:val="0"/>
        <w:spacing w:before="0" w:after="0" w:line="317" w:lineRule="exact"/>
        <w:ind w:left="14" w:right="0" w:firstLine="0"/>
        <w:jc w:val="left"/>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widowControl w:val="0"/>
        <w:spacing w:after="599" w:line="1" w:lineRule="exact"/>
      </w:pPr>
    </w:p>
    <w:p>
      <w:pPr>
        <w:pStyle w:val="Style34"/>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53"/>
      <w:bookmarkEnd w:id="1154"/>
      <w:bookmarkEnd w:id="1155"/>
    </w:p>
    <w:p>
      <w:pPr>
        <w:pStyle w:val="Style31"/>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终止经营</w:t>
      </w:r>
    </w:p>
    <w:p>
      <w:pPr>
        <w:pStyle w:val="Style31"/>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终止经营，是指满足下列条件之一的已被本公司处置或划归为持有待售的、在经营和编制财务报表时能够单独区分的组 </w:t>
      </w:r>
      <w:r>
        <w:rPr>
          <w:color w:val="000000"/>
          <w:spacing w:val="0"/>
          <w:w w:val="100"/>
          <w:position w:val="0"/>
        </w:rPr>
        <w:t>成部分：①该组成部分代表一项独立的主要业务或一个主要经营地区；②该组成部分是拟对一项独立的主要业务或一个主要 经营地区进行处置计划的一部分；③该组成部分是仅仅为了再出售而取得的子公司。</w:t>
      </w:r>
    </w:p>
    <w:p>
      <w:pPr>
        <w:pStyle w:val="Style31"/>
        <w:keepNext w:val="0"/>
        <w:keepLines w:val="0"/>
        <w:widowControl w:val="0"/>
        <w:shd w:val="clear" w:color="auto" w:fill="auto"/>
        <w:bidi w:val="0"/>
        <w:spacing w:before="0" w:after="100" w:line="307" w:lineRule="exact"/>
        <w:ind w:left="0" w:right="0" w:firstLine="320"/>
        <w:jc w:val="left"/>
      </w:pPr>
      <w:r>
        <w:rPr>
          <w:color w:val="000000"/>
          <w:spacing w:val="0"/>
          <w:w w:val="100"/>
          <w:position w:val="0"/>
        </w:rPr>
        <w:t>终止经营的会计处理方法参见本报告第十二节、五、</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31"/>
        <w:keepNext w:val="0"/>
        <w:keepLines w:val="0"/>
        <w:widowControl w:val="0"/>
        <w:numPr>
          <w:ilvl w:val="0"/>
          <w:numId w:val="125"/>
        </w:numPr>
        <w:shd w:val="clear" w:color="auto" w:fill="auto"/>
        <w:tabs>
          <w:tab w:pos="722" w:val="left"/>
        </w:tabs>
        <w:bidi w:val="0"/>
        <w:spacing w:before="0" w:after="0" w:line="360" w:lineRule="auto"/>
        <w:ind w:left="0" w:right="0" w:firstLine="320"/>
        <w:jc w:val="left"/>
      </w:pPr>
      <w:bookmarkStart w:id="1156" w:name="bookmark1156"/>
      <w:bookmarkEnd w:id="1156"/>
      <w:r>
        <w:rPr>
          <w:color w:val="000000"/>
          <w:spacing w:val="0"/>
          <w:w w:val="100"/>
          <w:position w:val="0"/>
        </w:rPr>
        <w:t>套期会计</w:t>
      </w:r>
    </w:p>
    <w:p>
      <w:pPr>
        <w:pStyle w:val="Style31"/>
        <w:keepNext w:val="0"/>
        <w:keepLines w:val="0"/>
        <w:widowControl w:val="0"/>
        <w:shd w:val="clear" w:color="auto" w:fill="auto"/>
        <w:bidi w:val="0"/>
        <w:spacing w:before="0" w:after="100" w:line="307" w:lineRule="exact"/>
        <w:ind w:left="0" w:right="0" w:firstLine="320"/>
        <w:jc w:val="left"/>
      </w:pPr>
      <w:r>
        <w:rPr>
          <w:color w:val="000000"/>
          <w:spacing w:val="0"/>
          <w:w w:val="100"/>
          <w:position w:val="0"/>
        </w:rPr>
        <w:t>无。</w:t>
      </w:r>
    </w:p>
    <w:p>
      <w:pPr>
        <w:pStyle w:val="Style31"/>
        <w:keepNext w:val="0"/>
        <w:keepLines w:val="0"/>
        <w:widowControl w:val="0"/>
        <w:numPr>
          <w:ilvl w:val="0"/>
          <w:numId w:val="125"/>
        </w:numPr>
        <w:shd w:val="clear" w:color="auto" w:fill="auto"/>
        <w:tabs>
          <w:tab w:pos="722" w:val="left"/>
        </w:tabs>
        <w:bidi w:val="0"/>
        <w:spacing w:before="0" w:after="0" w:line="360" w:lineRule="auto"/>
        <w:ind w:left="0" w:right="0" w:firstLine="320"/>
        <w:jc w:val="left"/>
      </w:pPr>
      <w:bookmarkStart w:id="1157" w:name="bookmark1157"/>
      <w:bookmarkEnd w:id="1157"/>
      <w:r>
        <w:rPr>
          <w:color w:val="000000"/>
          <w:spacing w:val="0"/>
          <w:w w:val="100"/>
          <w:position w:val="0"/>
        </w:rPr>
        <w:t>回购股份</w:t>
      </w:r>
    </w:p>
    <w:p>
      <w:pPr>
        <w:pStyle w:val="Style31"/>
        <w:keepNext w:val="0"/>
        <w:keepLines w:val="0"/>
        <w:widowControl w:val="0"/>
        <w:shd w:val="clear" w:color="auto" w:fill="auto"/>
        <w:bidi w:val="0"/>
        <w:spacing w:before="0" w:after="100" w:line="307" w:lineRule="exact"/>
        <w:ind w:left="0" w:right="0" w:firstLine="320"/>
        <w:jc w:val="left"/>
      </w:pPr>
      <w:r>
        <w:rPr>
          <w:color w:val="000000"/>
          <w:spacing w:val="0"/>
          <w:w w:val="100"/>
          <w:position w:val="0"/>
        </w:rPr>
        <w:t>无。</w:t>
      </w:r>
    </w:p>
    <w:p>
      <w:pPr>
        <w:pStyle w:val="Style31"/>
        <w:keepNext w:val="0"/>
        <w:keepLines w:val="0"/>
        <w:widowControl w:val="0"/>
        <w:numPr>
          <w:ilvl w:val="0"/>
          <w:numId w:val="125"/>
        </w:numPr>
        <w:shd w:val="clear" w:color="auto" w:fill="auto"/>
        <w:tabs>
          <w:tab w:pos="722" w:val="left"/>
        </w:tabs>
        <w:bidi w:val="0"/>
        <w:spacing w:before="0" w:after="0" w:line="360" w:lineRule="auto"/>
        <w:ind w:left="0" w:right="0" w:firstLine="320"/>
        <w:jc w:val="left"/>
      </w:pPr>
      <w:bookmarkStart w:id="1158" w:name="bookmark1158"/>
      <w:bookmarkEnd w:id="1158"/>
      <w:r>
        <w:rPr>
          <w:color w:val="000000"/>
          <w:spacing w:val="0"/>
          <w:w w:val="100"/>
          <w:position w:val="0"/>
        </w:rPr>
        <w:t>资产证券化</w:t>
      </w:r>
    </w:p>
    <w:p>
      <w:pPr>
        <w:pStyle w:val="Style31"/>
        <w:keepNext w:val="0"/>
        <w:keepLines w:val="0"/>
        <w:widowControl w:val="0"/>
        <w:shd w:val="clear" w:color="auto" w:fill="auto"/>
        <w:bidi w:val="0"/>
        <w:spacing w:before="0" w:after="380" w:line="307" w:lineRule="exact"/>
        <w:ind w:left="0" w:right="0" w:firstLine="32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sz w:val="24"/>
          <w:szCs w:val="24"/>
        </w:rPr>
        <w:t>六</w:t>
      </w:r>
      <w:bookmarkEnd w:id="1161"/>
      <w:r>
        <w:rPr>
          <w:color w:val="000000"/>
          <w:spacing w:val="0"/>
          <w:w w:val="100"/>
          <w:position w:val="0"/>
          <w:sz w:val="24"/>
          <w:szCs w:val="24"/>
        </w:rPr>
        <w:t>、税项</w:t>
      </w:r>
      <w:bookmarkEnd w:id="1159"/>
      <w:bookmarkEnd w:id="1160"/>
      <w:bookmarkEnd w:id="1162"/>
    </w:p>
    <w:p>
      <w:pPr>
        <w:pStyle w:val="Style34"/>
        <w:keepNext/>
        <w:keepLines/>
        <w:widowControl w:val="0"/>
        <w:shd w:val="clear" w:color="auto" w:fill="auto"/>
        <w:bidi w:val="0"/>
        <w:spacing w:before="0" w:after="32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color w:val="000000"/>
          <w:spacing w:val="0"/>
          <w:w w:val="100"/>
          <w:position w:val="0"/>
        </w:rPr>
        <w:t>、主要税种及税率</w:t>
      </w:r>
      <w:bookmarkEnd w:id="1163"/>
      <w:bookmarkEnd w:id="1164"/>
      <w:bookmarkEnd w:id="116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境内销售、提供不动产租赁服务，销售 不动产、其他应税销售服务行为、简易 计税方法、销售出口货物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或</w:t>
            </w: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 xml:space="preserve">70% </w:t>
            </w:r>
            <w:r>
              <w:rPr>
                <w:color w:val="000000"/>
                <w:spacing w:val="0"/>
                <w:w w:val="100"/>
                <w:position w:val="0"/>
              </w:rPr>
              <w:t>(或租金收入)为 纳税基准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土地面积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廿</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深圳茂硕电子科技有限公司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深圳茂硕电气有限公司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瑞盈茂硕融资租赁(深圳)有限公司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惠州茂硕能源科技有限公司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萍乡茂硕新能源科技有限公司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新余茂硕新能源科技有限公司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深圳茂硕新能源技术研究院有限公司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海宁茂硕诺华能源有限公司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茂硕能源科技（香港）国际有限公司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加码技术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bl>
    <w:p>
      <w:pPr>
        <w:widowControl w:val="0"/>
        <w:spacing w:after="33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color w:val="000000"/>
          <w:spacing w:val="0"/>
          <w:w w:val="100"/>
          <w:position w:val="0"/>
        </w:rPr>
        <w:t>、</w:t>
        <w:tab/>
        <w:t>税收优惠</w:t>
      </w:r>
      <w:bookmarkEnd w:id="1167"/>
      <w:bookmarkEnd w:id="1168"/>
      <w:bookmarkEnd w:id="1170"/>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日被认定为高新技术企业，公司可以在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年三年内减按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 本公司之子公司茂硕电子、茂硕电气于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日被认定为高新技术企业，茂硕电子、茂硕电气可以在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年三年内减按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700" w:line="312" w:lineRule="exact"/>
        <w:ind w:left="0" w:right="0"/>
        <w:jc w:val="left"/>
      </w:pPr>
      <w:r>
        <w:rPr>
          <w:color w:val="000000"/>
          <w:spacing w:val="0"/>
          <w:w w:val="100"/>
          <w:position w:val="0"/>
        </w:rPr>
        <w:t>萍乡茂硕、新余茂硕和海宁茂硕从事的行业属于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国家重点扶持的公共设施项目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,根据《中华人民共和国企业所得税法》, 萍乡茂硕、新余茂硕和海宁茂硕享受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自项目取得第一笔生产经营收入所属纳税年度起，第一年至第三年免征企业所得税， 第四年至第六年减半征收企业所得税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的优惠政策，据此萍乡茂硕、新余茂硕、海宁茂硕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年度减半征收企业所得税。</w:t>
      </w:r>
    </w:p>
    <w:p>
      <w:pPr>
        <w:pStyle w:val="Style34"/>
        <w:keepNext/>
        <w:keepLines/>
        <w:widowControl w:val="0"/>
        <w:shd w:val="clear" w:color="auto" w:fill="auto"/>
        <w:tabs>
          <w:tab w:pos="378" w:val="left"/>
        </w:tabs>
        <w:bidi w:val="0"/>
        <w:spacing w:before="0" w:after="340" w:line="240" w:lineRule="auto"/>
        <w:ind w:left="0" w:right="0" w:firstLine="0"/>
        <w:jc w:val="both"/>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color w:val="000000"/>
          <w:spacing w:val="0"/>
          <w:w w:val="100"/>
          <w:position w:val="0"/>
        </w:rPr>
        <w:t>、</w:t>
        <w:tab/>
        <w:t>其他</w:t>
      </w:r>
      <w:bookmarkEnd w:id="1171"/>
      <w:bookmarkEnd w:id="1172"/>
      <w:bookmarkEnd w:id="1174"/>
    </w:p>
    <w:p>
      <w:pPr>
        <w:pStyle w:val="Style27"/>
        <w:keepNext/>
        <w:keepLines/>
        <w:widowControl w:val="0"/>
        <w:shd w:val="clear" w:color="auto" w:fill="auto"/>
        <w:bidi w:val="0"/>
        <w:spacing w:before="0" w:after="340" w:line="240" w:lineRule="auto"/>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sz w:val="24"/>
          <w:szCs w:val="24"/>
        </w:rPr>
        <w:t>七</w:t>
      </w:r>
      <w:bookmarkEnd w:id="1177"/>
      <w:r>
        <w:rPr>
          <w:color w:val="000000"/>
          <w:spacing w:val="0"/>
          <w:w w:val="100"/>
          <w:position w:val="0"/>
          <w:sz w:val="24"/>
          <w:szCs w:val="24"/>
        </w:rPr>
        <w:t>、合并财务报表项目注释</w:t>
      </w:r>
      <w:bookmarkEnd w:id="1175"/>
      <w:bookmarkEnd w:id="1176"/>
      <w:bookmarkEnd w:id="1178"/>
    </w:p>
    <w:p>
      <w:pPr>
        <w:pStyle w:val="Style34"/>
        <w:keepNext/>
        <w:keepLines/>
        <w:widowControl w:val="0"/>
        <w:shd w:val="clear" w:color="auto" w:fill="auto"/>
        <w:bidi w:val="0"/>
        <w:spacing w:before="0" w:after="34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color w:val="000000"/>
          <w:spacing w:val="0"/>
          <w:w w:val="100"/>
          <w:position w:val="0"/>
        </w:rPr>
        <w:t>、货币资金</w:t>
      </w:r>
      <w:bookmarkEnd w:id="1179"/>
      <w:bookmarkEnd w:id="1180"/>
      <w:bookmarkEnd w:id="118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151,811.02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221,177,646.03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179,248,714.83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137,541,856.61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70,644,775.77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358,871,313.66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250,188,701.02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6,324,138.76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4,121,875.16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139,378,336.76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75,354,703.42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360" w:right="0" w:firstLine="0"/>
        <w:jc w:val="left"/>
        <w:rPr>
          <w:sz w:val="18"/>
          <w:szCs w:val="18"/>
        </w:rPr>
      </w:pPr>
      <w:r>
        <w:rPr>
          <w:color w:val="000000"/>
          <w:spacing w:val="0"/>
          <w:w w:val="100"/>
          <w:position w:val="0"/>
          <w:sz w:val="17"/>
          <w:szCs w:val="17"/>
        </w:rPr>
        <w:t>其中受限制的货币资金明细如下</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3230"/>
        <w:gridCol w:w="3216"/>
        <w:gridCol w:w="3230"/>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137,526,926.54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40,328,154.27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1,836,480.15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4,709,927.65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316,621.50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139,378,336.76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75,354,703.42</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color w:val="000000"/>
          <w:spacing w:val="0"/>
          <w:w w:val="100"/>
          <w:position w:val="0"/>
        </w:rPr>
        <w:t>、交易性金融资产</w:t>
      </w:r>
      <w:bookmarkEnd w:id="1183"/>
      <w:bookmarkEnd w:id="1184"/>
      <w:bookmarkEnd w:id="11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color w:val="000000"/>
          <w:spacing w:val="0"/>
          <w:w w:val="100"/>
          <w:position w:val="0"/>
        </w:rPr>
        <w:t>、衍生金融资产</w:t>
      </w:r>
      <w:bookmarkEnd w:id="1187"/>
      <w:bookmarkEnd w:id="1188"/>
      <w:bookmarkEnd w:id="119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color w:val="000000"/>
          <w:spacing w:val="0"/>
          <w:w w:val="100"/>
          <w:position w:val="0"/>
        </w:rPr>
        <w:t>、应收票据</w:t>
      </w:r>
      <w:bookmarkEnd w:id="1191"/>
      <w:bookmarkEnd w:id="1192"/>
      <w:bookmarkEnd w:id="1194"/>
    </w:p>
    <w:p>
      <w:pPr>
        <w:pStyle w:val="Style40"/>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95"/>
      <w:bookmarkEnd w:id="1196"/>
      <w:bookmarkEnd w:id="119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65,586,891.25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104,425,919.66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16,033,188.48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22,052,883.33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81,620,079.73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126,478,802.99</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82,494,9</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874,864.</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81,620,07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127,756,3</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1,277,563.6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126,478,8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其中：无风险银行之 外的承兑票据组合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82,494,9</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874,864.</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81,620,07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127,756,3</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1,277,563.6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126,478,8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82,494,9</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874,864.</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81,620,07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127,756,3</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66.66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1,277,563.6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126,478,8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line="1" w:lineRule="exact"/>
      </w:pP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按组合计提坏账准备：无风险银行之外的承兑票据组合</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无风险银行之外的承兑票据 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82,494,944.07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874,864.34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82,494,944.07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874,864.34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以无风险银行承兑之外的银行承兑汇票和商业承兑汇票的账龄作为信用特征。</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79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按组合计提坏账准备：</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pStyle w:val="Style31"/>
        <w:keepNext w:val="0"/>
        <w:keepLines w:val="0"/>
        <w:widowControl w:val="0"/>
        <w:shd w:val="clear" w:color="auto" w:fill="auto"/>
        <w:bidi w:val="0"/>
        <w:spacing w:before="0" w:after="0" w:line="341" w:lineRule="exact"/>
        <w:ind w:left="0" w:right="0" w:firstLine="0"/>
        <w:jc w:val="both"/>
      </w:pPr>
      <w:r>
        <w:rPr>
          <w:color w:val="000000"/>
          <w:spacing w:val="0"/>
          <w:w w:val="100"/>
          <w:position w:val="0"/>
        </w:rPr>
        <w:t>确定该组合依据的说明：</w:t>
      </w:r>
    </w:p>
    <w:p>
      <w:pPr>
        <w:pStyle w:val="Style31"/>
        <w:keepNext w:val="0"/>
        <w:keepLines w:val="0"/>
        <w:widowControl w:val="0"/>
        <w:shd w:val="clear" w:color="auto" w:fill="auto"/>
        <w:bidi w:val="0"/>
        <w:spacing w:before="0" w:after="380" w:line="341" w:lineRule="exact"/>
        <w:ind w:left="0" w:right="0" w:firstLine="0"/>
        <w:jc w:val="both"/>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27"/>
        </w:numPr>
        <w:shd w:val="clear" w:color="auto" w:fill="auto"/>
        <w:bidi w:val="0"/>
        <w:spacing w:before="0" w:after="260" w:line="240" w:lineRule="auto"/>
        <w:ind w:left="0" w:right="0" w:firstLine="0"/>
        <w:jc w:val="both"/>
      </w:pPr>
      <w:bookmarkStart w:id="1199" w:name="bookmark1199"/>
      <w:bookmarkStart w:id="1200" w:name="bookmark1200"/>
      <w:bookmarkStart w:id="1201" w:name="bookmark1201"/>
      <w:bookmarkStart w:id="1202" w:name="bookmark1202"/>
      <w:bookmarkEnd w:id="1201"/>
      <w:r>
        <w:rPr>
          <w:color w:val="000000"/>
          <w:spacing w:val="0"/>
          <w:w w:val="100"/>
          <w:position w:val="0"/>
        </w:rPr>
        <w:t>本期计提、收回或转回的坏账准备情况</w:t>
      </w:r>
      <w:bookmarkEnd w:id="1199"/>
      <w:bookmarkEnd w:id="1200"/>
      <w:bookmarkEnd w:id="1202"/>
    </w:p>
    <w:p>
      <w:pPr>
        <w:pStyle w:val="Style31"/>
        <w:keepNext w:val="0"/>
        <w:keepLines w:val="0"/>
        <w:widowControl w:val="0"/>
        <w:shd w:val="clear" w:color="auto" w:fill="auto"/>
        <w:bidi w:val="0"/>
        <w:spacing w:before="0" w:after="120" w:line="341" w:lineRule="exact"/>
        <w:ind w:left="0" w:right="0" w:firstLine="0"/>
        <w:jc w:val="both"/>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用损失的应收票 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按组合计提预期 信用损失的应收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1,277,563.67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402,699.33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874,864.34</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其中：无风险银 行之外的承兑票 据组合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1,277,563.67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874,864.34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1,277,563.67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402,699.33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874,864.34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27"/>
        </w:numPr>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期末公司已质押的应收票据</w:t>
      </w:r>
      <w:bookmarkEnd w:id="1203"/>
      <w:bookmarkEnd w:id="1204"/>
      <w:bookmarkEnd w:id="120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10,848,828.50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10,848,828.50</w:t>
            </w:r>
          </w:p>
        </w:tc>
      </w:tr>
    </w:tbl>
    <w:p>
      <w:pPr>
        <w:widowControl w:val="0"/>
        <w:spacing w:after="319" w:line="1" w:lineRule="exact"/>
      </w:pPr>
    </w:p>
    <w:p>
      <w:pPr>
        <w:pStyle w:val="Style40"/>
        <w:keepNext/>
        <w:keepLines/>
        <w:widowControl w:val="0"/>
        <w:numPr>
          <w:ilvl w:val="0"/>
          <w:numId w:val="127"/>
        </w:numPr>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期末公司已背书或贴现且在资产负债表日尚未到期的应收票据</w:t>
      </w:r>
      <w:bookmarkEnd w:id="1207"/>
      <w:bookmarkEnd w:id="1208"/>
      <w:bookmarkEnd w:id="121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85,826,639.67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44,045,355.67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8,570,987.03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85,826,639.67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52,616,342.70</w:t>
            </w:r>
          </w:p>
        </w:tc>
      </w:tr>
    </w:tbl>
    <w:p>
      <w:pPr>
        <w:widowControl w:val="0"/>
        <w:spacing w:after="319" w:line="1" w:lineRule="exact"/>
      </w:pPr>
    </w:p>
    <w:p>
      <w:pPr>
        <w:pStyle w:val="Style40"/>
        <w:keepNext/>
        <w:keepLines/>
        <w:widowControl w:val="0"/>
        <w:numPr>
          <w:ilvl w:val="0"/>
          <w:numId w:val="127"/>
        </w:numPr>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期末公司因出票人未履约而将其转应收账款的票据</w:t>
      </w:r>
      <w:bookmarkEnd w:id="1211"/>
      <w:bookmarkEnd w:id="1212"/>
      <w:bookmarkEnd w:id="121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4,493.88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127"/>
        </w:numPr>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本期实际核销的应收票据情况</w:t>
      </w:r>
      <w:bookmarkEnd w:id="1215"/>
      <w:bookmarkEnd w:id="1216"/>
      <w:bookmarkEnd w:id="1218"/>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款项是否由关联交</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4"/>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5</w:t>
      </w:r>
      <w:bookmarkEnd w:id="1221"/>
      <w:r>
        <w:rPr>
          <w:color w:val="000000"/>
          <w:spacing w:val="0"/>
          <w:w w:val="100"/>
          <w:position w:val="0"/>
        </w:rPr>
        <w:t>、应收账款</w:t>
      </w:r>
      <w:bookmarkEnd w:id="1219"/>
      <w:bookmarkEnd w:id="1220"/>
      <w:bookmarkEnd w:id="1222"/>
    </w:p>
    <w:p>
      <w:pPr>
        <w:pStyle w:val="Style40"/>
        <w:keepNext/>
        <w:keepLines/>
        <w:widowControl w:val="0"/>
        <w:numPr>
          <w:ilvl w:val="0"/>
          <w:numId w:val="129"/>
        </w:numPr>
        <w:shd w:val="clear" w:color="auto" w:fill="auto"/>
        <w:bidi w:val="0"/>
        <w:spacing w:before="0" w:after="38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应收账款分类披露</w:t>
      </w:r>
      <w:bookmarkEnd w:id="1223"/>
      <w:bookmarkEnd w:id="1224"/>
      <w:bookmarkEnd w:id="122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64,936,3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62,920,7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63,879,24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61,789,11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2,090,127.5</w:t>
            </w: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497,168,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463,023,6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494,256,8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33,437,77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460,819,03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06.83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439,303,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405,158,5</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449,358,9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33,437,77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415,921,19</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88.36%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7.77%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90.92%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06.38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r>
      <w:tr>
        <w:trPr>
          <w:trHeight w:val="29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政府机构应收款项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57,865,10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44,897,835.</w:t>
            </w:r>
          </w:p>
        </w:tc>
      </w:tr>
      <w:tr>
        <w:trPr>
          <w:trHeight w:val="139"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right w:val="single" w:sz="4"/>
            </w:tcBorders>
            <w:shd w:val="clear" w:color="auto" w:fill="FFFFFF"/>
            <w:vAlign w:val="center"/>
          </w:tcPr>
          <w:p>
            <w:pP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437"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562,104,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97,065,5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465,039,2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558,136,0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95,226,89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462,909,16</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790.05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49.85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按单项计提坏账准备：单项计提预期信用损失的应收账款</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深圳骑客智能科技有限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20,507,906.59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20,507,906.59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重庆瑞耕达网络科技有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10,152,002.27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10,152,002.27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 iLLUMINATION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4,827,110.45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4,827,110.45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深圳市华冠光电科技有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3,145,180.50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1,909,250.50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预计无法全额收回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北京汉能户用薄膜发电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2,795,120.25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2,795,120.25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深圳市赢新光电发展有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2,393,117.58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2,393,117.58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彩虹奥特姆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光电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2,268,641.35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2,268,641.35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辽宁宝林集团节能科技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1,860,746.07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1,860,746.07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1,843,288.43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1,843,288.43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东莞市鑫诠光电技术有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1,531,188.49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1,531,188.49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斐翔供应链管理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1,262,897.49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1,262,897.49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山西广禾电力工程有限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河南茂硕电气有限公司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1,171,369.00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1,171,369.00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山西茂硕光伏电力股份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900,765.00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900,765.00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徐州市光伏宇网络技术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860,851.20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860,851.20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平定县红日光伏电力有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670,900.00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670,900.00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临沂金七星新能源有限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443,095.00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443,095.00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河南中云创光电科技股 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416,910.00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416,910.00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陕西翼翔新能源科技有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401,940.00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401,940.00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浙江东能光电科技股份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398,280.00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398,280.00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IRES ASIA PACIFIC</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PTY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355,978.97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355,978.97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山东菲牛太阳能科技有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348,100.00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浙江上航太科新能源有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336,100.00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336,100.00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佛山市南海区璐璐电子 照明科技有限公司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309,759.84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309,759.84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深圳市睿悟科技有限公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758,368.57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379,184.28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预计无法全额收回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深圳市新科微实业有限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697,894.08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348,947.04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预计无法全额收回</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3,098,876.51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3,047,294.82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预计无法全额收回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64,936,387.64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62,920,744.62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按组合计提坏账准备：账龄分析法组合</w:t>
      </w:r>
    </w:p>
    <w:p>
      <w:pPr>
        <w:widowControl w:val="0"/>
        <w:spacing w:after="13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407,527,437.89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4,076,455.79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709,928.25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1,059,695.79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211,939.16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441,664.43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220,832.22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29,564,575.60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29,564,575.60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439,303,301.96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34,144,795.58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除合并范围内关联往来组合、政府机构应收款项组合之外的应收款项。</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按组合计提坏账准备：政府机构应收款项组合</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14,371,928.57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14,042,365.70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14,888,210.57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14,562,595.61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57,865,100.45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主要包括应收政府部门款项，如应收国家电网电费、应收国家财政支付的电费补贴款等。</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spacing w:lineRule="exact" w:line="1"/>
        <w:rPr>
          <w:sz w:val="2"/>
          <w:szCs w:val="2"/>
        </w:rPr>
      </w:pPr>
      <w:r>
        <w:br w:type="page"/>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420,714,155.08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24,445,005.36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42,044,358.29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74,901,271.32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19,935,461.58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54,965,809.74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562,104,790.05</w:t>
            </w:r>
          </w:p>
        </w:tc>
      </w:tr>
    </w:tbl>
    <w:p>
      <w:pPr>
        <w:widowControl w:val="0"/>
        <w:spacing w:after="319" w:line="1" w:lineRule="exact"/>
      </w:pPr>
    </w:p>
    <w:p>
      <w:pPr>
        <w:pStyle w:val="Style40"/>
        <w:keepNext/>
        <w:keepLines/>
        <w:widowControl w:val="0"/>
        <w:numPr>
          <w:ilvl w:val="0"/>
          <w:numId w:val="129"/>
        </w:numPr>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本期计提、收回或转回的坏账准备情况</w:t>
      </w:r>
      <w:bookmarkEnd w:id="1227"/>
      <w:bookmarkEnd w:id="1228"/>
      <w:bookmarkEnd w:id="123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61,789,118.93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2,866,489.21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506,481.67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1,228,381.85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62,920,744.62</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33,437,774.45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749,190.13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34,144,795.58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其中：账龄分析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33,437,774.45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749,190.13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34,144,795.58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95,226,893.38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3,615,679.34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548,650.67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1,228,381.85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97,065,540.20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深圳异构域数字技术有限公司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506,481.67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506,481.67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59" w:line="1" w:lineRule="exact"/>
      </w:pPr>
    </w:p>
    <w:p>
      <w:pPr>
        <w:pStyle w:val="Style3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本期坏账准备转回或收回金额重要的情况说明：</w:t>
      </w:r>
    </w:p>
    <w:p>
      <w:pPr>
        <w:pStyle w:val="Style3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：深圳异构域数字技术有限公司于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日向茂硕电源支付</w:t>
      </w:r>
      <w:r>
        <w:rPr>
          <w:rFonts w:ascii="Times New Roman" w:eastAsia="Times New Roman" w:hAnsi="Times New Roman" w:cs="Times New Roman"/>
          <w:color w:val="000000"/>
          <w:spacing w:val="0"/>
          <w:w w:val="100"/>
          <w:position w:val="0"/>
          <w:sz w:val="18"/>
          <w:szCs w:val="18"/>
        </w:rPr>
        <w:t xml:space="preserve">101.3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万元货款，所欠应收款已全部结清，故转回</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前期已计提的坏账准备金额</w:t>
      </w:r>
      <w:r>
        <w:rPr>
          <w:rFonts w:ascii="Times New Roman" w:eastAsia="Times New Roman" w:hAnsi="Times New Roman" w:cs="Times New Roman"/>
          <w:color w:val="000000"/>
          <w:spacing w:val="0"/>
          <w:w w:val="100"/>
          <w:position w:val="0"/>
          <w:sz w:val="18"/>
          <w:szCs w:val="18"/>
        </w:rPr>
        <w:t>506,481.67</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140"/>
        <w:jc w:val="left"/>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31"/>
      <w:bookmarkEnd w:id="1232"/>
      <w:bookmarkEnd w:id="123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1,228,381.85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湖南茂硕电气有限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999,946.85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湖南茂硕光伏电力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228,435.00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董事长审批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1,228,381.85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35"/>
      <w:bookmarkEnd w:id="1236"/>
      <w:bookmarkEnd w:id="123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期末余额前五名应收账 款汇总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170,884,924.91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4,295,337.39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170,884,924.91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tabs>
          <w:tab w:pos="493" w:val="left"/>
        </w:tabs>
        <w:bidi w:val="0"/>
        <w:spacing w:before="0" w:after="38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39"/>
      <w:bookmarkEnd w:id="1240"/>
      <w:bookmarkEnd w:id="1242"/>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43"/>
      <w:bookmarkEnd w:id="1244"/>
      <w:bookmarkEnd w:id="1246"/>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6</w:t>
      </w:r>
      <w:bookmarkEnd w:id="1249"/>
      <w:r>
        <w:rPr>
          <w:color w:val="000000"/>
          <w:spacing w:val="0"/>
          <w:w w:val="100"/>
          <w:position w:val="0"/>
        </w:rPr>
        <w:t>、应收款项融资</w:t>
      </w:r>
      <w:bookmarkEnd w:id="1247"/>
      <w:bookmarkEnd w:id="1248"/>
      <w:bookmarkEnd w:id="125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28,921,565.78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2,448,289.42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28,921,565.78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2,448,289.42</w:t>
            </w:r>
          </w:p>
        </w:tc>
      </w:tr>
    </w:tbl>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本公司认为，所持有的银行承兑汇票的承兑银行信用评级较高，不存在重大的信用风险，因此未计提减值准备。</w:t>
      </w:r>
    </w:p>
    <w:p>
      <w:pPr>
        <w:pStyle w:val="Style34"/>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7</w:t>
      </w:r>
      <w:bookmarkEnd w:id="1253"/>
      <w:r>
        <w:rPr>
          <w:color w:val="000000"/>
          <w:spacing w:val="0"/>
          <w:w w:val="100"/>
          <w:position w:val="0"/>
        </w:rPr>
        <w:t>、预付款项</w:t>
      </w:r>
      <w:bookmarkEnd w:id="1251"/>
      <w:bookmarkEnd w:id="1252"/>
      <w:bookmarkEnd w:id="1254"/>
    </w:p>
    <w:p>
      <w:pPr>
        <w:pStyle w:val="Style40"/>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55"/>
      <w:bookmarkEnd w:id="1256"/>
      <w:bookmarkEnd w:id="12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3,771,319.90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3,582,978.03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230,777.34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235,458.34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165,467.14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4,167,564.38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3,818,436.37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0"/>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59"/>
      <w:bookmarkEnd w:id="1260"/>
      <w:bookmarkEnd w:id="1262"/>
    </w:p>
    <w:p>
      <w:pPr>
        <w:pStyle w:val="Style3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2,730,607.9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元，占预付账款年末余额合计数的比例为</w:t>
      </w:r>
    </w:p>
    <w:p>
      <w:pPr>
        <w:pStyle w:val="Style50"/>
        <w:keepNext w:val="0"/>
        <w:keepLines w:val="0"/>
        <w:widowControl w:val="0"/>
        <w:shd w:val="clear" w:color="auto" w:fill="auto"/>
        <w:bidi w:val="0"/>
        <w:spacing w:before="0" w:after="480" w:line="240" w:lineRule="auto"/>
        <w:ind w:left="0" w:right="0" w:firstLine="0"/>
        <w:jc w:val="left"/>
        <w:rPr>
          <w:sz w:val="17"/>
          <w:szCs w:val="17"/>
        </w:rPr>
      </w:pPr>
      <w:r>
        <w:rPr>
          <w:color w:val="000000"/>
          <w:spacing w:val="0"/>
          <w:w w:val="100"/>
          <w:position w:val="0"/>
          <w:sz w:val="18"/>
          <w:szCs w:val="18"/>
        </w:rPr>
        <w:t>65.52%</w:t>
      </w:r>
      <w:r>
        <w:rPr>
          <w:rFonts w:ascii="SimSun" w:eastAsia="SimSun" w:hAnsi="SimSun" w:cs="SimSun"/>
          <w:color w:val="000000"/>
          <w:spacing w:val="0"/>
          <w:w w:val="100"/>
          <w:position w:val="0"/>
          <w:sz w:val="17"/>
          <w:szCs w:val="17"/>
        </w:rPr>
        <w:t>。</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8</w:t>
      </w:r>
      <w:bookmarkEnd w:id="1265"/>
      <w:r>
        <w:rPr>
          <w:color w:val="000000"/>
          <w:spacing w:val="0"/>
          <w:w w:val="100"/>
          <w:position w:val="0"/>
        </w:rPr>
        <w:t>、其他应收款</w:t>
      </w:r>
      <w:bookmarkEnd w:id="1263"/>
      <w:bookmarkEnd w:id="1264"/>
      <w:bookmarkEnd w:id="12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36,371,511.10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23,439,303.05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37,483,511.10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23,439,303.05</w:t>
            </w:r>
          </w:p>
        </w:tc>
      </w:tr>
    </w:tbl>
    <w:p>
      <w:pPr>
        <w:pStyle w:val="Style40"/>
        <w:keepNext/>
        <w:keepLines/>
        <w:widowControl w:val="0"/>
        <w:shd w:val="clear" w:color="auto" w:fill="auto"/>
        <w:bidi w:val="0"/>
        <w:spacing w:before="0" w:after="36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67"/>
      <w:bookmarkEnd w:id="1268"/>
      <w:bookmarkEnd w:id="1270"/>
    </w:p>
    <w:p>
      <w:pPr>
        <w:pStyle w:val="Style67"/>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color w:val="000000"/>
          <w:spacing w:val="0"/>
          <w:w w:val="100"/>
          <w:position w:val="0"/>
        </w:rPr>
        <w:t>）应收利息分类</w:t>
      </w:r>
      <w:bookmarkEnd w:id="1271"/>
      <w:bookmarkEnd w:id="1272"/>
      <w:bookmarkEnd w:id="127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7"/>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color w:val="000000"/>
          <w:spacing w:val="0"/>
          <w:w w:val="100"/>
          <w:position w:val="0"/>
        </w:rPr>
        <w:t>）重要逾期利息</w:t>
      </w:r>
      <w:bookmarkEnd w:id="1275"/>
      <w:bookmarkEnd w:id="1276"/>
      <w:bookmarkEnd w:id="12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7"/>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color w:val="000000"/>
          <w:spacing w:val="0"/>
          <w:w w:val="100"/>
          <w:position w:val="0"/>
        </w:rPr>
        <w:t>）坏账准备计提情况</w:t>
      </w:r>
      <w:bookmarkEnd w:id="1279"/>
      <w:bookmarkEnd w:id="1280"/>
      <w:bookmarkEnd w:id="128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83"/>
      <w:bookmarkEnd w:id="1284"/>
      <w:bookmarkEnd w:id="1286"/>
    </w:p>
    <w:p>
      <w:pPr>
        <w:pStyle w:val="Style67"/>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color w:val="000000"/>
          <w:spacing w:val="0"/>
          <w:w w:val="100"/>
          <w:position w:val="0"/>
        </w:rPr>
        <w:t>）应收股利分类</w:t>
      </w:r>
      <w:bookmarkEnd w:id="1287"/>
      <w:bookmarkEnd w:id="1288"/>
      <w:bookmarkEnd w:id="129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湖南省方正达电子科技有限公司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7"/>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91"/>
      <w:bookmarkEnd w:id="1292"/>
      <w:bookmarkEnd w:id="129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67"/>
        <w:keepNext/>
        <w:keepLines/>
        <w:widowControl w:val="0"/>
        <w:shd w:val="clear" w:color="auto" w:fill="auto"/>
        <w:bidi w:val="0"/>
        <w:spacing w:before="0" w:after="2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color w:val="000000"/>
          <w:spacing w:val="0"/>
          <w:w w:val="100"/>
          <w:position w:val="0"/>
        </w:rPr>
        <w:t>）坏账准备计提情况</w:t>
      </w:r>
      <w:bookmarkEnd w:id="1295"/>
      <w:bookmarkEnd w:id="1296"/>
      <w:bookmarkEnd w:id="1298"/>
    </w:p>
    <w:p>
      <w:pPr>
        <w:pStyle w:val="Style3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319"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9" w:lineRule="exact"/>
        <w:ind w:left="0" w:right="0"/>
        <w:jc w:val="both"/>
      </w:pPr>
      <w:r>
        <w:rPr>
          <w:color w:val="000000"/>
          <w:spacing w:val="0"/>
          <w:w w:val="100"/>
          <w:position w:val="0"/>
        </w:rPr>
        <w:t>湖南省方正达电子科技有限公司为本公司联营公司，其将累计未分配利润中的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万元用于向股东分配。按持股比 例，本公司享有</w:t>
      </w:r>
      <w:r>
        <w:rPr>
          <w:rFonts w:ascii="Times New Roman" w:eastAsia="Times New Roman" w:hAnsi="Times New Roman" w:cs="Times New Roman"/>
          <w:color w:val="000000"/>
          <w:spacing w:val="0"/>
          <w:w w:val="100"/>
          <w:position w:val="0"/>
          <w:sz w:val="18"/>
          <w:szCs w:val="18"/>
        </w:rPr>
        <w:t>444.80</w:t>
      </w:r>
      <w:r>
        <w:rPr>
          <w:color w:val="000000"/>
          <w:spacing w:val="0"/>
          <w:w w:val="100"/>
          <w:position w:val="0"/>
        </w:rPr>
        <w:t>万元的股利分配，已于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年度收到股利款</w:t>
      </w:r>
      <w:r>
        <w:rPr>
          <w:rFonts w:ascii="Times New Roman" w:eastAsia="Times New Roman" w:hAnsi="Times New Roman" w:cs="Times New Roman"/>
          <w:color w:val="000000"/>
          <w:spacing w:val="0"/>
          <w:w w:val="100"/>
          <w:position w:val="0"/>
          <w:sz w:val="18"/>
          <w:szCs w:val="18"/>
        </w:rPr>
        <w:t>333.60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日，应收股利款余额为</w:t>
      </w:r>
      <w:r>
        <w:rPr>
          <w:rFonts w:ascii="Times New Roman" w:eastAsia="Times New Roman" w:hAnsi="Times New Roman" w:cs="Times New Roman"/>
          <w:color w:val="000000"/>
          <w:spacing w:val="0"/>
          <w:w w:val="100"/>
          <w:position w:val="0"/>
          <w:sz w:val="18"/>
          <w:szCs w:val="18"/>
        </w:rPr>
        <w:t xml:space="preserve">111.20 </w:t>
      </w:r>
      <w:r>
        <w:rPr>
          <w:color w:val="000000"/>
          <w:spacing w:val="0"/>
          <w:w w:val="100"/>
          <w:position w:val="0"/>
        </w:rPr>
        <w:t>万元。</w:t>
      </w:r>
      <w:r>
        <w:br w:type="page"/>
      </w:r>
    </w:p>
    <w:p>
      <w:pPr>
        <w:pStyle w:val="Style40"/>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99"/>
      <w:bookmarkEnd w:id="1300"/>
      <w:bookmarkEnd w:id="1302"/>
    </w:p>
    <w:p>
      <w:pPr>
        <w:pStyle w:val="Style67"/>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color w:val="000000"/>
          <w:spacing w:val="0"/>
          <w:w w:val="100"/>
          <w:position w:val="0"/>
        </w:rPr>
        <w:t>）其他应收款按款项性质分类情况</w:t>
      </w:r>
      <w:bookmarkEnd w:id="1303"/>
      <w:bookmarkEnd w:id="1304"/>
      <w:bookmarkEnd w:id="130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23,061,783.31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16,908,361.88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3,961,000.00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5,638,704.69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4,641,676.30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3,611,800.28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4,067,238.48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应收赔偿款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1,838,018.00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1,838,018.00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158,257.52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64,780.10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64,779.10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45,967,011.38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31,639,331.28</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color w:val="000000"/>
          <w:spacing w:val="0"/>
          <w:w w:val="100"/>
          <w:position w:val="0"/>
        </w:rPr>
        <w:t>）坏账准备计提情况</w:t>
      </w:r>
      <w:bookmarkEnd w:id="1307"/>
      <w:bookmarkEnd w:id="1308"/>
      <w:bookmarkEnd w:id="131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2,040,644.23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6,159,384.00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8,200,028.23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-280,425.18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280,425.18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1,678,145.72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1,678,322.08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282,850.03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282,850.03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1,477,545.38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8,117,954.90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9,595,500.28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33,584,035.68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211,486.95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4,785,408.84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7,386,079.91</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4,161,553.73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3,224,526.18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45,967,011.38</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color w:val="000000"/>
          <w:spacing w:val="0"/>
          <w:w w:val="100"/>
          <w:position w:val="0"/>
        </w:rPr>
        <w:t>）本期计提、收回或转回的坏账准备情况</w:t>
      </w:r>
      <w:bookmarkEnd w:id="1311"/>
      <w:bookmarkEnd w:id="1312"/>
      <w:bookmarkEnd w:id="131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8,200,028.23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1,678,322.08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282,850.03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9,595,500.28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8,200,028.23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1,678,322.08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282,850.03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9,595,500.28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4</w:t>
      </w:r>
      <w:bookmarkEnd w:id="1317"/>
      <w:r>
        <w:rPr>
          <w:color w:val="000000"/>
          <w:spacing w:val="0"/>
          <w:w w:val="100"/>
          <w:position w:val="0"/>
        </w:rPr>
        <w:t>）本期实际核销的其他应收款情况</w:t>
      </w:r>
      <w:bookmarkEnd w:id="1315"/>
      <w:bookmarkEnd w:id="1316"/>
      <w:bookmarkEnd w:id="13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7"/>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5</w:t>
      </w:r>
      <w:bookmarkEnd w:id="1321"/>
      <w:r>
        <w:rPr>
          <w:color w:val="000000"/>
          <w:spacing w:val="0"/>
          <w:w w:val="100"/>
          <w:position w:val="0"/>
        </w:rPr>
        <w:t>）按欠款方归集的期末余额前五名的其他应收款情况</w:t>
      </w:r>
      <w:bookmarkEnd w:id="1319"/>
      <w:bookmarkEnd w:id="1320"/>
      <w:bookmarkEnd w:id="132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23,061,783.31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1,999,800.00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1,999,800.00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应收赔偿款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1,838,018.00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1,838,018.00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38,399,601.31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7,417,818.00</w:t>
            </w:r>
          </w:p>
        </w:tc>
      </w:tr>
    </w:tbl>
    <w:p>
      <w:pPr>
        <w:spacing w:lineRule="exact" w:line="1"/>
        <w:rPr>
          <w:sz w:val="2"/>
          <w:szCs w:val="2"/>
        </w:rPr>
      </w:pPr>
      <w:r>
        <w:br w:type="page"/>
      </w:r>
    </w:p>
    <w:p>
      <w:pPr>
        <w:pStyle w:val="Style67"/>
        <w:keepNext/>
        <w:keepLines/>
        <w:widowControl w:val="0"/>
        <w:shd w:val="clear" w:color="auto" w:fill="auto"/>
        <w:bidi w:val="0"/>
        <w:spacing w:before="0" w:after="380" w:line="240" w:lineRule="auto"/>
        <w:ind w:left="0" w:right="0" w:firstLine="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6</w:t>
      </w:r>
      <w:bookmarkEnd w:id="1325"/>
      <w:r>
        <w:rPr>
          <w:color w:val="000000"/>
          <w:spacing w:val="0"/>
          <w:w w:val="100"/>
          <w:position w:val="0"/>
        </w:rPr>
        <w:t>）涉及政府补助的应收款项</w:t>
      </w:r>
      <w:bookmarkEnd w:id="1323"/>
      <w:bookmarkEnd w:id="1324"/>
      <w:bookmarkEnd w:id="13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679" w:line="1" w:lineRule="exact"/>
      </w:pPr>
    </w:p>
    <w:p>
      <w:pPr>
        <w:pStyle w:val="Style67"/>
        <w:keepNext/>
        <w:keepLines/>
        <w:widowControl w:val="0"/>
        <w:shd w:val="clear" w:color="auto" w:fill="auto"/>
        <w:bidi w:val="0"/>
        <w:spacing w:before="0" w:after="38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7</w:t>
      </w:r>
      <w:bookmarkEnd w:id="1329"/>
      <w:r>
        <w:rPr>
          <w:color w:val="000000"/>
          <w:spacing w:val="0"/>
          <w:w w:val="100"/>
          <w:position w:val="0"/>
        </w:rPr>
        <w:t>）因金融资产转移而终止确认的其他应收款</w:t>
      </w:r>
      <w:bookmarkEnd w:id="1327"/>
      <w:bookmarkEnd w:id="1328"/>
      <w:bookmarkEnd w:id="1330"/>
    </w:p>
    <w:p>
      <w:pPr>
        <w:pStyle w:val="Style31"/>
        <w:keepNext w:val="0"/>
        <w:keepLines w:val="0"/>
        <w:widowControl w:val="0"/>
        <w:shd w:val="clear" w:color="auto" w:fill="auto"/>
        <w:bidi w:val="0"/>
        <w:spacing w:before="0" w:after="680" w:line="240" w:lineRule="auto"/>
        <w:ind w:left="0" w:right="0" w:firstLine="0"/>
        <w:jc w:val="both"/>
      </w:pPr>
      <w:r>
        <w:rPr>
          <w:color w:val="000000"/>
          <w:spacing w:val="0"/>
          <w:w w:val="100"/>
          <w:position w:val="0"/>
        </w:rPr>
        <w:t>无</w:t>
      </w:r>
    </w:p>
    <w:p>
      <w:pPr>
        <w:pStyle w:val="Style67"/>
        <w:keepNext/>
        <w:keepLines/>
        <w:widowControl w:val="0"/>
        <w:shd w:val="clear" w:color="auto" w:fill="auto"/>
        <w:bidi w:val="0"/>
        <w:spacing w:before="0" w:after="38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8</w:t>
      </w:r>
      <w:bookmarkEnd w:id="1333"/>
      <w:r>
        <w:rPr>
          <w:color w:val="000000"/>
          <w:spacing w:val="0"/>
          <w:w w:val="100"/>
          <w:position w:val="0"/>
        </w:rPr>
        <w:t>）转移其他应收款且继续涉入形成的资产、负债金额</w:t>
      </w:r>
      <w:bookmarkEnd w:id="1331"/>
      <w:bookmarkEnd w:id="1332"/>
      <w:bookmarkEnd w:id="1334"/>
    </w:p>
    <w:p>
      <w:pPr>
        <w:pStyle w:val="Style31"/>
        <w:keepNext w:val="0"/>
        <w:keepLines w:val="0"/>
        <w:widowControl w:val="0"/>
        <w:shd w:val="clear" w:color="auto" w:fill="auto"/>
        <w:bidi w:val="0"/>
        <w:spacing w:before="0" w:after="460" w:line="240" w:lineRule="auto"/>
        <w:ind w:left="0" w:right="0" w:firstLine="0"/>
        <w:jc w:val="both"/>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9</w:t>
      </w:r>
      <w:bookmarkEnd w:id="1337"/>
      <w:r>
        <w:rPr>
          <w:color w:val="000000"/>
          <w:spacing w:val="0"/>
          <w:w w:val="100"/>
          <w:position w:val="0"/>
        </w:rPr>
        <w:t>、存货</w:t>
      </w:r>
      <w:bookmarkEnd w:id="1335"/>
      <w:bookmarkEnd w:id="1336"/>
      <w:bookmarkEnd w:id="1338"/>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0"/>
        <w:keepNext/>
        <w:keepLines/>
        <w:widowControl w:val="0"/>
        <w:shd w:val="clear" w:color="auto" w:fill="auto"/>
        <w:bidi w:val="0"/>
        <w:spacing w:before="0" w:after="380" w:line="240" w:lineRule="auto"/>
        <w:ind w:left="0" w:right="0" w:firstLine="0"/>
        <w:jc w:val="both"/>
      </w:pPr>
      <w:bookmarkStart w:id="1339" w:name="bookmark1339"/>
      <w:bookmarkStart w:id="1340" w:name="bookmark1340"/>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39"/>
      <w:bookmarkEnd w:id="1340"/>
      <w:bookmarkEnd w:id="1342"/>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55,556,814.42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1,546,525.32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54,010,289.10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37,934,000.11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5,332,217.56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32,601,782.55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15,202,457.60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15,175,339.55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12,562,192.62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12,527,746.61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35,559,687.08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3,875,793.55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31,683,893.53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43,721,968.71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4,595,138.02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39,126,830.69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45,833.44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35,901.24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27,660,026.17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27,660,026.17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17,103,130.66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17,024,615.51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13,500,896.54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536,915.44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12,963,981.10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12,538,439.05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1,016,297.80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11,522,141.25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12,802,828.78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12,802,828.78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7,461,347.07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7,461,347.07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160,326,175.95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5,986,352.36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154,339,823.59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131,366,911.66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11,066,546.74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120,300,364.92</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43"/>
      <w:bookmarkEnd w:id="1344"/>
      <w:bookmarkEnd w:id="13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5,332,217.56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993,842.92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4,779,535.16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1,546,525.32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34,446.01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27,118.05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4,595,138.02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3,508,173.08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4,227,517.55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3,875,793.55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1,016,297.80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730,556.68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1,209,939.04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536,915.44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78,515.15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78,515.15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11,066,546.74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5,232,572.68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10,312,767.06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5,986,352.36</w:t>
            </w: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both"/>
      </w:pPr>
      <w:bookmarkStart w:id="1347" w:name="bookmark1347"/>
      <w:bookmarkStart w:id="1348" w:name="bookmark1348"/>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47"/>
      <w:bookmarkEnd w:id="1348"/>
      <w:bookmarkEnd w:id="1350"/>
    </w:p>
    <w:p>
      <w:pPr>
        <w:pStyle w:val="Style40"/>
        <w:keepNext/>
        <w:keepLines/>
        <w:widowControl w:val="0"/>
        <w:shd w:val="clear" w:color="auto" w:fill="auto"/>
        <w:tabs>
          <w:tab w:pos="493" w:val="left"/>
        </w:tabs>
        <w:bidi w:val="0"/>
        <w:spacing w:before="0" w:after="360" w:line="240" w:lineRule="auto"/>
        <w:ind w:left="0" w:right="0" w:firstLine="0"/>
        <w:jc w:val="both"/>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51"/>
      <w:bookmarkEnd w:id="1352"/>
      <w:bookmarkEnd w:id="1354"/>
    </w:p>
    <w:p>
      <w:pPr>
        <w:pStyle w:val="Style34"/>
        <w:keepNext/>
        <w:keepLines/>
        <w:widowControl w:val="0"/>
        <w:shd w:val="clear" w:color="auto" w:fill="auto"/>
        <w:bidi w:val="0"/>
        <w:spacing w:before="0" w:line="240" w:lineRule="auto"/>
        <w:ind w:left="0" w:right="0" w:firstLine="0"/>
        <w:jc w:val="both"/>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bookmarkEnd w:id="1357"/>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55"/>
      <w:bookmarkEnd w:id="1356"/>
      <w:bookmarkEnd w:id="135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59"/>
      <w:bookmarkEnd w:id="1360"/>
      <w:bookmarkEnd w:id="1362"/>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15,620,530.84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15,620,530.84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15,681,600.00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15,620,530.84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15,620,530.84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15,681,600.00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680" w:line="314" w:lineRule="exact"/>
        <w:ind w:left="0" w:right="0" w:firstLine="360"/>
        <w:jc w:val="both"/>
      </w:pPr>
      <w:r>
        <w:rPr>
          <w:color w:val="000000"/>
          <w:spacing w:val="0"/>
          <w:w w:val="100"/>
          <w:position w:val="0"/>
        </w:rPr>
        <w:t>持有待售资产说明：本公司董事会于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日批准将公司持有湖南省方正达电子科技有限公司（目标公司）</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的股权作价</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,568.16</w:t>
      </w:r>
      <w:r>
        <w:rPr>
          <w:color w:val="000000"/>
          <w:spacing w:val="0"/>
          <w:w w:val="100"/>
          <w:position w:val="0"/>
        </w:rPr>
        <w:t>万元转让给目标公司大股东方笑求，双方已签订股权转让协议，截止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日，尚未完成股权交 割和工商变更手续，该股权转让交易预计在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年内完成，因此，公司将上述拟处置股权划分为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持有待售资产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1</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63"/>
      <w:bookmarkEnd w:id="1364"/>
      <w:bookmarkEnd w:id="1366"/>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4,838,779.33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4,838,779.33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bookmarkEnd w:id="136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67"/>
      <w:bookmarkEnd w:id="1368"/>
      <w:bookmarkEnd w:id="137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预交税款及待抵扣增值税进项税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40,915,983.91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41,326,570.05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待摊租金、保险等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150,411.14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363,364.97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41,066,395.05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41,689,935.02</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bookmarkEnd w:id="1373"/>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71"/>
      <w:bookmarkEnd w:id="1372"/>
      <w:bookmarkEnd w:id="137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r>
        <w:br w:type="page"/>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75"/>
      <w:bookmarkEnd w:id="1376"/>
      <w:bookmarkEnd w:id="1378"/>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累计在其他 综合收益中 确认的损失</w:t>
            </w:r>
          </w:p>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1</w:t>
      </w:r>
      <w:bookmarkEnd w:id="138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79"/>
      <w:bookmarkEnd w:id="1380"/>
      <w:bookmarkEnd w:id="1382"/>
    </w:p>
    <w:p>
      <w:pPr>
        <w:pStyle w:val="Style40"/>
        <w:keepNext/>
        <w:keepLines/>
        <w:widowControl w:val="0"/>
        <w:shd w:val="clear" w:color="auto" w:fill="auto"/>
        <w:bidi w:val="0"/>
        <w:spacing w:before="0" w:after="380" w:line="240" w:lineRule="auto"/>
        <w:ind w:left="0" w:right="0" w:firstLine="0"/>
        <w:jc w:val="both"/>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83"/>
      <w:bookmarkEnd w:id="1384"/>
      <w:bookmarkEnd w:id="1386"/>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7,607,820.46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7,607,820.46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7,810,851.59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7,810,851.59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jc w:val="left"/>
            </w:pPr>
            <w:r>
              <w:rPr>
                <w:color w:val="000000"/>
                <w:spacing w:val="0"/>
                <w:w w:val="100"/>
                <w:position w:val="0"/>
              </w:rPr>
              <w:t>其中：未实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592,179.54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592,179.54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1,389,148.41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1,389,148.41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一年内到期的长 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-4,838,779.33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-4,838,779.33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2,769,041.13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2,769,041.13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7,810,851.59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7,810,851.59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387"/>
      <w:bookmarkEnd w:id="1388"/>
      <w:bookmarkEnd w:id="1390"/>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40"/>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391"/>
      <w:bookmarkEnd w:id="1392"/>
      <w:bookmarkEnd w:id="1394"/>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1</w:t>
      </w:r>
      <w:bookmarkEnd w:id="139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95"/>
      <w:bookmarkEnd w:id="1396"/>
      <w:bookmarkEnd w:id="1398"/>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3"/>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3"/>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深圳华智 测控技术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273,411.6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湖南省方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83,609,29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7,688,855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71,229,62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19,545,47</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正达电子 科技有限 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30.84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新余市茂 硕海量投 资企业</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6,961,090</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-2,129,57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4,831,511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新余市神 木园农业 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1,049,994</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-66,955.2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983,039.7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深圳市钢 盾科技有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197,363.5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山西茂硕 光伏电力 股份有限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661,699.9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91,887,08</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5,422,985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-15,620,5</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77,241,53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91,887,08</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5,422,985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-15,620,5</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77,241,53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31"/>
        <w:keepNext w:val="0"/>
        <w:keepLines w:val="0"/>
        <w:widowControl w:val="0"/>
        <w:shd w:val="clear" w:color="auto" w:fill="auto"/>
        <w:bidi w:val="0"/>
        <w:spacing w:before="0" w:after="1100" w:line="240" w:lineRule="auto"/>
        <w:ind w:left="0" w:right="0" w:firstLine="220"/>
        <w:jc w:val="left"/>
      </w:pPr>
      <w:r>
        <w:rPr>
          <w:color w:val="000000"/>
          <w:spacing w:val="0"/>
          <w:w w:val="100"/>
          <w:position w:val="0"/>
        </w:rPr>
        <w:t>长期股权投资说明：其他变动说明详见本报告第十二节、七、合并财务报表项目注释、</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、持有待售资产说明。</w:t>
      </w:r>
    </w:p>
    <w:p>
      <w:pPr>
        <w:pStyle w:val="Style34"/>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w:t>
      </w:r>
      <w:bookmarkEnd w:id="140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99"/>
      <w:bookmarkEnd w:id="1400"/>
      <w:bookmarkEnd w:id="140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深圳市聚电网络科技有限公司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1,224,531.00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1,224,531.00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深圳茂硕投资发展有限公司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4,373,475.00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4,373,475.00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安徽新国利英核能源有限公司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1,046,966.00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1,046,966.00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河南弘康茂硕电气科技有限公司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深圳茂硕祥泰科技有限公司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深圳前海茂硕新能源科技有限公司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81,113.84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81,113.84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深圳茂硕尚世文化传媒有限公司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r>
    </w:tbl>
    <w:p>
      <w:pPr>
        <w:widowControl w:val="0"/>
        <w:spacing w:line="1" w:lineRule="exact"/>
        <w:sectPr>
          <w:footnotePr>
            <w:pos w:val="pageBottom"/>
            <w:numFmt w:val="decimal"/>
            <w:numRestart w:val="continuous"/>
          </w:footnotePr>
          <w:pgSz w:w="11900" w:h="16840"/>
          <w:pgMar w:top="1365" w:right="1063" w:bottom="1439" w:left="1060"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杭州骑客智能科技有限公司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3,843,521.55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佛山市南海区联合广东新光源产业创新 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深圳市迈斯达尔医疗器械有限公司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Glamorsky</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7,281,365.84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11,124,887.39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其他综合收益转 入留存收益的原 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bookmarkEnd w:id="140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03"/>
      <w:bookmarkEnd w:id="1404"/>
      <w:bookmarkEnd w:id="14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w:t>
      </w:r>
      <w:bookmarkEnd w:id="140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07"/>
      <w:bookmarkEnd w:id="1408"/>
      <w:bookmarkEnd w:id="1410"/>
    </w:p>
    <w:p>
      <w:pPr>
        <w:pStyle w:val="Style40"/>
        <w:keepNext/>
        <w:keepLines/>
        <w:widowControl w:val="0"/>
        <w:shd w:val="clear" w:color="auto" w:fill="auto"/>
        <w:tabs>
          <w:tab w:pos="493" w:val="left"/>
        </w:tabs>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11"/>
      <w:bookmarkEnd w:id="1412"/>
      <w:bookmarkEnd w:id="1414"/>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15"/>
      <w:bookmarkEnd w:id="1416"/>
      <w:bookmarkEnd w:id="1418"/>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19"/>
      <w:bookmarkEnd w:id="1420"/>
      <w:bookmarkEnd w:id="142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bookmarkEnd w:id="142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23"/>
      <w:bookmarkEnd w:id="1424"/>
      <w:bookmarkEnd w:id="1426"/>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361,243,092.71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384,180,534.44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361,243,092.71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384,180,534.44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27"/>
      <w:bookmarkEnd w:id="1428"/>
      <w:bookmarkEnd w:id="1430"/>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光电设备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办公及其他设备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225,263,915.54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296,439,645.00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73,211,029.39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25,407,635.49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20,829,155.65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641,151,381.07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8,253,905.75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815,496.22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592,569.43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9,661,971.40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8,253,905.75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815,496.22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592,569.43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9,661,971.40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4,262,005.55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4,238,715.62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1,020,234.15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9,872,663.97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4,262,005.55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4,238,715.62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1,020,234.15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351,708.65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9,872,663.97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221,001,909.99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296,439,645.00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77,226,219.52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25,202,897.56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21,070,016.43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640,940,688.50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37,153,249.92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47,463,987.81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26,921,321.20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15,489,885.30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15,623,557.97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142,652,002.20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7,017,895.46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7,322,939.07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7,034,937.87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2,790,307.19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1,399,769.33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25,565,848.92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7,017,895.46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7,322,939.07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7,034,937.87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2,790,307.19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1,399,769.33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25,565,848.92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690,545.41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2,735,917.69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795,838.48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324,571.20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4,546,872.78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690,545.41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2,735,917.69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795,838.48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324,571.20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4,546,872.78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43,480,599.97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54,786,926.88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31,220,341.38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17,484,354.01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16,698,756.10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163,670,978.34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
          <w:footerReference w:type="default" r:id="rId16"/>
          <w:headerReference w:type="even" r:id="rId17"/>
          <w:footerReference w:type="even" r:id="rId18"/>
          <w:footnotePr>
            <w:pos w:val="pageBottom"/>
            <w:numFmt w:val="decimal"/>
            <w:numRestart w:val="continuous"/>
          </w:footnotePr>
          <w:type w:val="continuous"/>
          <w:pgSz w:w="11900" w:h="16840"/>
          <w:pgMar w:top="1365" w:right="1063" w:bottom="1439" w:left="1060"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114,275,344.14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114,318,844.43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1,594,048.50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1,707,773.02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1,594,048.50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1,707,773.02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114,275,344.14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1,637,548.79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116,026,617.45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177,521,310.02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127,377,373.98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44,368,329.35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7,604,819.03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4,371,260.33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361,243,092.71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188,110,665.62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134,700,313.05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46,246,207.90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9,917,750.19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5,205,597.68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384,180,534.44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31"/>
      <w:bookmarkEnd w:id="1432"/>
      <w:bookmarkEnd w:id="143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3,416,820.55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1,638,861.81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1,594,048.49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183,910.25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498,216.06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342,643.78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41,847.75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3,915,036.61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1,981,505.59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1,707,773.02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225,758.00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435"/>
      <w:bookmarkEnd w:id="1436"/>
      <w:bookmarkEnd w:id="14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62,848,153.24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11,580,058.49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27,542,197.15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23,725,897.60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41,883,402.92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17,080,690.25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1,562,778.96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23,239,933.71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2,943,400.16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2,279,303.74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664,096.42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1,764,343.95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1,635,744.03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128,599.92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109,439,300.27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32,575,796.51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29,104,976.11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47,758,527.65</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w:t>
      </w:r>
      <w:bookmarkEnd w:id="1441"/>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439"/>
      <w:bookmarkEnd w:id="1440"/>
      <w:bookmarkEnd w:id="1442"/>
      <w:r>
        <w:br w:type="page"/>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40"/>
        <w:keepNext/>
        <w:keepLines/>
        <w:widowControl w:val="0"/>
        <w:numPr>
          <w:ilvl w:val="0"/>
          <w:numId w:val="131"/>
        </w:numPr>
        <w:shd w:val="clear" w:color="auto" w:fill="auto"/>
        <w:bidi w:val="0"/>
        <w:spacing w:before="0" w:after="380" w:line="240" w:lineRule="auto"/>
        <w:ind w:left="0" w:right="0" w:firstLine="0"/>
        <w:jc w:val="both"/>
      </w:pPr>
      <w:bookmarkStart w:id="1443" w:name="bookmark1443"/>
      <w:bookmarkStart w:id="1444" w:name="bookmark1444"/>
      <w:bookmarkStart w:id="1445" w:name="bookmark1445"/>
      <w:bookmarkStart w:id="1446" w:name="bookmark1446"/>
      <w:bookmarkEnd w:id="1445"/>
      <w:r>
        <w:rPr>
          <w:color w:val="000000"/>
          <w:spacing w:val="0"/>
          <w:w w:val="100"/>
          <w:position w:val="0"/>
        </w:rPr>
        <w:t>未办妥产权证书的固定资产情况</w:t>
      </w:r>
      <w:bookmarkEnd w:id="1443"/>
      <w:bookmarkEnd w:id="1444"/>
      <w:bookmarkEnd w:id="144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6,350,699.09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人才安居工程，目前尚无法办理</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6,350,699.09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0"/>
        <w:keepNext/>
        <w:keepLines/>
        <w:widowControl w:val="0"/>
        <w:numPr>
          <w:ilvl w:val="0"/>
          <w:numId w:val="131"/>
        </w:numPr>
        <w:shd w:val="clear" w:color="auto" w:fill="auto"/>
        <w:bidi w:val="0"/>
        <w:spacing w:before="0" w:after="380" w:line="240" w:lineRule="auto"/>
        <w:ind w:left="0" w:right="0" w:firstLine="0"/>
        <w:jc w:val="both"/>
      </w:pPr>
      <w:bookmarkStart w:id="1447" w:name="bookmark1447"/>
      <w:bookmarkStart w:id="1448" w:name="bookmark1448"/>
      <w:bookmarkStart w:id="1449" w:name="bookmark1449"/>
      <w:bookmarkStart w:id="1450" w:name="bookmark1450"/>
      <w:bookmarkEnd w:id="1449"/>
      <w:r>
        <w:rPr>
          <w:color w:val="000000"/>
          <w:spacing w:val="0"/>
          <w:w w:val="100"/>
          <w:position w:val="0"/>
        </w:rPr>
        <w:t>固定资产清理</w:t>
      </w:r>
      <w:bookmarkEnd w:id="1447"/>
      <w:bookmarkEnd w:id="1448"/>
      <w:bookmarkEnd w:id="145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51"/>
      <w:bookmarkEnd w:id="1452"/>
      <w:bookmarkEnd w:id="145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r>
    </w:tbl>
    <w:p>
      <w:pPr>
        <w:widowControl w:val="0"/>
        <w:spacing w:after="339" w:line="1" w:lineRule="exact"/>
      </w:pPr>
    </w:p>
    <w:p>
      <w:pPr>
        <w:pStyle w:val="Style40"/>
        <w:keepNext/>
        <w:keepLines/>
        <w:widowControl w:val="0"/>
        <w:numPr>
          <w:ilvl w:val="0"/>
          <w:numId w:val="133"/>
        </w:numPr>
        <w:shd w:val="clear" w:color="auto" w:fill="auto"/>
        <w:bidi w:val="0"/>
        <w:spacing w:before="0" w:after="380" w:line="240" w:lineRule="auto"/>
        <w:ind w:left="0" w:right="0" w:firstLine="0"/>
        <w:jc w:val="both"/>
      </w:pPr>
      <w:bookmarkStart w:id="1455" w:name="bookmark1455"/>
      <w:bookmarkStart w:id="1456" w:name="bookmark1456"/>
      <w:bookmarkStart w:id="1457" w:name="bookmark1457"/>
      <w:bookmarkStart w:id="1458" w:name="bookmark1458"/>
      <w:bookmarkEnd w:id="1457"/>
      <w:r>
        <w:rPr>
          <w:color w:val="000000"/>
          <w:spacing w:val="0"/>
          <w:w w:val="100"/>
          <w:position w:val="0"/>
        </w:rPr>
        <w:t>在建工程情况</w:t>
      </w:r>
      <w:bookmarkEnd w:id="1455"/>
      <w:bookmarkEnd w:id="1456"/>
      <w:bookmarkEnd w:id="1458"/>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何家边</w:t>
            </w:r>
            <w:r>
              <w:rPr>
                <w:rFonts w:ascii="Times New Roman" w:eastAsia="Times New Roman" w:hAnsi="Times New Roman" w:cs="Times New Roman"/>
                <w:color w:val="000000"/>
                <w:spacing w:val="0"/>
                <w:w w:val="100"/>
                <w:position w:val="0"/>
                <w:sz w:val="18"/>
                <w:szCs w:val="18"/>
              </w:rPr>
              <w:t xml:space="preserve">3.44MW </w:t>
            </w:r>
            <w:r>
              <w:rPr>
                <w:color w:val="000000"/>
                <w:spacing w:val="0"/>
                <w:w w:val="100"/>
                <w:position w:val="0"/>
              </w:rPr>
              <w:t>太阳能光伏电站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16,793,274.52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9,203,274.52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16,793,274.52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9,203,274.52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罗家边</w:t>
            </w:r>
            <w:r>
              <w:rPr>
                <w:rFonts w:ascii="Times New Roman" w:eastAsia="Times New Roman" w:hAnsi="Times New Roman" w:cs="Times New Roman"/>
                <w:color w:val="000000"/>
                <w:spacing w:val="0"/>
                <w:w w:val="100"/>
                <w:position w:val="0"/>
                <w:sz w:val="18"/>
                <w:szCs w:val="18"/>
              </w:rPr>
              <w:t>20MW</w:t>
            </w:r>
            <w:r>
              <w:rPr>
                <w:color w:val="000000"/>
                <w:spacing w:val="0"/>
                <w:w w:val="100"/>
                <w:position w:val="0"/>
              </w:rPr>
              <w:t>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阳能光伏电站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16,793,274.52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9,203,274.52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7,590,000.00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16,898,274.52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9,308,274.52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7,590,000.00</w:t>
            </w:r>
          </w:p>
        </w:tc>
      </w:tr>
    </w:tbl>
    <w:p>
      <w:pPr>
        <w:widowControl w:val="0"/>
        <w:spacing w:after="339" w:line="1" w:lineRule="exact"/>
      </w:pPr>
    </w:p>
    <w:p>
      <w:pPr>
        <w:pStyle w:val="Style40"/>
        <w:keepNext/>
        <w:keepLines/>
        <w:widowControl w:val="0"/>
        <w:numPr>
          <w:ilvl w:val="0"/>
          <w:numId w:val="133"/>
        </w:numPr>
        <w:shd w:val="clear" w:color="auto" w:fill="auto"/>
        <w:bidi w:val="0"/>
        <w:spacing w:before="0" w:after="380" w:line="240" w:lineRule="auto"/>
        <w:ind w:left="0" w:right="0" w:firstLine="0"/>
        <w:jc w:val="both"/>
      </w:pPr>
      <w:bookmarkStart w:id="1459" w:name="bookmark1459"/>
      <w:bookmarkStart w:id="1460" w:name="bookmark1460"/>
      <w:bookmarkStart w:id="1461" w:name="bookmark1461"/>
      <w:bookmarkStart w:id="1462" w:name="bookmark1462"/>
      <w:bookmarkEnd w:id="1461"/>
      <w:r>
        <w:rPr>
          <w:color w:val="000000"/>
          <w:spacing w:val="0"/>
          <w:w w:val="100"/>
          <w:position w:val="0"/>
        </w:rPr>
        <w:t>重要在建工程项目本期变动情况</w:t>
      </w:r>
      <w:bookmarkEnd w:id="1459"/>
      <w:bookmarkEnd w:id="1460"/>
      <w:bookmarkEnd w:id="146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9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入固定</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利息资 本化累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息资本</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bl>
    <w:p>
      <w:pPr>
        <w:sectPr>
          <w:footnotePr>
            <w:pos w:val="pageBottom"/>
            <w:numFmt w:val="decimal"/>
            <w:numRestart w:val="continuous"/>
          </w:footnotePr>
          <w:pgSz w:w="11900" w:h="16840"/>
          <w:pgMar w:top="1248" w:right="1107" w:bottom="1663" w:left="1112" w:header="0" w:footer="3" w:gutter="0"/>
          <w:cols w:space="720"/>
          <w:noEndnote/>
          <w:rtlGutter w:val="0"/>
          <w:docGrid w:linePitch="360"/>
        </w:sectPr>
      </w:pPr>
    </w:p>
    <w:p>
      <w:pPr>
        <w:widowControl w:val="0"/>
        <w:spacing w:after="419"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何家边</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3.44MW</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太阳能 光伏电 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23,873,3</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16,793,2</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23,873,3</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16,793,2</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w:t>
      </w:r>
      <w:bookmarkEnd w:id="146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63"/>
      <w:bookmarkEnd w:id="1464"/>
      <w:bookmarkEnd w:id="146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说明：本公司预计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年续建何家边</w:t>
      </w:r>
      <w:r>
        <w:rPr>
          <w:rFonts w:ascii="Times New Roman" w:eastAsia="Times New Roman" w:hAnsi="Times New Roman" w:cs="Times New Roman"/>
          <w:color w:val="000000"/>
          <w:spacing w:val="0"/>
          <w:w w:val="100"/>
          <w:position w:val="0"/>
          <w:sz w:val="18"/>
          <w:szCs w:val="18"/>
        </w:rPr>
        <w:t>3.44MW</w:t>
      </w:r>
      <w:r>
        <w:rPr>
          <w:color w:val="000000"/>
          <w:spacing w:val="0"/>
          <w:w w:val="100"/>
          <w:position w:val="0"/>
        </w:rPr>
        <w:t>太阳能光伏电站，根据万隆（上海）资产评估有限公司出具的万隆评报字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10077</w:t>
      </w:r>
      <w:r>
        <w:rPr>
          <w:color w:val="000000"/>
          <w:spacing w:val="0"/>
          <w:w w:val="100"/>
          <w:position w:val="0"/>
        </w:rPr>
        <w:t>号的评估报告对该电站按照收益法评估的公允价价值为</w:t>
      </w:r>
      <w:r>
        <w:rPr>
          <w:rFonts w:ascii="Times New Roman" w:eastAsia="Times New Roman" w:hAnsi="Times New Roman" w:cs="Times New Roman"/>
          <w:color w:val="000000"/>
          <w:spacing w:val="0"/>
          <w:w w:val="100"/>
          <w:position w:val="0"/>
          <w:sz w:val="18"/>
          <w:szCs w:val="18"/>
        </w:rPr>
        <w:t>855.00</w:t>
      </w:r>
      <w:r>
        <w:rPr>
          <w:color w:val="000000"/>
          <w:spacing w:val="0"/>
          <w:w w:val="100"/>
          <w:position w:val="0"/>
        </w:rPr>
        <w:t>万元，同时该项在建工程账面价值为</w:t>
      </w:r>
      <w:r>
        <w:rPr>
          <w:rFonts w:ascii="Times New Roman" w:eastAsia="Times New Roman" w:hAnsi="Times New Roman" w:cs="Times New Roman"/>
          <w:color w:val="000000"/>
          <w:spacing w:val="0"/>
          <w:w w:val="100"/>
          <w:position w:val="0"/>
          <w:sz w:val="18"/>
          <w:szCs w:val="18"/>
        </w:rPr>
        <w:t xml:space="preserve">759.00 </w:t>
      </w:r>
      <w:r>
        <w:rPr>
          <w:color w:val="000000"/>
          <w:spacing w:val="0"/>
          <w:w w:val="100"/>
          <w:position w:val="0"/>
        </w:rPr>
        <w:t>万元，未出现减值，本期无需计提在建工程减值准备。</w:t>
      </w:r>
    </w:p>
    <w:p>
      <w:pPr>
        <w:pStyle w:val="Style40"/>
        <w:keepNext/>
        <w:keepLines/>
        <w:widowControl w:val="0"/>
        <w:shd w:val="clear" w:color="auto" w:fill="auto"/>
        <w:bidi w:val="0"/>
        <w:spacing w:before="0" w:after="380" w:line="240" w:lineRule="auto"/>
        <w:ind w:left="0" w:right="0" w:firstLine="0"/>
        <w:jc w:val="both"/>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67"/>
      <w:bookmarkEnd w:id="1468"/>
      <w:bookmarkEnd w:id="147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471"/>
      <w:bookmarkEnd w:id="1472"/>
      <w:bookmarkEnd w:id="1474"/>
    </w:p>
    <w:p>
      <w:pPr>
        <w:pStyle w:val="Style40"/>
        <w:keepNext/>
        <w:keepLines/>
        <w:widowControl w:val="0"/>
        <w:shd w:val="clear" w:color="auto" w:fill="auto"/>
        <w:bidi w:val="0"/>
        <w:spacing w:before="0" w:after="380" w:line="240" w:lineRule="auto"/>
        <w:ind w:left="0" w:right="0" w:firstLine="0"/>
        <w:jc w:val="both"/>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475"/>
      <w:bookmarkEnd w:id="1476"/>
      <w:bookmarkEnd w:id="1478"/>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both"/>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479"/>
      <w:bookmarkEnd w:id="1480"/>
      <w:bookmarkEnd w:id="1482"/>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bookmarkEnd w:id="148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83"/>
      <w:bookmarkEnd w:id="1484"/>
      <w:bookmarkEnd w:id="1486"/>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bookmarkEnd w:id="1489"/>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87"/>
      <w:bookmarkEnd w:id="1488"/>
      <w:bookmarkEnd w:id="1490"/>
      <w:r>
        <w:br w:type="page"/>
      </w:r>
    </w:p>
    <w:tbl>
      <w:tblPr>
        <w:tblOverlap w:val="never"/>
        <w:jc w:val="center"/>
        <w:tblLayout w:type="fixed"/>
      </w:tblPr>
      <w:tblGrid>
        <w:gridCol w:w="3197"/>
        <w:gridCol w:w="3192"/>
        <w:gridCol w:w="320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bookmarkEnd w:id="1493"/>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91"/>
      <w:bookmarkEnd w:id="1492"/>
      <w:bookmarkEnd w:id="1494"/>
    </w:p>
    <w:p>
      <w:pPr>
        <w:pStyle w:val="Style40"/>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95"/>
      <w:bookmarkEnd w:id="1496"/>
      <w:bookmarkEnd w:id="14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技术方案</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9,684,021.77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13,165,954.52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52,509,976.29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2,535,908.63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2,535,908.63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2,535,908.63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2,535,908.63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9,684,021.77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15,701,863.15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55,045,884.92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1,829,875.82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16,068,333.37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11,119,976.34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29,318,185.53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197,313.87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786,908.72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5,817,555.95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197,313.87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786,908.72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5,817,555.95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2,027,189.69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20,901,666.73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11,906,885.06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35,135,741.48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sectPr>
          <w:footnotePr>
            <w:pos w:val="pageBottom"/>
            <w:numFmt w:val="decimal"/>
            <w:numRestart w:val="continuous"/>
          </w:footnotePr>
          <w:pgSz w:w="11900" w:h="16840"/>
          <w:pgMar w:top="1380" w:right="1077" w:bottom="1459" w:left="1051" w:header="0" w:footer="3" w:gutter="0"/>
          <w:cols w:space="720"/>
          <w:noEndnote/>
          <w:rtlGutter w:val="0"/>
          <w:docGrid w:linePitch="360"/>
        </w:sectPr>
      </w:pP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33,980.89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33,980.89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33,980.89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33,980.89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7,656,832.08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8,458,333.27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3,760,997.20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19,876,162.55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7,854,145.95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13,291,666.63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2,045,978.18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23,191,790.76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79" w:line="1" w:lineRule="exact"/>
      </w:pPr>
    </w:p>
    <w:p>
      <w:pPr>
        <w:pStyle w:val="Style40"/>
        <w:keepNext/>
        <w:keepLines/>
        <w:widowControl w:val="0"/>
        <w:shd w:val="clear" w:color="auto" w:fill="auto"/>
        <w:bidi w:val="0"/>
        <w:spacing w:before="0" w:after="380" w:line="240" w:lineRule="auto"/>
        <w:ind w:left="0" w:right="0" w:firstLine="14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w:t>
      </w:r>
      <w:bookmarkEnd w:id="150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99"/>
      <w:bookmarkEnd w:id="1500"/>
      <w:bookmarkEnd w:id="150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2</w:t>
      </w:r>
      <w:bookmarkEnd w:id="150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03"/>
      <w:bookmarkEnd w:id="1504"/>
      <w:bookmarkEnd w:id="150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507"/>
      <w:bookmarkEnd w:id="1508"/>
      <w:bookmarkEnd w:id="1509"/>
    </w:p>
    <w:p>
      <w:pPr>
        <w:pStyle w:val="Style40"/>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10"/>
      <w:bookmarkEnd w:id="1511"/>
      <w:bookmarkEnd w:id="1513"/>
    </w:p>
    <w:p>
      <w:pPr>
        <w:pStyle w:val="Style31"/>
        <w:keepNext w:val="0"/>
        <w:keepLines w:val="0"/>
        <w:widowControl w:val="0"/>
        <w:shd w:val="clear" w:color="auto" w:fill="auto"/>
        <w:bidi w:val="0"/>
        <w:spacing w:before="0" w:after="80" w:line="240" w:lineRule="auto"/>
        <w:ind w:left="8940" w:right="0" w:firstLine="0"/>
        <w:jc w:val="left"/>
      </w:pPr>
      <w:bookmarkStart w:id="1514" w:name="bookmark1514"/>
      <w:r>
        <w:rPr>
          <w:color w:val="000000"/>
          <w:spacing w:val="0"/>
          <w:w w:val="100"/>
          <w:position w:val="0"/>
        </w:rPr>
        <w:t>单</w:t>
      </w:r>
      <w:bookmarkEnd w:id="1514"/>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或形成商誉的事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企业合并形成的</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深圳茂硕新能源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10,451,110.03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10,451,110.03</w:t>
            </w:r>
          </w:p>
        </w:tc>
      </w:tr>
    </w:tbl>
    <w:p>
      <w:pPr>
        <w:widowControl w:val="0"/>
        <w:spacing w:after="319" w:line="1" w:lineRule="exact"/>
      </w:pPr>
    </w:p>
    <w:p>
      <w:pPr>
        <w:pStyle w:val="Style40"/>
        <w:keepNext/>
        <w:keepLines/>
        <w:widowControl w:val="0"/>
        <w:numPr>
          <w:ilvl w:val="0"/>
          <w:numId w:val="135"/>
        </w:numPr>
        <w:shd w:val="clear" w:color="auto" w:fill="auto"/>
        <w:bidi w:val="0"/>
        <w:spacing w:before="0" w:after="380" w:line="240" w:lineRule="auto"/>
        <w:ind w:left="0" w:right="0" w:firstLine="14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商誉减值准备</w:t>
      </w:r>
      <w:bookmarkEnd w:id="1515"/>
      <w:bookmarkEnd w:id="1516"/>
      <w:bookmarkEnd w:id="151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深圳茂硕新能源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10,451,110.03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10,451,110.03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10,451,110.03</w:t>
            </w:r>
          </w:p>
        </w:tc>
      </w:tr>
    </w:tbl>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商誉减值测试的影响</w:t>
      </w:r>
    </w:p>
    <w:p>
      <w:pPr>
        <w:pStyle w:val="Style3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bookmarkEnd w:id="152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19"/>
      <w:bookmarkEnd w:id="1520"/>
      <w:bookmarkEnd w:id="152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11,928,526.88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471,985.09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2,353,799.50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10,046,712.47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3,456,964.21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321,764.04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3,135,200.17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300,567.45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194,009.79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106,557.66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系统项目实施 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761,297.38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436,443.48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324,853.90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742,477.02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197,148.00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545,329.02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17,189,832.94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471,985.09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3,503,164.81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14,158,653.22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3"/>
      <w:bookmarkEnd w:id="1524"/>
      <w:bookmarkEnd w:id="1526"/>
    </w:p>
    <w:p>
      <w:pPr>
        <w:pStyle w:val="Style40"/>
        <w:keepNext/>
        <w:keepLines/>
        <w:widowControl w:val="0"/>
        <w:numPr>
          <w:ilvl w:val="0"/>
          <w:numId w:val="137"/>
        </w:numPr>
        <w:shd w:val="clear" w:color="auto" w:fill="auto"/>
        <w:bidi w:val="0"/>
        <w:spacing w:before="0" w:after="380" w:line="240" w:lineRule="auto"/>
        <w:ind w:left="0" w:right="0" w:firstLine="14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未经抵销的递延所得税资产</w:t>
      </w:r>
      <w:bookmarkEnd w:id="1527"/>
      <w:bookmarkEnd w:id="1528"/>
      <w:bookmarkEnd w:id="153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3830"/>
        <w:gridCol w:w="384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110,185,059.18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16,603,142.06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111,486,960.93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16,836,389.92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7,541,358.73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1,818,957.48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9,453,426.96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1,737,647.75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58,889,121.76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9,282,409.88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60,274,404.17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9,041,160.63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13,260,714.00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1,989,107.10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29,417,192.45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4,412,578.87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1,736,321.30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392,289.69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2,215,448.06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430,306.08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16,476,290.67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2,471,443.60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7,270,827.33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1,090,624.10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4,627,085.72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694,062.86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5,339,495.68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800,924.35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212,715,951.36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33,251,412.67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225,457,755.58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34,349,631.70</w:t>
            </w:r>
          </w:p>
        </w:tc>
      </w:tr>
    </w:tbl>
    <w:p>
      <w:pPr>
        <w:widowControl w:val="0"/>
        <w:spacing w:after="319" w:line="1" w:lineRule="exact"/>
      </w:pPr>
    </w:p>
    <w:p>
      <w:pPr>
        <w:pStyle w:val="Style40"/>
        <w:keepNext/>
        <w:keepLines/>
        <w:widowControl w:val="0"/>
        <w:numPr>
          <w:ilvl w:val="0"/>
          <w:numId w:val="137"/>
        </w:numPr>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未经抵销的递延所得税负债</w:t>
      </w:r>
      <w:bookmarkEnd w:id="1531"/>
      <w:bookmarkEnd w:id="1532"/>
      <w:bookmarkEnd w:id="15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40"/>
        <w:keepNext/>
        <w:keepLines/>
        <w:widowControl w:val="0"/>
        <w:numPr>
          <w:ilvl w:val="0"/>
          <w:numId w:val="137"/>
        </w:numPr>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以抵销后净额列示的递延所得税资产或负债</w:t>
      </w:r>
      <w:bookmarkEnd w:id="1535"/>
      <w:bookmarkEnd w:id="1536"/>
      <w:bookmarkEnd w:id="15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33,251,412.67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34,349,631.70</w:t>
            </w:r>
          </w:p>
        </w:tc>
      </w:tr>
    </w:tbl>
    <w:p>
      <w:pPr>
        <w:widowControl w:val="0"/>
        <w:spacing w:after="319" w:line="1" w:lineRule="exact"/>
      </w:pPr>
    </w:p>
    <w:p>
      <w:pPr>
        <w:pStyle w:val="Style40"/>
        <w:keepNext/>
        <w:keepLines/>
        <w:widowControl w:val="0"/>
        <w:numPr>
          <w:ilvl w:val="0"/>
          <w:numId w:val="137"/>
        </w:numPr>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未确认递延所得税资产明细</w:t>
      </w:r>
      <w:bookmarkEnd w:id="1539"/>
      <w:bookmarkEnd w:id="1540"/>
      <w:bookmarkEnd w:id="154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169,648,301.60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168,958,420.75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83,101,355.57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102,618,340.96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8,314,286.16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9,587,471.90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4,526,595.15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5,544,814.50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3,110,089.63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3,185,186.98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268,700,628.11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289,894,235.09</w:t>
            </w:r>
          </w:p>
        </w:tc>
      </w:tr>
    </w:tbl>
    <w:p>
      <w:pPr>
        <w:widowControl w:val="0"/>
        <w:spacing w:after="319" w:line="1" w:lineRule="exact"/>
      </w:pPr>
    </w:p>
    <w:p>
      <w:pPr>
        <w:pStyle w:val="Style40"/>
        <w:keepNext/>
        <w:keepLines/>
        <w:widowControl w:val="0"/>
        <w:numPr>
          <w:ilvl w:val="0"/>
          <w:numId w:val="137"/>
        </w:numPr>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未确认递延所得税资产的可抵扣亏损将于以下年度到期</w:t>
      </w:r>
      <w:bookmarkEnd w:id="1543"/>
      <w:bookmarkEnd w:id="1544"/>
      <w:bookmarkEnd w:id="154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9,954,180.66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4,947,391.20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9,124,083.79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22,479,535.95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23,326,638.99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26,893,208.69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42,316,831.14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17,896,606.38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17,896,606.38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10,884,613.35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83,101,355.57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102,618,340.96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3</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47"/>
      <w:bookmarkEnd w:id="1548"/>
      <w:bookmarkEnd w:id="155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创意大厦使用权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13,691,377.9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13,691,377.9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14,669,333.5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14,669,333.5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预付设备及工程款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2,445,868.71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2,445,868.71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16,137,246.6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16,137,246.6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14,713,073.5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14,713,073.5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3</w:t>
      </w:r>
      <w:bookmarkEnd w:id="155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51"/>
      <w:bookmarkEnd w:id="1552"/>
      <w:bookmarkEnd w:id="1554"/>
    </w:p>
    <w:p>
      <w:pPr>
        <w:pStyle w:val="Style40"/>
        <w:keepNext/>
        <w:keepLines/>
        <w:widowControl w:val="0"/>
        <w:numPr>
          <w:ilvl w:val="0"/>
          <w:numId w:val="139"/>
        </w:numPr>
        <w:shd w:val="clear" w:color="auto" w:fill="auto"/>
        <w:bidi w:val="0"/>
        <w:spacing w:before="0" w:after="380" w:line="240" w:lineRule="auto"/>
        <w:ind w:left="0" w:right="0" w:firstLine="140"/>
        <w:jc w:val="both"/>
      </w:pPr>
      <w:bookmarkStart w:id="1555" w:name="bookmark1555"/>
      <w:bookmarkStart w:id="1556" w:name="bookmark1556"/>
      <w:bookmarkStart w:id="1557" w:name="bookmark1557"/>
      <w:bookmarkStart w:id="1558" w:name="bookmark1558"/>
      <w:bookmarkEnd w:id="1557"/>
      <w:r>
        <w:rPr>
          <w:color w:val="000000"/>
          <w:spacing w:val="0"/>
          <w:w w:val="100"/>
          <w:position w:val="0"/>
        </w:rPr>
        <w:t>短期借款分类</w:t>
      </w:r>
      <w:bookmarkEnd w:id="1555"/>
      <w:bookmarkEnd w:id="1556"/>
      <w:bookmarkEnd w:id="155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260,610,722.22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17,472,309.30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9,580,922.23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239,525.00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390,191,644.45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157,711,834.30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79" w:line="1" w:lineRule="exact"/>
      </w:pPr>
    </w:p>
    <w:p>
      <w:pPr>
        <w:widowControl w:val="0"/>
        <w:spacing w:line="1" w:lineRule="exact"/>
      </w:pPr>
    </w:p>
    <w:tbl>
      <w:tblPr>
        <w:tblOverlap w:val="never"/>
        <w:jc w:val="center"/>
        <w:tblLayout w:type="fixed"/>
      </w:tblPr>
      <w:tblGrid>
        <w:gridCol w:w="1493"/>
        <w:gridCol w:w="2304"/>
        <w:gridCol w:w="984"/>
        <w:gridCol w:w="1805"/>
        <w:gridCol w:w="1171"/>
        <w:gridCol w:w="1920"/>
      </w:tblGrid>
      <w:tr>
        <w:trPr>
          <w:trHeight w:val="6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借款银行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贴现银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借款起始日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贷款利率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借款金额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借款条件</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担保方式</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平安银行深圳分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2020/11/9-2021/6/16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抵押借款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惠州茂硕提供抵押惠州 房产和土地</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中国银行深圳高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2020/12/14-2021/12/14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w:t>
            </w:r>
          </w:p>
        </w:tc>
      </w:tr>
    </w:tbl>
    <w:p>
      <w:pPr>
        <w:widowControl w:val="0"/>
        <w:spacing w:line="1" w:lineRule="exact"/>
      </w:pPr>
      <w:r>
        <w:br w:type="page"/>
      </w:r>
    </w:p>
    <w:tbl>
      <w:tblPr>
        <w:tblOverlap w:val="never"/>
        <w:jc w:val="center"/>
        <w:tblLayout w:type="fixed"/>
      </w:tblPr>
      <w:tblGrid>
        <w:gridCol w:w="1493"/>
        <w:gridCol w:w="2304"/>
        <w:gridCol w:w="984"/>
        <w:gridCol w:w="1805"/>
        <w:gridCol w:w="1171"/>
        <w:gridCol w:w="1920"/>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新区支行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码技术提供担保</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平安银行深圳分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2020/11/9-2021/6/16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质押借款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保证金质押</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兴业银行股份有 限公司深圳分行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2020/2/21-2021/2/22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115,534,833.33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质押借款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保证金质押</w:t>
            </w:r>
          </w:p>
        </w:tc>
      </w:tr>
      <w:tr>
        <w:trPr>
          <w:trHeight w:val="9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兴业银行股份有 限公司高新区分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2020/3/30-2021/3/29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38,564,222.22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质押借款</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保证金质押</w:t>
            </w:r>
          </w:p>
        </w:tc>
      </w:tr>
      <w:tr>
        <w:trPr>
          <w:trHeight w:val="9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兴业银行股份有 限公司高新区分 行</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2020/5/11-2021/5/8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96,511,666.67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20"/>
              <w:jc w:val="left"/>
            </w:pPr>
            <w:r>
              <w:rPr>
                <w:color w:val="000000"/>
                <w:spacing w:val="0"/>
                <w:w w:val="100"/>
                <w:position w:val="0"/>
              </w:rPr>
              <w:t>质押借款</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保证金质押</w:t>
            </w:r>
          </w:p>
        </w:tc>
      </w:tr>
    </w:tbl>
    <w:p>
      <w:pPr>
        <w:widowControl w:val="0"/>
        <w:spacing w:after="639" w:line="1" w:lineRule="exact"/>
      </w:pPr>
    </w:p>
    <w:p>
      <w:pPr>
        <w:pStyle w:val="Style40"/>
        <w:keepNext/>
        <w:keepLines/>
        <w:widowControl w:val="0"/>
        <w:numPr>
          <w:ilvl w:val="0"/>
          <w:numId w:val="139"/>
        </w:numPr>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已逾期未偿还的短期借款情况</w:t>
      </w:r>
      <w:bookmarkEnd w:id="1559"/>
      <w:bookmarkEnd w:id="1560"/>
      <w:bookmarkEnd w:id="156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3</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63"/>
      <w:bookmarkEnd w:id="1564"/>
      <w:bookmarkEnd w:id="156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67"/>
      <w:bookmarkEnd w:id="1568"/>
      <w:bookmarkEnd w:id="157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71"/>
      <w:bookmarkEnd w:id="1572"/>
      <w:bookmarkEnd w:id="157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16,403,229.34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16,403,229.34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140,000,000.00</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4"/>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3</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75"/>
      <w:bookmarkEnd w:id="1576"/>
      <w:bookmarkEnd w:id="1578"/>
    </w:p>
    <w:p>
      <w:pPr>
        <w:pStyle w:val="Style40"/>
        <w:keepNext/>
        <w:keepLines/>
        <w:widowControl w:val="0"/>
        <w:numPr>
          <w:ilvl w:val="0"/>
          <w:numId w:val="141"/>
        </w:numPr>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应付账款列示</w:t>
      </w:r>
      <w:bookmarkEnd w:id="1579"/>
      <w:bookmarkEnd w:id="1580"/>
      <w:bookmarkEnd w:id="158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474,318,089.42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521,843,278.05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应付加工费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11,902,494.32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20,950,735.17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2,444,889.66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3,234,028.03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2,129,551.13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1,964,308.13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381,850.33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586,040.61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136,440.98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491,200,475.02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548,714,830.97</w:t>
            </w:r>
          </w:p>
        </w:tc>
      </w:tr>
    </w:tbl>
    <w:p>
      <w:pPr>
        <w:widowControl w:val="0"/>
        <w:spacing w:after="319" w:line="1" w:lineRule="exact"/>
      </w:pPr>
    </w:p>
    <w:p>
      <w:pPr>
        <w:pStyle w:val="Style40"/>
        <w:keepNext/>
        <w:keepLines/>
        <w:widowControl w:val="0"/>
        <w:numPr>
          <w:ilvl w:val="0"/>
          <w:numId w:val="141"/>
        </w:numPr>
        <w:shd w:val="clear" w:color="auto" w:fill="auto"/>
        <w:bidi w:val="0"/>
        <w:spacing w:before="0" w:after="380" w:line="240" w:lineRule="auto"/>
        <w:ind w:left="0" w:right="0" w:firstLine="14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83"/>
      <w:bookmarkEnd w:id="1584"/>
      <w:bookmarkEnd w:id="158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应付供应商货款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1,313,714.44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材料款暂未结算</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1,313,714.44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3</w:t>
      </w:r>
      <w:bookmarkEnd w:id="1589"/>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87"/>
      <w:bookmarkEnd w:id="1588"/>
      <w:bookmarkEnd w:id="1590"/>
    </w:p>
    <w:p>
      <w:pPr>
        <w:pStyle w:val="Style40"/>
        <w:keepNext/>
        <w:keepLines/>
        <w:widowControl w:val="0"/>
        <w:numPr>
          <w:ilvl w:val="0"/>
          <w:numId w:val="143"/>
        </w:numPr>
        <w:shd w:val="clear" w:color="auto" w:fill="auto"/>
        <w:bidi w:val="0"/>
        <w:spacing w:before="0" w:after="380" w:line="240" w:lineRule="auto"/>
        <w:ind w:left="0" w:right="0" w:firstLine="140"/>
        <w:jc w:val="both"/>
      </w:pPr>
      <w:bookmarkStart w:id="1591" w:name="bookmark1591"/>
      <w:bookmarkStart w:id="1592" w:name="bookmark1592"/>
      <w:bookmarkStart w:id="1593" w:name="bookmark1593"/>
      <w:bookmarkStart w:id="1594" w:name="bookmark1594"/>
      <w:bookmarkEnd w:id="1593"/>
      <w:r>
        <w:rPr>
          <w:color w:val="000000"/>
          <w:spacing w:val="0"/>
          <w:w w:val="100"/>
          <w:position w:val="0"/>
        </w:rPr>
        <w:t>预收款项列示</w:t>
      </w:r>
      <w:bookmarkEnd w:id="1591"/>
      <w:bookmarkEnd w:id="1592"/>
      <w:bookmarkEnd w:id="159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1,568,160.00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numPr>
          <w:ilvl w:val="0"/>
          <w:numId w:val="143"/>
        </w:numPr>
        <w:shd w:val="clear" w:color="auto" w:fill="auto"/>
        <w:bidi w:val="0"/>
        <w:spacing w:before="0" w:after="380" w:line="240" w:lineRule="auto"/>
        <w:ind w:left="0" w:right="0" w:firstLine="14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95"/>
      <w:bookmarkEnd w:id="1596"/>
      <w:bookmarkEnd w:id="159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3</w:t>
      </w:r>
      <w:bookmarkEnd w:id="1601"/>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99"/>
      <w:bookmarkEnd w:id="1600"/>
      <w:bookmarkEnd w:id="160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15,850,416.56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15,850,416.56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12,905,205.89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03"/>
      <w:bookmarkEnd w:id="1604"/>
      <w:bookmarkEnd w:id="1606"/>
    </w:p>
    <w:p>
      <w:pPr>
        <w:pStyle w:val="Style40"/>
        <w:keepNext/>
        <w:keepLines/>
        <w:widowControl w:val="0"/>
        <w:numPr>
          <w:ilvl w:val="0"/>
          <w:numId w:val="145"/>
        </w:numPr>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bookmarkEnd w:id="1609"/>
      <w:r>
        <w:rPr>
          <w:color w:val="000000"/>
          <w:spacing w:val="0"/>
          <w:w w:val="100"/>
          <w:position w:val="0"/>
        </w:rPr>
        <w:t>应付职工薪酬列示</w:t>
      </w:r>
      <w:bookmarkEnd w:id="1607"/>
      <w:bookmarkEnd w:id="1608"/>
      <w:bookmarkEnd w:id="16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30,268,360.36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199,555,075.32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204,673,569.84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25,149,865.84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5,581.57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2,003,511.56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2,009,093.13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284,199.33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284,199.33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30,273,941.93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201,842,786.21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206,966,862.30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25,149,865.84</w:t>
            </w:r>
          </w:p>
        </w:tc>
      </w:tr>
    </w:tbl>
    <w:p>
      <w:pPr>
        <w:widowControl w:val="0"/>
        <w:spacing w:after="319" w:line="1" w:lineRule="exact"/>
      </w:pPr>
    </w:p>
    <w:p>
      <w:pPr>
        <w:pStyle w:val="Style40"/>
        <w:keepNext/>
        <w:keepLines/>
        <w:widowControl w:val="0"/>
        <w:numPr>
          <w:ilvl w:val="0"/>
          <w:numId w:val="145"/>
        </w:numPr>
        <w:shd w:val="clear" w:color="auto" w:fill="auto"/>
        <w:bidi w:val="0"/>
        <w:spacing w:before="0" w:after="380" w:line="240" w:lineRule="auto"/>
        <w:ind w:left="0" w:right="0" w:firstLine="140"/>
        <w:jc w:val="left"/>
      </w:pPr>
      <w:bookmarkStart w:id="1611" w:name="bookmark1611"/>
      <w:bookmarkStart w:id="1612" w:name="bookmark1612"/>
      <w:bookmarkStart w:id="1613" w:name="bookmark1613"/>
      <w:bookmarkStart w:id="1614" w:name="bookmark1614"/>
      <w:bookmarkEnd w:id="1613"/>
      <w:r>
        <w:rPr>
          <w:color w:val="000000"/>
          <w:spacing w:val="0"/>
          <w:w w:val="100"/>
          <w:position w:val="0"/>
        </w:rPr>
        <w:t>短期薪酬列示</w:t>
      </w:r>
      <w:bookmarkEnd w:id="1611"/>
      <w:bookmarkEnd w:id="1612"/>
      <w:bookmarkEnd w:id="16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30,215,584.12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190,969,573.42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196,040,376.88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25,144,780.66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3,728,827.71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3,725,216.71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1,650,161.40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1,651,626.36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1,793.54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1,450,071.63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1,451,290.99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179,835.53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180,007.38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2,818,100.08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2,818,200.08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388,412.71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438,149.81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30,268,360.36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199,555,075.32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204,673,569.84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25,149,865.84</w:t>
            </w:r>
          </w:p>
        </w:tc>
      </w:tr>
    </w:tbl>
    <w:p>
      <w:pPr>
        <w:spacing w:lineRule="exact" w:line="1"/>
        <w:rPr>
          <w:sz w:val="2"/>
          <w:szCs w:val="2"/>
        </w:rPr>
      </w:pPr>
      <w:r>
        <w:br w:type="page"/>
      </w:r>
    </w:p>
    <w:p>
      <w:pPr>
        <w:pStyle w:val="Style40"/>
        <w:keepNext/>
        <w:keepLines/>
        <w:widowControl w:val="0"/>
        <w:numPr>
          <w:ilvl w:val="0"/>
          <w:numId w:val="145"/>
        </w:numPr>
        <w:shd w:val="clear" w:color="auto" w:fill="auto"/>
        <w:bidi w:val="0"/>
        <w:spacing w:before="0" w:after="360" w:line="240" w:lineRule="auto"/>
        <w:ind w:left="0" w:right="0" w:firstLine="140"/>
        <w:jc w:val="left"/>
      </w:pPr>
      <w:bookmarkStart w:id="1615" w:name="bookmark1615"/>
      <w:bookmarkStart w:id="1616" w:name="bookmark1616"/>
      <w:bookmarkStart w:id="1617" w:name="bookmark1617"/>
      <w:bookmarkStart w:id="1618" w:name="bookmark1618"/>
      <w:bookmarkEnd w:id="1617"/>
      <w:r>
        <w:rPr>
          <w:color w:val="000000"/>
          <w:spacing w:val="0"/>
          <w:w w:val="100"/>
          <w:position w:val="0"/>
        </w:rPr>
        <w:t>设定提存计划列示</w:t>
      </w:r>
      <w:bookmarkEnd w:id="1615"/>
      <w:bookmarkEnd w:id="1616"/>
      <w:bookmarkEnd w:id="16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5,386.00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1,979,638.97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1,985,024.97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5,581.57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2,003,511.56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2,009,093.13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19"/>
      <w:bookmarkEnd w:id="1620"/>
      <w:bookmarkEnd w:id="162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6,144,673.49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6,266,696.39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898,220.59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219,623.92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1,052,204.99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366,517.15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156,536.82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214,447.73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105,725.75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121,394.42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93,111.27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62,074.19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4,451.19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8,476,524.88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7,348,316.26</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23"/>
      <w:bookmarkEnd w:id="1624"/>
      <w:bookmarkEnd w:id="162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22,478,544.93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32,406,978.57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22,478,544.93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32,406,978.57</w:t>
            </w:r>
          </w:p>
        </w:tc>
      </w:tr>
    </w:tbl>
    <w:p>
      <w:pPr>
        <w:widowControl w:val="0"/>
        <w:spacing w:after="359" w:line="1" w:lineRule="exact"/>
      </w:pPr>
    </w:p>
    <w:p>
      <w:pPr>
        <w:pStyle w:val="Style40"/>
        <w:keepNext/>
        <w:keepLines/>
        <w:widowControl w:val="0"/>
        <w:numPr>
          <w:ilvl w:val="0"/>
          <w:numId w:val="147"/>
        </w:numPr>
        <w:shd w:val="clear" w:color="auto" w:fill="auto"/>
        <w:bidi w:val="0"/>
        <w:spacing w:before="0" w:after="360" w:line="240" w:lineRule="auto"/>
        <w:ind w:left="0" w:right="0" w:firstLine="140"/>
        <w:jc w:val="both"/>
      </w:pPr>
      <w:bookmarkStart w:id="1627" w:name="bookmark1627"/>
      <w:bookmarkStart w:id="1628" w:name="bookmark1628"/>
      <w:bookmarkStart w:id="1629" w:name="bookmark1629"/>
      <w:bookmarkStart w:id="1630" w:name="bookmark1630"/>
      <w:bookmarkEnd w:id="1629"/>
      <w:r>
        <w:rPr>
          <w:color w:val="000000"/>
          <w:spacing w:val="0"/>
          <w:w w:val="100"/>
          <w:position w:val="0"/>
        </w:rPr>
        <w:t>应付利息</w:t>
      </w:r>
      <w:bookmarkEnd w:id="1627"/>
      <w:bookmarkEnd w:id="1628"/>
      <w:bookmarkEnd w:id="1630"/>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147"/>
        </w:numPr>
        <w:shd w:val="clear" w:color="auto" w:fill="auto"/>
        <w:bidi w:val="0"/>
        <w:spacing w:before="0" w:after="380" w:line="240" w:lineRule="auto"/>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应付股利</w:t>
      </w:r>
      <w:bookmarkEnd w:id="1631"/>
      <w:bookmarkEnd w:id="1632"/>
      <w:bookmarkEnd w:id="163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0"/>
        <w:keepNext/>
        <w:keepLines/>
        <w:widowControl w:val="0"/>
        <w:numPr>
          <w:ilvl w:val="0"/>
          <w:numId w:val="147"/>
        </w:numPr>
        <w:shd w:val="clear" w:color="auto" w:fill="auto"/>
        <w:bidi w:val="0"/>
        <w:spacing w:before="0" w:after="38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其他应付款</w:t>
      </w:r>
      <w:bookmarkEnd w:id="1635"/>
      <w:bookmarkEnd w:id="1636"/>
      <w:bookmarkEnd w:id="1638"/>
    </w:p>
    <w:p>
      <w:pPr>
        <w:pStyle w:val="Style67"/>
        <w:keepNext/>
        <w:keepLines/>
        <w:widowControl w:val="0"/>
        <w:numPr>
          <w:ilvl w:val="0"/>
          <w:numId w:val="149"/>
        </w:numPr>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bookmarkEnd w:id="1641"/>
      <w:r>
        <w:rPr>
          <w:color w:val="000000"/>
          <w:spacing w:val="0"/>
          <w:w w:val="100"/>
          <w:position w:val="0"/>
        </w:rPr>
        <w:t>按款项性质列示其他应付款</w:t>
      </w:r>
      <w:bookmarkEnd w:id="1639"/>
      <w:bookmarkEnd w:id="1640"/>
      <w:bookmarkEnd w:id="164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8,936,181.94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14,809,017.75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6,171,356.87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5,106,426.80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2,085,925.53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2,345,162.13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应退政府补助款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2,019,749.06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1,268,941.07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675,632.63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应付食堂费用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应付技术使用费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7,049,398.88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61,331.53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50,399.31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22,478,544.93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32,406,978.57</w:t>
            </w:r>
          </w:p>
        </w:tc>
      </w:tr>
    </w:tbl>
    <w:p>
      <w:pPr>
        <w:widowControl w:val="0"/>
        <w:spacing w:after="319" w:line="1" w:lineRule="exact"/>
      </w:pPr>
    </w:p>
    <w:p>
      <w:pPr>
        <w:pStyle w:val="Style67"/>
        <w:keepNext/>
        <w:keepLines/>
        <w:widowControl w:val="0"/>
        <w:numPr>
          <w:ilvl w:val="0"/>
          <w:numId w:val="149"/>
        </w:numPr>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bookmarkEnd w:id="164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43"/>
      <w:bookmarkEnd w:id="1644"/>
      <w:bookmarkEnd w:id="164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4</w:t>
      </w:r>
      <w:bookmarkEnd w:id="164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47"/>
      <w:bookmarkEnd w:id="1648"/>
      <w:bookmarkEnd w:id="1650"/>
    </w:p>
    <w:p>
      <w:pPr>
        <w:pStyle w:val="Style31"/>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4</w:t>
      </w:r>
      <w:bookmarkEnd w:id="165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51"/>
      <w:bookmarkEnd w:id="1652"/>
      <w:bookmarkEnd w:id="165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23,462,918.46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35,361,226.79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23,462,918.46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35,361,226.79</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4</w:t>
      </w:r>
      <w:bookmarkEnd w:id="165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55"/>
      <w:bookmarkEnd w:id="1656"/>
      <w:bookmarkEnd w:id="165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7,836,441.25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7,836,441.25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308,578.38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59"/>
      <w:bookmarkEnd w:id="1660"/>
      <w:bookmarkEnd w:id="1662"/>
    </w:p>
    <w:p>
      <w:pPr>
        <w:pStyle w:val="Style40"/>
        <w:keepNext/>
        <w:keepLines/>
        <w:widowControl w:val="0"/>
        <w:shd w:val="clear" w:color="auto" w:fill="auto"/>
        <w:bidi w:val="0"/>
        <w:spacing w:before="0" w:after="380" w:line="240" w:lineRule="auto"/>
        <w:ind w:left="0" w:right="0" w:firstLine="0"/>
        <w:jc w:val="both"/>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63"/>
      <w:bookmarkEnd w:id="1664"/>
      <w:bookmarkEnd w:id="166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4"/>
        <w:keepNext/>
        <w:keepLines/>
        <w:widowControl w:val="0"/>
        <w:shd w:val="clear" w:color="auto" w:fill="auto"/>
        <w:bidi w:val="0"/>
        <w:spacing w:before="0" w:after="380" w:line="240" w:lineRule="auto"/>
        <w:ind w:left="0" w:right="0" w:firstLine="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4</w:t>
      </w:r>
      <w:bookmarkEnd w:id="166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67"/>
      <w:bookmarkEnd w:id="1668"/>
      <w:bookmarkEnd w:id="1670"/>
    </w:p>
    <w:p>
      <w:pPr>
        <w:pStyle w:val="Style40"/>
        <w:keepNext/>
        <w:keepLines/>
        <w:widowControl w:val="0"/>
        <w:shd w:val="clear" w:color="auto" w:fill="auto"/>
        <w:bidi w:val="0"/>
        <w:spacing w:before="0" w:after="380" w:line="240" w:lineRule="auto"/>
        <w:ind w:left="0" w:right="0" w:firstLine="0"/>
        <w:jc w:val="both"/>
      </w:pPr>
      <w:bookmarkStart w:id="1671" w:name="bookmark1671"/>
      <w:bookmarkStart w:id="1672" w:name="bookmark1672"/>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71"/>
      <w:bookmarkEnd w:id="1672"/>
      <w:bookmarkEnd w:id="167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14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w:t>
      </w:r>
      <w:bookmarkEnd w:id="167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74"/>
      <w:bookmarkEnd w:id="1675"/>
      <w:bookmarkEnd w:id="16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78"/>
      <w:bookmarkEnd w:id="1679"/>
      <w:bookmarkEnd w:id="1681"/>
    </w:p>
    <w:p>
      <w:pPr>
        <w:pStyle w:val="Style40"/>
        <w:keepNext/>
        <w:keepLines/>
        <w:widowControl w:val="0"/>
        <w:shd w:val="clear" w:color="auto" w:fill="auto"/>
        <w:tabs>
          <w:tab w:pos="493" w:val="left"/>
        </w:tabs>
        <w:bidi w:val="0"/>
        <w:spacing w:before="0" w:after="36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82"/>
      <w:bookmarkEnd w:id="1683"/>
      <w:bookmarkEnd w:id="168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其他金融工具划分为金融负债的依据说明</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4</w:t>
      </w:r>
      <w:bookmarkEnd w:id="1688"/>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86"/>
      <w:bookmarkEnd w:id="1687"/>
      <w:bookmarkEnd w:id="1689"/>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4</w:t>
      </w:r>
      <w:bookmarkEnd w:id="1692"/>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90"/>
      <w:bookmarkEnd w:id="1691"/>
      <w:bookmarkEnd w:id="169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7,259,452.73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30,722,371.20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7,259,452.73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30,722,371.20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both"/>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94"/>
      <w:bookmarkEnd w:id="1695"/>
      <w:bookmarkEnd w:id="169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30,722,371.19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66,083,597.99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23,462,918.46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35,361,226.79</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7,259,452.73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30,722,371.20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both"/>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97"/>
      <w:bookmarkEnd w:id="1698"/>
      <w:bookmarkEnd w:id="1699"/>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4</w:t>
      </w:r>
      <w:bookmarkEnd w:id="1702"/>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00"/>
      <w:bookmarkEnd w:id="1701"/>
      <w:bookmarkEnd w:id="1703"/>
    </w:p>
    <w:p>
      <w:pPr>
        <w:pStyle w:val="Style40"/>
        <w:keepNext/>
        <w:keepLines/>
        <w:widowControl w:val="0"/>
        <w:shd w:val="clear" w:color="auto" w:fill="auto"/>
        <w:bidi w:val="0"/>
        <w:spacing w:before="0" w:after="38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04"/>
      <w:bookmarkEnd w:id="1705"/>
      <w:bookmarkEnd w:id="170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07"/>
      <w:bookmarkEnd w:id="1708"/>
      <w:bookmarkEnd w:id="1709"/>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5</w:t>
      </w:r>
      <w:bookmarkEnd w:id="171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10"/>
      <w:bookmarkEnd w:id="1711"/>
      <w:bookmarkEnd w:id="1713"/>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946,346.85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18,640,033.45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9,486,514.31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茂硕电子和茂硕电气销售的 产品附有质保期，按照销售额 计提质量保证金</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19,586,380.30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10,456,014.31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14"/>
      <w:bookmarkEnd w:id="1715"/>
      <w:bookmarkEnd w:id="171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10,884,310.18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2,281,629.31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9,153,680.87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10,884,310.18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2,281,629.31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9,153,680.87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本期计入营 业外收入金</w:t>
            </w:r>
          </w:p>
          <w:p>
            <w:pPr>
              <w:pStyle w:val="Style23"/>
              <w:keepNext w:val="0"/>
              <w:keepLines w:val="0"/>
              <w:widowControl w:val="0"/>
              <w:shd w:val="clear" w:color="auto" w:fill="auto"/>
              <w:bidi w:val="0"/>
              <w:spacing w:before="0" w:after="0" w:line="312" w:lineRule="exact"/>
              <w:ind w:left="0" w:right="0" w:firstLine="40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大功率智能</w:t>
            </w:r>
          </w:p>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电源驱 动生产项目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5,372,686.27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977,220.00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4,395,466.27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深圳集中供 电智能驱动 工程实验室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2,951,405.80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623,411.40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2,327,994.40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茂硕电源</w:t>
            </w:r>
          </w:p>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照明驱 动电源重点 实验室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366,073.73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79,074.24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286,999.49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智能光伏功 率优化器的 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172,128.23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40,999.35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131,128.88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深圳集中供 电智能驱动 工程实验室 配套项目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1,352,239.18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315,521.64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1,036,717.54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技术改造倍 增专企业技 术中心组建 和提升项目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669,776.97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176,527.68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493,249.29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产业化技术 升级资助项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482,125.00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10,884,310.18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2,281,629.31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9,153,680.87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18"/>
      <w:bookmarkEnd w:id="1719"/>
      <w:bookmarkEnd w:id="172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722"/>
      <w:bookmarkEnd w:id="1723"/>
      <w:bookmarkEnd w:id="1724"/>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274,327,707.00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274,327,707.00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25"/>
      <w:bookmarkEnd w:id="1726"/>
      <w:bookmarkEnd w:id="1728"/>
    </w:p>
    <w:p>
      <w:pPr>
        <w:pStyle w:val="Style40"/>
        <w:keepNext/>
        <w:keepLines/>
        <w:widowControl w:val="0"/>
        <w:shd w:val="clear" w:color="auto" w:fill="auto"/>
        <w:tabs>
          <w:tab w:pos="633" w:val="left"/>
        </w:tabs>
        <w:bidi w:val="0"/>
        <w:spacing w:before="0" w:after="380" w:line="240" w:lineRule="auto"/>
        <w:ind w:left="0" w:right="0" w:firstLine="14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29"/>
      <w:bookmarkEnd w:id="1730"/>
      <w:bookmarkEnd w:id="1732"/>
    </w:p>
    <w:p>
      <w:pPr>
        <w:pStyle w:val="Style40"/>
        <w:keepNext/>
        <w:keepLines/>
        <w:widowControl w:val="0"/>
        <w:shd w:val="clear" w:color="auto" w:fill="auto"/>
        <w:tabs>
          <w:tab w:pos="633" w:val="left"/>
        </w:tabs>
        <w:bidi w:val="0"/>
        <w:spacing w:before="0" w:after="380" w:line="240" w:lineRule="auto"/>
        <w:ind w:left="0" w:right="0" w:firstLine="14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33"/>
      <w:bookmarkEnd w:id="1734"/>
      <w:bookmarkEnd w:id="1736"/>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w:t>
      </w:r>
      <w:bookmarkEnd w:id="173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37"/>
      <w:bookmarkEnd w:id="1738"/>
      <w:bookmarkEnd w:id="174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383,499,045.04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383,499,045.04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27,979,014.34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27,979,014.34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411,478,059.38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411,478,059.38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5</w:t>
      </w:r>
      <w:bookmarkEnd w:id="174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41"/>
      <w:bookmarkEnd w:id="1742"/>
      <w:bookmarkEnd w:id="1744"/>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34"/>
        <w:keepNext/>
        <w:keepLines/>
        <w:widowControl w:val="0"/>
        <w:shd w:val="clear" w:color="auto" w:fill="auto"/>
        <w:bidi w:val="0"/>
        <w:spacing w:before="0" w:after="380" w:line="240" w:lineRule="auto"/>
        <w:ind w:left="0" w:right="0" w:firstLine="0"/>
        <w:jc w:val="both"/>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5</w:t>
      </w:r>
      <w:bookmarkEnd w:id="174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45"/>
      <w:bookmarkEnd w:id="1746"/>
      <w:bookmarkEnd w:id="17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3"/>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-38,233,629.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16,156,47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-1,273,184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17,429,66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965.14</w:t>
            </w: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其他权益工具投资公允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-38,233,629.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16,156,47</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-1,273,184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17,429,66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-38,233,629.</w:t>
            </w:r>
          </w:p>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16,156,47</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17,429,66</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965.14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val="0"/>
        <w:keepLines w:val="0"/>
        <w:widowControl w:val="0"/>
        <w:shd w:val="clear" w:color="auto" w:fill="auto"/>
        <w:bidi w:val="0"/>
        <w:spacing w:before="0" w:after="700" w:line="311" w:lineRule="exact"/>
        <w:ind w:left="0" w:right="0"/>
        <w:jc w:val="both"/>
      </w:pPr>
      <w:r>
        <w:rPr>
          <w:color w:val="000000"/>
          <w:spacing w:val="0"/>
          <w:w w:val="100"/>
          <w:position w:val="0"/>
        </w:rPr>
        <w:t>说明：公司本期分别以人民币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元的价格出售其持有的杭州骑客智能科技有限公司、浙江茂 硕新能源科技有限公司两项股权。上述两项股权投资均按其他权益工具投资进行会计核算，初始入账金额分别为 </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42,725.74</w:t>
      </w:r>
      <w:r>
        <w:rPr>
          <w:color w:val="000000"/>
          <w:spacing w:val="0"/>
          <w:w w:val="100"/>
          <w:position w:val="0"/>
        </w:rPr>
        <w:t>元，处置前公允价值变动金额分别为</w:t>
      </w:r>
      <w:r>
        <w:rPr>
          <w:rFonts w:ascii="Times New Roman" w:eastAsia="Times New Roman" w:hAnsi="Times New Roman" w:cs="Times New Roman"/>
          <w:color w:val="000000"/>
          <w:spacing w:val="0"/>
          <w:w w:val="100"/>
          <w:position w:val="0"/>
          <w:sz w:val="18"/>
          <w:szCs w:val="18"/>
        </w:rPr>
        <w:t>16,156,478.45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元。根据会计准则规定，将非交易性权益 工具投资指定为以公允价值计量且其变动计入其他综合收益的金融资产的，当该金融资产终止确认时，之前计入其他综合收 益的累计利得或损失应当从其他综合收益中转出，计入留存收益。故本期在处置持有的浙江茂硕新能源股权时，将前期确认 为其他综合收益的</w:t>
      </w:r>
      <w:r>
        <w:rPr>
          <w:rFonts w:ascii="Times New Roman" w:eastAsia="Times New Roman" w:hAnsi="Times New Roman" w:cs="Times New Roman"/>
          <w:color w:val="000000"/>
          <w:spacing w:val="0"/>
          <w:w w:val="100"/>
          <w:position w:val="0"/>
          <w:sz w:val="18"/>
          <w:szCs w:val="18"/>
        </w:rPr>
        <w:t>42,724.74</w:t>
      </w:r>
      <w:r>
        <w:rPr>
          <w:color w:val="000000"/>
          <w:spacing w:val="0"/>
          <w:w w:val="100"/>
          <w:position w:val="0"/>
        </w:rPr>
        <w:t>元转入留存收益。本期核销其持有</w:t>
      </w:r>
      <w:r>
        <w:rPr>
          <w:rFonts w:ascii="Times New Roman" w:eastAsia="Times New Roman" w:hAnsi="Times New Roman" w:cs="Times New Roman"/>
          <w:color w:val="000000"/>
          <w:spacing w:val="0"/>
          <w:w w:val="100"/>
          <w:position w:val="0"/>
          <w:sz w:val="18"/>
          <w:szCs w:val="18"/>
        </w:rPr>
        <w:t>Brilliantinfo Corporation</w:t>
      </w:r>
      <w:r>
        <w:rPr>
          <w:color w:val="000000"/>
          <w:spacing w:val="0"/>
          <w:w w:val="100"/>
          <w:position w:val="0"/>
        </w:rPr>
        <w:t>的股权投资，将前期确认为其他综合 收益的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230,460.00</w:t>
      </w:r>
      <w:r>
        <w:rPr>
          <w:color w:val="000000"/>
          <w:spacing w:val="0"/>
          <w:w w:val="100"/>
          <w:position w:val="0"/>
        </w:rPr>
        <w:t>元转入留存收益。</w:t>
      </w:r>
    </w:p>
    <w:p>
      <w:pPr>
        <w:pStyle w:val="Style34"/>
        <w:keepNext/>
        <w:keepLines/>
        <w:widowControl w:val="0"/>
        <w:shd w:val="clear" w:color="auto" w:fill="auto"/>
        <w:bidi w:val="0"/>
        <w:spacing w:before="0" w:after="380" w:line="240" w:lineRule="auto"/>
        <w:ind w:left="0" w:right="0" w:firstLine="0"/>
        <w:jc w:val="both"/>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5</w:t>
      </w:r>
      <w:bookmarkEnd w:id="175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49"/>
      <w:bookmarkEnd w:id="1750"/>
      <w:bookmarkEnd w:id="175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80" w:line="240" w:lineRule="auto"/>
        <w:ind w:left="0" w:right="0" w:firstLine="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53"/>
      <w:bookmarkEnd w:id="1754"/>
      <w:bookmarkEnd w:id="1756"/>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25,571,701.00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25,571,701.00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25,571,701.00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25,571,701.00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57"/>
      <w:bookmarkEnd w:id="1758"/>
      <w:bookmarkEnd w:id="1760"/>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-56,796,709.72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-156,055,794.34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32,875,277.34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-56,796,709.72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-123,180,517.00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62,868,342.32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66,527,398.75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其他综合收益结转留存收益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-3,696,656.51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-143,591.47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2,374,976.09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-56,796,709.72</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761" w:name="bookmark1761"/>
      <w:r>
        <w:rPr>
          <w:rFonts w:ascii="Times New Roman" w:eastAsia="Times New Roman" w:hAnsi="Times New Roman" w:cs="Times New Roman"/>
          <w:color w:val="000000"/>
          <w:spacing w:val="0"/>
          <w:w w:val="100"/>
          <w:position w:val="0"/>
          <w:sz w:val="18"/>
          <w:szCs w:val="18"/>
        </w:rPr>
        <w:t>1</w:t>
      </w:r>
      <w:bookmarkEnd w:id="17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762" w:name="bookmark1762"/>
      <w:r>
        <w:rPr>
          <w:rFonts w:ascii="Times New Roman" w:eastAsia="Times New Roman" w:hAnsi="Times New Roman" w:cs="Times New Roman"/>
          <w:color w:val="000000"/>
          <w:spacing w:val="0"/>
          <w:w w:val="100"/>
          <w:position w:val="0"/>
          <w:sz w:val="18"/>
          <w:szCs w:val="18"/>
        </w:rPr>
        <w:t>2</w:t>
      </w:r>
      <w:bookmarkEnd w:id="17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763" w:name="bookmark1763"/>
      <w:r>
        <w:rPr>
          <w:rFonts w:ascii="Times New Roman" w:eastAsia="Times New Roman" w:hAnsi="Times New Roman" w:cs="Times New Roman"/>
          <w:color w:val="000000"/>
          <w:spacing w:val="0"/>
          <w:w w:val="100"/>
          <w:position w:val="0"/>
          <w:sz w:val="18"/>
          <w:szCs w:val="18"/>
        </w:rPr>
        <w:t>3</w:t>
      </w:r>
      <w:bookmarkEnd w:id="17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764" w:name="bookmark1764"/>
      <w:r>
        <w:rPr>
          <w:rFonts w:ascii="Times New Roman" w:eastAsia="Times New Roman" w:hAnsi="Times New Roman" w:cs="Times New Roman"/>
          <w:color w:val="000000"/>
          <w:spacing w:val="0"/>
          <w:w w:val="100"/>
          <w:position w:val="0"/>
          <w:sz w:val="18"/>
          <w:szCs w:val="18"/>
        </w:rPr>
        <w:t>4</w:t>
      </w:r>
      <w:bookmarkEnd w:id="17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765" w:name="bookmark1765"/>
      <w:r>
        <w:rPr>
          <w:rFonts w:ascii="Times New Roman" w:eastAsia="Times New Roman" w:hAnsi="Times New Roman" w:cs="Times New Roman"/>
          <w:color w:val="000000"/>
          <w:spacing w:val="0"/>
          <w:w w:val="100"/>
          <w:position w:val="0"/>
          <w:sz w:val="18"/>
          <w:szCs w:val="18"/>
        </w:rPr>
        <w:t>5</w:t>
      </w:r>
      <w:bookmarkEnd w:id="17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6</w:t>
      </w:r>
      <w:bookmarkEnd w:id="176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66"/>
      <w:bookmarkEnd w:id="1767"/>
      <w:bookmarkEnd w:id="176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1,228,700,359.16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969,459,484.10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1,236,279,349.85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953,141,850.61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6,258,347.54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4,857,803.47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11,567,759.72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9,174,575.65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1,234,958,706.70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974,317,287.57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1,247,847,109.57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962,316,426.26</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6</w:t>
      </w:r>
      <w:bookmarkEnd w:id="177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70"/>
      <w:bookmarkEnd w:id="1771"/>
      <w:bookmarkEnd w:id="1773"/>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2,046,833.74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2,741,272.96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1,640,018.82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2,271,821.92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1,496,465.56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1,514,768.04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81,377.40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1,061,576.99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999,787.05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6,329,332.51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7,609,321.48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74"/>
      <w:bookmarkEnd w:id="1775"/>
      <w:bookmarkEnd w:id="177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22,347,998.62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21,103,359.47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售后品质费用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14,138,182.67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15,819,699.35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8,601,665.64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9,253,773.04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广告宣传费及展览费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1,903,044.92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4,842,682.88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1,718,951.79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2,288,177.28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低值易耗品与材料费用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1,278,564.26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1,469,660.91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703,883.94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1,027,630.96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99,487.96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1,158,312.90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11,937,062.99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1,685,772.40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3,406,331.77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52,477,552.20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72,306,691.55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1"/>
        <w:keepNext w:val="0"/>
        <w:keepLines w:val="0"/>
        <w:widowControl w:val="0"/>
        <w:shd w:val="clear" w:color="auto" w:fill="auto"/>
        <w:bidi w:val="0"/>
        <w:spacing w:before="0" w:after="680" w:line="322" w:lineRule="exact"/>
        <w:ind w:left="0" w:right="0" w:firstLine="360"/>
        <w:jc w:val="left"/>
      </w:pPr>
      <w:r>
        <w:rPr>
          <w:color w:val="000000"/>
          <w:spacing w:val="0"/>
          <w:w w:val="100"/>
          <w:position w:val="0"/>
        </w:rPr>
        <w:t>销售费用说明：销售费用较同期减少的主要原因是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日开始执行新收入准则，为履行销售合同而发生的运输费 用计入合同履约成本进行核算。</w:t>
      </w:r>
    </w:p>
    <w:p>
      <w:pPr>
        <w:pStyle w:val="Style34"/>
        <w:keepNext/>
        <w:keepLines/>
        <w:widowControl w:val="0"/>
        <w:shd w:val="clear" w:color="auto" w:fill="auto"/>
        <w:bidi w:val="0"/>
        <w:spacing w:before="0" w:after="380" w:line="240" w:lineRule="auto"/>
        <w:ind w:left="0" w:right="0" w:firstLine="0"/>
        <w:jc w:val="both"/>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6</w:t>
      </w:r>
      <w:bookmarkEnd w:id="178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78"/>
      <w:bookmarkEnd w:id="1779"/>
      <w:bookmarkEnd w:id="178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32,755,134.38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36,919,854.22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中介服务及咨询费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5,087,227.80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11,936,468.76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3,648,515.25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5,770,434.34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2,991,651.88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2,757,602.94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2,431,125.04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2,676,073.53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2,414,054.20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4,334,102.85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2,389,130.65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808,240.58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1,690,768.37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2,521,973.24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813,107.16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2,119,390.84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719,694.89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1,511,440.73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458,262.96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491,403.95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454,817.45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429,903.04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313,190.78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585,882.54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268,369.71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797,154.46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970,936.67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2,635,956.25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57,405,987.19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76,295,882.27</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6</w:t>
      </w:r>
      <w:bookmarkEnd w:id="178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82"/>
      <w:bookmarkEnd w:id="1783"/>
      <w:bookmarkEnd w:id="178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30,336,048.40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30,209,976.53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9,651,450.60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4,053,863.34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4,871,632.11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4,840,898.06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2,610,221.70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4,971,212.16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2,027,296.02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2,110,103.54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889,965.12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426,044.52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701,089.75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191,148.85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662,283.49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608,690.89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审厂费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357,226.32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281,057.01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199,842.67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29,372.60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1,643,515.62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1,156,246.59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952,710.06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53,466,067.34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50,318,593.18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6</w:t>
      </w:r>
      <w:bookmarkEnd w:id="178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86"/>
      <w:bookmarkEnd w:id="1787"/>
      <w:bookmarkEnd w:id="1789"/>
    </w:p>
    <w:p>
      <w:pPr>
        <w:pStyle w:val="Style31"/>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24,011,416.23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22,850,201.31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2,634,316.31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1,702,260.07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18,543,049.89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-3,159,361.87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512,859.43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631,674.30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-517,324.73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-2,028,852.24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39,915,684.51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16,591,401.43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6</w:t>
      </w:r>
      <w:bookmarkEnd w:id="179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90"/>
      <w:bookmarkEnd w:id="1791"/>
      <w:bookmarkEnd w:id="179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13,055,846.45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12,117,741.38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157,901.12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23,069.10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13,213,747.57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12,140,810.48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6</w:t>
      </w:r>
      <w:bookmarkEnd w:id="179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94"/>
      <w:bookmarkEnd w:id="1795"/>
      <w:bookmarkEnd w:id="179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5,422,985.70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-763,202.44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130,826.98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3,340,555.46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7,143,880.11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锁汇确认的投资收益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150,328.77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9,160,169.93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8,956,080.63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98"/>
      <w:bookmarkEnd w:id="1799"/>
      <w:bookmarkEnd w:id="180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7</w:t>
      </w:r>
      <w:bookmarkEnd w:id="180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02"/>
      <w:bookmarkEnd w:id="1803"/>
      <w:bookmarkEnd w:id="180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7</w:t>
      </w:r>
      <w:bookmarkEnd w:id="180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06"/>
      <w:bookmarkEnd w:id="1807"/>
      <w:bookmarkEnd w:id="180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-1,395,472.05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-4,224,055.49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-3,067,028.67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-9,753,586.93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402,699.33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-589,801.66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-4,059,801.39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-14,567,444.08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7</w:t>
      </w:r>
      <w:bookmarkEnd w:id="181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10"/>
      <w:bookmarkEnd w:id="1811"/>
      <w:bookmarkEnd w:id="181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-5,213,437.76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-4,339,828.35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-661,699.99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-1,707,773.02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-6,955,191.67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-5,001,528.34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7</w:t>
      </w:r>
      <w:bookmarkEnd w:id="181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14"/>
      <w:bookmarkEnd w:id="1815"/>
      <w:bookmarkEnd w:id="1817"/>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2,058,590.71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2,210,946.43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2,058,590.71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2,210,946.43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7</w:t>
      </w:r>
      <w:bookmarkEnd w:id="182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18"/>
      <w:bookmarkEnd w:id="1819"/>
      <w:bookmarkEnd w:id="182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490,149.35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879,160.12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490,149.35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81,393.98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306,460.95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81,393.98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34,151.00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630,240.04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保险赔款收入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24,565.75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143,931.05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24,565.75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66,625.03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159,983.01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66,625.03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699,885.11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2,119,775.17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699,885.11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22"/>
      <w:bookmarkEnd w:id="1823"/>
      <w:bookmarkEnd w:id="182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1,181,654.67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372,611.21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1,181,654.67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642,659.11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642,659.11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150,562.44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150,562.44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1,978,200.16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538,485.06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1,978,200.16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7</w:t>
      </w:r>
      <w:bookmarkEnd w:id="182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26"/>
      <w:bookmarkEnd w:id="1827"/>
      <w:bookmarkEnd w:id="1829"/>
    </w:p>
    <w:p>
      <w:pPr>
        <w:pStyle w:val="Style40"/>
        <w:keepNext/>
        <w:keepLines/>
        <w:widowControl w:val="0"/>
        <w:shd w:val="clear" w:color="auto" w:fill="auto"/>
        <w:bidi w:val="0"/>
        <w:spacing w:before="0" w:after="380" w:line="240" w:lineRule="auto"/>
        <w:ind w:left="0" w:right="0" w:firstLine="0"/>
        <w:jc w:val="both"/>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30"/>
      <w:bookmarkEnd w:id="1831"/>
      <w:bookmarkEnd w:id="183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1,561,734.99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4,342,018.44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-1,325,252.74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-1,613,526.66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236,482.25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2,728,491.78</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33"/>
      <w:bookmarkEnd w:id="1834"/>
      <w:bookmarkEnd w:id="1835"/>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63,185,995.48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9,477,899.32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-493,675.10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-28,626.06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-594,530.79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301,126.09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-5,402,550.66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3,166,647.81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-5,602,701.81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本期核销前期未确认递延所得税资产的减值准备影响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-587,106.55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236,482.25</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7</w:t>
      </w:r>
      <w:bookmarkEnd w:id="183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36"/>
      <w:bookmarkEnd w:id="1837"/>
      <w:bookmarkEnd w:id="183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详见附注第十二节，五，</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p>
    <w:p>
      <w:pPr>
        <w:pStyle w:val="Style34"/>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7</w:t>
      </w:r>
      <w:bookmarkEnd w:id="184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840"/>
      <w:bookmarkEnd w:id="1841"/>
      <w:bookmarkEnd w:id="1843"/>
    </w:p>
    <w:p>
      <w:pPr>
        <w:pStyle w:val="Style40"/>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44"/>
      <w:bookmarkEnd w:id="1845"/>
      <w:bookmarkEnd w:id="1846"/>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11,483,118.26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10,104,414.04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17,894,904.59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5,547,720.45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1,427,936.18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1,702,260.07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30,805,959.03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17,354,394.56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40"/>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47"/>
      <w:bookmarkEnd w:id="1848"/>
      <w:bookmarkEnd w:id="184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17,427,860.55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31,993,899.00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12,384,221.96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23,156,917.72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11,432,751.98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4,041,527.60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38,914,892.08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9,228,405.33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600,860.43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631,674.30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288,288.84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124,119.35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支付受限货币资金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5,423,176.53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4,709,927.65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86,472,052.37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73,886,470.95</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50"/>
      <w:bookmarkEnd w:id="1851"/>
      <w:bookmarkEnd w:id="185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after="38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54"/>
      <w:bookmarkEnd w:id="1855"/>
      <w:bookmarkEnd w:id="1857"/>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与投资相关的费用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253,200.56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1,711,757.26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253,200.56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1,711,757.26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after="380" w:line="240" w:lineRule="auto"/>
        <w:ind w:left="0" w:right="0" w:firstLine="0"/>
        <w:jc w:val="left"/>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58"/>
      <w:bookmarkEnd w:id="1859"/>
      <w:bookmarkEnd w:id="1861"/>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70,369,624.88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227,628,879.97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不符合终止确认票据贴现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6,912,828.37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70,369,624.88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274,541,708.34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62"/>
      <w:bookmarkEnd w:id="1863"/>
      <w:bookmarkEnd w:id="186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136,060,325.59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135,764,263.15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39,176,702.54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39,599,516.87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2,109,450.00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2,400,001.42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177,346,478.13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177,763,781.44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66"/>
      <w:bookmarkEnd w:id="1867"/>
      <w:bookmarkEnd w:id="1869"/>
    </w:p>
    <w:p>
      <w:pPr>
        <w:pStyle w:val="Style40"/>
        <w:keepNext/>
        <w:keepLines/>
        <w:widowControl w:val="0"/>
        <w:shd w:val="clear" w:color="auto" w:fill="auto"/>
        <w:bidi w:val="0"/>
        <w:spacing w:before="0" w:after="380" w:line="240" w:lineRule="auto"/>
        <w:ind w:left="0" w:right="0" w:firstLine="0"/>
        <w:jc w:val="left"/>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70"/>
      <w:bookmarkEnd w:id="1871"/>
      <w:bookmarkEnd w:id="187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62,949,513.23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65,000,456.85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11,014,993.06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19,568,972.42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25,565,848.92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27,302,807.03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5,817,555.96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5,633,141.32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3,503,164.81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5,027,176.92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-2,059,589.99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-2,210,946.43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1,181,654.67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372,611.21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29,806,675.17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21,717,971.31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-9,160,169.93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-8,956,080.63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-1,325,252.74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-1,613,526.66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-39,252,896.43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14,630,616.04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59,162,820.75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-28,100,339.82</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83"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-108,433,355.34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-83,966,662.93</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8,938,909.98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7,350,854.27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47,709,872.12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41,757,050.90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37,940,618.96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219,492,976.90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174,833,997.60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174,833,997.60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119,843,578.62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44,658,979.30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54,990,418.98</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73"/>
      <w:bookmarkEnd w:id="1874"/>
      <w:bookmarkEnd w:id="187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76"/>
      <w:bookmarkEnd w:id="1877"/>
      <w:bookmarkEnd w:id="187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80"/>
      <w:bookmarkEnd w:id="1881"/>
      <w:bookmarkEnd w:id="188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219,492,976.90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174,833,997.60</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151,811.02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219,341,165.88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174,538,787.18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219,492,976.90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174,833,997.60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8</w:t>
      </w:r>
      <w:bookmarkEnd w:id="188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84"/>
      <w:bookmarkEnd w:id="1885"/>
      <w:bookmarkEnd w:id="1887"/>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8</w:t>
      </w:r>
      <w:bookmarkEnd w:id="189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88"/>
      <w:bookmarkEnd w:id="1889"/>
      <w:bookmarkEnd w:id="189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137,541,856.61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10,848,828.50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开具银行承兑汇票质押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204,729,324.42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7,656,832.08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1,836,480.15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未决诉讼冻结</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362,613,321.76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8</w:t>
      </w:r>
      <w:bookmarkEnd w:id="189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92"/>
      <w:bookmarkEnd w:id="1893"/>
      <w:bookmarkEnd w:id="1895"/>
    </w:p>
    <w:p>
      <w:pPr>
        <w:pStyle w:val="Style40"/>
        <w:keepNext/>
        <w:keepLines/>
        <w:widowControl w:val="0"/>
        <w:shd w:val="clear" w:color="auto" w:fill="auto"/>
        <w:bidi w:val="0"/>
        <w:spacing w:before="0" w:after="380" w:line="240" w:lineRule="auto"/>
        <w:ind w:left="0" w:right="0" w:firstLine="140"/>
        <w:jc w:val="both"/>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96"/>
      <w:bookmarkEnd w:id="1897"/>
      <w:bookmarkEnd w:id="189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22,828,640.72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3,492,894.82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22,790,789.41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37,851.31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182,623,337.65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27,748,752.51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181,057,835.25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1,851,706.40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1,558,470.17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24,851.92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162,156.29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24,851.92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162,156.29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1,614,123.71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10,531,995.80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1,614,123.71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10,531,995.80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74,657.26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487,131.16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74,657.26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487,131.16</w:t>
            </w:r>
          </w:p>
        </w:tc>
      </w:tr>
    </w:tbl>
    <w:p>
      <w:pPr>
        <w:widowControl w:val="0"/>
        <w:spacing w:after="7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326" w:lineRule="exact"/>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99"/>
      <w:bookmarkEnd w:id="1900"/>
      <w:bookmarkEnd w:id="1901"/>
    </w:p>
    <w:p>
      <w:pPr>
        <w:pStyle w:val="Style3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after="380" w:line="326" w:lineRule="exact"/>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8</w:t>
      </w:r>
      <w:bookmarkEnd w:id="190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02"/>
      <w:bookmarkEnd w:id="1903"/>
      <w:bookmarkEnd w:id="1905"/>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keepLines/>
        <w:widowControl w:val="0"/>
        <w:shd w:val="clear" w:color="auto" w:fill="auto"/>
        <w:tabs>
          <w:tab w:pos="483" w:val="left"/>
        </w:tabs>
        <w:bidi w:val="0"/>
        <w:spacing w:before="0" w:after="300" w:line="326" w:lineRule="exact"/>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8</w:t>
      </w:r>
      <w:bookmarkEnd w:id="190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06"/>
      <w:bookmarkEnd w:id="1907"/>
      <w:bookmarkEnd w:id="1909"/>
    </w:p>
    <w:p>
      <w:pPr>
        <w:pStyle w:val="Style40"/>
        <w:keepNext/>
        <w:keepLines/>
        <w:widowControl w:val="0"/>
        <w:shd w:val="clear" w:color="auto" w:fill="auto"/>
        <w:bidi w:val="0"/>
        <w:spacing w:before="0" w:after="380" w:line="326" w:lineRule="exact"/>
        <w:ind w:left="0" w:right="0" w:firstLine="0"/>
        <w:jc w:val="left"/>
      </w:pPr>
      <w:bookmarkStart w:id="1910" w:name="bookmark1910"/>
      <w:bookmarkStart w:id="1911" w:name="bookmark1911"/>
      <w:bookmarkStart w:id="1912" w:name="bookmark19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10"/>
      <w:bookmarkEnd w:id="1911"/>
      <w:bookmarkEnd w:id="191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2,281,629.31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10,774,217.14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10,774,217.14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阶段性减免社会保险费等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5,732,043.96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17,057,261.10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13,055,846.45</w:t>
            </w: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0"/>
        <w:jc w:val="left"/>
      </w:pPr>
      <w:bookmarkStart w:id="1913" w:name="bookmark1913"/>
      <w:bookmarkStart w:id="1914" w:name="bookmark1914"/>
      <w:bookmarkStart w:id="1915" w:name="bookmark19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13"/>
      <w:bookmarkEnd w:id="1914"/>
      <w:bookmarkEnd w:id="1915"/>
    </w:p>
    <w:p>
      <w:pPr>
        <w:pStyle w:val="Style31"/>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05"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tabs>
          <w:tab w:pos="1333" w:val="left"/>
        </w:tabs>
        <w:bidi w:val="0"/>
        <w:spacing w:before="0" w:after="0" w:line="305"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：根据人力资源社会保障部、财政部、税务总局三家机构联合发布的《关于阶段性减免企业社会保险费的通知》（人 社部发〔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号）、《关于延长阶段性减免企业社会保险费政策实施期限等问题的通知》（人社部发〔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号）以</w:t>
      </w:r>
    </w:p>
    <w:p>
      <w:pPr>
        <w:pStyle w:val="Style31"/>
        <w:keepNext w:val="0"/>
        <w:keepLines w:val="0"/>
        <w:widowControl w:val="0"/>
        <w:shd w:val="clear" w:color="auto" w:fill="auto"/>
        <w:bidi w:val="0"/>
        <w:spacing w:before="0" w:after="720" w:line="305" w:lineRule="exact"/>
        <w:ind w:left="0" w:right="0" w:firstLine="0"/>
        <w:jc w:val="both"/>
      </w:pPr>
      <w:r>
        <w:rPr>
          <w:color w:val="000000"/>
          <w:spacing w:val="0"/>
          <w:w w:val="100"/>
          <w:position w:val="0"/>
        </w:rPr>
        <w:t>及国家医保局、财政部、税务总局联合发布的《关于阶段性减征职工基本医疗保险费的指导意见》（医保发〔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 规定：自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月起，各省、自治区、直辖市（除湖北省外）及新疆生产建设兵团可根据受疫情影响情况和基金承受能力， </w:t>
      </w:r>
      <w:r>
        <w:rPr>
          <w:color w:val="000000"/>
          <w:spacing w:val="0"/>
          <w:w w:val="100"/>
          <w:position w:val="0"/>
        </w:rPr>
        <w:t>免征中小微企业三项社会保险单位缴费部分，执行到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月底，对职工医保单位缴费部分实行减半征收，执行到</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月底。本公司为中小微企业，可根据前述规定，享受社会保险费减免。</w:t>
      </w:r>
    </w:p>
    <w:p>
      <w:pPr>
        <w:pStyle w:val="Style34"/>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916"/>
      <w:bookmarkEnd w:id="1917"/>
      <w:bookmarkEnd w:id="1918"/>
    </w:p>
    <w:p>
      <w:pPr>
        <w:pStyle w:val="Style27"/>
        <w:keepNext/>
        <w:keepLines/>
        <w:widowControl w:val="0"/>
        <w:shd w:val="clear" w:color="auto" w:fill="auto"/>
        <w:bidi w:val="0"/>
        <w:spacing w:before="0" w:after="38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sz w:val="24"/>
          <w:szCs w:val="24"/>
        </w:rPr>
        <w:t>八</w:t>
      </w:r>
      <w:bookmarkEnd w:id="1921"/>
      <w:r>
        <w:rPr>
          <w:color w:val="000000"/>
          <w:spacing w:val="0"/>
          <w:w w:val="100"/>
          <w:position w:val="0"/>
          <w:sz w:val="24"/>
          <w:szCs w:val="24"/>
        </w:rPr>
        <w:t>、合并范围的变更</w:t>
      </w:r>
      <w:bookmarkEnd w:id="1919"/>
      <w:bookmarkEnd w:id="1920"/>
      <w:bookmarkEnd w:id="1922"/>
    </w:p>
    <w:p>
      <w:pPr>
        <w:pStyle w:val="Style34"/>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1</w:t>
      </w:r>
      <w:bookmarkEnd w:id="1925"/>
      <w:r>
        <w:rPr>
          <w:color w:val="000000"/>
          <w:spacing w:val="0"/>
          <w:w w:val="100"/>
          <w:position w:val="0"/>
        </w:rPr>
        <w:t>、非同一控制下企业合并</w:t>
      </w:r>
      <w:bookmarkEnd w:id="1923"/>
      <w:bookmarkEnd w:id="1924"/>
      <w:bookmarkEnd w:id="1926"/>
    </w:p>
    <w:p>
      <w:pPr>
        <w:pStyle w:val="Style40"/>
        <w:keepNext/>
        <w:keepLines/>
        <w:widowControl w:val="0"/>
        <w:shd w:val="clear" w:color="auto" w:fill="auto"/>
        <w:bidi w:val="0"/>
        <w:spacing w:before="0" w:after="280" w:line="240" w:lineRule="auto"/>
        <w:ind w:left="0" w:right="0" w:firstLine="0"/>
        <w:jc w:val="left"/>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27"/>
      <w:bookmarkEnd w:id="1928"/>
      <w:bookmarkEnd w:id="1929"/>
    </w:p>
    <w:p>
      <w:pPr>
        <w:pStyle w:val="Style31"/>
        <w:keepNext w:val="0"/>
        <w:keepLines w:val="0"/>
        <w:widowControl w:val="0"/>
        <w:shd w:val="clear" w:color="auto" w:fill="auto"/>
        <w:bidi w:val="0"/>
        <w:spacing w:before="0" w:after="100" w:line="307" w:lineRule="exact"/>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30"/>
      <w:bookmarkEnd w:id="1931"/>
      <w:bookmarkEnd w:id="193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0"/>
        <w:keepNext/>
        <w:keepLines/>
        <w:widowControl w:val="0"/>
        <w:numPr>
          <w:ilvl w:val="0"/>
          <w:numId w:val="151"/>
        </w:numPr>
        <w:shd w:val="clear" w:color="auto" w:fill="auto"/>
        <w:bidi w:val="0"/>
        <w:spacing w:before="0" w:after="380" w:line="240" w:lineRule="auto"/>
        <w:ind w:left="0" w:right="0" w:firstLine="0"/>
        <w:jc w:val="left"/>
      </w:pPr>
      <w:bookmarkStart w:id="1933" w:name="bookmark1933"/>
      <w:bookmarkStart w:id="1934" w:name="bookmark1934"/>
      <w:bookmarkStart w:id="1935" w:name="bookmark1935"/>
      <w:bookmarkStart w:id="1936" w:name="bookmark1936"/>
      <w:bookmarkEnd w:id="1935"/>
      <w:r>
        <w:rPr>
          <w:color w:val="000000"/>
          <w:spacing w:val="0"/>
          <w:w w:val="100"/>
          <w:position w:val="0"/>
        </w:rPr>
        <w:t>被购买方于购买日可辨认资产、负债</w:t>
      </w:r>
      <w:bookmarkEnd w:id="1933"/>
      <w:bookmarkEnd w:id="1934"/>
      <w:bookmarkEnd w:id="1936"/>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151"/>
        </w:numPr>
        <w:shd w:val="clear" w:color="auto" w:fill="auto"/>
        <w:bidi w:val="0"/>
        <w:spacing w:before="0" w:after="380" w:line="240" w:lineRule="auto"/>
        <w:ind w:left="0" w:right="0" w:firstLine="0"/>
        <w:jc w:val="left"/>
      </w:pPr>
      <w:bookmarkStart w:id="1937" w:name="bookmark1937"/>
      <w:bookmarkStart w:id="1938" w:name="bookmark1938"/>
      <w:bookmarkStart w:id="1939" w:name="bookmark1939"/>
      <w:bookmarkStart w:id="1940" w:name="bookmark1940"/>
      <w:bookmarkEnd w:id="1939"/>
      <w:r>
        <w:rPr>
          <w:color w:val="000000"/>
          <w:spacing w:val="0"/>
          <w:w w:val="100"/>
          <w:position w:val="0"/>
        </w:rPr>
        <w:t>购买日之前持有的股权按照公允价值重新计量产生的利得或损失</w:t>
      </w:r>
      <w:bookmarkEnd w:id="1937"/>
      <w:bookmarkEnd w:id="1938"/>
      <w:bookmarkEnd w:id="194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after="38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941"/>
      <w:bookmarkEnd w:id="1942"/>
      <w:bookmarkEnd w:id="1944"/>
    </w:p>
    <w:p>
      <w:pPr>
        <w:pStyle w:val="Style40"/>
        <w:keepNext/>
        <w:keepLines/>
        <w:widowControl w:val="0"/>
        <w:shd w:val="clear" w:color="auto" w:fill="auto"/>
        <w:tabs>
          <w:tab w:pos="493" w:val="left"/>
        </w:tabs>
        <w:bidi w:val="0"/>
        <w:spacing w:before="0" w:after="380" w:line="240" w:lineRule="auto"/>
        <w:ind w:left="0" w:right="0" w:firstLine="0"/>
        <w:jc w:val="left"/>
      </w:pPr>
      <w:bookmarkStart w:id="1945" w:name="bookmark1945"/>
      <w:bookmarkStart w:id="1946" w:name="bookmark1946"/>
      <w:bookmarkStart w:id="1947" w:name="bookmark1947"/>
      <w:bookmarkStart w:id="1948" w:name="bookmark1948"/>
      <w:r>
        <w:rPr>
          <w:color w:val="000000"/>
          <w:spacing w:val="0"/>
          <w:w w:val="100"/>
          <w:position w:val="0"/>
        </w:rPr>
        <w:t>（</w:t>
      </w:r>
      <w:bookmarkEnd w:id="194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45"/>
      <w:bookmarkEnd w:id="1946"/>
      <w:bookmarkEnd w:id="1948"/>
    </w:p>
    <w:p>
      <w:pPr>
        <w:pStyle w:val="Style34"/>
        <w:keepNext/>
        <w:keepLines/>
        <w:widowControl w:val="0"/>
        <w:shd w:val="clear" w:color="auto" w:fill="auto"/>
        <w:bidi w:val="0"/>
        <w:spacing w:before="0" w:after="380" w:line="24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bookmarkEnd w:id="1951"/>
      <w:r>
        <w:rPr>
          <w:color w:val="000000"/>
          <w:spacing w:val="0"/>
          <w:w w:val="100"/>
          <w:position w:val="0"/>
        </w:rPr>
        <w:t>、同一控制下企业合并</w:t>
      </w:r>
      <w:bookmarkEnd w:id="1949"/>
      <w:bookmarkEnd w:id="1950"/>
      <w:bookmarkEnd w:id="1952"/>
    </w:p>
    <w:p>
      <w:pPr>
        <w:pStyle w:val="Style40"/>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53"/>
      <w:bookmarkEnd w:id="1954"/>
      <w:bookmarkEnd w:id="195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56"/>
      <w:bookmarkEnd w:id="1957"/>
      <w:bookmarkEnd w:id="195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59"/>
      <w:bookmarkEnd w:id="1960"/>
      <w:bookmarkEnd w:id="1962"/>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3</w:t>
      </w:r>
      <w:bookmarkEnd w:id="1965"/>
      <w:r>
        <w:rPr>
          <w:color w:val="000000"/>
          <w:spacing w:val="0"/>
          <w:w w:val="100"/>
          <w:position w:val="0"/>
        </w:rPr>
        <w:t>、</w:t>
        <w:tab/>
        <w:t>反向购买</w:t>
      </w:r>
      <w:bookmarkEnd w:id="1963"/>
      <w:bookmarkEnd w:id="1964"/>
      <w:bookmarkEnd w:id="1966"/>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4</w:t>
      </w:r>
      <w:bookmarkEnd w:id="1969"/>
      <w:r>
        <w:rPr>
          <w:color w:val="000000"/>
          <w:spacing w:val="0"/>
          <w:w w:val="100"/>
          <w:position w:val="0"/>
        </w:rPr>
        <w:t>、</w:t>
        <w:tab/>
        <w:t>处置子公司</w:t>
      </w:r>
      <w:bookmarkEnd w:id="1967"/>
      <w:bookmarkEnd w:id="1968"/>
      <w:bookmarkEnd w:id="197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4"/>
        <w:keepNext/>
        <w:keepLines/>
        <w:widowControl w:val="0"/>
        <w:shd w:val="clear" w:color="auto" w:fill="auto"/>
        <w:tabs>
          <w:tab w:pos="378" w:val="left"/>
        </w:tabs>
        <w:bidi w:val="0"/>
        <w:spacing w:before="0" w:line="240" w:lineRule="auto"/>
        <w:ind w:left="0" w:right="0" w:firstLine="0"/>
        <w:jc w:val="both"/>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5</w:t>
      </w:r>
      <w:bookmarkEnd w:id="1973"/>
      <w:r>
        <w:rPr>
          <w:color w:val="000000"/>
          <w:spacing w:val="0"/>
          <w:w w:val="100"/>
          <w:position w:val="0"/>
        </w:rPr>
        <w:t>、</w:t>
        <w:tab/>
        <w:t>其他原因的合并范围变动</w:t>
      </w:r>
      <w:bookmarkEnd w:id="1971"/>
      <w:bookmarkEnd w:id="1972"/>
      <w:bookmarkEnd w:id="1974"/>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说明其他原因导致的合并范围变动（如，新设子公司、清算子公司等）及其相关情况:</w:t>
      </w:r>
    </w:p>
    <w:p>
      <w:pPr>
        <w:pStyle w:val="Style34"/>
        <w:keepNext/>
        <w:keepLines/>
        <w:widowControl w:val="0"/>
        <w:shd w:val="clear" w:color="auto" w:fill="auto"/>
        <w:tabs>
          <w:tab w:pos="378" w:val="left"/>
        </w:tabs>
        <w:bidi w:val="0"/>
        <w:spacing w:before="0" w:line="240" w:lineRule="auto"/>
        <w:ind w:left="0" w:right="0" w:firstLine="0"/>
        <w:jc w:val="both"/>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6</w:t>
      </w:r>
      <w:bookmarkEnd w:id="1977"/>
      <w:r>
        <w:rPr>
          <w:color w:val="000000"/>
          <w:spacing w:val="0"/>
          <w:w w:val="100"/>
          <w:position w:val="0"/>
        </w:rPr>
        <w:t>、</w:t>
        <w:tab/>
        <w:t>其他</w:t>
      </w:r>
      <w:bookmarkEnd w:id="1975"/>
      <w:bookmarkEnd w:id="1976"/>
      <w:bookmarkEnd w:id="1978"/>
    </w:p>
    <w:p>
      <w:pPr>
        <w:pStyle w:val="Style27"/>
        <w:keepNext/>
        <w:keepLines/>
        <w:widowControl w:val="0"/>
        <w:shd w:val="clear" w:color="auto" w:fill="auto"/>
        <w:bidi w:val="0"/>
        <w:spacing w:before="0" w:line="240" w:lineRule="auto"/>
        <w:ind w:left="0" w:right="0" w:firstLine="0"/>
        <w:jc w:val="both"/>
      </w:pPr>
      <w:bookmarkStart w:id="1979" w:name="bookmark1979"/>
      <w:bookmarkStart w:id="1980" w:name="bookmark1980"/>
      <w:bookmarkStart w:id="1981" w:name="bookmark1981"/>
      <w:bookmarkStart w:id="1982" w:name="bookmark1982"/>
      <w:r>
        <w:rPr>
          <w:color w:val="000000"/>
          <w:spacing w:val="0"/>
          <w:w w:val="100"/>
          <w:position w:val="0"/>
          <w:sz w:val="24"/>
          <w:szCs w:val="24"/>
        </w:rPr>
        <w:t>九</w:t>
      </w:r>
      <w:bookmarkEnd w:id="1981"/>
      <w:r>
        <w:rPr>
          <w:color w:val="000000"/>
          <w:spacing w:val="0"/>
          <w:w w:val="100"/>
          <w:position w:val="0"/>
          <w:sz w:val="24"/>
          <w:szCs w:val="24"/>
        </w:rPr>
        <w:t>、在其他主体中的权益</w:t>
      </w:r>
      <w:bookmarkEnd w:id="1979"/>
      <w:bookmarkEnd w:id="1980"/>
      <w:bookmarkEnd w:id="1982"/>
    </w:p>
    <w:p>
      <w:pPr>
        <w:pStyle w:val="Style34"/>
        <w:keepNext/>
        <w:keepLines/>
        <w:widowControl w:val="0"/>
        <w:shd w:val="clear" w:color="auto" w:fill="auto"/>
        <w:bidi w:val="0"/>
        <w:spacing w:before="0" w:line="240" w:lineRule="auto"/>
        <w:ind w:left="0" w:right="0" w:firstLine="0"/>
        <w:jc w:val="both"/>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83"/>
      <w:bookmarkEnd w:id="1984"/>
      <w:bookmarkEnd w:id="1985"/>
    </w:p>
    <w:p>
      <w:pPr>
        <w:pStyle w:val="Style40"/>
        <w:keepNext/>
        <w:keepLines/>
        <w:widowControl w:val="0"/>
        <w:shd w:val="clear" w:color="auto" w:fill="auto"/>
        <w:bidi w:val="0"/>
        <w:spacing w:before="0" w:after="360" w:line="240" w:lineRule="auto"/>
        <w:ind w:left="0" w:right="0" w:firstLine="140"/>
        <w:jc w:val="both"/>
      </w:pPr>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6"/>
      <w:bookmarkEnd w:id="1987"/>
      <w:bookmarkEnd w:id="1988"/>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深圳茂硕新能源 技术研究院有限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惠州茂硕能源科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广东惠州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深圳茂硕电子科 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茂硕能源科技</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（香港）国际有</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深圳茂硕新能源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海宁茂硕诺华能 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深圳茂硕电气有</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新余茂硕新能源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江西新余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萍乡茂硕新能源 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江西萍乡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江西萍乡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灵武市茂硕新能 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宁夏灵武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宁夏灵武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江苏茂硕新能源 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江苏连云港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江苏连云港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加码技术有限公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宁夏茂硕富寅能 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光伏电站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茂硕科技有限公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瑞盈茂硕融资租 赁(深圳)有限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加码技术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河北茂硕燚晶光 伏电力开发有限 公司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河北石家庄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河北石家庄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99" w:line="1" w:lineRule="exact"/>
      </w:pPr>
    </w:p>
    <w:p>
      <w:pPr>
        <w:pStyle w:val="Style31"/>
        <w:keepNext w:val="0"/>
        <w:keepLines w:val="0"/>
        <w:widowControl w:val="0"/>
        <w:shd w:val="clear" w:color="auto" w:fill="auto"/>
        <w:bidi w:val="0"/>
        <w:spacing w:before="0" w:after="300" w:line="30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茂硕电源控股子公司茂硕电气直接持有河北茂硕燚晶光伏电力开发有限公司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 xml:space="preserve">的股权，茂硕电源通过持有茂硕电气 </w:t>
      </w:r>
      <w:r>
        <w:rPr>
          <w:rFonts w:ascii="Times New Roman" w:eastAsia="Times New Roman" w:hAnsi="Times New Roman" w:cs="Times New Roman"/>
          <w:color w:val="000000"/>
          <w:spacing w:val="0"/>
          <w:w w:val="100"/>
          <w:position w:val="0"/>
          <w:sz w:val="18"/>
          <w:szCs w:val="18"/>
        </w:rPr>
        <w:t>79.55%</w:t>
      </w:r>
      <w:r>
        <w:rPr>
          <w:color w:val="000000"/>
          <w:spacing w:val="0"/>
          <w:w w:val="100"/>
          <w:position w:val="0"/>
        </w:rPr>
        <w:t>的股权间接持有河北茂硕燚晶光伏电力开发有限公司</w:t>
      </w:r>
      <w:r>
        <w:rPr>
          <w:rFonts w:ascii="Times New Roman" w:eastAsia="Times New Roman" w:hAnsi="Times New Roman" w:cs="Times New Roman"/>
          <w:color w:val="000000"/>
          <w:spacing w:val="0"/>
          <w:w w:val="100"/>
          <w:position w:val="0"/>
          <w:sz w:val="18"/>
          <w:szCs w:val="18"/>
        </w:rPr>
        <w:t>40.57%</w:t>
      </w:r>
      <w:r>
        <w:rPr>
          <w:color w:val="000000"/>
          <w:spacing w:val="0"/>
          <w:w w:val="100"/>
          <w:position w:val="0"/>
        </w:rPr>
        <w:t>的股权。</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89"/>
      <w:bookmarkEnd w:id="1990"/>
      <w:bookmarkEnd w:id="19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10"/>
        <w:gridCol w:w="1930"/>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海宁茂硕诺华能源有限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645,475.21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10,711,389.33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深圳茂硕电气有限公司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-559,447.67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-10,757,127.28</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153"/>
        </w:numPr>
        <w:shd w:val="clear" w:color="auto" w:fill="auto"/>
        <w:bidi w:val="0"/>
        <w:spacing w:before="0" w:after="380" w:line="240" w:lineRule="auto"/>
        <w:ind w:left="0" w:right="0" w:firstLine="140"/>
        <w:jc w:val="left"/>
      </w:pPr>
      <w:bookmarkStart w:id="1992" w:name="bookmark1992"/>
      <w:bookmarkStart w:id="1993" w:name="bookmark1993"/>
      <w:bookmarkStart w:id="1994" w:name="bookmark1994"/>
      <w:bookmarkStart w:id="1995" w:name="bookmark1995"/>
      <w:bookmarkEnd w:id="1994"/>
      <w:r>
        <w:rPr>
          <w:color w:val="000000"/>
          <w:spacing w:val="0"/>
          <w:w w:val="100"/>
          <w:position w:val="0"/>
        </w:rPr>
        <w:t>重要非全资子公司的主要财务信息</w:t>
      </w:r>
      <w:bookmarkEnd w:id="1992"/>
      <w:bookmarkEnd w:id="1993"/>
      <w:bookmarkEnd w:id="1995"/>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3,275,44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54,276,5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17,843,2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5,733,71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54,569,5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60,303,2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26,065,4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26,065,4</w:t>
            </w:r>
          </w:p>
        </w:tc>
      </w:tr>
    </w:tbl>
    <w:p>
      <w:pPr>
        <w:widowControl w:val="0"/>
        <w:spacing w:line="1" w:lineRule="exact"/>
      </w:pP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7,926,38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59,780,2</w:t>
            </w:r>
          </w:p>
        </w:tc>
      </w:tr>
      <w:tr>
        <w:trPr>
          <w:trHeight w:val="350"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气</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8.88</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78.20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93.86</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12,669,256.3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2,195,493.90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2,195,493.90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11,098,109.2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12,985,867.5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3,532,002.01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3,532,002.01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12,689,637.1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829,771.88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-2,739,907.50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-2,739,907.50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867,873.81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10,610,640.2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-12,540,255.5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-12,540,255.5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-503,384.23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6"/>
      <w:bookmarkEnd w:id="1997"/>
      <w:bookmarkEnd w:id="1999"/>
    </w:p>
    <w:p>
      <w:pPr>
        <w:pStyle w:val="Style40"/>
        <w:keepNext/>
        <w:keepLines/>
        <w:widowControl w:val="0"/>
        <w:shd w:val="clear" w:color="auto" w:fill="auto"/>
        <w:tabs>
          <w:tab w:pos="493" w:val="left"/>
        </w:tabs>
        <w:bidi w:val="0"/>
        <w:spacing w:before="0" w:after="38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00"/>
      <w:bookmarkEnd w:id="2001"/>
      <w:bookmarkEnd w:id="200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2</w:t>
      </w:r>
      <w:bookmarkEnd w:id="2006"/>
      <w:r>
        <w:rPr>
          <w:color w:val="000000"/>
          <w:spacing w:val="0"/>
          <w:w w:val="100"/>
          <w:position w:val="0"/>
        </w:rPr>
        <w:t>、在子公司的所有者权益份额发生变化且仍控制子公司的交易</w:t>
      </w:r>
      <w:bookmarkEnd w:id="2004"/>
      <w:bookmarkEnd w:id="2005"/>
      <w:bookmarkEnd w:id="2007"/>
    </w:p>
    <w:p>
      <w:pPr>
        <w:pStyle w:val="Style40"/>
        <w:keepNext/>
        <w:keepLines/>
        <w:widowControl w:val="0"/>
        <w:shd w:val="clear" w:color="auto" w:fill="auto"/>
        <w:tabs>
          <w:tab w:pos="493" w:val="left"/>
        </w:tabs>
        <w:bidi w:val="0"/>
        <w:spacing w:before="0" w:after="38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8"/>
      <w:bookmarkEnd w:id="2009"/>
      <w:bookmarkEnd w:id="2011"/>
    </w:p>
    <w:p>
      <w:pPr>
        <w:pStyle w:val="Style40"/>
        <w:keepNext/>
        <w:keepLines/>
        <w:widowControl w:val="0"/>
        <w:shd w:val="clear" w:color="auto" w:fill="auto"/>
        <w:tabs>
          <w:tab w:pos="493" w:val="left"/>
        </w:tabs>
        <w:bidi w:val="0"/>
        <w:spacing w:before="0" w:after="38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12"/>
      <w:bookmarkEnd w:id="2013"/>
      <w:bookmarkEnd w:id="201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3</w:t>
      </w:r>
      <w:bookmarkEnd w:id="2018"/>
      <w:r>
        <w:rPr>
          <w:color w:val="000000"/>
          <w:spacing w:val="0"/>
          <w:w w:val="100"/>
          <w:position w:val="0"/>
        </w:rPr>
        <w:t>、在合营安排或联营企业中的权益</w:t>
      </w:r>
      <w:bookmarkEnd w:id="2016"/>
      <w:bookmarkEnd w:id="2017"/>
      <w:bookmarkEnd w:id="2019"/>
    </w:p>
    <w:p>
      <w:pPr>
        <w:pStyle w:val="Style40"/>
        <w:keepNext/>
        <w:keepLines/>
        <w:widowControl w:val="0"/>
        <w:shd w:val="clear" w:color="auto" w:fill="auto"/>
        <w:bidi w:val="0"/>
        <w:spacing w:before="0" w:after="300" w:line="240" w:lineRule="auto"/>
        <w:ind w:left="0" w:right="0" w:firstLine="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20"/>
      <w:bookmarkEnd w:id="2021"/>
      <w:bookmarkEnd w:id="202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湖南省方正达电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40"/>
        <w:keepNext/>
        <w:keepLines/>
        <w:widowControl w:val="0"/>
        <w:shd w:val="clear" w:color="auto" w:fill="auto"/>
        <w:bidi w:val="0"/>
        <w:spacing w:before="0" w:after="380" w:line="240" w:lineRule="auto"/>
        <w:ind w:left="0" w:right="0" w:firstLine="0"/>
        <w:jc w:val="left"/>
      </w:pPr>
      <w:bookmarkStart w:id="2023" w:name="bookmark2023"/>
      <w:bookmarkStart w:id="2024" w:name="bookmark2024"/>
      <w:bookmarkStart w:id="2025" w:name="bookmark2025"/>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23"/>
      <w:bookmarkEnd w:id="2024"/>
      <w:bookmarkEnd w:id="20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2026"/>
      <w:bookmarkEnd w:id="2027"/>
      <w:bookmarkEnd w:id="202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方正达</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方正达</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234,877,110.27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220,602,619.98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142,968,952.91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138,314,101.58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377,846,063.18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358,916,721.56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161,355,016.46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157,546,500.79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3,683,333.49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3,783,333.45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165,038,349.95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161,329,834.24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212,807,713.23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197,586,887.32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47,328,435.42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43,943,323.74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86,850,151.44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83,609,295.81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411,891,565.61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372,662,906.69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34,995,979.10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5,994,696.39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34,995,979.10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8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30"/>
      <w:bookmarkEnd w:id="2031"/>
      <w:bookmarkEnd w:id="203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6,991,915.02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8,277,784.95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-1,681,154.94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-2,002,172.79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-1,681,154.94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-2,002,172.79</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after="38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34"/>
      <w:bookmarkEnd w:id="2035"/>
      <w:bookmarkEnd w:id="2037"/>
    </w:p>
    <w:p>
      <w:pPr>
        <w:pStyle w:val="Style40"/>
        <w:keepNext/>
        <w:keepLines/>
        <w:widowControl w:val="0"/>
        <w:shd w:val="clear" w:color="auto" w:fill="auto"/>
        <w:tabs>
          <w:tab w:pos="493" w:val="left"/>
        </w:tabs>
        <w:bidi w:val="0"/>
        <w:spacing w:before="0" w:after="38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38"/>
      <w:bookmarkEnd w:id="2039"/>
      <w:bookmarkEnd w:id="204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after="380" w:line="240" w:lineRule="auto"/>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42"/>
      <w:bookmarkEnd w:id="2043"/>
      <w:bookmarkEnd w:id="2045"/>
    </w:p>
    <w:p>
      <w:pPr>
        <w:pStyle w:val="Style40"/>
        <w:keepNext/>
        <w:keepLines/>
        <w:widowControl w:val="0"/>
        <w:shd w:val="clear" w:color="auto" w:fill="auto"/>
        <w:tabs>
          <w:tab w:pos="493" w:val="left"/>
        </w:tabs>
        <w:bidi w:val="0"/>
        <w:spacing w:before="0" w:after="380" w:line="240" w:lineRule="auto"/>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46"/>
      <w:bookmarkEnd w:id="2047"/>
      <w:bookmarkEnd w:id="2049"/>
    </w:p>
    <w:p>
      <w:pPr>
        <w:pStyle w:val="Style34"/>
        <w:keepNext/>
        <w:keepLines/>
        <w:widowControl w:val="0"/>
        <w:shd w:val="clear" w:color="auto" w:fill="auto"/>
        <w:bidi w:val="0"/>
        <w:spacing w:before="0" w:after="380" w:line="240" w:lineRule="auto"/>
        <w:ind w:left="0" w:right="0" w:firstLine="0"/>
        <w:jc w:val="left"/>
      </w:pPr>
      <w:bookmarkStart w:id="2050" w:name="bookmark2050"/>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4</w:t>
      </w:r>
      <w:bookmarkEnd w:id="2052"/>
      <w:r>
        <w:rPr>
          <w:color w:val="000000"/>
          <w:spacing w:val="0"/>
          <w:w w:val="100"/>
          <w:position w:val="0"/>
        </w:rPr>
        <w:t>、重要的共同经营</w:t>
      </w:r>
      <w:bookmarkEnd w:id="2050"/>
      <w:bookmarkEnd w:id="2051"/>
      <w:bookmarkEnd w:id="2053"/>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26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5</w:t>
      </w:r>
      <w:bookmarkEnd w:id="2056"/>
      <w:r>
        <w:rPr>
          <w:color w:val="000000"/>
          <w:spacing w:val="0"/>
          <w:w w:val="100"/>
          <w:position w:val="0"/>
        </w:rPr>
        <w:t>、</w:t>
        <w:tab/>
        <w:t>在未纳入合并财务报表范围的结构化主体中的权益</w:t>
      </w:r>
      <w:bookmarkEnd w:id="2054"/>
      <w:bookmarkEnd w:id="2055"/>
      <w:bookmarkEnd w:id="2057"/>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6</w:t>
      </w:r>
      <w:bookmarkEnd w:id="2060"/>
      <w:r>
        <w:rPr>
          <w:color w:val="000000"/>
          <w:spacing w:val="0"/>
          <w:w w:val="100"/>
          <w:position w:val="0"/>
        </w:rPr>
        <w:t>、</w:t>
        <w:tab/>
        <w:t>其他</w:t>
      </w:r>
      <w:bookmarkEnd w:id="2058"/>
      <w:bookmarkEnd w:id="2059"/>
      <w:bookmarkEnd w:id="2061"/>
    </w:p>
    <w:p>
      <w:pPr>
        <w:pStyle w:val="Style27"/>
        <w:keepNext/>
        <w:keepLines/>
        <w:widowControl w:val="0"/>
        <w:shd w:val="clear" w:color="auto" w:fill="auto"/>
        <w:bidi w:val="0"/>
        <w:spacing w:before="0" w:after="260" w:line="240" w:lineRule="auto"/>
        <w:ind w:left="0" w:right="0" w:firstLine="0"/>
        <w:jc w:val="left"/>
      </w:pPr>
      <w:bookmarkStart w:id="2062" w:name="bookmark2062"/>
      <w:bookmarkStart w:id="2063" w:name="bookmark2063"/>
      <w:bookmarkStart w:id="2064" w:name="bookmark2064"/>
      <w:r>
        <w:rPr>
          <w:color w:val="000000"/>
          <w:spacing w:val="0"/>
          <w:w w:val="100"/>
          <w:position w:val="0"/>
          <w:sz w:val="24"/>
          <w:szCs w:val="24"/>
        </w:rPr>
        <w:t>十、与金融工具相关的风险</w:t>
      </w:r>
      <w:bookmarkEnd w:id="2062"/>
      <w:bookmarkEnd w:id="2063"/>
      <w:bookmarkEnd w:id="2064"/>
    </w:p>
    <w:p>
      <w:pPr>
        <w:pStyle w:val="Style31"/>
        <w:keepNext w:val="0"/>
        <w:keepLines w:val="0"/>
        <w:widowControl w:val="0"/>
        <w:shd w:val="clear" w:color="auto" w:fill="auto"/>
        <w:bidi w:val="0"/>
        <w:spacing w:before="0" w:after="260" w:line="312" w:lineRule="exact"/>
        <w:ind w:left="0" w:right="0"/>
        <w:jc w:val="both"/>
      </w:pPr>
      <w:r>
        <w:rPr>
          <w:color w:val="000000"/>
          <w:spacing w:val="0"/>
          <w:w w:val="100"/>
          <w:position w:val="0"/>
        </w:rPr>
        <w:t>本公司的主要金融工具包括货币资金、股权投资、借款、应收款项、应付款项等。在日常活动中面临各种金融工具的风 险，主要包括信用风险、流动性风险、市场风险（主要为利率风险）。本公司整体的风险管理计划针对金融市场的不可预见 性，力求减少对本公司财务业绩的潜在不利影响。</w:t>
      </w:r>
    </w:p>
    <w:p>
      <w:pPr>
        <w:pStyle w:val="Style31"/>
        <w:keepNext w:val="0"/>
        <w:keepLines w:val="0"/>
        <w:widowControl w:val="0"/>
        <w:shd w:val="clear" w:color="auto" w:fill="auto"/>
        <w:bidi w:val="0"/>
        <w:spacing w:before="0" w:after="0" w:line="360" w:lineRule="auto"/>
        <w:ind w:left="0" w:right="0"/>
        <w:jc w:val="both"/>
      </w:pPr>
      <w:bookmarkStart w:id="2065" w:name="bookmark2065"/>
      <w:r>
        <w:rPr>
          <w:rFonts w:ascii="Times New Roman" w:eastAsia="Times New Roman" w:hAnsi="Times New Roman" w:cs="Times New Roman"/>
          <w:b/>
          <w:bCs/>
          <w:color w:val="000000"/>
          <w:spacing w:val="0"/>
          <w:w w:val="100"/>
          <w:position w:val="0"/>
          <w:sz w:val="18"/>
          <w:szCs w:val="18"/>
        </w:rPr>
        <w:t>1</w:t>
      </w:r>
      <w:bookmarkEnd w:id="2065"/>
      <w:r>
        <w:rPr>
          <w:b/>
          <w:bCs/>
          <w:color w:val="000000"/>
          <w:spacing w:val="0"/>
          <w:w w:val="100"/>
          <w:position w:val="0"/>
        </w:rPr>
        <w:t>、信用风险</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信用风险是指交易对手未能履行合同义务而导致本公司产生财务损失的风险，管理层已制定适当的信用政策，并且不断 </w:t>
      </w:r>
      <w:r>
        <w:rPr>
          <w:color w:val="000000"/>
          <w:spacing w:val="0"/>
          <w:w w:val="100"/>
          <w:position w:val="0"/>
        </w:rPr>
        <w:t>监察信用风险的敞口。</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本公司已采取政策只与信用良好的交易对手进行交易。另外，本公司基于对客户的财务状况、从第三方获取担保的可能 性、信用记录及其它因素诸如目前市场状况等评估客户的信用资质并设置相应信用期。本公司对应收票据、应收账款余额及 收回情况进行持续监控，对于信用记录不良的客户，本公司会采用书面催款、缩短信用期或取消信用期等方式，以确保本公 司不致面临重大信用损失。此外，本公司于每个资产负债表日审核金融资产的回收情况，以确保相关金融资产计提了充分的 预期信用损失准备。</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本公司其他金融资产包括货币资金、其他应收款等，这些金融资产的信用风险源自于交易对手违约，最大信用风险敞口 为资产负债表中每项金融资产的账面金额。</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本公司持有的货币资金主要存放于国有控股银行和其他大中型商业银行等金融机构，管理层认为这些商业银行具备较高 信誉和资产状况，不存在重大的信用风险，不会产生因对方单位违约而导致的任何重大损失。本公司的政策是根据各知名金 融机构的市场信誉、经营规模及财务背景来控制存放当中的存款金额，以限制对任何单个金融机构的信用风险金额。</w:t>
      </w:r>
    </w:p>
    <w:p>
      <w:pPr>
        <w:pStyle w:val="Style31"/>
        <w:keepNext w:val="0"/>
        <w:keepLines w:val="0"/>
        <w:widowControl w:val="0"/>
        <w:shd w:val="clear" w:color="auto" w:fill="auto"/>
        <w:bidi w:val="0"/>
        <w:spacing w:before="0" w:after="80" w:line="318" w:lineRule="exact"/>
        <w:ind w:left="0" w:right="0" w:firstLine="360"/>
        <w:jc w:val="both"/>
      </w:pPr>
      <w:r>
        <w:rPr>
          <w:color w:val="000000"/>
          <w:spacing w:val="0"/>
          <w:w w:val="100"/>
          <w:position w:val="0"/>
        </w:rPr>
        <w:t>作为本公司信用风险资产管理的一部分，本公司利用账龄来评估应收账款和其他应收款的减值损失。本公司的应收账款 和其他应收款涉及大量客户，账龄信息可以反映这些客户对于应收账款和其他应收款的偿付能力和坏账风险。本公司根据历 史数据计算不同账龄期间的历史实际坏账率，并考虑了当前及未来经济状况的预测，如国家</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增速、基建投资总额、国家 货币政策等前瞻性信息进行调整得出预期损失率。对于长期应收款，本公司综合考虑结算期、合同约定付款期、债务人的财 务状况和债务人所处行业的经济形势，并考虑上述前瞻性信息进行调整后对于预期信用损失进行合理评估。</w:t>
      </w:r>
    </w:p>
    <w:p>
      <w:pPr>
        <w:pStyle w:val="Style29"/>
        <w:keepNext w:val="0"/>
        <w:keepLines w:val="0"/>
        <w:widowControl w:val="0"/>
        <w:shd w:val="clear" w:color="auto" w:fill="auto"/>
        <w:bidi w:val="0"/>
        <w:spacing w:before="0" w:after="0" w:line="240" w:lineRule="auto"/>
        <w:ind w:left="355"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center"/>
        <w:tblLayout w:type="fixed"/>
      </w:tblPr>
      <w:tblGrid>
        <w:gridCol w:w="3667"/>
        <w:gridCol w:w="3048"/>
        <w:gridCol w:w="2962"/>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82,494,944.07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874,864.34</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562,104,790.05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97,065,540.20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应收融资款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28,921,565.78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45,967,011.38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9,595,500.28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长期应收款（含一年内到期的款项）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7,607,820.46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727,096,131.74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107,535,904.82</w:t>
            </w:r>
          </w:p>
        </w:tc>
      </w:tr>
    </w:tbl>
    <w:p>
      <w:pPr>
        <w:widowControl w:val="0"/>
        <w:spacing w:after="79" w:line="1" w:lineRule="exact"/>
      </w:pPr>
    </w:p>
    <w:p>
      <w:pPr>
        <w:pStyle w:val="Style31"/>
        <w:keepNext w:val="0"/>
        <w:keepLines w:val="0"/>
        <w:widowControl w:val="0"/>
        <w:shd w:val="clear" w:color="auto" w:fill="auto"/>
        <w:bidi w:val="0"/>
        <w:spacing w:before="0" w:after="0" w:line="312" w:lineRule="exact"/>
        <w:ind w:left="0" w:right="0" w:firstLine="360"/>
        <w:jc w:val="both"/>
      </w:pPr>
      <w:bookmarkStart w:id="2066" w:name="bookmark2066"/>
      <w:r>
        <w:rPr>
          <w:rFonts w:ascii="Times New Roman" w:eastAsia="Times New Roman" w:hAnsi="Times New Roman" w:cs="Times New Roman"/>
          <w:b/>
          <w:bCs/>
          <w:color w:val="000000"/>
          <w:spacing w:val="0"/>
          <w:w w:val="100"/>
          <w:position w:val="0"/>
          <w:sz w:val="18"/>
          <w:szCs w:val="18"/>
        </w:rPr>
        <w:t>2</w:t>
      </w:r>
      <w:bookmarkEnd w:id="2066"/>
      <w:r>
        <w:rPr>
          <w:b/>
          <w:bCs/>
          <w:color w:val="000000"/>
          <w:spacing w:val="0"/>
          <w:w w:val="100"/>
          <w:position w:val="0"/>
        </w:rPr>
        <w:t>、流动性风险</w:t>
      </w:r>
    </w:p>
    <w:p>
      <w:pPr>
        <w:pStyle w:val="Style31"/>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流动性风险是指本公司在履行以交付现金或其他金融资产的方式结算的义务时发生资金短缺的风险。本公司下属成员企 业各自负责其现金流量预测。公司财务部门基于各成员企业的现金流量预测结果，在公司层面持续监控公司短期和长期的资 金需求，以确保维持充裕的现金储备；同时持续监控是否符合借款协议的规定，从主要金融机构获得提供足够备用资金的承 诺，以满足短期和长期的资金需求。</w:t>
      </w:r>
    </w:p>
    <w:p>
      <w:pPr>
        <w:pStyle w:val="Style29"/>
        <w:keepNext w:val="0"/>
        <w:keepLines w:val="0"/>
        <w:widowControl w:val="0"/>
        <w:shd w:val="clear" w:color="auto" w:fill="auto"/>
        <w:bidi w:val="0"/>
        <w:spacing w:before="0" w:after="0" w:line="240" w:lineRule="auto"/>
        <w:ind w:left="355"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日，本公司金融负债以未折现的合同现金流量按合同剩余期限列示如下:</w:t>
      </w:r>
    </w:p>
    <w:tbl>
      <w:tblPr>
        <w:tblOverlap w:val="never"/>
        <w:jc w:val="center"/>
        <w:tblLayout w:type="fixed"/>
      </w:tblPr>
      <w:tblGrid>
        <w:gridCol w:w="2150"/>
        <w:gridCol w:w="2146"/>
        <w:gridCol w:w="1810"/>
        <w:gridCol w:w="1646"/>
        <w:gridCol w:w="955"/>
        <w:gridCol w:w="970"/>
      </w:tblGrid>
      <w:tr>
        <w:trPr>
          <w:trHeight w:val="355"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即时偿还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390,191,644.45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390,191,644.45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16,403,229.34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16,403,229.34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491,200,475.02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491,200,475.02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22,478,544.93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22,478,544.93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长期应付款（含一 年内到期的款项）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30,722,371.19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23,462,918.46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7,259,452.73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非衍生金融负债小计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950,996,264.93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943,736,812.20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7,259,452.73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950,996,264.93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943,736,812.20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7,259,452.73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370"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、市场风险</w:t>
      </w:r>
      <w:r>
        <w:br w:type="page"/>
      </w:r>
    </w:p>
    <w:p>
      <w:pPr>
        <w:pStyle w:val="Style31"/>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汇率风险</w:t>
      </w:r>
    </w:p>
    <w:p>
      <w:pPr>
        <w:pStyle w:val="Style31"/>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本公司的主要经营位于中国境内，主要业务以人民币结算。但本公司已确认的外币资产和负债及未来的外币交易(外币 资产和负债及外币交易的计价货币主要为美元和港币)依然存在汇率风险。本公司财务部门负责监控公司外币交易和外币资</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产及负债的规模，以最大程度降低面临的汇率风险。</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日，本公司持有的外币金融资产和外币金融负债折算成人民币的金额列示如下:</w:t>
      </w:r>
    </w:p>
    <w:tbl>
      <w:tblPr>
        <w:tblOverlap w:val="never"/>
        <w:jc w:val="center"/>
        <w:tblLayout w:type="fixed"/>
      </w:tblPr>
      <w:tblGrid>
        <w:gridCol w:w="1939"/>
        <w:gridCol w:w="1934"/>
        <w:gridCol w:w="1930"/>
        <w:gridCol w:w="1934"/>
        <w:gridCol w:w="1939"/>
      </w:tblGrid>
      <w:tr>
        <w:trPr>
          <w:trHeight w:val="355"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22,790,789.41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37,851.31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22,828,640.72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181,057,835.25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1,558,470.17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182,623,337.65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162,156.29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162,156.29</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204,010,780.95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1,596,321.48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205,614,134.66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10,531,995.80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10,531,995.80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487,131.16</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11,019,126.96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11,019,126.96</w:t>
            </w:r>
          </w:p>
        </w:tc>
      </w:tr>
    </w:tbl>
    <w:p>
      <w:pPr>
        <w:widowControl w:val="0"/>
        <w:spacing w:after="79" w:line="1" w:lineRule="exact"/>
      </w:pP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①敏感性分析：</w:t>
      </w:r>
    </w:p>
    <w:p>
      <w:pPr>
        <w:pStyle w:val="Style31"/>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日，对于本公司各类外币金融资产和外币金融负债，如果人民币对外币升值或贬值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,其他因素保 持不变，则本公司将减少或增加净利润约</w:t>
      </w:r>
      <w:r>
        <w:rPr>
          <w:rFonts w:ascii="Times New Roman" w:eastAsia="Times New Roman" w:hAnsi="Times New Roman" w:cs="Times New Roman"/>
          <w:color w:val="000000"/>
          <w:spacing w:val="0"/>
          <w:w w:val="100"/>
          <w:position w:val="0"/>
          <w:sz w:val="18"/>
          <w:szCs w:val="18"/>
        </w:rPr>
        <w:t>19,459,500.77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年度约</w:t>
      </w:r>
      <w:r>
        <w:rPr>
          <w:rFonts w:ascii="Times New Roman" w:eastAsia="Times New Roman" w:hAnsi="Times New Roman" w:cs="Times New Roman"/>
          <w:color w:val="000000"/>
          <w:spacing w:val="0"/>
          <w:w w:val="100"/>
          <w:position w:val="0"/>
          <w:sz w:val="18"/>
          <w:szCs w:val="18"/>
        </w:rPr>
        <w:t>21,632,212.17</w:t>
      </w:r>
      <w:r>
        <w:rPr>
          <w:color w:val="000000"/>
          <w:spacing w:val="0"/>
          <w:w w:val="100"/>
          <w:position w:val="0"/>
        </w:rPr>
        <w:t>元)。</w:t>
      </w:r>
    </w:p>
    <w:p>
      <w:pPr>
        <w:pStyle w:val="Style31"/>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利率风险</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本公司的利率风险主要产生于银行借款。浮动利率的金融负债使本公司面临现金流量利率风险，固定利率的金融负债使 本公司面临公允价值利率风险。本公司根据当时的市场环境来决定固定利率及浮动利率合同的相对比例。</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带息债务的利息支出，并对本公司的财务业绩产生重大的不利影响，管理层会依据最新的市场状况及时做出调整，这些调整 可能是进行利率互换的安排来降低利率风险。</w:t>
      </w:r>
    </w:p>
    <w:p>
      <w:pPr>
        <w:pStyle w:val="Style31"/>
        <w:keepNext w:val="0"/>
        <w:keepLines w:val="0"/>
        <w:widowControl w:val="0"/>
        <w:numPr>
          <w:ilvl w:val="0"/>
          <w:numId w:val="155"/>
        </w:numPr>
        <w:shd w:val="clear" w:color="auto" w:fill="auto"/>
        <w:tabs>
          <w:tab w:pos="733" w:val="left"/>
        </w:tabs>
        <w:bidi w:val="0"/>
        <w:spacing w:before="0" w:after="0" w:line="312" w:lineRule="exact"/>
        <w:ind w:left="0" w:right="0" w:firstLine="360"/>
        <w:jc w:val="both"/>
      </w:pPr>
      <w:bookmarkStart w:id="2067" w:name="bookmark2067"/>
      <w:bookmarkEnd w:id="2067"/>
      <w:r>
        <w:rPr>
          <w:color w:val="000000"/>
          <w:spacing w:val="0"/>
          <w:w w:val="100"/>
          <w:position w:val="0"/>
        </w:rPr>
        <w:t>本年度公司无利率互换安排。</w:t>
      </w:r>
    </w:p>
    <w:p>
      <w:pPr>
        <w:pStyle w:val="Style31"/>
        <w:keepNext w:val="0"/>
        <w:keepLines w:val="0"/>
        <w:widowControl w:val="0"/>
        <w:numPr>
          <w:ilvl w:val="0"/>
          <w:numId w:val="155"/>
        </w:numPr>
        <w:shd w:val="clear" w:color="auto" w:fill="auto"/>
        <w:tabs>
          <w:tab w:pos="733" w:val="left"/>
        </w:tabs>
        <w:bidi w:val="0"/>
        <w:spacing w:before="0" w:after="680" w:line="312" w:lineRule="exact"/>
        <w:ind w:left="0" w:right="0" w:firstLine="360"/>
        <w:jc w:val="both"/>
      </w:pPr>
      <w:bookmarkStart w:id="2068" w:name="bookmark2068"/>
      <w:bookmarkEnd w:id="2068"/>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日，本公司无长期带息债务主要为人民币计价的浮动利率合同。</w:t>
      </w:r>
    </w:p>
    <w:p>
      <w:pPr>
        <w:pStyle w:val="Style27"/>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r>
        <w:rPr>
          <w:color w:val="000000"/>
          <w:spacing w:val="0"/>
          <w:w w:val="100"/>
          <w:position w:val="0"/>
          <w:sz w:val="24"/>
          <w:szCs w:val="24"/>
        </w:rPr>
        <w:t>十一、公允价值的披露</w:t>
      </w:r>
      <w:bookmarkEnd w:id="2069"/>
      <w:bookmarkEnd w:id="2070"/>
      <w:bookmarkEnd w:id="2071"/>
    </w:p>
    <w:p>
      <w:pPr>
        <w:pStyle w:val="Style34"/>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72"/>
      <w:bookmarkEnd w:id="2073"/>
      <w:bookmarkEnd w:id="20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28,921,565.78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28,921,565.78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7,281,365.84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7,281,365.84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36,202,931.62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36,202,931.62</w:t>
            </w:r>
          </w:p>
        </w:tc>
      </w:tr>
    </w:tbl>
    <w:p>
      <w:pPr>
        <w:widowControl w:val="0"/>
        <w:spacing w:line="1" w:lineRule="exact"/>
      </w:pPr>
    </w:p>
    <w:tbl>
      <w:tblPr>
        <w:tblOverlap w:val="never"/>
        <w:jc w:val="center"/>
        <w:tblLayout w:type="fixed"/>
      </w:tblPr>
      <w:tblGrid>
        <w:gridCol w:w="2002"/>
        <w:gridCol w:w="1838"/>
        <w:gridCol w:w="1910"/>
        <w:gridCol w:w="1915"/>
        <w:gridCol w:w="1925"/>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15,620,530.84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15,620,530.84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的资产总额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15,620,530.84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15,620,530.84</w:t>
            </w:r>
          </w:p>
        </w:tc>
      </w:tr>
    </w:tbl>
    <w:p>
      <w:pPr>
        <w:widowControl w:val="0"/>
        <w:spacing w:after="31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2</w:t>
      </w:r>
      <w:bookmarkEnd w:id="2077"/>
      <w:r>
        <w:rPr>
          <w:color w:val="000000"/>
          <w:spacing w:val="0"/>
          <w:w w:val="100"/>
          <w:position w:val="0"/>
        </w:rPr>
        <w:t>、</w:t>
        <w:tab/>
        <w:t>持续和非持续第一层次公允价值计量项目市价的确定依据</w:t>
      </w:r>
      <w:bookmarkEnd w:id="2075"/>
      <w:bookmarkEnd w:id="2076"/>
      <w:bookmarkEnd w:id="2078"/>
    </w:p>
    <w:p>
      <w:pPr>
        <w:pStyle w:val="Style34"/>
        <w:keepNext/>
        <w:keepLines/>
        <w:widowControl w:val="0"/>
        <w:shd w:val="clear" w:color="auto" w:fill="auto"/>
        <w:tabs>
          <w:tab w:pos="378" w:val="left"/>
        </w:tabs>
        <w:bidi w:val="0"/>
        <w:spacing w:before="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3</w:t>
      </w:r>
      <w:bookmarkEnd w:id="2081"/>
      <w:r>
        <w:rPr>
          <w:color w:val="000000"/>
          <w:spacing w:val="0"/>
          <w:w w:val="100"/>
          <w:position w:val="0"/>
        </w:rPr>
        <w:t>、</w:t>
        <w:tab/>
        <w:t>持续和非持续第二层次公允价值计量项目，采用的估值技术和重要参数的定性及定量信息</w:t>
      </w:r>
      <w:bookmarkEnd w:id="2079"/>
      <w:bookmarkEnd w:id="2080"/>
      <w:bookmarkEnd w:id="2082"/>
    </w:p>
    <w:p>
      <w:pPr>
        <w:pStyle w:val="Style34"/>
        <w:keepNext/>
        <w:keepLines/>
        <w:widowControl w:val="0"/>
        <w:shd w:val="clear" w:color="auto" w:fill="auto"/>
        <w:tabs>
          <w:tab w:pos="378" w:val="left"/>
        </w:tabs>
        <w:bidi w:val="0"/>
        <w:spacing w:before="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4</w:t>
      </w:r>
      <w:bookmarkEnd w:id="2085"/>
      <w:r>
        <w:rPr>
          <w:color w:val="000000"/>
          <w:spacing w:val="0"/>
          <w:w w:val="100"/>
          <w:position w:val="0"/>
        </w:rPr>
        <w:t>、</w:t>
        <w:tab/>
        <w:t>持续和非持续第三层次公允价值计量项目，采用的估值技术和重要参数的定性及定量信息</w:t>
      </w:r>
      <w:bookmarkEnd w:id="2083"/>
      <w:bookmarkEnd w:id="2084"/>
      <w:bookmarkEnd w:id="2086"/>
    </w:p>
    <w:p>
      <w:pPr>
        <w:pStyle w:val="Style34"/>
        <w:keepNext/>
        <w:keepLines/>
        <w:widowControl w:val="0"/>
        <w:shd w:val="clear" w:color="auto" w:fill="auto"/>
        <w:tabs>
          <w:tab w:pos="378" w:val="left"/>
        </w:tabs>
        <w:bidi w:val="0"/>
        <w:spacing w:before="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5</w:t>
      </w:r>
      <w:bookmarkEnd w:id="2089"/>
      <w:r>
        <w:rPr>
          <w:color w:val="000000"/>
          <w:spacing w:val="0"/>
          <w:w w:val="100"/>
          <w:position w:val="0"/>
        </w:rPr>
        <w:t>、</w:t>
        <w:tab/>
        <w:t>持续的第三层次公允价值计量项目，期初与期末账面价值间的调节信息及不可观察参数敏感性分析</w:t>
      </w:r>
      <w:bookmarkEnd w:id="2087"/>
      <w:bookmarkEnd w:id="2088"/>
      <w:bookmarkEnd w:id="2090"/>
    </w:p>
    <w:p>
      <w:pPr>
        <w:pStyle w:val="Style34"/>
        <w:keepNext/>
        <w:keepLines/>
        <w:widowControl w:val="0"/>
        <w:shd w:val="clear" w:color="auto" w:fill="auto"/>
        <w:tabs>
          <w:tab w:pos="378" w:val="left"/>
        </w:tabs>
        <w:bidi w:val="0"/>
        <w:spacing w:before="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6</w:t>
      </w:r>
      <w:bookmarkEnd w:id="2093"/>
      <w:r>
        <w:rPr>
          <w:color w:val="000000"/>
          <w:spacing w:val="0"/>
          <w:w w:val="100"/>
          <w:position w:val="0"/>
        </w:rPr>
        <w:t>、</w:t>
        <w:tab/>
        <w:t>持续的公允价值计量项目，本期内发生各层级之间转换的，转换的原因及确定转换时点的政策</w:t>
      </w:r>
      <w:bookmarkEnd w:id="2091"/>
      <w:bookmarkEnd w:id="2092"/>
      <w:bookmarkEnd w:id="2094"/>
    </w:p>
    <w:p>
      <w:pPr>
        <w:pStyle w:val="Style34"/>
        <w:keepNext/>
        <w:keepLines/>
        <w:widowControl w:val="0"/>
        <w:shd w:val="clear" w:color="auto" w:fill="auto"/>
        <w:tabs>
          <w:tab w:pos="378" w:val="left"/>
        </w:tabs>
        <w:bidi w:val="0"/>
        <w:spacing w:before="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7</w:t>
      </w:r>
      <w:bookmarkEnd w:id="2097"/>
      <w:r>
        <w:rPr>
          <w:color w:val="000000"/>
          <w:spacing w:val="0"/>
          <w:w w:val="100"/>
          <w:position w:val="0"/>
        </w:rPr>
        <w:t>、</w:t>
        <w:tab/>
        <w:t>本期内发生的估值技术变更及变更原因</w:t>
      </w:r>
      <w:bookmarkEnd w:id="2095"/>
      <w:bookmarkEnd w:id="2096"/>
      <w:bookmarkEnd w:id="2098"/>
    </w:p>
    <w:p>
      <w:pPr>
        <w:pStyle w:val="Style34"/>
        <w:keepNext/>
        <w:keepLines/>
        <w:widowControl w:val="0"/>
        <w:shd w:val="clear" w:color="auto" w:fill="auto"/>
        <w:tabs>
          <w:tab w:pos="378" w:val="left"/>
        </w:tabs>
        <w:bidi w:val="0"/>
        <w:spacing w:before="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8</w:t>
      </w:r>
      <w:bookmarkEnd w:id="2101"/>
      <w:r>
        <w:rPr>
          <w:color w:val="000000"/>
          <w:spacing w:val="0"/>
          <w:w w:val="100"/>
          <w:position w:val="0"/>
        </w:rPr>
        <w:t>、</w:t>
        <w:tab/>
        <w:t>不以公允价值计量的金融资产和金融负债的公允价值情况</w:t>
      </w:r>
      <w:bookmarkEnd w:id="2099"/>
      <w:bookmarkEnd w:id="2100"/>
      <w:bookmarkEnd w:id="2102"/>
    </w:p>
    <w:p>
      <w:pPr>
        <w:pStyle w:val="Style34"/>
        <w:keepNext/>
        <w:keepLines/>
        <w:widowControl w:val="0"/>
        <w:shd w:val="clear" w:color="auto" w:fill="auto"/>
        <w:tabs>
          <w:tab w:pos="378" w:val="left"/>
        </w:tabs>
        <w:bidi w:val="0"/>
        <w:spacing w:before="0" w:after="32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9</w:t>
      </w:r>
      <w:bookmarkEnd w:id="2105"/>
      <w:r>
        <w:rPr>
          <w:color w:val="000000"/>
          <w:spacing w:val="0"/>
          <w:w w:val="100"/>
          <w:position w:val="0"/>
        </w:rPr>
        <w:t>、</w:t>
        <w:tab/>
        <w:t>其他</w:t>
      </w:r>
      <w:bookmarkEnd w:id="2103"/>
      <w:bookmarkEnd w:id="2104"/>
      <w:bookmarkEnd w:id="2106"/>
    </w:p>
    <w:p>
      <w:pPr>
        <w:pStyle w:val="Style27"/>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09" w:name="bookmark2109"/>
      <w:r>
        <w:rPr>
          <w:color w:val="000000"/>
          <w:spacing w:val="0"/>
          <w:w w:val="100"/>
          <w:position w:val="0"/>
          <w:sz w:val="24"/>
          <w:szCs w:val="24"/>
        </w:rPr>
        <w:t>十二、关联方及关联交易</w:t>
      </w:r>
      <w:bookmarkEnd w:id="2107"/>
      <w:bookmarkEnd w:id="2108"/>
      <w:bookmarkEnd w:id="2109"/>
    </w:p>
    <w:p>
      <w:pPr>
        <w:pStyle w:val="Style34"/>
        <w:keepNext/>
        <w:keepLines/>
        <w:widowControl w:val="0"/>
        <w:shd w:val="clear" w:color="auto" w:fill="auto"/>
        <w:bidi w:val="0"/>
        <w:spacing w:before="0" w:after="320" w:line="240" w:lineRule="auto"/>
        <w:ind w:left="0" w:right="0" w:firstLine="0"/>
        <w:jc w:val="left"/>
      </w:pPr>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10"/>
      <w:bookmarkEnd w:id="2111"/>
      <w:bookmarkEnd w:id="2112"/>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济南产发融盛股权 投资有限公司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150000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1"/>
        <w:keepNext w:val="0"/>
        <w:keepLines w:val="0"/>
        <w:widowControl w:val="0"/>
        <w:shd w:val="clear" w:color="auto" w:fill="auto"/>
        <w:bidi w:val="0"/>
        <w:spacing w:before="0" w:after="160" w:line="763" w:lineRule="exact"/>
        <w:ind w:left="0" w:right="0"/>
        <w:jc w:val="left"/>
      </w:pPr>
      <w:r>
        <w:rPr>
          <w:color w:val="000000"/>
          <w:spacing w:val="0"/>
          <w:w w:val="100"/>
          <w:position w:val="0"/>
        </w:rPr>
        <w:t>注：济南产发融盛股权投资有限公司（以下简称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济南产发投资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）直接持有本公司</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的股权，顾永德将其持有的本 公司</w:t>
      </w:r>
      <w:r>
        <w:rPr>
          <w:rFonts w:ascii="Times New Roman" w:eastAsia="Times New Roman" w:hAnsi="Times New Roman" w:cs="Times New Roman"/>
          <w:color w:val="000000"/>
          <w:spacing w:val="0"/>
          <w:w w:val="100"/>
          <w:position w:val="0"/>
          <w:sz w:val="18"/>
          <w:szCs w:val="18"/>
        </w:rPr>
        <w:t>14.6%</w:t>
      </w:r>
      <w:r>
        <w:rPr>
          <w:color w:val="000000"/>
          <w:spacing w:val="0"/>
          <w:w w:val="100"/>
          <w:position w:val="0"/>
        </w:rPr>
        <w:t>股份的表决权委托给济南产发投资行使，济南产发投资合计拥有本公司</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的公司表决权，是本公司的母公司。 本企业最终控制方是济南市国资委。</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113"/>
      <w:bookmarkEnd w:id="2114"/>
      <w:bookmarkEnd w:id="211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本企业子公司的情况详见附注第十二节、九、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34"/>
        <w:keepNext/>
        <w:keepLines/>
        <w:widowControl w:val="0"/>
        <w:shd w:val="clear" w:color="auto" w:fill="auto"/>
        <w:bidi w:val="0"/>
        <w:spacing w:before="0" w:after="38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3</w:t>
      </w:r>
      <w:bookmarkEnd w:id="2118"/>
      <w:r>
        <w:rPr>
          <w:color w:val="000000"/>
          <w:spacing w:val="0"/>
          <w:w w:val="100"/>
          <w:position w:val="0"/>
        </w:rPr>
        <w:t>、本企业合营和联营企业情况</w:t>
      </w:r>
      <w:bookmarkEnd w:id="2116"/>
      <w:bookmarkEnd w:id="2117"/>
      <w:bookmarkEnd w:id="211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本企业重要的合营或联营企业详见附注第十二节、九、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20" w:line="240" w:lineRule="auto"/>
        <w:ind w:left="0" w:right="0" w:firstLine="0"/>
        <w:jc w:val="left"/>
      </w:pPr>
      <w:bookmarkStart w:id="2120" w:name="bookmark2120"/>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4</w:t>
      </w:r>
      <w:bookmarkEnd w:id="2122"/>
      <w:r>
        <w:rPr>
          <w:color w:val="000000"/>
          <w:spacing w:val="0"/>
          <w:w w:val="100"/>
          <w:position w:val="0"/>
        </w:rPr>
        <w:t>、其他关联方情况</w:t>
      </w:r>
      <w:bookmarkEnd w:id="2120"/>
      <w:bookmarkEnd w:id="2121"/>
      <w:bookmarkEnd w:id="212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深圳茂硕祥泰科技有限公司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湖南茂硕电气有限公司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本公司控股子公司茂硕电气持有其</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山西茂硕光伏电力股份有限公司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本公司控股子公司茂硕电气持有其</w:t>
            </w:r>
            <w:r>
              <w:rPr>
                <w:rFonts w:ascii="Times New Roman" w:eastAsia="Times New Roman" w:hAnsi="Times New Roman" w:cs="Times New Roman"/>
                <w:color w:val="000000"/>
                <w:spacing w:val="0"/>
                <w:w w:val="100"/>
                <w:position w:val="0"/>
                <w:sz w:val="18"/>
                <w:szCs w:val="18"/>
              </w:rPr>
              <w:t>24.60%</w:t>
            </w:r>
            <w:r>
              <w:rPr>
                <w:color w:val="000000"/>
                <w:spacing w:val="0"/>
                <w:w w:val="100"/>
                <w:position w:val="0"/>
              </w:rPr>
              <w:t>的股份</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海宁市诺耶科华太阳能电力工程有限公司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持有本公司控股子公司海宁茂硕</w:t>
            </w:r>
            <w:r>
              <w:rPr>
                <w:rFonts w:ascii="Times New Roman" w:eastAsia="Times New Roman" w:hAnsi="Times New Roman" w:cs="Times New Roman"/>
                <w:color w:val="000000"/>
                <w:spacing w:val="0"/>
                <w:w w:val="100"/>
                <w:position w:val="0"/>
                <w:sz w:val="18"/>
                <w:szCs w:val="18"/>
              </w:rPr>
              <w:t>29.40%</w:t>
            </w:r>
            <w:r>
              <w:rPr>
                <w:color w:val="000000"/>
                <w:spacing w:val="0"/>
                <w:w w:val="100"/>
                <w:position w:val="0"/>
              </w:rPr>
              <w:t>的股份</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河南弘康茂硕电气有限公司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的股份、顾永德任董事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杭州骑客智能科技有限公司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本公司原持有其</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 xml:space="preserve">的股份，本期已出售持有的全部股权，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日已完成工商变更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新余市神木园农业发展有限公司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本公司控股子公司新余茂硕持有其</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的股份</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深圳市迈斯达尔医疗器械有限公司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的股份</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5</w:t>
      </w:r>
      <w:bookmarkEnd w:id="2126"/>
      <w:r>
        <w:rPr>
          <w:color w:val="000000"/>
          <w:spacing w:val="0"/>
          <w:w w:val="100"/>
          <w:position w:val="0"/>
        </w:rPr>
        <w:t>、关联交易情况</w:t>
      </w:r>
      <w:bookmarkEnd w:id="2124"/>
      <w:bookmarkEnd w:id="2125"/>
      <w:bookmarkEnd w:id="2127"/>
    </w:p>
    <w:p>
      <w:pPr>
        <w:pStyle w:val="Style40"/>
        <w:keepNext/>
        <w:keepLines/>
        <w:widowControl w:val="0"/>
        <w:shd w:val="clear" w:color="auto" w:fill="auto"/>
        <w:bidi w:val="0"/>
        <w:spacing w:before="0" w:after="380" w:line="240" w:lineRule="auto"/>
        <w:ind w:left="0" w:right="0" w:firstLine="0"/>
        <w:jc w:val="left"/>
      </w:pPr>
      <w:bookmarkStart w:id="2128" w:name="bookmark2128"/>
      <w:bookmarkStart w:id="2129" w:name="bookmark2129"/>
      <w:bookmarkStart w:id="2130" w:name="bookmark21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28"/>
      <w:bookmarkEnd w:id="2129"/>
      <w:bookmarkEnd w:id="213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深圳茂硕祥泰科技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26,319,739.75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15,562,864.35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26,319,739.75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15,562,864.35</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湖南茂硕电气有限公司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160,253.29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山西茂硕光伏电力股份有限公 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-547,169.82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山西茂硕光伏电力股份有限公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405"/>
        <w:gridCol w:w="2261"/>
        <w:gridCol w:w="2256"/>
        <w:gridCol w:w="266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司</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-531,403.44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160,253.29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119" w:line="1" w:lineRule="exact"/>
      </w:pPr>
    </w:p>
    <w:p>
      <w:pPr>
        <w:pStyle w:val="Style31"/>
        <w:keepNext w:val="0"/>
        <w:keepLines w:val="0"/>
        <w:widowControl w:val="0"/>
        <w:shd w:val="clear" w:color="auto" w:fill="auto"/>
        <w:bidi w:val="0"/>
        <w:spacing w:before="0" w:after="680" w:line="309"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关联交易说明：山西茂硕光伏电力股份有限公司（以下简称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山西茂硕</w:t>
      </w:r>
      <w:r>
        <w:rPr>
          <w:color w:val="000000"/>
          <w:spacing w:val="0"/>
          <w:w w:val="100"/>
          <w:position w:val="0"/>
        </w:rPr>
        <w:t>''）</w:t>
      </w:r>
      <w:r>
        <w:rPr>
          <w:color w:val="000000"/>
          <w:spacing w:val="0"/>
          <w:w w:val="100"/>
          <w:position w:val="0"/>
        </w:rPr>
        <w:t>原为茂硕电源控股子公司茂硕电气之控股子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月因公司处置部分股权，其由控股子公司变为联营公司。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年处置股权前公司为山西茂硕提供系统开发服 务并相应确认收入金额</w:t>
      </w:r>
      <w:r>
        <w:rPr>
          <w:rFonts w:ascii="Times New Roman" w:eastAsia="Times New Roman" w:hAnsi="Times New Roman" w:cs="Times New Roman"/>
          <w:color w:val="000000"/>
          <w:spacing w:val="0"/>
          <w:w w:val="100"/>
          <w:position w:val="0"/>
          <w:sz w:val="18"/>
          <w:szCs w:val="18"/>
        </w:rPr>
        <w:t>547,169.8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年经双方友好协商解除该服务协议，本期冲减相关服务收入（不含税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547,169.82 </w:t>
      </w:r>
      <w:r>
        <w:rPr>
          <w:color w:val="000000"/>
          <w:spacing w:val="0"/>
          <w:w w:val="100"/>
          <w:position w:val="0"/>
        </w:rPr>
        <w:t>元；同时，因前期发生销售商品退回，本期冲减产品销售收入</w:t>
      </w:r>
      <w:r>
        <w:rPr>
          <w:rFonts w:ascii="Times New Roman" w:eastAsia="Times New Roman" w:hAnsi="Times New Roman" w:cs="Times New Roman"/>
          <w:color w:val="000000"/>
          <w:spacing w:val="0"/>
          <w:w w:val="100"/>
          <w:position w:val="0"/>
          <w:sz w:val="18"/>
          <w:szCs w:val="18"/>
        </w:rPr>
        <w:t>3,132.74</w:t>
      </w:r>
      <w:r>
        <w:rPr>
          <w:color w:val="000000"/>
          <w:spacing w:val="0"/>
          <w:w w:val="100"/>
          <w:position w:val="0"/>
        </w:rPr>
        <w:t>元。</w:t>
      </w:r>
    </w:p>
    <w:p>
      <w:pPr>
        <w:pStyle w:val="Style40"/>
        <w:keepNext/>
        <w:keepLines/>
        <w:widowControl w:val="0"/>
        <w:shd w:val="clear" w:color="auto" w:fill="auto"/>
        <w:bidi w:val="0"/>
        <w:spacing w:before="0" w:after="280" w:line="240" w:lineRule="auto"/>
        <w:ind w:left="0" w:right="0" w:firstLine="0"/>
        <w:jc w:val="left"/>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31"/>
      <w:bookmarkEnd w:id="2132"/>
      <w:bookmarkEnd w:id="2133"/>
    </w:p>
    <w:p>
      <w:pPr>
        <w:pStyle w:val="Style31"/>
        <w:keepNext w:val="0"/>
        <w:keepLines w:val="0"/>
        <w:widowControl w:val="0"/>
        <w:shd w:val="clear" w:color="auto" w:fill="auto"/>
        <w:bidi w:val="0"/>
        <w:spacing w:before="0" w:after="120" w:line="309" w:lineRule="exact"/>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0"/>
        <w:keepNext/>
        <w:keepLines/>
        <w:widowControl w:val="0"/>
        <w:shd w:val="clear" w:color="auto" w:fill="auto"/>
        <w:bidi w:val="0"/>
        <w:spacing w:before="0" w:after="38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34"/>
      <w:bookmarkEnd w:id="2135"/>
      <w:bookmarkEnd w:id="2137"/>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深圳茂硕祥泰科技有限公司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24,174.82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23,123.86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24,174.82</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0"/>
        <w:keepNext/>
        <w:keepLines/>
        <w:widowControl w:val="0"/>
        <w:shd w:val="clear" w:color="auto" w:fill="auto"/>
        <w:bidi w:val="0"/>
        <w:spacing w:before="0" w:after="38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38"/>
      <w:bookmarkEnd w:id="2139"/>
      <w:bookmarkEnd w:id="214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惠州茂硕</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惠州茂硕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码技术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顾永德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惠州茂硕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 永德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惠州茂硕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惠州茂硕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茂硕电子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 码技术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本公司与茂硕电子共同为惠州茂硕提供担保。</w:t>
      </w:r>
    </w:p>
    <w:p>
      <w:pPr>
        <w:pStyle w:val="Style40"/>
        <w:keepNext/>
        <w:keepLines/>
        <w:widowControl w:val="0"/>
        <w:shd w:val="clear" w:color="auto" w:fill="auto"/>
        <w:bidi w:val="0"/>
        <w:spacing w:before="0" w:after="40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42"/>
      <w:bookmarkEnd w:id="2143"/>
      <w:bookmarkEnd w:id="2145"/>
    </w:p>
    <w:p>
      <w:pPr>
        <w:widowControl w:val="0"/>
        <w:jc w:val="center"/>
        <w:rPr>
          <w:sz w:val="2"/>
          <w:szCs w:val="2"/>
        </w:rPr>
      </w:pPr>
      <w:r>
        <w:drawing>
          <wp:inline>
            <wp:extent cx="6126480" cy="95123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9"/>
                    <a:stretch/>
                  </pic:blipFill>
                  <pic:spPr>
                    <a:xfrm>
                      <a:ext cx="6126480" cy="951230"/>
                    </a:xfrm>
                    <a:prstGeom prst="rect"/>
                  </pic:spPr>
                </pic:pic>
              </a:graphicData>
            </a:graphic>
          </wp:inline>
        </w:drawing>
      </w:r>
    </w:p>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46"/>
      <w:bookmarkEnd w:id="2147"/>
      <w:bookmarkEnd w:id="214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湖南茂硕电气有限公司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-78,548.65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w:t>
      </w:r>
      <w:bookmarkEnd w:id="215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50"/>
      <w:bookmarkEnd w:id="2151"/>
      <w:bookmarkEnd w:id="2153"/>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6,509,413.25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6,096,605.81</w:t>
            </w:r>
          </w:p>
        </w:tc>
      </w:tr>
    </w:tbl>
    <w:p>
      <w:pPr>
        <w:spacing w:lineRule="exact" w:line="1"/>
        <w:rPr>
          <w:sz w:val="2"/>
          <w:szCs w:val="2"/>
        </w:rPr>
      </w:pPr>
      <w:r>
        <w:br w:type="page"/>
      </w:r>
    </w:p>
    <w:p>
      <w:pPr>
        <w:pStyle w:val="Style40"/>
        <w:keepNext/>
        <w:keepLines/>
        <w:widowControl w:val="0"/>
        <w:shd w:val="clear" w:color="auto" w:fill="auto"/>
        <w:bidi w:val="0"/>
        <w:spacing w:before="0" w:after="360" w:line="240" w:lineRule="auto"/>
        <w:ind w:left="0" w:right="0" w:firstLine="0"/>
        <w:jc w:val="left"/>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54"/>
      <w:bookmarkEnd w:id="2155"/>
      <w:bookmarkEnd w:id="2157"/>
    </w:p>
    <w:p>
      <w:pPr>
        <w:pStyle w:val="Style34"/>
        <w:keepNext/>
        <w:keepLines/>
        <w:widowControl w:val="0"/>
        <w:shd w:val="clear" w:color="auto" w:fill="auto"/>
        <w:bidi w:val="0"/>
        <w:spacing w:before="0" w:line="240" w:lineRule="auto"/>
        <w:ind w:left="0" w:right="0" w:firstLine="0"/>
        <w:jc w:val="left"/>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6</w:t>
      </w:r>
      <w:bookmarkEnd w:id="2160"/>
      <w:r>
        <w:rPr>
          <w:color w:val="000000"/>
          <w:spacing w:val="0"/>
          <w:w w:val="100"/>
          <w:position w:val="0"/>
        </w:rPr>
        <w:t>、关联方应收应付款项</w:t>
      </w:r>
      <w:bookmarkEnd w:id="2158"/>
      <w:bookmarkEnd w:id="2159"/>
      <w:bookmarkEnd w:id="2161"/>
    </w:p>
    <w:p>
      <w:pPr>
        <w:pStyle w:val="Style40"/>
        <w:keepNext/>
        <w:keepLines/>
        <w:widowControl w:val="0"/>
        <w:shd w:val="clear" w:color="auto" w:fill="auto"/>
        <w:bidi w:val="0"/>
        <w:spacing w:before="0" w:after="360" w:line="240" w:lineRule="auto"/>
        <w:ind w:left="0" w:right="0" w:firstLine="0"/>
        <w:jc w:val="left"/>
      </w:pPr>
      <w:bookmarkStart w:id="2162" w:name="bookmark2162"/>
      <w:bookmarkStart w:id="2163" w:name="bookmark2163"/>
      <w:bookmarkStart w:id="2164" w:name="bookmark21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62"/>
      <w:bookmarkEnd w:id="2163"/>
      <w:bookmarkEnd w:id="216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山西茂硕光伏电力 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900,765.00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1,534,305.00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1,074,013.50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湖南茂硕电气有限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1,428,495.50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999,946.85</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海宁市诺耶科华太 阳能电力工程有限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1,838,018.00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1,838,018.00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1,838,018.00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183,801.80</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65"/>
      <w:bookmarkEnd w:id="2166"/>
      <w:bookmarkEnd w:id="216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深圳茂硕祥泰科技有限公司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17,239,257.67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10,470,136.27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河南弘康茂硕电气有限公司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96,159.50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96,159.50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杭州骑客智能科技有限公司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1,186,981.66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海宁市诺耶科华太阳能电力</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新余市神木园农业发展有限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35,100.00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深圳市迈斯达尔医疗器械有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bl>
    <w:p>
      <w:pPr>
        <w:widowControl w:val="0"/>
        <w:spacing w:after="359" w:line="1" w:lineRule="exact"/>
      </w:pPr>
    </w:p>
    <w:p>
      <w:pPr>
        <w:pStyle w:val="Style34"/>
        <w:keepNext/>
        <w:keepLines/>
        <w:widowControl w:val="0"/>
        <w:shd w:val="clear" w:color="auto" w:fill="auto"/>
        <w:tabs>
          <w:tab w:pos="373" w:val="left"/>
        </w:tabs>
        <w:bidi w:val="0"/>
        <w:spacing w:before="0" w:line="240" w:lineRule="auto"/>
        <w:ind w:left="0" w:right="0" w:firstLine="0"/>
        <w:jc w:val="left"/>
      </w:pPr>
      <w:bookmarkStart w:id="2168" w:name="bookmark2168"/>
      <w:bookmarkStart w:id="2169" w:name="bookmark2169"/>
      <w:bookmarkStart w:id="2170" w:name="bookmark2170"/>
      <w:bookmarkStart w:id="2171" w:name="bookmark2171"/>
      <w:r>
        <w:rPr>
          <w:rFonts w:ascii="Times New Roman" w:eastAsia="Times New Roman" w:hAnsi="Times New Roman" w:cs="Times New Roman"/>
          <w:color w:val="000000"/>
          <w:spacing w:val="0"/>
          <w:w w:val="100"/>
          <w:position w:val="0"/>
        </w:rPr>
        <w:t>7</w:t>
      </w:r>
      <w:bookmarkEnd w:id="2170"/>
      <w:r>
        <w:rPr>
          <w:color w:val="000000"/>
          <w:spacing w:val="0"/>
          <w:w w:val="100"/>
          <w:position w:val="0"/>
        </w:rPr>
        <w:t>、</w:t>
        <w:tab/>
        <w:t>关联方承诺</w:t>
      </w:r>
      <w:bookmarkEnd w:id="2168"/>
      <w:bookmarkEnd w:id="2169"/>
      <w:bookmarkEnd w:id="2171"/>
    </w:p>
    <w:p>
      <w:pPr>
        <w:pStyle w:val="Style34"/>
        <w:keepNext/>
        <w:keepLines/>
        <w:widowControl w:val="0"/>
        <w:shd w:val="clear" w:color="auto" w:fill="auto"/>
        <w:tabs>
          <w:tab w:pos="378" w:val="left"/>
        </w:tabs>
        <w:bidi w:val="0"/>
        <w:spacing w:before="0" w:line="240" w:lineRule="auto"/>
        <w:ind w:left="0" w:right="0" w:firstLine="0"/>
        <w:jc w:val="left"/>
      </w:pPr>
      <w:bookmarkStart w:id="2172" w:name="bookmark2172"/>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8</w:t>
      </w:r>
      <w:bookmarkEnd w:id="2174"/>
      <w:r>
        <w:rPr>
          <w:color w:val="000000"/>
          <w:spacing w:val="0"/>
          <w:w w:val="100"/>
          <w:position w:val="0"/>
        </w:rPr>
        <w:t>、</w:t>
        <w:tab/>
        <w:t>其他</w:t>
      </w:r>
      <w:bookmarkEnd w:id="2172"/>
      <w:bookmarkEnd w:id="2173"/>
      <w:bookmarkEnd w:id="2175"/>
    </w:p>
    <w:p>
      <w:pPr>
        <w:pStyle w:val="Style27"/>
        <w:keepNext/>
        <w:keepLines/>
        <w:widowControl w:val="0"/>
        <w:shd w:val="clear" w:color="auto" w:fill="auto"/>
        <w:bidi w:val="0"/>
        <w:spacing w:before="0" w:line="240" w:lineRule="auto"/>
        <w:ind w:left="0" w:right="0" w:firstLine="0"/>
        <w:jc w:val="left"/>
      </w:pPr>
      <w:bookmarkStart w:id="2176" w:name="bookmark2176"/>
      <w:bookmarkStart w:id="2177" w:name="bookmark2177"/>
      <w:bookmarkStart w:id="2178" w:name="bookmark2178"/>
      <w:r>
        <w:rPr>
          <w:color w:val="000000"/>
          <w:spacing w:val="0"/>
          <w:w w:val="100"/>
          <w:position w:val="0"/>
          <w:sz w:val="24"/>
          <w:szCs w:val="24"/>
        </w:rPr>
        <w:t>十三、股份支付</w:t>
      </w:r>
      <w:bookmarkEnd w:id="2176"/>
      <w:bookmarkEnd w:id="2177"/>
      <w:bookmarkEnd w:id="2178"/>
    </w:p>
    <w:p>
      <w:pPr>
        <w:pStyle w:val="Style34"/>
        <w:keepNext/>
        <w:keepLines/>
        <w:widowControl w:val="0"/>
        <w:shd w:val="clear" w:color="auto" w:fill="auto"/>
        <w:bidi w:val="0"/>
        <w:spacing w:before="0" w:line="240" w:lineRule="auto"/>
        <w:ind w:left="0" w:right="0" w:firstLine="0"/>
        <w:jc w:val="left"/>
      </w:pPr>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79"/>
      <w:bookmarkEnd w:id="2180"/>
      <w:bookmarkEnd w:id="2181"/>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2</w:t>
      </w:r>
      <w:bookmarkEnd w:id="2184"/>
      <w:r>
        <w:rPr>
          <w:color w:val="000000"/>
          <w:spacing w:val="0"/>
          <w:w w:val="100"/>
          <w:position w:val="0"/>
        </w:rPr>
        <w:t>、</w:t>
        <w:tab/>
        <w:t>以权益结算的股份支付情况</w:t>
      </w:r>
      <w:bookmarkEnd w:id="2182"/>
      <w:bookmarkEnd w:id="2183"/>
      <w:bookmarkEnd w:id="2185"/>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3</w:t>
      </w:r>
      <w:bookmarkEnd w:id="2188"/>
      <w:r>
        <w:rPr>
          <w:color w:val="000000"/>
          <w:spacing w:val="0"/>
          <w:w w:val="100"/>
          <w:position w:val="0"/>
        </w:rPr>
        <w:t>、</w:t>
        <w:tab/>
        <w:t>以现金结算的股份支付情况</w:t>
      </w:r>
      <w:bookmarkEnd w:id="2186"/>
      <w:bookmarkEnd w:id="2187"/>
      <w:bookmarkEnd w:id="2189"/>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4</w:t>
      </w:r>
      <w:bookmarkEnd w:id="2192"/>
      <w:r>
        <w:rPr>
          <w:color w:val="000000"/>
          <w:spacing w:val="0"/>
          <w:w w:val="100"/>
          <w:position w:val="0"/>
        </w:rPr>
        <w:t>、</w:t>
        <w:tab/>
        <w:t>股份支付的修改、终止情况</w:t>
      </w:r>
      <w:bookmarkEnd w:id="2190"/>
      <w:bookmarkEnd w:id="2191"/>
      <w:bookmarkEnd w:id="2193"/>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2194" w:name="bookmark2194"/>
      <w:bookmarkStart w:id="2195" w:name="bookmark2195"/>
      <w:bookmarkStart w:id="2196" w:name="bookmark2196"/>
      <w:bookmarkStart w:id="2197" w:name="bookmark2197"/>
      <w:r>
        <w:rPr>
          <w:rFonts w:ascii="Times New Roman" w:eastAsia="Times New Roman" w:hAnsi="Times New Roman" w:cs="Times New Roman"/>
          <w:color w:val="000000"/>
          <w:spacing w:val="0"/>
          <w:w w:val="100"/>
          <w:position w:val="0"/>
        </w:rPr>
        <w:t>5</w:t>
      </w:r>
      <w:bookmarkEnd w:id="2196"/>
      <w:r>
        <w:rPr>
          <w:color w:val="000000"/>
          <w:spacing w:val="0"/>
          <w:w w:val="100"/>
          <w:position w:val="0"/>
        </w:rPr>
        <w:t>、</w:t>
        <w:tab/>
        <w:t>其他</w:t>
      </w:r>
      <w:bookmarkEnd w:id="2194"/>
      <w:bookmarkEnd w:id="2195"/>
      <w:bookmarkEnd w:id="2197"/>
    </w:p>
    <w:p>
      <w:pPr>
        <w:pStyle w:val="Style27"/>
        <w:keepNext/>
        <w:keepLines/>
        <w:widowControl w:val="0"/>
        <w:shd w:val="clear" w:color="auto" w:fill="auto"/>
        <w:bidi w:val="0"/>
        <w:spacing w:before="0" w:after="380" w:line="240" w:lineRule="auto"/>
        <w:ind w:left="0" w:right="0" w:firstLine="0"/>
        <w:jc w:val="left"/>
      </w:pPr>
      <w:bookmarkStart w:id="2198" w:name="bookmark2198"/>
      <w:bookmarkStart w:id="2199" w:name="bookmark2199"/>
      <w:bookmarkStart w:id="2200" w:name="bookmark2200"/>
      <w:r>
        <w:rPr>
          <w:color w:val="000000"/>
          <w:spacing w:val="0"/>
          <w:w w:val="100"/>
          <w:position w:val="0"/>
          <w:sz w:val="24"/>
          <w:szCs w:val="24"/>
        </w:rPr>
        <w:t>十四、承诺及或有事项</w:t>
      </w:r>
      <w:bookmarkEnd w:id="2198"/>
      <w:bookmarkEnd w:id="2199"/>
      <w:bookmarkEnd w:id="2200"/>
    </w:p>
    <w:p>
      <w:pPr>
        <w:pStyle w:val="Style34"/>
        <w:keepNext/>
        <w:keepLines/>
        <w:widowControl w:val="0"/>
        <w:shd w:val="clear" w:color="auto" w:fill="auto"/>
        <w:bidi w:val="0"/>
        <w:spacing w:before="0" w:after="380" w:line="240" w:lineRule="auto"/>
        <w:ind w:left="0" w:right="0" w:firstLine="0"/>
        <w:jc w:val="left"/>
      </w:pPr>
      <w:bookmarkStart w:id="2201" w:name="bookmark2201"/>
      <w:bookmarkStart w:id="2202" w:name="bookmark2202"/>
      <w:bookmarkStart w:id="2203" w:name="bookmark220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201"/>
      <w:bookmarkEnd w:id="2202"/>
      <w:bookmarkEnd w:id="2203"/>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已签订的正在或准备履行的租赁合同及财务影响</w:t>
      </w:r>
    </w:p>
    <w:tbl>
      <w:tblPr>
        <w:tblOverlap w:val="never"/>
        <w:jc w:val="center"/>
        <w:tblLayout w:type="fixed"/>
      </w:tblPr>
      <w:tblGrid>
        <w:gridCol w:w="3965"/>
        <w:gridCol w:w="2851"/>
        <w:gridCol w:w="2861"/>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8,123,597.67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8,225,149.46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8,615,844.06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8,375,634.52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9,626,752.65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8,095,777.72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11,992,578.44</w:t>
            </w:r>
          </w:p>
        </w:tc>
      </w:tr>
    </w:tbl>
    <w:p>
      <w:pPr>
        <w:widowControl w:val="0"/>
        <w:spacing w:after="639" w:line="1" w:lineRule="exact"/>
      </w:pPr>
    </w:p>
    <w:p>
      <w:pPr>
        <w:pStyle w:val="Style34"/>
        <w:keepNext/>
        <w:keepLines/>
        <w:widowControl w:val="0"/>
        <w:shd w:val="clear" w:color="auto" w:fill="auto"/>
        <w:bidi w:val="0"/>
        <w:spacing w:before="0" w:after="380" w:line="240" w:lineRule="auto"/>
        <w:ind w:left="0" w:right="0" w:firstLine="0"/>
        <w:jc w:val="left"/>
      </w:pPr>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204"/>
      <w:bookmarkEnd w:id="2205"/>
      <w:bookmarkEnd w:id="2206"/>
    </w:p>
    <w:p>
      <w:pPr>
        <w:pStyle w:val="Style40"/>
        <w:keepNext/>
        <w:keepLines/>
        <w:widowControl w:val="0"/>
        <w:shd w:val="clear" w:color="auto" w:fill="auto"/>
        <w:tabs>
          <w:tab w:pos="493" w:val="left"/>
        </w:tabs>
        <w:bidi w:val="0"/>
        <w:spacing w:before="0" w:after="38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207"/>
      <w:bookmarkEnd w:id="2208"/>
      <w:bookmarkEnd w:id="2210"/>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截至财务报告批准报出日止，本公司无其他应披露未披露的重要或有事项。</w:t>
      </w:r>
    </w:p>
    <w:p>
      <w:pPr>
        <w:pStyle w:val="Style40"/>
        <w:keepNext/>
        <w:keepLines/>
        <w:widowControl w:val="0"/>
        <w:shd w:val="clear" w:color="auto" w:fill="auto"/>
        <w:tabs>
          <w:tab w:pos="493" w:val="left"/>
        </w:tabs>
        <w:bidi w:val="0"/>
        <w:spacing w:before="0" w:after="38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211"/>
      <w:bookmarkEnd w:id="2212"/>
      <w:bookmarkEnd w:id="2214"/>
    </w:p>
    <w:p>
      <w:pPr>
        <w:pStyle w:val="Style31"/>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公司不存在需要披露的重要或有事项。</w:t>
      </w:r>
      <w:r>
        <w:br w:type="page"/>
      </w:r>
    </w:p>
    <w:p>
      <w:pPr>
        <w:pStyle w:val="Style34"/>
        <w:keepNext/>
        <w:keepLines/>
        <w:widowControl w:val="0"/>
        <w:shd w:val="clear" w:color="auto" w:fill="auto"/>
        <w:bidi w:val="0"/>
        <w:spacing w:before="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3</w:t>
      </w:r>
      <w:bookmarkEnd w:id="2217"/>
      <w:r>
        <w:rPr>
          <w:color w:val="000000"/>
          <w:spacing w:val="0"/>
          <w:w w:val="100"/>
          <w:position w:val="0"/>
        </w:rPr>
        <w:t>、其他</w:t>
      </w:r>
      <w:bookmarkEnd w:id="2215"/>
      <w:bookmarkEnd w:id="2216"/>
      <w:bookmarkEnd w:id="2218"/>
    </w:p>
    <w:p>
      <w:pPr>
        <w:pStyle w:val="Style27"/>
        <w:keepNext/>
        <w:keepLines/>
        <w:widowControl w:val="0"/>
        <w:shd w:val="clear" w:color="auto" w:fill="auto"/>
        <w:bidi w:val="0"/>
        <w:spacing w:before="0" w:line="240" w:lineRule="auto"/>
        <w:ind w:left="0" w:right="0" w:firstLine="0"/>
        <w:jc w:val="left"/>
      </w:pPr>
      <w:bookmarkStart w:id="2219" w:name="bookmark2219"/>
      <w:bookmarkStart w:id="2220" w:name="bookmark2220"/>
      <w:bookmarkStart w:id="2221" w:name="bookmark2221"/>
      <w:r>
        <w:rPr>
          <w:color w:val="000000"/>
          <w:spacing w:val="0"/>
          <w:w w:val="100"/>
          <w:position w:val="0"/>
          <w:sz w:val="24"/>
          <w:szCs w:val="24"/>
        </w:rPr>
        <w:t>十五、资产负债表日后事项</w:t>
      </w:r>
      <w:bookmarkEnd w:id="2219"/>
      <w:bookmarkEnd w:id="2220"/>
      <w:bookmarkEnd w:id="2221"/>
    </w:p>
    <w:p>
      <w:pPr>
        <w:pStyle w:val="Style34"/>
        <w:keepNext/>
        <w:keepLines/>
        <w:widowControl w:val="0"/>
        <w:shd w:val="clear" w:color="auto" w:fill="auto"/>
        <w:bidi w:val="0"/>
        <w:spacing w:before="0" w:line="240" w:lineRule="auto"/>
        <w:ind w:left="0" w:right="0" w:firstLine="0"/>
        <w:jc w:val="left"/>
      </w:pPr>
      <w:bookmarkStart w:id="2222" w:name="bookmark2222"/>
      <w:bookmarkStart w:id="2223" w:name="bookmark2223"/>
      <w:bookmarkStart w:id="2224" w:name="bookmark222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22"/>
      <w:bookmarkEnd w:id="2223"/>
      <w:bookmarkEnd w:id="222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both"/>
      </w:pPr>
      <w:bookmarkStart w:id="2225" w:name="bookmark2225"/>
      <w:bookmarkStart w:id="2226" w:name="bookmark2226"/>
      <w:bookmarkStart w:id="2227" w:name="bookmark2227"/>
      <w:bookmarkStart w:id="2228" w:name="bookmark2228"/>
      <w:r>
        <w:rPr>
          <w:rFonts w:ascii="Times New Roman" w:eastAsia="Times New Roman" w:hAnsi="Times New Roman" w:cs="Times New Roman"/>
          <w:color w:val="000000"/>
          <w:spacing w:val="0"/>
          <w:w w:val="100"/>
          <w:position w:val="0"/>
        </w:rPr>
        <w:t>2</w:t>
      </w:r>
      <w:bookmarkEnd w:id="2227"/>
      <w:r>
        <w:rPr>
          <w:color w:val="000000"/>
          <w:spacing w:val="0"/>
          <w:w w:val="100"/>
          <w:position w:val="0"/>
        </w:rPr>
        <w:t>、</w:t>
        <w:tab/>
        <w:t>利润分配情况</w:t>
      </w:r>
      <w:bookmarkEnd w:id="2225"/>
      <w:bookmarkEnd w:id="2226"/>
      <w:bookmarkEnd w:id="2228"/>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4"/>
        <w:keepNext/>
        <w:keepLines/>
        <w:widowControl w:val="0"/>
        <w:shd w:val="clear" w:color="auto" w:fill="auto"/>
        <w:tabs>
          <w:tab w:pos="378" w:val="left"/>
        </w:tabs>
        <w:bidi w:val="0"/>
        <w:spacing w:before="0" w:line="240" w:lineRule="auto"/>
        <w:ind w:left="0" w:right="0" w:firstLine="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3</w:t>
      </w:r>
      <w:bookmarkEnd w:id="2231"/>
      <w:r>
        <w:rPr>
          <w:color w:val="000000"/>
          <w:spacing w:val="0"/>
          <w:w w:val="100"/>
          <w:position w:val="0"/>
        </w:rPr>
        <w:t>、</w:t>
        <w:tab/>
        <w:t>销售退回</w:t>
      </w:r>
      <w:bookmarkEnd w:id="2229"/>
      <w:bookmarkEnd w:id="2230"/>
      <w:bookmarkEnd w:id="2232"/>
    </w:p>
    <w:p>
      <w:pPr>
        <w:pStyle w:val="Style34"/>
        <w:keepNext/>
        <w:keepLines/>
        <w:widowControl w:val="0"/>
        <w:shd w:val="clear" w:color="auto" w:fill="auto"/>
        <w:tabs>
          <w:tab w:pos="378" w:val="left"/>
        </w:tabs>
        <w:bidi w:val="0"/>
        <w:spacing w:before="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4</w:t>
      </w:r>
      <w:bookmarkEnd w:id="2235"/>
      <w:r>
        <w:rPr>
          <w:color w:val="000000"/>
          <w:spacing w:val="0"/>
          <w:w w:val="100"/>
          <w:position w:val="0"/>
        </w:rPr>
        <w:t>、</w:t>
        <w:tab/>
        <w:t>其他资产负债表日后事项说明</w:t>
      </w:r>
      <w:bookmarkEnd w:id="2233"/>
      <w:bookmarkEnd w:id="2234"/>
      <w:bookmarkEnd w:id="2236"/>
    </w:p>
    <w:p>
      <w:pPr>
        <w:pStyle w:val="Style31"/>
        <w:keepNext w:val="0"/>
        <w:keepLines w:val="0"/>
        <w:widowControl w:val="0"/>
        <w:shd w:val="clear" w:color="auto" w:fill="auto"/>
        <w:bidi w:val="0"/>
        <w:spacing w:before="0" w:after="680" w:line="240" w:lineRule="auto"/>
        <w:ind w:left="0" w:right="0"/>
        <w:jc w:val="left"/>
      </w:pPr>
      <w:r>
        <w:rPr>
          <w:color w:val="000000"/>
          <w:spacing w:val="0"/>
          <w:w w:val="100"/>
          <w:position w:val="0"/>
        </w:rPr>
        <w:t>截至财务报告批准报出日止，本公司无其他应披露未披露的重大资产负债表日后事项。</w:t>
      </w:r>
    </w:p>
    <w:p>
      <w:pPr>
        <w:pStyle w:val="Style27"/>
        <w:keepNext/>
        <w:keepLines/>
        <w:widowControl w:val="0"/>
        <w:shd w:val="clear" w:color="auto" w:fill="auto"/>
        <w:bidi w:val="0"/>
        <w:spacing w:before="0" w:line="240" w:lineRule="auto"/>
        <w:ind w:left="0" w:right="0" w:firstLine="0"/>
        <w:jc w:val="left"/>
      </w:pPr>
      <w:bookmarkStart w:id="2237" w:name="bookmark2237"/>
      <w:bookmarkStart w:id="2238" w:name="bookmark2238"/>
      <w:bookmarkStart w:id="2239" w:name="bookmark2239"/>
      <w:r>
        <w:rPr>
          <w:color w:val="000000"/>
          <w:spacing w:val="0"/>
          <w:w w:val="100"/>
          <w:position w:val="0"/>
          <w:sz w:val="24"/>
          <w:szCs w:val="24"/>
        </w:rPr>
        <w:t>十六、其他重要事项</w:t>
      </w:r>
      <w:bookmarkEnd w:id="2237"/>
      <w:bookmarkEnd w:id="2238"/>
      <w:bookmarkEnd w:id="2239"/>
    </w:p>
    <w:p>
      <w:pPr>
        <w:pStyle w:val="Style34"/>
        <w:keepNext/>
        <w:keepLines/>
        <w:widowControl w:val="0"/>
        <w:shd w:val="clear" w:color="auto" w:fill="auto"/>
        <w:bidi w:val="0"/>
        <w:spacing w:before="0" w:line="240" w:lineRule="auto"/>
        <w:ind w:left="0" w:right="0" w:firstLine="0"/>
        <w:jc w:val="left"/>
      </w:pPr>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40"/>
      <w:bookmarkEnd w:id="2241"/>
      <w:bookmarkEnd w:id="2242"/>
    </w:p>
    <w:p>
      <w:pPr>
        <w:pStyle w:val="Style40"/>
        <w:keepNext/>
        <w:keepLines/>
        <w:widowControl w:val="0"/>
        <w:shd w:val="clear" w:color="auto" w:fill="auto"/>
        <w:bidi w:val="0"/>
        <w:spacing w:before="0" w:after="360" w:line="240" w:lineRule="auto"/>
        <w:ind w:left="0" w:right="0" w:firstLine="0"/>
        <w:jc w:val="both"/>
      </w:pPr>
      <w:bookmarkStart w:id="2243" w:name="bookmark2243"/>
      <w:bookmarkStart w:id="2244" w:name="bookmark2244"/>
      <w:bookmarkStart w:id="2245" w:name="bookmark22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43"/>
      <w:bookmarkEnd w:id="2244"/>
      <w:bookmarkEnd w:id="224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46"/>
      <w:bookmarkEnd w:id="2247"/>
      <w:bookmarkEnd w:id="2248"/>
    </w:p>
    <w:p>
      <w:pPr>
        <w:widowControl w:val="0"/>
        <w:spacing w:line="1" w:lineRule="exac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80" w:right="1077" w:bottom="1459" w:left="1051" w:header="0" w:footer="3" w:gutter="0"/>
          <w:cols w:space="720"/>
          <w:noEndnote/>
          <w:rtlGutter w:val="0"/>
          <w:docGrid w:linePitch="360"/>
        </w:sectPr>
      </w:pPr>
      <w:r>
        <mc:AlternateContent>
          <mc:Choice Requires="wps">
            <w:drawing>
              <wp:anchor distT="190500" distB="3175" distL="0" distR="0" simplePos="0" relativeHeight="125829392" behindDoc="0" locked="0" layoutInCell="1" allowOverlap="1">
                <wp:simplePos x="0" y="0"/>
                <wp:positionH relativeFrom="page">
                  <wp:posOffset>1236980</wp:posOffset>
                </wp:positionH>
                <wp:positionV relativeFrom="paragraph">
                  <wp:posOffset>190500</wp:posOffset>
                </wp:positionV>
                <wp:extent cx="1057910" cy="146050"/>
                <wp:wrapTopAndBottom/>
                <wp:docPr id="59" name="Shape 59"/>
                <a:graphic xmlns:a="http://schemas.openxmlformats.org/drawingml/2006/main">
                  <a:graphicData uri="http://schemas.microsoft.com/office/word/2010/wordprocessingShape">
                    <wps:wsp>
                      <wps:cNvSpPr txBox="1"/>
                      <wps:spPr>
                        <a:xfrm>
                          <a:ext cx="1057910" cy="146050"/>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wps:txbx>
                      <wps:bodyPr wrap="none" lIns="0" tIns="0" rIns="0" bIns="0">
                        <a:noAutoFit/>
                      </wps:bodyPr>
                    </wps:wsp>
                  </a:graphicData>
                </a:graphic>
              </wp:anchor>
            </w:drawing>
          </mc:Choice>
          <mc:Fallback>
            <w:pict>
              <v:shape id="_x0000_s1085" type="#_x0000_t202" style="position:absolute;margin-left:97.400000000000006pt;margin-top:15.pt;width:83.299999999999997pt;height:11.5pt;z-index:-125829361;mso-wrap-distance-left:0;mso-wrap-distance-top:15.pt;mso-wrap-distance-right:0;mso-wrap-distance-bottom:0.25pt;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会计差错更正的内容</w:t>
                      </w:r>
                    </w:p>
                  </w:txbxContent>
                </v:textbox>
                <w10:wrap type="topAndBottom" anchorx="page"/>
              </v:shape>
            </w:pict>
          </mc:Fallback>
        </mc:AlternateContent>
      </w:r>
      <w:r>
        <mc:AlternateContent>
          <mc:Choice Requires="wps">
            <w:drawing>
              <wp:anchor distT="190500" distB="0" distL="0" distR="0" simplePos="0" relativeHeight="125829394" behindDoc="0" locked="0" layoutInCell="1" allowOverlap="1">
                <wp:simplePos x="0" y="0"/>
                <wp:positionH relativeFrom="page">
                  <wp:posOffset>3550285</wp:posOffset>
                </wp:positionH>
                <wp:positionV relativeFrom="paragraph">
                  <wp:posOffset>190500</wp:posOffset>
                </wp:positionV>
                <wp:extent cx="481330" cy="149225"/>
                <wp:wrapTopAndBottom/>
                <wp:docPr id="61" name="Shape 61"/>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批准程序</w:t>
                            </w:r>
                          </w:p>
                        </w:txbxContent>
                      </wps:txbx>
                      <wps:bodyPr wrap="none" lIns="0" tIns="0" rIns="0" bIns="0">
                        <a:noAutoFit/>
                      </wps:bodyPr>
                    </wps:wsp>
                  </a:graphicData>
                </a:graphic>
              </wp:anchor>
            </w:drawing>
          </mc:Choice>
          <mc:Fallback>
            <w:pict>
              <v:shape id="_x0000_s1087" type="#_x0000_t202" style="position:absolute;margin-left:279.55000000000001pt;margin-top:15.pt;width:37.899999999999999pt;height:11.75pt;z-index:-125829359;mso-wrap-distance-left:0;mso-wrap-distance-top:15.pt;mso-wrap-distance-right:0;mso-position-horizontal-relative:page" filled="f" stroked="f">
                <v:textbox inset="0,0,0,0">
                  <w:txbxContent>
                    <w:p>
                      <w:pPr>
                        <w:pStyle w:val="Style31"/>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批准程序</w:t>
                      </w:r>
                    </w:p>
                  </w:txbxContent>
                </v:textbox>
                <w10:wrap type="topAndBottom" anchorx="page"/>
              </v:shape>
            </w:pict>
          </mc:Fallback>
        </mc:AlternateContent>
      </w:r>
      <w:r>
        <mc:AlternateContent>
          <mc:Choice Requires="wps">
            <w:drawing>
              <wp:anchor distT="190500" distB="5715" distL="0" distR="0" simplePos="0" relativeHeight="125829396" behindDoc="0" locked="0" layoutInCell="1" allowOverlap="1">
                <wp:simplePos x="0" y="0"/>
                <wp:positionH relativeFrom="page">
                  <wp:posOffset>5193030</wp:posOffset>
                </wp:positionH>
                <wp:positionV relativeFrom="paragraph">
                  <wp:posOffset>190500</wp:posOffset>
                </wp:positionV>
                <wp:extent cx="1167130" cy="143510"/>
                <wp:wrapTopAndBottom/>
                <wp:docPr id="63" name="Shape 63"/>
                <a:graphic xmlns:a="http://schemas.openxmlformats.org/drawingml/2006/main">
                  <a:graphicData uri="http://schemas.microsoft.com/office/word/2010/wordprocessingShape">
                    <wps:wsp>
                      <wps:cNvSpPr txBox="1"/>
                      <wps:spPr>
                        <a:xfrm>
                          <a:ext cx="1167130" cy="143510"/>
                        </a:xfrm>
                        <a:prstGeom prst="rect"/>
                        <a:noFill/>
                      </wps:spPr>
                      <wps:txbx>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wps:txbx>
                      <wps:bodyPr wrap="none" lIns="0" tIns="0" rIns="0" bIns="0">
                        <a:noAutoFit/>
                      </wps:bodyPr>
                    </wps:wsp>
                  </a:graphicData>
                </a:graphic>
              </wp:anchor>
            </w:drawing>
          </mc:Choice>
          <mc:Fallback>
            <w:pict>
              <v:shape id="_x0000_s1089" type="#_x0000_t202" style="position:absolute;margin-left:408.90000000000003pt;margin-top:15.pt;width:91.900000000000006pt;height:11.300000000000001pt;z-index:-125829357;mso-wrap-distance-left:0;mso-wrap-distance-top:15.pt;mso-wrap-distance-right:0;mso-wrap-distance-bottom:0.45000000000000001pt;mso-position-horizontal-relative:page" filled="f" stroked="f">
                <v:textbox inset="0,0,0,0">
                  <w:txbxContent>
                    <w:p>
                      <w:pPr>
                        <w:pStyle w:val="Style31"/>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采用未来适用法的原因</w:t>
                      </w:r>
                    </w:p>
                  </w:txbxContent>
                </v:textbox>
                <w10:wrap type="topAndBottom" anchorx="page"/>
              </v:shape>
            </w:pict>
          </mc:Fallback>
        </mc:AlternateContent>
      </w:r>
    </w:p>
    <w:p>
      <w:pPr>
        <w:pStyle w:val="Style34"/>
        <w:keepNext/>
        <w:keepLines/>
        <w:widowControl w:val="0"/>
        <w:shd w:val="clear" w:color="auto" w:fill="auto"/>
        <w:tabs>
          <w:tab w:pos="378" w:val="left"/>
        </w:tabs>
        <w:bidi w:val="0"/>
        <w:spacing w:before="0" w:line="240" w:lineRule="auto"/>
        <w:ind w:left="0" w:right="0" w:firstLine="0"/>
        <w:jc w:val="both"/>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2</w:t>
      </w:r>
      <w:bookmarkEnd w:id="2251"/>
      <w:r>
        <w:rPr>
          <w:color w:val="000000"/>
          <w:spacing w:val="0"/>
          <w:w w:val="100"/>
          <w:position w:val="0"/>
        </w:rPr>
        <w:t>、</w:t>
        <w:tab/>
        <w:t>债务重组</w:t>
      </w:r>
      <w:bookmarkEnd w:id="2249"/>
      <w:bookmarkEnd w:id="2250"/>
      <w:bookmarkEnd w:id="2252"/>
    </w:p>
    <w:p>
      <w:pPr>
        <w:pStyle w:val="Style34"/>
        <w:keepNext/>
        <w:keepLines/>
        <w:widowControl w:val="0"/>
        <w:shd w:val="clear" w:color="auto" w:fill="auto"/>
        <w:tabs>
          <w:tab w:pos="378" w:val="left"/>
        </w:tabs>
        <w:bidi w:val="0"/>
        <w:spacing w:before="0" w:line="240" w:lineRule="auto"/>
        <w:ind w:left="0" w:right="0" w:firstLine="0"/>
        <w:jc w:val="both"/>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3</w:t>
      </w:r>
      <w:bookmarkEnd w:id="2255"/>
      <w:r>
        <w:rPr>
          <w:color w:val="000000"/>
          <w:spacing w:val="0"/>
          <w:w w:val="100"/>
          <w:position w:val="0"/>
        </w:rPr>
        <w:t>、</w:t>
        <w:tab/>
        <w:t>资产置换</w:t>
      </w:r>
      <w:bookmarkEnd w:id="2253"/>
      <w:bookmarkEnd w:id="2254"/>
      <w:bookmarkEnd w:id="2256"/>
    </w:p>
    <w:p>
      <w:pPr>
        <w:pStyle w:val="Style40"/>
        <w:keepNext/>
        <w:keepLines/>
        <w:widowControl w:val="0"/>
        <w:shd w:val="clear" w:color="auto" w:fill="auto"/>
        <w:tabs>
          <w:tab w:pos="558" w:val="left"/>
        </w:tabs>
        <w:bidi w:val="0"/>
        <w:spacing w:before="0" w:after="360" w:line="240" w:lineRule="auto"/>
        <w:ind w:left="0" w:right="0" w:firstLine="0"/>
        <w:jc w:val="both"/>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57"/>
      <w:bookmarkEnd w:id="2258"/>
      <w:bookmarkEnd w:id="2260"/>
    </w:p>
    <w:p>
      <w:pPr>
        <w:pStyle w:val="Style40"/>
        <w:keepNext/>
        <w:keepLines/>
        <w:widowControl w:val="0"/>
        <w:shd w:val="clear" w:color="auto" w:fill="auto"/>
        <w:tabs>
          <w:tab w:pos="558" w:val="left"/>
        </w:tabs>
        <w:bidi w:val="0"/>
        <w:spacing w:before="0" w:after="360" w:line="240" w:lineRule="auto"/>
        <w:ind w:left="0" w:right="0" w:firstLine="0"/>
        <w:jc w:val="both"/>
      </w:pPr>
      <w:bookmarkStart w:id="2261" w:name="bookmark2261"/>
      <w:bookmarkStart w:id="2262" w:name="bookmark2262"/>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61"/>
      <w:bookmarkEnd w:id="2262"/>
      <w:bookmarkEnd w:id="2264"/>
    </w:p>
    <w:p>
      <w:pPr>
        <w:pStyle w:val="Style34"/>
        <w:keepNext/>
        <w:keepLines/>
        <w:widowControl w:val="0"/>
        <w:shd w:val="clear" w:color="auto" w:fill="auto"/>
        <w:tabs>
          <w:tab w:pos="378" w:val="left"/>
        </w:tabs>
        <w:bidi w:val="0"/>
        <w:spacing w:before="0" w:line="240" w:lineRule="auto"/>
        <w:ind w:left="0" w:right="0" w:firstLine="0"/>
        <w:jc w:val="both"/>
      </w:pPr>
      <w:bookmarkStart w:id="2265" w:name="bookmark2265"/>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4</w:t>
      </w:r>
      <w:bookmarkEnd w:id="2267"/>
      <w:r>
        <w:rPr>
          <w:color w:val="000000"/>
          <w:spacing w:val="0"/>
          <w:w w:val="100"/>
          <w:position w:val="0"/>
        </w:rPr>
        <w:t>、</w:t>
        <w:tab/>
        <w:t>年金计划</w:t>
      </w:r>
      <w:bookmarkEnd w:id="2265"/>
      <w:bookmarkEnd w:id="2266"/>
      <w:bookmarkEnd w:id="2268"/>
    </w:p>
    <w:p>
      <w:pPr>
        <w:pStyle w:val="Style34"/>
        <w:keepNext/>
        <w:keepLines/>
        <w:widowControl w:val="0"/>
        <w:shd w:val="clear" w:color="auto" w:fill="auto"/>
        <w:tabs>
          <w:tab w:pos="378" w:val="left"/>
        </w:tabs>
        <w:bidi w:val="0"/>
        <w:spacing w:before="0" w:line="240" w:lineRule="auto"/>
        <w:ind w:left="0" w:right="0" w:firstLine="0"/>
        <w:jc w:val="both"/>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5</w:t>
      </w:r>
      <w:bookmarkEnd w:id="2271"/>
      <w:r>
        <w:rPr>
          <w:color w:val="000000"/>
          <w:spacing w:val="0"/>
          <w:w w:val="100"/>
          <w:position w:val="0"/>
        </w:rPr>
        <w:t>、</w:t>
        <w:tab/>
        <w:t>终止经营</w:t>
      </w:r>
      <w:bookmarkEnd w:id="2269"/>
      <w:bookmarkEnd w:id="2270"/>
      <w:bookmarkEnd w:id="227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6</w:t>
      </w:r>
      <w:bookmarkEnd w:id="2275"/>
      <w:r>
        <w:rPr>
          <w:color w:val="000000"/>
          <w:spacing w:val="0"/>
          <w:w w:val="100"/>
          <w:position w:val="0"/>
        </w:rPr>
        <w:t>、分部信息</w:t>
      </w:r>
      <w:bookmarkEnd w:id="2273"/>
      <w:bookmarkEnd w:id="2274"/>
      <w:bookmarkEnd w:id="2276"/>
    </w:p>
    <w:p>
      <w:pPr>
        <w:pStyle w:val="Style40"/>
        <w:keepNext/>
        <w:keepLines/>
        <w:widowControl w:val="0"/>
        <w:shd w:val="clear" w:color="auto" w:fill="auto"/>
        <w:bidi w:val="0"/>
        <w:spacing w:before="0" w:after="280" w:line="240" w:lineRule="auto"/>
        <w:ind w:left="0" w:right="0" w:firstLine="0"/>
        <w:jc w:val="left"/>
      </w:pPr>
      <w:bookmarkStart w:id="2277" w:name="bookmark2277"/>
      <w:bookmarkStart w:id="2278" w:name="bookmark2278"/>
      <w:bookmarkStart w:id="2279" w:name="bookmark2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277"/>
      <w:bookmarkEnd w:id="2278"/>
      <w:bookmarkEnd w:id="2279"/>
    </w:p>
    <w:p>
      <w:pPr>
        <w:pStyle w:val="Style31"/>
        <w:keepNext w:val="0"/>
        <w:keepLines w:val="0"/>
        <w:widowControl w:val="0"/>
        <w:shd w:val="clear" w:color="auto" w:fill="auto"/>
        <w:tabs>
          <w:tab w:pos="638" w:val="left"/>
        </w:tabs>
        <w:bidi w:val="0"/>
        <w:spacing w:before="0" w:after="0" w:line="312" w:lineRule="exact"/>
        <w:ind w:left="0" w:right="0" w:firstLine="280"/>
        <w:jc w:val="left"/>
      </w:pPr>
      <w:bookmarkStart w:id="2280" w:name="bookmark2280"/>
      <w:r>
        <w:rPr>
          <w:rFonts w:ascii="Times New Roman" w:eastAsia="Times New Roman" w:hAnsi="Times New Roman" w:cs="Times New Roman"/>
          <w:b/>
          <w:bCs/>
          <w:color w:val="000000"/>
          <w:spacing w:val="0"/>
          <w:w w:val="100"/>
          <w:position w:val="0"/>
          <w:sz w:val="18"/>
          <w:szCs w:val="18"/>
        </w:rPr>
        <w:t>1</w:t>
      </w:r>
      <w:bookmarkEnd w:id="2280"/>
      <w:r>
        <w:rPr>
          <w:b/>
          <w:bCs/>
          <w:color w:val="000000"/>
          <w:spacing w:val="0"/>
          <w:w w:val="100"/>
          <w:position w:val="0"/>
        </w:rPr>
        <w:t>）</w:t>
        <w:tab/>
        <w:t>报告分部的确定依据与会计政策</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本公司以内部组织结构、管理要求、内部报告制度为依据确定经营分部。本公司的经营分部是指同时满足下列条件的组 成部分：</w:t>
      </w:r>
    </w:p>
    <w:p>
      <w:pPr>
        <w:pStyle w:val="Style31"/>
        <w:keepNext w:val="0"/>
        <w:keepLines w:val="0"/>
        <w:widowControl w:val="0"/>
        <w:numPr>
          <w:ilvl w:val="0"/>
          <w:numId w:val="157"/>
        </w:numPr>
        <w:shd w:val="clear" w:color="auto" w:fill="auto"/>
        <w:tabs>
          <w:tab w:pos="753" w:val="left"/>
        </w:tabs>
        <w:bidi w:val="0"/>
        <w:spacing w:before="0" w:after="0" w:line="312" w:lineRule="exact"/>
        <w:ind w:left="0" w:right="0"/>
        <w:jc w:val="both"/>
      </w:pPr>
      <w:bookmarkStart w:id="2281" w:name="bookmark2281"/>
      <w:bookmarkEnd w:id="2281"/>
      <w:r>
        <w:rPr>
          <w:color w:val="000000"/>
          <w:spacing w:val="0"/>
          <w:w w:val="100"/>
          <w:position w:val="0"/>
        </w:rPr>
        <w:t>该组成部分能够在日常活动中产生收入、发生费用；</w:t>
      </w:r>
    </w:p>
    <w:p>
      <w:pPr>
        <w:pStyle w:val="Style31"/>
        <w:keepNext w:val="0"/>
        <w:keepLines w:val="0"/>
        <w:widowControl w:val="0"/>
        <w:numPr>
          <w:ilvl w:val="0"/>
          <w:numId w:val="157"/>
        </w:numPr>
        <w:shd w:val="clear" w:color="auto" w:fill="auto"/>
        <w:tabs>
          <w:tab w:pos="753" w:val="left"/>
        </w:tabs>
        <w:bidi w:val="0"/>
        <w:spacing w:before="0" w:after="0" w:line="312" w:lineRule="exact"/>
        <w:ind w:left="0" w:right="0"/>
        <w:jc w:val="both"/>
      </w:pPr>
      <w:bookmarkStart w:id="2282" w:name="bookmark2282"/>
      <w:bookmarkEnd w:id="2282"/>
      <w:r>
        <w:rPr>
          <w:color w:val="000000"/>
          <w:spacing w:val="0"/>
          <w:w w:val="100"/>
          <w:position w:val="0"/>
        </w:rPr>
        <w:t>管理层能够定期评价该组成部分的经营成果，以决定向其配置资源、评价其业绩；</w:t>
      </w:r>
    </w:p>
    <w:p>
      <w:pPr>
        <w:pStyle w:val="Style31"/>
        <w:keepNext w:val="0"/>
        <w:keepLines w:val="0"/>
        <w:widowControl w:val="0"/>
        <w:numPr>
          <w:ilvl w:val="0"/>
          <w:numId w:val="157"/>
        </w:numPr>
        <w:shd w:val="clear" w:color="auto" w:fill="auto"/>
        <w:tabs>
          <w:tab w:pos="753" w:val="left"/>
        </w:tabs>
        <w:bidi w:val="0"/>
        <w:spacing w:before="0" w:after="0" w:line="312" w:lineRule="exact"/>
        <w:ind w:left="0" w:right="0"/>
        <w:jc w:val="both"/>
      </w:pPr>
      <w:bookmarkStart w:id="2283" w:name="bookmark2283"/>
      <w:bookmarkEnd w:id="2283"/>
      <w:r>
        <w:rPr>
          <w:color w:val="000000"/>
          <w:spacing w:val="0"/>
          <w:w w:val="100"/>
          <w:position w:val="0"/>
        </w:rPr>
        <w:t>能够取得该组成部分的财务状况、经营成果和现金流量等有关会计信息。</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本公司以经营分部为基础确定报告分部，满足下列条件之一的经营分部确定为报告分部：</w:t>
      </w:r>
    </w:p>
    <w:p>
      <w:pPr>
        <w:pStyle w:val="Style31"/>
        <w:keepNext w:val="0"/>
        <w:keepLines w:val="0"/>
        <w:widowControl w:val="0"/>
        <w:numPr>
          <w:ilvl w:val="0"/>
          <w:numId w:val="159"/>
        </w:numPr>
        <w:shd w:val="clear" w:color="auto" w:fill="auto"/>
        <w:tabs>
          <w:tab w:pos="753" w:val="left"/>
        </w:tabs>
        <w:bidi w:val="0"/>
        <w:spacing w:before="0" w:after="0" w:line="312" w:lineRule="exact"/>
        <w:ind w:left="0" w:right="0"/>
        <w:jc w:val="both"/>
      </w:pPr>
      <w:bookmarkStart w:id="2284" w:name="bookmark2284"/>
      <w:bookmarkEnd w:id="2284"/>
      <w:r>
        <w:rPr>
          <w:color w:val="000000"/>
          <w:spacing w:val="0"/>
          <w:w w:val="100"/>
          <w:position w:val="0"/>
        </w:rPr>
        <w:t>该经营分部的分部收入占所有分部收入合计的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或者以上；</w:t>
      </w:r>
    </w:p>
    <w:p>
      <w:pPr>
        <w:pStyle w:val="Style31"/>
        <w:keepNext w:val="0"/>
        <w:keepLines w:val="0"/>
        <w:widowControl w:val="0"/>
        <w:numPr>
          <w:ilvl w:val="0"/>
          <w:numId w:val="159"/>
        </w:numPr>
        <w:shd w:val="clear" w:color="auto" w:fill="auto"/>
        <w:tabs>
          <w:tab w:pos="728" w:val="left"/>
        </w:tabs>
        <w:bidi w:val="0"/>
        <w:spacing w:before="0" w:after="0" w:line="312" w:lineRule="exact"/>
        <w:ind w:left="0" w:right="0"/>
        <w:jc w:val="both"/>
      </w:pPr>
      <w:bookmarkStart w:id="2285" w:name="bookmark2285"/>
      <w:bookmarkEnd w:id="2285"/>
      <w:r>
        <w:rPr>
          <w:color w:val="000000"/>
          <w:spacing w:val="0"/>
          <w:w w:val="100"/>
          <w:position w:val="0"/>
        </w:rPr>
        <w:t>该分部的分部利润（亏损）的绝对额，占所有盈利分部利润合计额或者所有亏损分部亏损合计额的绝对额两者中较大 者的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或者以上。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按上述会计政策确定的报告分部的经营分部的对外交易收入合计额占合并总收入的比重未达到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时，增加报告分部的 数量，按下述规定将其他未作为报告分部的经营分部纳入报告分部的范围，直到该比重达到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31"/>
        <w:keepNext w:val="0"/>
        <w:keepLines w:val="0"/>
        <w:widowControl w:val="0"/>
        <w:numPr>
          <w:ilvl w:val="0"/>
          <w:numId w:val="161"/>
        </w:numPr>
        <w:shd w:val="clear" w:color="auto" w:fill="auto"/>
        <w:tabs>
          <w:tab w:pos="753" w:val="left"/>
        </w:tabs>
        <w:bidi w:val="0"/>
        <w:spacing w:before="0" w:after="0" w:line="312" w:lineRule="exact"/>
        <w:ind w:left="0" w:right="0"/>
        <w:jc w:val="both"/>
      </w:pPr>
      <w:bookmarkStart w:id="2286" w:name="bookmark2286"/>
      <w:bookmarkEnd w:id="2286"/>
      <w:r>
        <w:rPr>
          <w:color w:val="000000"/>
          <w:spacing w:val="0"/>
          <w:w w:val="100"/>
          <w:position w:val="0"/>
        </w:rPr>
        <w:t>将管理层认为披露该经营分部信息对会计信息使用者有用的经营分部确定为报告分部；</w:t>
      </w:r>
    </w:p>
    <w:p>
      <w:pPr>
        <w:pStyle w:val="Style31"/>
        <w:keepNext w:val="0"/>
        <w:keepLines w:val="0"/>
        <w:widowControl w:val="0"/>
        <w:numPr>
          <w:ilvl w:val="0"/>
          <w:numId w:val="161"/>
        </w:numPr>
        <w:shd w:val="clear" w:color="auto" w:fill="auto"/>
        <w:tabs>
          <w:tab w:pos="723" w:val="left"/>
        </w:tabs>
        <w:bidi w:val="0"/>
        <w:spacing w:before="0" w:after="0" w:line="312" w:lineRule="exact"/>
        <w:ind w:left="0" w:right="0"/>
        <w:jc w:val="both"/>
      </w:pPr>
      <w:bookmarkStart w:id="2287" w:name="bookmark2287"/>
      <w:bookmarkEnd w:id="2287"/>
      <w:r>
        <w:rPr>
          <w:color w:val="000000"/>
          <w:spacing w:val="0"/>
          <w:w w:val="100"/>
          <w:position w:val="0"/>
        </w:rPr>
        <w:t>将该经营分部与一个或一个以上的具有相似经济特征、满足经营分部合并条件的其他经营分部合并，作为一个报告分 部。</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分部间转移价格参照市场价格确定，与各分部共同使用的资产、相关的费用按照收入比例在不同的分部之间分配。</w:t>
      </w:r>
    </w:p>
    <w:p>
      <w:pPr>
        <w:pStyle w:val="Style31"/>
        <w:keepNext w:val="0"/>
        <w:keepLines w:val="0"/>
        <w:widowControl w:val="0"/>
        <w:shd w:val="clear" w:color="auto" w:fill="auto"/>
        <w:tabs>
          <w:tab w:pos="653" w:val="left"/>
        </w:tabs>
        <w:bidi w:val="0"/>
        <w:spacing w:before="0" w:after="0" w:line="312" w:lineRule="exact"/>
        <w:ind w:left="0" w:right="0" w:firstLine="280"/>
        <w:jc w:val="both"/>
      </w:pPr>
      <w:bookmarkStart w:id="2288" w:name="bookmark2288"/>
      <w:r>
        <w:rPr>
          <w:rFonts w:ascii="Times New Roman" w:eastAsia="Times New Roman" w:hAnsi="Times New Roman" w:cs="Times New Roman"/>
          <w:b/>
          <w:bCs/>
          <w:color w:val="000000"/>
          <w:spacing w:val="0"/>
          <w:w w:val="100"/>
          <w:position w:val="0"/>
          <w:sz w:val="18"/>
          <w:szCs w:val="18"/>
        </w:rPr>
        <w:t>2</w:t>
      </w:r>
      <w:bookmarkEnd w:id="2288"/>
      <w:r>
        <w:rPr>
          <w:b/>
          <w:bCs/>
          <w:color w:val="000000"/>
          <w:spacing w:val="0"/>
          <w:w w:val="100"/>
          <w:position w:val="0"/>
        </w:rPr>
        <w:t>）</w:t>
        <w:tab/>
        <w:t>本公司确定报告分部考虑的因素、报告分部的产品和劳务的类型</w:t>
      </w:r>
    </w:p>
    <w:p>
      <w:pPr>
        <w:pStyle w:val="Style31"/>
        <w:keepNext w:val="0"/>
        <w:keepLines w:val="0"/>
        <w:widowControl w:val="0"/>
        <w:shd w:val="clear" w:color="auto" w:fill="auto"/>
        <w:bidi w:val="0"/>
        <w:spacing w:before="0" w:after="320" w:line="312" w:lineRule="exact"/>
        <w:ind w:left="0" w:right="0"/>
        <w:jc w:val="both"/>
      </w:pPr>
      <w:r>
        <w:rPr>
          <w:color w:val="000000"/>
          <w:spacing w:val="0"/>
          <w:w w:val="100"/>
          <w:position w:val="0"/>
        </w:rPr>
        <w:t>根据本公司的内部组织结构、管理要求及内部报告制度，本公司的经营业务划分为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个经营分部，本公司的管理层定期 评价这些分部的经营成果，以决定向其分配资源及评价其业绩。在经营分部的基础上本公司确定了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个报告分部，分别为电 源业务部、逆变器业务部、光伏电站业务部。这些报告分部是以产品类别为基础确定的。电源业务部提供的主要产品及劳务 为消费电子类电源、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驱动电源的生产与销售；逆变器业务部提供的主要产品及劳务为太阳能光伏逆变器的生产和销售； 光伏电站业务部提供的主要产品及劳务为太阳能光伏发电系统的设计、开发、投资、建设和经营。</w:t>
      </w:r>
    </w:p>
    <w:p>
      <w:pPr>
        <w:pStyle w:val="Style40"/>
        <w:keepNext/>
        <w:keepLines/>
        <w:widowControl w:val="0"/>
        <w:shd w:val="clear" w:color="auto" w:fill="auto"/>
        <w:bidi w:val="0"/>
        <w:spacing w:before="0" w:after="360" w:line="240" w:lineRule="auto"/>
        <w:ind w:left="0" w:right="0" w:firstLine="140"/>
        <w:jc w:val="left"/>
      </w:pPr>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89"/>
      <w:bookmarkEnd w:id="2290"/>
      <w:bookmarkEnd w:id="22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光伏电站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逆变器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120,472.46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123,495.87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97,431.73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190,452.50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-48,158.14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173,151.73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106,504.46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32,091.47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-40,712.19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103,861.77</w:t>
            </w:r>
          </w:p>
        </w:tc>
      </w:tr>
    </w:tbl>
    <w:p>
      <w:pPr>
        <w:widowControl w:val="0"/>
        <w:spacing w:after="359" w:line="1" w:lineRule="exact"/>
      </w:pPr>
    </w:p>
    <w:p>
      <w:pPr>
        <w:pStyle w:val="Style40"/>
        <w:keepNext/>
        <w:keepLines/>
        <w:widowControl w:val="0"/>
        <w:numPr>
          <w:ilvl w:val="0"/>
          <w:numId w:val="163"/>
        </w:numPr>
        <w:shd w:val="clear" w:color="auto" w:fill="auto"/>
        <w:tabs>
          <w:tab w:pos="493" w:val="left"/>
        </w:tabs>
        <w:bidi w:val="0"/>
        <w:spacing w:before="0" w:after="360" w:line="240" w:lineRule="auto"/>
        <w:ind w:left="0" w:right="0" w:firstLine="0"/>
        <w:jc w:val="left"/>
      </w:pPr>
      <w:bookmarkStart w:id="2292" w:name="bookmark2292"/>
      <w:bookmarkStart w:id="2293" w:name="bookmark2293"/>
      <w:bookmarkStart w:id="2294" w:name="bookmark2294"/>
      <w:bookmarkStart w:id="2295" w:name="bookmark2295"/>
      <w:bookmarkEnd w:id="2294"/>
      <w:r>
        <w:rPr>
          <w:color w:val="000000"/>
          <w:spacing w:val="0"/>
          <w:w w:val="100"/>
          <w:position w:val="0"/>
        </w:rPr>
        <w:t>公司无报告分部的，或者不能披露各报告分部的资产总额和负债总额的，应说明原因</w:t>
      </w:r>
      <w:bookmarkEnd w:id="2292"/>
      <w:bookmarkEnd w:id="2293"/>
      <w:bookmarkEnd w:id="229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val="0"/>
        <w:keepLines w:val="0"/>
        <w:widowControl w:val="0"/>
        <w:numPr>
          <w:ilvl w:val="0"/>
          <w:numId w:val="163"/>
        </w:numPr>
        <w:shd w:val="clear" w:color="auto" w:fill="auto"/>
        <w:tabs>
          <w:tab w:pos="493" w:val="left"/>
        </w:tabs>
        <w:bidi w:val="0"/>
        <w:spacing w:before="0" w:after="360" w:line="240" w:lineRule="auto"/>
        <w:ind w:left="0" w:right="0" w:firstLine="0"/>
        <w:jc w:val="left"/>
        <w:rPr>
          <w:sz w:val="20"/>
          <w:szCs w:val="20"/>
        </w:rPr>
      </w:pPr>
      <w:bookmarkStart w:id="2296" w:name="bookmark2296"/>
      <w:bookmarkStart w:id="2297" w:name="bookmark2297"/>
      <w:bookmarkEnd w:id="2296"/>
      <w:r>
        <w:rPr>
          <w:b/>
          <w:bCs/>
          <w:color w:val="000000"/>
          <w:spacing w:val="0"/>
          <w:w w:val="100"/>
          <w:position w:val="0"/>
          <w:sz w:val="20"/>
          <w:szCs w:val="20"/>
        </w:rPr>
        <w:t>其他说明</w:t>
      </w:r>
      <w:bookmarkEnd w:id="229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3" w:val="left"/>
        </w:tabs>
        <w:bidi w:val="0"/>
        <w:spacing w:before="0" w:line="240" w:lineRule="auto"/>
        <w:ind w:left="0" w:right="0" w:firstLine="0"/>
        <w:jc w:val="left"/>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7</w:t>
      </w:r>
      <w:bookmarkEnd w:id="2300"/>
      <w:r>
        <w:rPr>
          <w:color w:val="000000"/>
          <w:spacing w:val="0"/>
          <w:w w:val="100"/>
          <w:position w:val="0"/>
        </w:rPr>
        <w:t>、</w:t>
        <w:tab/>
        <w:t>其他对投资者决策有影响的重要交易和事项</w:t>
      </w:r>
      <w:bookmarkEnd w:id="2298"/>
      <w:bookmarkEnd w:id="2299"/>
      <w:bookmarkEnd w:id="230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line="240" w:lineRule="auto"/>
        <w:ind w:left="0" w:right="0" w:firstLine="0"/>
        <w:jc w:val="left"/>
      </w:pPr>
      <w:bookmarkStart w:id="2302" w:name="bookmark2302"/>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8</w:t>
      </w:r>
      <w:bookmarkEnd w:id="2304"/>
      <w:r>
        <w:rPr>
          <w:color w:val="000000"/>
          <w:spacing w:val="0"/>
          <w:w w:val="100"/>
          <w:position w:val="0"/>
        </w:rPr>
        <w:t>、</w:t>
        <w:tab/>
        <w:t>其他</w:t>
      </w:r>
      <w:bookmarkEnd w:id="2302"/>
      <w:bookmarkEnd w:id="2303"/>
      <w:bookmarkEnd w:id="2305"/>
    </w:p>
    <w:p>
      <w:pPr>
        <w:pStyle w:val="Style27"/>
        <w:keepNext/>
        <w:keepLines/>
        <w:widowControl w:val="0"/>
        <w:shd w:val="clear" w:color="auto" w:fill="auto"/>
        <w:bidi w:val="0"/>
        <w:spacing w:before="0" w:line="240" w:lineRule="auto"/>
        <w:ind w:left="0" w:right="0" w:firstLine="0"/>
        <w:jc w:val="left"/>
      </w:pPr>
      <w:bookmarkStart w:id="2306" w:name="bookmark2306"/>
      <w:bookmarkStart w:id="2307" w:name="bookmark2307"/>
      <w:bookmarkStart w:id="2308" w:name="bookmark2308"/>
      <w:r>
        <w:rPr>
          <w:color w:val="000000"/>
          <w:spacing w:val="0"/>
          <w:w w:val="100"/>
          <w:position w:val="0"/>
          <w:sz w:val="24"/>
          <w:szCs w:val="24"/>
        </w:rPr>
        <w:t>十七、母公司财务报表主要项目注释</w:t>
      </w:r>
      <w:bookmarkEnd w:id="2306"/>
      <w:bookmarkEnd w:id="2307"/>
      <w:bookmarkEnd w:id="2308"/>
    </w:p>
    <w:p>
      <w:pPr>
        <w:pStyle w:val="Style34"/>
        <w:keepNext/>
        <w:keepLines/>
        <w:widowControl w:val="0"/>
        <w:shd w:val="clear" w:color="auto" w:fill="auto"/>
        <w:bidi w:val="0"/>
        <w:spacing w:before="0" w:line="240" w:lineRule="auto"/>
        <w:ind w:left="0" w:right="0" w:firstLine="0"/>
        <w:jc w:val="left"/>
      </w:pPr>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09"/>
      <w:bookmarkEnd w:id="2310"/>
      <w:bookmarkEnd w:id="2311"/>
    </w:p>
    <w:p>
      <w:pPr>
        <w:pStyle w:val="Style40"/>
        <w:keepNext/>
        <w:keepLines/>
        <w:widowControl w:val="0"/>
        <w:shd w:val="clear" w:color="auto" w:fill="auto"/>
        <w:bidi w:val="0"/>
        <w:spacing w:before="0" w:after="360" w:line="240" w:lineRule="auto"/>
        <w:ind w:left="0" w:right="0" w:firstLine="0"/>
        <w:jc w:val="left"/>
      </w:pPr>
      <w:bookmarkStart w:id="2312" w:name="bookmark2312"/>
      <w:bookmarkStart w:id="2313" w:name="bookmark2313"/>
      <w:bookmarkStart w:id="2314" w:name="bookmark2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12"/>
      <w:bookmarkEnd w:id="2313"/>
      <w:bookmarkEnd w:id="231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18,878,9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18,878,9</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20,117,79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19,611,31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506,481.66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28,371,2</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189,449,3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222,371,0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27,724,75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194,646,27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162,727,</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28,371,2</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134,356,2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187,197,6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27,724,75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159,472,85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55,093,1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55,093,10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35,173,41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35,173,418.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236,699,</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522.12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47,250,1</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189,449,3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242,488,8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47,336,06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195,152,75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按单项计提坏账准备：单项计提预期信用损失的应收账款</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重庆瑞耕达网络科技有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10,152,002.27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10,152,002.27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SR iLLUMINATION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3,266,474.62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3,266,474.62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辽宁宝林集团节能科技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1,860,746.07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1,860,746.07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贵州瑞凯科技有限公司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1,843,288.43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1,843,288.43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斐翔供应链管理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1,262,897.49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1,262,897.49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深圳骑客智能科技有限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肇庆市宝丽灯饰有限公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深圳蒙发利科技有限公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18,878,906.23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18,878,906.23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按组合计提坏账准备：账龄分析法组合</w:t>
      </w:r>
    </w:p>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134,435,602.55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1,344,356.03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299,875.13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993,331.46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198,666.29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bl>
    <w:p>
      <w:pPr>
        <w:spacing w:lineRule="exact" w:line="1"/>
        <w:rPr>
          <w:sz w:val="2"/>
          <w:szCs w:val="2"/>
        </w:rPr>
      </w:pPr>
      <w:r>
        <w:br w:type="page"/>
      </w:r>
    </w:p>
    <w:tbl>
      <w:tblPr>
        <w:tblOverlap w:val="never"/>
        <w:jc w:val="center"/>
        <w:tblLayout w:type="fixed"/>
      </w:tblPr>
      <w:tblGrid>
        <w:gridCol w:w="2400"/>
        <w:gridCol w:w="2390"/>
        <w:gridCol w:w="2395"/>
        <w:gridCol w:w="245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400,905.98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200,452.99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26,597,796.20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26,597,796.20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162,727,511.32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28,371,259.02</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771"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460" w:line="240" w:lineRule="auto"/>
              <w:ind w:left="0" w:right="0" w:firstLine="0"/>
              <w:jc w:val="left"/>
            </w:pPr>
            <w:r>
              <w:rPr>
                <w:color w:val="000000"/>
                <w:spacing w:val="0"/>
                <w:w w:val="100"/>
                <w:position w:val="0"/>
              </w:rPr>
              <w:t>除合并范围内关联往来组合、政府机构应收款项组合之外的应收款项。</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按组合计提坏账准备：关联方组合</w:t>
            </w:r>
          </w:p>
          <w:p>
            <w:pPr>
              <w:pStyle w:val="Style23"/>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26,511,010.52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16,261,424.40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1,814,976.10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3,962,962.06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6,542,731.49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55,093,104.57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应收合并范围内关联方往来款。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160,946,613.07</w:t>
            </w:r>
          </w:p>
        </w:tc>
      </w:tr>
      <w:tr>
        <w:trPr>
          <w:trHeight w:val="39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16,593,300.71</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16,429,791.92</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42,729,816.42</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4,363,868.04</w:t>
            </w:r>
          </w:p>
        </w:tc>
      </w:tr>
      <w:tr>
        <w:trPr>
          <w:trHeight w:val="39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38,365,948.38</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236,699,522.12</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2315" w:name="bookmark2315"/>
      <w:bookmarkStart w:id="2316" w:name="bookmark2316"/>
      <w:bookmarkStart w:id="2317" w:name="bookmark23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15"/>
      <w:bookmarkEnd w:id="2316"/>
      <w:bookmarkEnd w:id="2317"/>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19,611,316.27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732,410.04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18,878,906.23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27,724,752.42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646,506.60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28,371,259.02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其中：账龄分析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27,724,752.42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646,506.60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28,371,259.02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47,336,068.69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646,506.60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732,410.04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47,250,165.25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深圳异构域数字技术有限公司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506,481.67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506,481.67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1"/>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本期坏账准备转回或收回金额重要的情况说明：</w:t>
      </w:r>
    </w:p>
    <w:p>
      <w:pPr>
        <w:pStyle w:val="Style31"/>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：深圳异构域数字技术有限公司于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日向茂硕电源支付</w:t>
      </w:r>
      <w:r>
        <w:rPr>
          <w:rFonts w:ascii="Times New Roman" w:eastAsia="Times New Roman" w:hAnsi="Times New Roman" w:cs="Times New Roman"/>
          <w:color w:val="000000"/>
          <w:spacing w:val="0"/>
          <w:w w:val="100"/>
          <w:position w:val="0"/>
          <w:sz w:val="18"/>
          <w:szCs w:val="18"/>
        </w:rPr>
        <w:t xml:space="preserve">101.3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万元货款，所欠应收款已全部结清，故转回</w:t>
      </w:r>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前期已计提的坏账准备金额</w:t>
      </w:r>
      <w:r>
        <w:rPr>
          <w:rFonts w:ascii="Times New Roman" w:eastAsia="Times New Roman" w:hAnsi="Times New Roman" w:cs="Times New Roman"/>
          <w:color w:val="000000"/>
          <w:spacing w:val="0"/>
          <w:w w:val="100"/>
          <w:position w:val="0"/>
          <w:sz w:val="18"/>
          <w:szCs w:val="18"/>
        </w:rPr>
        <w:t>506,481.67</w:t>
      </w:r>
      <w:r>
        <w:rPr>
          <w:color w:val="000000"/>
          <w:spacing w:val="0"/>
          <w:w w:val="100"/>
          <w:position w:val="0"/>
        </w:rPr>
        <w:t>元。</w:t>
      </w:r>
    </w:p>
    <w:p>
      <w:pPr>
        <w:pStyle w:val="Style40"/>
        <w:keepNext/>
        <w:keepLines/>
        <w:widowControl w:val="0"/>
        <w:shd w:val="clear" w:color="auto" w:fill="auto"/>
        <w:bidi w:val="0"/>
        <w:spacing w:before="0" w:after="380" w:line="240" w:lineRule="auto"/>
        <w:ind w:left="0" w:right="0" w:firstLine="0"/>
        <w:jc w:val="left"/>
      </w:pPr>
      <w:bookmarkStart w:id="2318" w:name="bookmark2318"/>
      <w:bookmarkStart w:id="2319" w:name="bookmark2319"/>
      <w:bookmarkStart w:id="2320" w:name="bookmark2320"/>
      <w:bookmarkStart w:id="2321" w:name="bookmark2321"/>
      <w:r>
        <w:rPr>
          <w:color w:val="000000"/>
          <w:spacing w:val="0"/>
          <w:w w:val="100"/>
          <w:position w:val="0"/>
        </w:rPr>
        <w:t>（</w:t>
      </w:r>
      <w:bookmarkEnd w:id="232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18"/>
      <w:bookmarkEnd w:id="2319"/>
      <w:bookmarkEnd w:id="2321"/>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其中重要的应收账款核销情况：</w:t>
      </w:r>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after="380" w:line="240" w:lineRule="auto"/>
        <w:ind w:left="0" w:right="0" w:firstLine="0"/>
        <w:jc w:val="left"/>
      </w:pPr>
      <w:bookmarkStart w:id="2322" w:name="bookmark2322"/>
      <w:bookmarkStart w:id="2323" w:name="bookmark2323"/>
      <w:bookmarkStart w:id="2324" w:name="bookmark2324"/>
      <w:bookmarkStart w:id="2325" w:name="bookmark2325"/>
      <w:r>
        <w:rPr>
          <w:color w:val="000000"/>
          <w:spacing w:val="0"/>
          <w:w w:val="100"/>
          <w:position w:val="0"/>
        </w:rPr>
        <w:t>（</w:t>
      </w:r>
      <w:bookmarkEnd w:id="232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22"/>
      <w:bookmarkEnd w:id="2323"/>
      <w:bookmarkEnd w:id="2325"/>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期末余额前五名应收账款汇 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104,946,984.19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598,189.17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104,946,984.19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tabs>
          <w:tab w:pos="493" w:val="left"/>
        </w:tabs>
        <w:bidi w:val="0"/>
        <w:spacing w:before="0" w:after="380" w:line="240" w:lineRule="auto"/>
        <w:ind w:left="0" w:right="0" w:firstLine="0"/>
        <w:jc w:val="left"/>
      </w:pPr>
      <w:bookmarkStart w:id="2326" w:name="bookmark2326"/>
      <w:bookmarkStart w:id="2327" w:name="bookmark2327"/>
      <w:bookmarkStart w:id="2328" w:name="bookmark2328"/>
      <w:bookmarkStart w:id="2329" w:name="bookmark2329"/>
      <w:r>
        <w:rPr>
          <w:color w:val="000000"/>
          <w:spacing w:val="0"/>
          <w:w w:val="100"/>
          <w:position w:val="0"/>
        </w:rPr>
        <w:t>（</w:t>
      </w:r>
      <w:bookmarkEnd w:id="232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26"/>
      <w:bookmarkEnd w:id="2327"/>
      <w:bookmarkEnd w:id="2329"/>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2330" w:name="bookmark2330"/>
      <w:bookmarkStart w:id="2331" w:name="bookmark2331"/>
      <w:bookmarkStart w:id="2332" w:name="bookmark2332"/>
      <w:bookmarkStart w:id="2333" w:name="bookmark2333"/>
      <w:r>
        <w:rPr>
          <w:color w:val="000000"/>
          <w:spacing w:val="0"/>
          <w:w w:val="100"/>
          <w:position w:val="0"/>
        </w:rPr>
        <w:t>（</w:t>
      </w:r>
      <w:bookmarkEnd w:id="233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30"/>
      <w:bookmarkEnd w:id="2331"/>
      <w:bookmarkEnd w:id="2333"/>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34"/>
      <w:bookmarkEnd w:id="2335"/>
      <w:bookmarkEnd w:id="233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352,877,739.05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378,934,431.90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353,989,739.05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378,934,431.90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337" w:name="bookmark2337"/>
      <w:bookmarkStart w:id="2338" w:name="bookmark2338"/>
      <w:bookmarkStart w:id="2339" w:name="bookmark23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37"/>
      <w:bookmarkEnd w:id="2338"/>
      <w:bookmarkEnd w:id="2339"/>
    </w:p>
    <w:p>
      <w:pPr>
        <w:pStyle w:val="Style67"/>
        <w:keepNext/>
        <w:keepLines/>
        <w:widowControl w:val="0"/>
        <w:shd w:val="clear" w:color="auto" w:fill="auto"/>
        <w:bidi w:val="0"/>
        <w:spacing w:before="0" w:after="380" w:line="240" w:lineRule="auto"/>
        <w:ind w:left="0" w:right="0" w:firstLine="0"/>
        <w:jc w:val="left"/>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1</w:t>
      </w:r>
      <w:bookmarkEnd w:id="2342"/>
      <w:r>
        <w:rPr>
          <w:color w:val="000000"/>
          <w:spacing w:val="0"/>
          <w:w w:val="100"/>
          <w:position w:val="0"/>
        </w:rPr>
        <w:t>）应收利息分类</w:t>
      </w:r>
      <w:bookmarkEnd w:id="2340"/>
      <w:bookmarkEnd w:id="2341"/>
      <w:bookmarkEnd w:id="234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67"/>
        <w:keepNext/>
        <w:keepLines/>
        <w:widowControl w:val="0"/>
        <w:shd w:val="clear" w:color="auto" w:fill="auto"/>
        <w:bidi w:val="0"/>
        <w:spacing w:before="0" w:after="34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2</w:t>
      </w:r>
      <w:bookmarkEnd w:id="2346"/>
      <w:r>
        <w:rPr>
          <w:color w:val="000000"/>
          <w:spacing w:val="0"/>
          <w:w w:val="100"/>
          <w:position w:val="0"/>
        </w:rPr>
        <w:t>）重要逾期利息</w:t>
      </w:r>
      <w:bookmarkEnd w:id="2344"/>
      <w:bookmarkEnd w:id="2345"/>
      <w:bookmarkEnd w:id="2347"/>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7"/>
        <w:keepNext/>
        <w:keepLines/>
        <w:widowControl w:val="0"/>
        <w:shd w:val="clear" w:color="auto" w:fill="auto"/>
        <w:bidi w:val="0"/>
        <w:spacing w:before="0" w:line="240" w:lineRule="auto"/>
        <w:ind w:left="0" w:right="0" w:firstLine="0"/>
        <w:jc w:val="left"/>
      </w:pPr>
      <w:bookmarkStart w:id="2348" w:name="bookmark2348"/>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3</w:t>
      </w:r>
      <w:bookmarkEnd w:id="2350"/>
      <w:r>
        <w:rPr>
          <w:color w:val="000000"/>
          <w:spacing w:val="0"/>
          <w:w w:val="100"/>
          <w:position w:val="0"/>
        </w:rPr>
        <w:t>）坏账准备计提情况</w:t>
      </w:r>
      <w:bookmarkEnd w:id="2348"/>
      <w:bookmarkEnd w:id="2349"/>
      <w:bookmarkEnd w:id="235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2352" w:name="bookmark2352"/>
      <w:bookmarkStart w:id="2353" w:name="bookmark2353"/>
      <w:bookmarkStart w:id="2354" w:name="bookmark23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52"/>
      <w:bookmarkEnd w:id="2353"/>
      <w:bookmarkEnd w:id="2354"/>
    </w:p>
    <w:p>
      <w:pPr>
        <w:pStyle w:val="Style67"/>
        <w:keepNext/>
        <w:keepLines/>
        <w:widowControl w:val="0"/>
        <w:shd w:val="clear" w:color="auto" w:fill="auto"/>
        <w:bidi w:val="0"/>
        <w:spacing w:before="0" w:line="240" w:lineRule="auto"/>
        <w:ind w:left="0" w:right="0" w:firstLine="0"/>
        <w:jc w:val="left"/>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1</w:t>
      </w:r>
      <w:bookmarkEnd w:id="2357"/>
      <w:r>
        <w:rPr>
          <w:color w:val="000000"/>
          <w:spacing w:val="0"/>
          <w:w w:val="100"/>
          <w:position w:val="0"/>
        </w:rPr>
        <w:t>）应收股利分类</w:t>
      </w:r>
      <w:bookmarkEnd w:id="2355"/>
      <w:bookmarkEnd w:id="2356"/>
      <w:bookmarkEnd w:id="235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湖南省方正达电子科技有限公司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1,112,000.00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67"/>
        <w:keepNext/>
        <w:keepLines/>
        <w:widowControl w:val="0"/>
        <w:shd w:val="clear" w:color="auto" w:fill="auto"/>
        <w:bidi w:val="0"/>
        <w:spacing w:before="0" w:line="240" w:lineRule="auto"/>
        <w:ind w:left="0" w:right="0" w:firstLine="0"/>
        <w:jc w:val="left"/>
      </w:pPr>
      <w:bookmarkStart w:id="2359" w:name="bookmark2359"/>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2</w:t>
      </w:r>
      <w:bookmarkEnd w:id="236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59"/>
      <w:bookmarkEnd w:id="2360"/>
      <w:bookmarkEnd w:id="2362"/>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67"/>
        <w:keepNext/>
        <w:keepLines/>
        <w:widowControl w:val="0"/>
        <w:shd w:val="clear" w:color="auto" w:fill="auto"/>
        <w:bidi w:val="0"/>
        <w:spacing w:before="0" w:after="280" w:line="240" w:lineRule="auto"/>
        <w:ind w:left="0" w:right="0" w:firstLine="0"/>
        <w:jc w:val="left"/>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3</w:t>
      </w:r>
      <w:bookmarkEnd w:id="2365"/>
      <w:r>
        <w:rPr>
          <w:color w:val="000000"/>
          <w:spacing w:val="0"/>
          <w:w w:val="100"/>
          <w:position w:val="0"/>
        </w:rPr>
        <w:t>）坏账准备计提情况</w:t>
      </w:r>
      <w:bookmarkEnd w:id="2363"/>
      <w:bookmarkEnd w:id="2364"/>
      <w:bookmarkEnd w:id="2366"/>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700" w:line="317" w:lineRule="exact"/>
        <w:ind w:left="0" w:right="0"/>
        <w:jc w:val="both"/>
      </w:pPr>
      <w:r>
        <w:rPr>
          <w:color w:val="000000"/>
          <w:spacing w:val="0"/>
          <w:w w:val="100"/>
          <w:position w:val="0"/>
        </w:rPr>
        <w:t>湖南省方正达电子科技有限公司为本公司联营公司，其将累计未分配利润中的</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万元用于向股东分配。按持股比 例，本公司享有</w:t>
      </w:r>
      <w:r>
        <w:rPr>
          <w:rFonts w:ascii="Times New Roman" w:eastAsia="Times New Roman" w:hAnsi="Times New Roman" w:cs="Times New Roman"/>
          <w:color w:val="000000"/>
          <w:spacing w:val="0"/>
          <w:w w:val="100"/>
          <w:position w:val="0"/>
          <w:sz w:val="18"/>
          <w:szCs w:val="18"/>
        </w:rPr>
        <w:t>444.80</w:t>
      </w:r>
      <w:r>
        <w:rPr>
          <w:color w:val="000000"/>
          <w:spacing w:val="0"/>
          <w:w w:val="100"/>
          <w:position w:val="0"/>
        </w:rPr>
        <w:t>万元的股利分配，已于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年度收到股利款</w:t>
      </w:r>
      <w:r>
        <w:rPr>
          <w:rFonts w:ascii="Times New Roman" w:eastAsia="Times New Roman" w:hAnsi="Times New Roman" w:cs="Times New Roman"/>
          <w:color w:val="000000"/>
          <w:spacing w:val="0"/>
          <w:w w:val="100"/>
          <w:position w:val="0"/>
          <w:sz w:val="18"/>
          <w:szCs w:val="18"/>
        </w:rPr>
        <w:t>333.60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日，应收股利款余额为</w:t>
      </w:r>
      <w:r>
        <w:rPr>
          <w:rFonts w:ascii="Times New Roman" w:eastAsia="Times New Roman" w:hAnsi="Times New Roman" w:cs="Times New Roman"/>
          <w:color w:val="000000"/>
          <w:spacing w:val="0"/>
          <w:w w:val="100"/>
          <w:position w:val="0"/>
          <w:sz w:val="18"/>
          <w:szCs w:val="18"/>
        </w:rPr>
        <w:t xml:space="preserve">111.20 </w:t>
      </w:r>
      <w:r>
        <w:rPr>
          <w:color w:val="000000"/>
          <w:spacing w:val="0"/>
          <w:w w:val="100"/>
          <w:position w:val="0"/>
        </w:rPr>
        <w:t>万元。</w:t>
      </w:r>
    </w:p>
    <w:p>
      <w:pPr>
        <w:pStyle w:val="Style40"/>
        <w:keepNext/>
        <w:keepLines/>
        <w:widowControl w:val="0"/>
        <w:shd w:val="clear" w:color="auto" w:fill="auto"/>
        <w:bidi w:val="0"/>
        <w:spacing w:before="0" w:after="360" w:line="240" w:lineRule="auto"/>
        <w:ind w:left="0" w:right="0" w:firstLine="0"/>
        <w:jc w:val="left"/>
      </w:pPr>
      <w:bookmarkStart w:id="2367" w:name="bookmark2367"/>
      <w:bookmarkStart w:id="2368" w:name="bookmark2368"/>
      <w:bookmarkStart w:id="2369" w:name="bookmark2369"/>
      <w:bookmarkStart w:id="2370" w:name="bookmark2370"/>
      <w:r>
        <w:rPr>
          <w:color w:val="000000"/>
          <w:spacing w:val="0"/>
          <w:w w:val="100"/>
          <w:position w:val="0"/>
        </w:rPr>
        <w:t>（</w:t>
      </w:r>
      <w:bookmarkEnd w:id="236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67"/>
      <w:bookmarkEnd w:id="2368"/>
      <w:bookmarkEnd w:id="2370"/>
    </w:p>
    <w:p>
      <w:pPr>
        <w:pStyle w:val="Style67"/>
        <w:keepNext/>
        <w:keepLines/>
        <w:widowControl w:val="0"/>
        <w:shd w:val="clear" w:color="auto" w:fill="auto"/>
        <w:bidi w:val="0"/>
        <w:spacing w:before="0" w:line="240" w:lineRule="auto"/>
        <w:ind w:left="0" w:right="0" w:firstLine="0"/>
        <w:jc w:val="left"/>
      </w:pPr>
      <w:bookmarkStart w:id="2371" w:name="bookmark2371"/>
      <w:bookmarkStart w:id="2372" w:name="bookmark2372"/>
      <w:bookmarkStart w:id="2373" w:name="bookmark237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71"/>
      <w:bookmarkEnd w:id="2372"/>
      <w:bookmarkEnd w:id="237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387,425,896.73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374,825,057.83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1,646,213.27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2,603,943.14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2,329,080.95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2,524,630.95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399,445,990.95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380,002,231.92</w:t>
            </w:r>
          </w:p>
        </w:tc>
      </w:tr>
    </w:tbl>
    <w:p>
      <w:pPr>
        <w:spacing w:lineRule="exact" w:line="1"/>
        <w:rPr>
          <w:sz w:val="2"/>
          <w:szCs w:val="2"/>
        </w:rPr>
      </w:pPr>
      <w:r>
        <w:br w:type="page"/>
      </w:r>
    </w:p>
    <w:p>
      <w:pPr>
        <w:pStyle w:val="Style67"/>
        <w:keepNext/>
        <w:keepLines/>
        <w:widowControl w:val="0"/>
        <w:shd w:val="clear" w:color="auto" w:fill="auto"/>
        <w:bidi w:val="0"/>
        <w:spacing w:before="0" w:after="400" w:line="240" w:lineRule="auto"/>
        <w:ind w:left="0" w:right="0" w:firstLine="0"/>
        <w:jc w:val="left"/>
      </w:pPr>
      <w:bookmarkStart w:id="2374" w:name="bookmark2374"/>
      <w:bookmarkStart w:id="2375" w:name="bookmark2375"/>
      <w:bookmarkStart w:id="2376" w:name="bookmark237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74"/>
      <w:bookmarkEnd w:id="2375"/>
      <w:bookmarkEnd w:id="237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957,239.22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110,560.80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1,067,800.02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45,670,500.71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45,670,500.71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170,048.83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170,048.83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787,190.39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45,781,061.51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46,568,251.90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43,447,203.29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149,268,177.82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14,569,941.99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192,160,667.85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24,019,199.72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168,141,468.13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399,445,990.95</w:t>
            </w:r>
          </w:p>
        </w:tc>
      </w:tr>
    </w:tbl>
    <w:p>
      <w:pPr>
        <w:widowControl w:val="0"/>
        <w:spacing w:after="319" w:line="1" w:lineRule="exact"/>
      </w:pPr>
    </w:p>
    <w:p>
      <w:pPr>
        <w:pStyle w:val="Style67"/>
        <w:keepNext/>
        <w:keepLines/>
        <w:widowControl w:val="0"/>
        <w:shd w:val="clear" w:color="auto" w:fill="auto"/>
        <w:bidi w:val="0"/>
        <w:spacing w:before="0" w:after="400" w:line="240" w:lineRule="auto"/>
        <w:ind w:left="0" w:right="0" w:firstLine="0"/>
        <w:jc w:val="left"/>
      </w:pPr>
      <w:bookmarkStart w:id="2377" w:name="bookmark2377"/>
      <w:bookmarkStart w:id="2378" w:name="bookmark2378"/>
      <w:bookmarkStart w:id="2379" w:name="bookmark2379"/>
      <w:bookmarkStart w:id="2380" w:name="bookmark2380"/>
      <w:r>
        <w:rPr>
          <w:rFonts w:ascii="Times New Roman" w:eastAsia="Times New Roman" w:hAnsi="Times New Roman" w:cs="Times New Roman"/>
          <w:color w:val="000000"/>
          <w:spacing w:val="0"/>
          <w:w w:val="100"/>
          <w:position w:val="0"/>
        </w:rPr>
        <w:t>3</w:t>
      </w:r>
      <w:bookmarkEnd w:id="2379"/>
      <w:r>
        <w:rPr>
          <w:color w:val="000000"/>
          <w:spacing w:val="0"/>
          <w:w w:val="100"/>
          <w:position w:val="0"/>
        </w:rPr>
        <w:t>）本期计提、收回或转回的坏账准备情况</w:t>
      </w:r>
      <w:bookmarkEnd w:id="2377"/>
      <w:bookmarkEnd w:id="2378"/>
      <w:bookmarkEnd w:id="238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1,067,800.02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45,670,500.71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170,048.83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46,568,251.90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1,067,800.02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45,670,500.71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170,048.83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46,568,251.90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67"/>
        <w:keepNext/>
        <w:keepLines/>
        <w:widowControl w:val="0"/>
        <w:shd w:val="clear" w:color="auto" w:fill="auto"/>
        <w:bidi w:val="0"/>
        <w:spacing w:before="0" w:after="380" w:line="240" w:lineRule="auto"/>
        <w:ind w:left="0" w:right="0" w:firstLine="0"/>
        <w:jc w:val="left"/>
      </w:pPr>
      <w:bookmarkStart w:id="2381" w:name="bookmark2381"/>
      <w:bookmarkStart w:id="2382" w:name="bookmark2382"/>
      <w:bookmarkStart w:id="2383" w:name="bookmark2383"/>
      <w:bookmarkStart w:id="2384" w:name="bookmark2384"/>
      <w:r>
        <w:rPr>
          <w:rFonts w:ascii="Times New Roman" w:eastAsia="Times New Roman" w:hAnsi="Times New Roman" w:cs="Times New Roman"/>
          <w:color w:val="000000"/>
          <w:spacing w:val="0"/>
          <w:w w:val="100"/>
          <w:position w:val="0"/>
        </w:rPr>
        <w:t>4</w:t>
      </w:r>
      <w:bookmarkEnd w:id="2383"/>
      <w:r>
        <w:rPr>
          <w:color w:val="000000"/>
          <w:spacing w:val="0"/>
          <w:w w:val="100"/>
          <w:position w:val="0"/>
        </w:rPr>
        <w:t>）本期实际核销的其他应收款情况</w:t>
      </w:r>
      <w:bookmarkEnd w:id="2381"/>
      <w:bookmarkEnd w:id="2382"/>
      <w:bookmarkEnd w:id="238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67"/>
        <w:keepNext/>
        <w:keepLines/>
        <w:widowControl w:val="0"/>
        <w:shd w:val="clear" w:color="auto" w:fill="auto"/>
        <w:bidi w:val="0"/>
        <w:spacing w:before="0" w:after="380" w:line="240" w:lineRule="auto"/>
        <w:ind w:left="0" w:right="0" w:firstLine="0"/>
        <w:jc w:val="left"/>
      </w:pPr>
      <w:bookmarkStart w:id="2385" w:name="bookmark2385"/>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5</w:t>
      </w:r>
      <w:bookmarkEnd w:id="2387"/>
      <w:r>
        <w:rPr>
          <w:color w:val="000000"/>
          <w:spacing w:val="0"/>
          <w:w w:val="100"/>
          <w:position w:val="0"/>
        </w:rPr>
        <w:t>）按欠款方归集的期末余额前五名的其他应收款情况</w:t>
      </w:r>
      <w:bookmarkEnd w:id="2385"/>
      <w:bookmarkEnd w:id="2386"/>
      <w:bookmarkEnd w:id="2388"/>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120,063,514.77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79,968,316.59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60,215,834.96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55,335,578.94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45,670,500.71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45,670,500.71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361,253,745.97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45,670,500.71</w:t>
            </w:r>
          </w:p>
        </w:tc>
      </w:tr>
    </w:tbl>
    <w:p>
      <w:pPr>
        <w:widowControl w:val="0"/>
        <w:spacing w:after="319" w:line="1" w:lineRule="exact"/>
      </w:pPr>
    </w:p>
    <w:p>
      <w:pPr>
        <w:pStyle w:val="Style67"/>
        <w:keepNext/>
        <w:keepLines/>
        <w:widowControl w:val="0"/>
        <w:shd w:val="clear" w:color="auto" w:fill="auto"/>
        <w:bidi w:val="0"/>
        <w:spacing w:before="0" w:after="380" w:line="240" w:lineRule="auto"/>
        <w:ind w:left="0" w:right="0" w:firstLine="0"/>
        <w:jc w:val="left"/>
      </w:pPr>
      <w:bookmarkStart w:id="2389" w:name="bookmark2389"/>
      <w:bookmarkStart w:id="2390" w:name="bookmark2390"/>
      <w:bookmarkStart w:id="2391" w:name="bookmark2391"/>
      <w:bookmarkStart w:id="2392" w:name="bookmark2392"/>
      <w:r>
        <w:rPr>
          <w:rFonts w:ascii="Times New Roman" w:eastAsia="Times New Roman" w:hAnsi="Times New Roman" w:cs="Times New Roman"/>
          <w:color w:val="000000"/>
          <w:spacing w:val="0"/>
          <w:w w:val="100"/>
          <w:position w:val="0"/>
        </w:rPr>
        <w:t>6</w:t>
      </w:r>
      <w:bookmarkEnd w:id="2391"/>
      <w:r>
        <w:rPr>
          <w:color w:val="000000"/>
          <w:spacing w:val="0"/>
          <w:w w:val="100"/>
          <w:position w:val="0"/>
        </w:rPr>
        <w:t>）涉及政府补助的应收款项</w:t>
      </w:r>
      <w:bookmarkEnd w:id="2389"/>
      <w:bookmarkEnd w:id="2390"/>
      <w:bookmarkEnd w:id="2392"/>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19" w:line="1" w:lineRule="exact"/>
      </w:pPr>
    </w:p>
    <w:p>
      <w:pPr>
        <w:pStyle w:val="Style67"/>
        <w:keepNext/>
        <w:keepLines/>
        <w:widowControl w:val="0"/>
        <w:shd w:val="clear" w:color="auto" w:fill="auto"/>
        <w:tabs>
          <w:tab w:pos="387" w:val="left"/>
        </w:tabs>
        <w:bidi w:val="0"/>
        <w:spacing w:before="0" w:after="380" w:line="240" w:lineRule="auto"/>
        <w:ind w:left="0" w:right="0" w:firstLine="0"/>
        <w:jc w:val="left"/>
      </w:pPr>
      <w:bookmarkStart w:id="2393" w:name="bookmark2393"/>
      <w:bookmarkStart w:id="2394" w:name="bookmark2394"/>
      <w:bookmarkStart w:id="2395" w:name="bookmark2395"/>
      <w:bookmarkStart w:id="2396" w:name="bookmark2396"/>
      <w:r>
        <w:rPr>
          <w:rFonts w:ascii="Times New Roman" w:eastAsia="Times New Roman" w:hAnsi="Times New Roman" w:cs="Times New Roman"/>
          <w:color w:val="000000"/>
          <w:spacing w:val="0"/>
          <w:w w:val="100"/>
          <w:position w:val="0"/>
        </w:rPr>
        <w:t>7</w:t>
      </w:r>
      <w:bookmarkEnd w:id="2395"/>
      <w:r>
        <w:rPr>
          <w:color w:val="000000"/>
          <w:spacing w:val="0"/>
          <w:w w:val="100"/>
          <w:position w:val="0"/>
        </w:rPr>
        <w:t>）</w:t>
        <w:tab/>
        <w:t>因金融资产转移而终止确认的其他应收款</w:t>
      </w:r>
      <w:bookmarkEnd w:id="2393"/>
      <w:bookmarkEnd w:id="2394"/>
      <w:bookmarkEnd w:id="2396"/>
    </w:p>
    <w:p>
      <w:pPr>
        <w:pStyle w:val="Style31"/>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67"/>
        <w:keepNext/>
        <w:keepLines/>
        <w:widowControl w:val="0"/>
        <w:shd w:val="clear" w:color="auto" w:fill="auto"/>
        <w:tabs>
          <w:tab w:pos="392" w:val="left"/>
        </w:tabs>
        <w:bidi w:val="0"/>
        <w:spacing w:before="0" w:after="380" w:line="240" w:lineRule="auto"/>
        <w:ind w:left="0" w:right="0" w:firstLine="0"/>
        <w:jc w:val="left"/>
      </w:pPr>
      <w:bookmarkStart w:id="2397" w:name="bookmark2397"/>
      <w:bookmarkStart w:id="2398" w:name="bookmark2398"/>
      <w:bookmarkStart w:id="2399" w:name="bookmark2399"/>
      <w:bookmarkStart w:id="2400" w:name="bookmark2400"/>
      <w:r>
        <w:rPr>
          <w:rFonts w:ascii="Times New Roman" w:eastAsia="Times New Roman" w:hAnsi="Times New Roman" w:cs="Times New Roman"/>
          <w:color w:val="000000"/>
          <w:spacing w:val="0"/>
          <w:w w:val="100"/>
          <w:position w:val="0"/>
        </w:rPr>
        <w:t>8</w:t>
      </w:r>
      <w:bookmarkEnd w:id="2399"/>
      <w:r>
        <w:rPr>
          <w:color w:val="000000"/>
          <w:spacing w:val="0"/>
          <w:w w:val="100"/>
          <w:position w:val="0"/>
        </w:rPr>
        <w:t>）</w:t>
        <w:tab/>
        <w:t>转移其他应收款且继续涉入形成的资产、负债金额</w:t>
      </w:r>
      <w:bookmarkEnd w:id="2397"/>
      <w:bookmarkEnd w:id="2398"/>
      <w:bookmarkEnd w:id="2400"/>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both"/>
      </w:pPr>
      <w:bookmarkStart w:id="2401" w:name="bookmark2401"/>
      <w:bookmarkStart w:id="2402" w:name="bookmark2402"/>
      <w:bookmarkStart w:id="2403" w:name="bookmark2403"/>
      <w:bookmarkStart w:id="2404" w:name="bookmark2404"/>
      <w:r>
        <w:rPr>
          <w:rFonts w:ascii="Times New Roman" w:eastAsia="Times New Roman" w:hAnsi="Times New Roman" w:cs="Times New Roman"/>
          <w:color w:val="000000"/>
          <w:spacing w:val="0"/>
          <w:w w:val="100"/>
          <w:position w:val="0"/>
        </w:rPr>
        <w:t>3</w:t>
      </w:r>
      <w:bookmarkEnd w:id="2403"/>
      <w:r>
        <w:rPr>
          <w:color w:val="000000"/>
          <w:spacing w:val="0"/>
          <w:w w:val="100"/>
          <w:position w:val="0"/>
        </w:rPr>
        <w:t>、长期股权投资</w:t>
      </w:r>
      <w:bookmarkEnd w:id="2401"/>
      <w:bookmarkEnd w:id="2402"/>
      <w:bookmarkEnd w:id="24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531,809,009.65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59,461,595.30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472,347,414.35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565,867,892.30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59,461,595.30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506,406,297.00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93,972,377.82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19,818,883.14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74,153,494.68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111,356,240.39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24,105,170.75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87,251,069.64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625,781,387.47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79,280,478.44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546,500,909.03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677,224,132.69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83,566,766.05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593,657,366.64</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05"/>
      <w:bookmarkEnd w:id="2406"/>
      <w:bookmarkEnd w:id="24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深圳茂硕新能 源技术研究院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深圳茂硕电子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30,637,000.00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30,637,000.00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惠州茂硕能源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351,536,700.0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351,536,700.00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茂硕能源科技</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（香港）国际有</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34,058,882.65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34,058,882.65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瑞盈茂硕融资 租赁（深圳）有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46,154,074.35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46,154,074.35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海宁茂硕诺华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19,019,640.00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19,019,640.00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16,280,360.00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深圳茂硕电气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33,181,235.30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加码技术有限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506,406,297.0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34,058,882.65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472,347,414.35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59,461,595.30</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08"/>
      <w:bookmarkEnd w:id="2409"/>
      <w:bookmarkEnd w:id="2410"/>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3"/>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3"/>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深圳华智 测控技术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273,411.6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6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湖南省方 正达电子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7,688,855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74,153,49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19,545,47</w:t>
            </w:r>
          </w:p>
        </w:tc>
      </w:tr>
      <w:tr>
        <w:trPr>
          <w:trHeight w:val="658"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31.30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374"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19,818,88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31.30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70"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19,818,88</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31.30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2411" w:name="bookmark2411"/>
      <w:bookmarkStart w:id="2412" w:name="bookmark2412"/>
      <w:bookmarkStart w:id="2413" w:name="bookmark2413"/>
      <w:bookmarkStart w:id="2414" w:name="bookmark2414"/>
      <w:r>
        <w:rPr>
          <w:color w:val="000000"/>
          <w:spacing w:val="0"/>
          <w:w w:val="100"/>
          <w:position w:val="0"/>
        </w:rPr>
        <w:t>（</w:t>
      </w:r>
      <w:bookmarkEnd w:id="241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411"/>
      <w:bookmarkEnd w:id="2412"/>
      <w:bookmarkEnd w:id="2414"/>
    </w:p>
    <w:p>
      <w:pPr>
        <w:pStyle w:val="Style34"/>
        <w:keepNext/>
        <w:keepLines/>
        <w:widowControl w:val="0"/>
        <w:shd w:val="clear" w:color="auto" w:fill="auto"/>
        <w:bidi w:val="0"/>
        <w:spacing w:before="0" w:after="380" w:line="240" w:lineRule="auto"/>
        <w:ind w:left="0" w:right="0" w:firstLine="0"/>
        <w:jc w:val="left"/>
      </w:pPr>
      <w:bookmarkStart w:id="2415" w:name="bookmark2415"/>
      <w:bookmarkStart w:id="2416" w:name="bookmark2416"/>
      <w:bookmarkStart w:id="2417" w:name="bookmark2417"/>
      <w:bookmarkStart w:id="2418" w:name="bookmark2418"/>
      <w:r>
        <w:rPr>
          <w:rFonts w:ascii="Times New Roman" w:eastAsia="Times New Roman" w:hAnsi="Times New Roman" w:cs="Times New Roman"/>
          <w:color w:val="000000"/>
          <w:spacing w:val="0"/>
          <w:w w:val="100"/>
          <w:position w:val="0"/>
        </w:rPr>
        <w:t>4</w:t>
      </w:r>
      <w:bookmarkEnd w:id="2417"/>
      <w:r>
        <w:rPr>
          <w:color w:val="000000"/>
          <w:spacing w:val="0"/>
          <w:w w:val="100"/>
          <w:position w:val="0"/>
        </w:rPr>
        <w:t>、营业收入和营业成本</w:t>
      </w:r>
      <w:bookmarkEnd w:id="2415"/>
      <w:bookmarkEnd w:id="2416"/>
      <w:bookmarkEnd w:id="24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332,552,097.09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296,120,343.04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367,451,760.66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321,475,543.34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25,727,758.22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1,535,606.03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29,824,561.35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2,327,388.89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358,279,855.31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297,655,949.07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397,276,322.01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323,802,932.23</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2419" w:name="bookmark2419"/>
      <w:bookmarkStart w:id="2420" w:name="bookmark2420"/>
      <w:bookmarkStart w:id="2421" w:name="bookmark2421"/>
      <w:bookmarkStart w:id="2422" w:name="bookmark2422"/>
      <w:r>
        <w:rPr>
          <w:rFonts w:ascii="Times New Roman" w:eastAsia="Times New Roman" w:hAnsi="Times New Roman" w:cs="Times New Roman"/>
          <w:color w:val="000000"/>
          <w:spacing w:val="0"/>
          <w:w w:val="100"/>
          <w:position w:val="0"/>
        </w:rPr>
        <w:t>5</w:t>
      </w:r>
      <w:bookmarkEnd w:id="2421"/>
      <w:r>
        <w:rPr>
          <w:color w:val="000000"/>
          <w:spacing w:val="0"/>
          <w:w w:val="100"/>
          <w:position w:val="0"/>
        </w:rPr>
        <w:t>、投资收益</w:t>
      </w:r>
      <w:bookmarkEnd w:id="2419"/>
      <w:bookmarkEnd w:id="2420"/>
      <w:bookmarkEnd w:id="242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7,612,156.34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1,162,735.54</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-32,192,147.40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130,826.98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150,328.77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锁汇确认的投资收益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-24,429,662.29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3,730,362.52</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2423" w:name="bookmark2423"/>
      <w:bookmarkStart w:id="2424" w:name="bookmark2424"/>
      <w:bookmarkStart w:id="2425" w:name="bookmark2425"/>
      <w:bookmarkStart w:id="2426" w:name="bookmark2426"/>
      <w:r>
        <w:rPr>
          <w:rFonts w:ascii="Times New Roman" w:eastAsia="Times New Roman" w:hAnsi="Times New Roman" w:cs="Times New Roman"/>
          <w:color w:val="000000"/>
          <w:spacing w:val="0"/>
          <w:w w:val="100"/>
          <w:position w:val="0"/>
        </w:rPr>
        <w:t>6</w:t>
      </w:r>
      <w:bookmarkEnd w:id="2425"/>
      <w:r>
        <w:rPr>
          <w:color w:val="000000"/>
          <w:spacing w:val="0"/>
          <w:w w:val="100"/>
          <w:position w:val="0"/>
        </w:rPr>
        <w:t>、其他</w:t>
      </w:r>
      <w:bookmarkEnd w:id="2423"/>
      <w:bookmarkEnd w:id="2424"/>
      <w:bookmarkEnd w:id="2426"/>
    </w:p>
    <w:p>
      <w:pPr>
        <w:pStyle w:val="Style27"/>
        <w:keepNext/>
        <w:keepLines/>
        <w:widowControl w:val="0"/>
        <w:shd w:val="clear" w:color="auto" w:fill="auto"/>
        <w:bidi w:val="0"/>
        <w:spacing w:before="0" w:after="340" w:line="240" w:lineRule="auto"/>
        <w:ind w:left="0" w:right="0" w:firstLine="0"/>
        <w:jc w:val="both"/>
      </w:pPr>
      <w:bookmarkStart w:id="2427" w:name="bookmark2427"/>
      <w:bookmarkStart w:id="2428" w:name="bookmark2428"/>
      <w:bookmarkStart w:id="2429" w:name="bookmark2429"/>
      <w:r>
        <w:rPr>
          <w:color w:val="000000"/>
          <w:spacing w:val="0"/>
          <w:w w:val="100"/>
          <w:position w:val="0"/>
          <w:sz w:val="24"/>
          <w:szCs w:val="24"/>
        </w:rPr>
        <w:t>十八、补充资料</w:t>
      </w:r>
      <w:bookmarkEnd w:id="2427"/>
      <w:bookmarkEnd w:id="2428"/>
      <w:bookmarkEnd w:id="2429"/>
    </w:p>
    <w:p>
      <w:pPr>
        <w:pStyle w:val="Style34"/>
        <w:keepNext/>
        <w:keepLines/>
        <w:widowControl w:val="0"/>
        <w:shd w:val="clear" w:color="auto" w:fill="auto"/>
        <w:bidi w:val="0"/>
        <w:spacing w:before="0" w:after="340" w:line="240" w:lineRule="auto"/>
        <w:ind w:left="0" w:right="0" w:firstLine="0"/>
        <w:jc w:val="both"/>
      </w:pPr>
      <w:bookmarkStart w:id="2430" w:name="bookmark2430"/>
      <w:bookmarkStart w:id="2431" w:name="bookmark2431"/>
      <w:bookmarkStart w:id="2432" w:name="bookmark243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30"/>
      <w:bookmarkEnd w:id="2431"/>
      <w:bookmarkEnd w:id="243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876,936.04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18,787,890.41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150,328.77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3,340,555.46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1,276,376.20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2,096,117.40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795,007.02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21,848,503.20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2433" w:name="bookmark243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433"/>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widowControl w:val="0"/>
        <w:spacing w:after="239" w:line="1" w:lineRule="exact"/>
      </w:pPr>
    </w:p>
    <w:p>
      <w:pPr>
        <w:pStyle w:val="Style34"/>
        <w:keepNext/>
        <w:keepLines/>
        <w:widowControl w:val="0"/>
        <w:shd w:val="clear" w:color="auto" w:fill="auto"/>
        <w:tabs>
          <w:tab w:pos="378" w:val="left"/>
        </w:tabs>
        <w:bidi w:val="0"/>
        <w:spacing w:before="0" w:after="300" w:line="326" w:lineRule="exact"/>
        <w:ind w:left="0" w:right="0" w:firstLine="0"/>
        <w:jc w:val="both"/>
      </w:pPr>
      <w:bookmarkStart w:id="2434" w:name="bookmark2434"/>
      <w:bookmarkStart w:id="2435" w:name="bookmark2435"/>
      <w:bookmarkStart w:id="2436" w:name="bookmark2436"/>
      <w:bookmarkStart w:id="2437" w:name="bookmark2437"/>
      <w:r>
        <w:rPr>
          <w:rFonts w:ascii="Times New Roman" w:eastAsia="Times New Roman" w:hAnsi="Times New Roman" w:cs="Times New Roman"/>
          <w:color w:val="000000"/>
          <w:spacing w:val="0"/>
          <w:w w:val="100"/>
          <w:position w:val="0"/>
        </w:rPr>
        <w:t>3</w:t>
      </w:r>
      <w:bookmarkEnd w:id="2436"/>
      <w:r>
        <w:rPr>
          <w:color w:val="000000"/>
          <w:spacing w:val="0"/>
          <w:w w:val="100"/>
          <w:position w:val="0"/>
        </w:rPr>
        <w:t>、</w:t>
        <w:tab/>
        <w:t>境内外会计准则下会计数据差异</w:t>
      </w:r>
      <w:bookmarkEnd w:id="2434"/>
      <w:bookmarkEnd w:id="2435"/>
      <w:bookmarkEnd w:id="2437"/>
    </w:p>
    <w:p>
      <w:pPr>
        <w:pStyle w:val="Style40"/>
        <w:keepNext/>
        <w:keepLines/>
        <w:widowControl w:val="0"/>
        <w:shd w:val="clear" w:color="auto" w:fill="auto"/>
        <w:tabs>
          <w:tab w:pos="493" w:val="left"/>
        </w:tabs>
        <w:bidi w:val="0"/>
        <w:spacing w:before="0" w:after="360" w:line="326" w:lineRule="exact"/>
        <w:ind w:left="0" w:right="0" w:firstLine="0"/>
        <w:jc w:val="both"/>
      </w:pPr>
      <w:bookmarkStart w:id="2438" w:name="bookmark2438"/>
      <w:bookmarkStart w:id="2439" w:name="bookmark2439"/>
      <w:bookmarkStart w:id="2440" w:name="bookmark2440"/>
      <w:bookmarkStart w:id="2441" w:name="bookmark2441"/>
      <w:r>
        <w:rPr>
          <w:color w:val="000000"/>
          <w:spacing w:val="0"/>
          <w:w w:val="100"/>
          <w:position w:val="0"/>
        </w:rPr>
        <w:t>（</w:t>
      </w:r>
      <w:bookmarkEnd w:id="244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38"/>
      <w:bookmarkEnd w:id="2439"/>
      <w:bookmarkEnd w:id="2441"/>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326" w:lineRule="exact"/>
        <w:ind w:left="0" w:right="0" w:firstLine="0"/>
        <w:jc w:val="both"/>
      </w:pPr>
      <w:bookmarkStart w:id="2442" w:name="bookmark2442"/>
      <w:bookmarkStart w:id="2443" w:name="bookmark2443"/>
      <w:bookmarkStart w:id="2444" w:name="bookmark2444"/>
      <w:bookmarkStart w:id="2445" w:name="bookmark2445"/>
      <w:r>
        <w:rPr>
          <w:color w:val="000000"/>
          <w:spacing w:val="0"/>
          <w:w w:val="100"/>
          <w:position w:val="0"/>
        </w:rPr>
        <w:t>（</w:t>
      </w:r>
      <w:bookmarkEnd w:id="244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42"/>
      <w:bookmarkEnd w:id="2443"/>
      <w:bookmarkEnd w:id="2445"/>
    </w:p>
    <w:p>
      <w:pPr>
        <w:pStyle w:val="Style31"/>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00" w:line="326" w:lineRule="exact"/>
        <w:ind w:left="0" w:right="0" w:firstLine="0"/>
        <w:jc w:val="both"/>
      </w:pPr>
      <w:bookmarkStart w:id="2446" w:name="bookmark2446"/>
      <w:bookmarkStart w:id="2447" w:name="bookmark2447"/>
      <w:bookmarkStart w:id="2448" w:name="bookmark2448"/>
      <w:bookmarkStart w:id="2449" w:name="bookmark2449"/>
      <w:r>
        <w:rPr>
          <w:color w:val="000000"/>
          <w:spacing w:val="0"/>
          <w:w w:val="100"/>
          <w:position w:val="0"/>
        </w:rPr>
        <w:t>（</w:t>
      </w:r>
      <w:bookmarkEnd w:id="244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446"/>
      <w:bookmarkEnd w:id="2447"/>
      <w:bookmarkEnd w:id="2449"/>
    </w:p>
    <w:p>
      <w:pPr>
        <w:pStyle w:val="Style34"/>
        <w:keepNext/>
        <w:keepLines/>
        <w:widowControl w:val="0"/>
        <w:shd w:val="clear" w:color="auto" w:fill="auto"/>
        <w:tabs>
          <w:tab w:pos="378" w:val="left"/>
        </w:tabs>
        <w:bidi w:val="0"/>
        <w:spacing w:before="0" w:after="300" w:line="326" w:lineRule="exact"/>
        <w:ind w:left="0" w:right="0" w:firstLine="0"/>
        <w:jc w:val="both"/>
        <w:sectPr>
          <w:footnotePr>
            <w:pos w:val="pageBottom"/>
            <w:numFmt w:val="decimal"/>
            <w:numRestart w:val="continuous"/>
          </w:footnotePr>
          <w:pgSz w:w="11900" w:h="16840"/>
          <w:pgMar w:top="1441" w:right="1078" w:bottom="1470" w:left="1068" w:header="0" w:footer="3" w:gutter="0"/>
          <w:cols w:space="720"/>
          <w:noEndnote/>
          <w:rtlGutter w:val="0"/>
          <w:docGrid w:linePitch="360"/>
        </w:sectPr>
      </w:pPr>
      <w:bookmarkStart w:id="2450" w:name="bookmark2450"/>
      <w:bookmarkStart w:id="2451" w:name="bookmark2451"/>
      <w:bookmarkStart w:id="2452" w:name="bookmark2452"/>
      <w:bookmarkStart w:id="2453" w:name="bookmark2453"/>
      <w:r>
        <w:rPr>
          <w:rFonts w:ascii="Times New Roman" w:eastAsia="Times New Roman" w:hAnsi="Times New Roman" w:cs="Times New Roman"/>
          <w:color w:val="000000"/>
          <w:spacing w:val="0"/>
          <w:w w:val="100"/>
          <w:position w:val="0"/>
        </w:rPr>
        <w:t>4</w:t>
      </w:r>
      <w:bookmarkEnd w:id="2452"/>
      <w:r>
        <w:rPr>
          <w:color w:val="000000"/>
          <w:spacing w:val="0"/>
          <w:w w:val="100"/>
          <w:position w:val="0"/>
        </w:rPr>
        <w:t>、</w:t>
        <w:tab/>
        <w:t>其他</w:t>
      </w:r>
      <w:bookmarkEnd w:id="2450"/>
      <w:bookmarkEnd w:id="2451"/>
      <w:bookmarkEnd w:id="2453"/>
    </w:p>
    <w:p>
      <w:pPr>
        <w:pStyle w:val="Style14"/>
        <w:keepNext/>
        <w:keepLines/>
        <w:widowControl w:val="0"/>
        <w:shd w:val="clear" w:color="auto" w:fill="auto"/>
        <w:bidi w:val="0"/>
        <w:spacing w:before="0" w:after="580" w:line="240" w:lineRule="auto"/>
        <w:ind w:left="0" w:right="0" w:firstLine="0"/>
        <w:jc w:val="center"/>
      </w:pPr>
      <w:bookmarkStart w:id="2454" w:name="bookmark2454"/>
      <w:bookmarkStart w:id="2455" w:name="bookmark2455"/>
      <w:bookmarkStart w:id="2456" w:name="bookmark2456"/>
      <w:r>
        <w:rPr>
          <w:color w:val="000000"/>
          <w:spacing w:val="0"/>
          <w:w w:val="100"/>
          <w:position w:val="0"/>
        </w:rPr>
        <w:t>第十三节备查文件目录</w:t>
      </w:r>
      <w:bookmarkEnd w:id="2454"/>
      <w:bookmarkEnd w:id="2455"/>
      <w:bookmarkEnd w:id="2456"/>
    </w:p>
    <w:p>
      <w:pPr>
        <w:pStyle w:val="Style31"/>
        <w:keepNext w:val="0"/>
        <w:keepLines w:val="0"/>
        <w:widowControl w:val="0"/>
        <w:shd w:val="clear" w:color="auto" w:fill="auto"/>
        <w:tabs>
          <w:tab w:pos="334" w:val="left"/>
        </w:tabs>
        <w:bidi w:val="0"/>
        <w:spacing w:before="0" w:after="100" w:line="240" w:lineRule="auto"/>
        <w:ind w:left="0" w:right="0" w:firstLine="0"/>
        <w:jc w:val="both"/>
      </w:pPr>
      <w:bookmarkStart w:id="2457" w:name="bookmark2457"/>
      <w:bookmarkStart w:id="2458" w:name="bookmark2458"/>
      <w:r>
        <w:rPr>
          <w:rFonts w:ascii="Times New Roman" w:eastAsia="Times New Roman" w:hAnsi="Times New Roman" w:cs="Times New Roman"/>
          <w:color w:val="000000"/>
          <w:spacing w:val="0"/>
          <w:w w:val="100"/>
          <w:position w:val="0"/>
          <w:sz w:val="18"/>
          <w:szCs w:val="18"/>
        </w:rPr>
        <w:t>1</w:t>
      </w:r>
      <w:bookmarkEnd w:id="2458"/>
      <w:r>
        <w:rPr>
          <w:color w:val="000000"/>
          <w:spacing w:val="0"/>
          <w:w w:val="100"/>
          <w:position w:val="0"/>
        </w:rPr>
        <w:t>、</w:t>
        <w:tab/>
        <w:t>载有公司董事长签署的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年年度报告正本。</w:t>
      </w:r>
      <w:bookmarkEnd w:id="2457"/>
    </w:p>
    <w:p>
      <w:pPr>
        <w:pStyle w:val="Style31"/>
        <w:keepNext w:val="0"/>
        <w:keepLines w:val="0"/>
        <w:widowControl w:val="0"/>
        <w:shd w:val="clear" w:color="auto" w:fill="auto"/>
        <w:tabs>
          <w:tab w:pos="354" w:val="left"/>
        </w:tabs>
        <w:bidi w:val="0"/>
        <w:spacing w:before="0" w:after="100" w:line="240" w:lineRule="auto"/>
        <w:ind w:left="0" w:right="0" w:firstLine="0"/>
        <w:jc w:val="both"/>
      </w:pPr>
      <w:bookmarkStart w:id="2459" w:name="bookmark2459"/>
      <w:r>
        <w:rPr>
          <w:rFonts w:ascii="Times New Roman" w:eastAsia="Times New Roman" w:hAnsi="Times New Roman" w:cs="Times New Roman"/>
          <w:color w:val="000000"/>
          <w:spacing w:val="0"/>
          <w:w w:val="100"/>
          <w:position w:val="0"/>
          <w:sz w:val="18"/>
          <w:szCs w:val="18"/>
        </w:rPr>
        <w:t>2</w:t>
      </w:r>
      <w:bookmarkEnd w:id="2459"/>
      <w:r>
        <w:rPr>
          <w:color w:val="000000"/>
          <w:spacing w:val="0"/>
          <w:w w:val="100"/>
          <w:position w:val="0"/>
        </w:rPr>
        <w:t>、</w:t>
        <w:tab/>
        <w:t>载有公司负责人、主管会计工作负责人及会计机构负责人签名并盖章的财务报表。</w:t>
      </w:r>
    </w:p>
    <w:p>
      <w:pPr>
        <w:pStyle w:val="Style31"/>
        <w:keepNext w:val="0"/>
        <w:keepLines w:val="0"/>
        <w:widowControl w:val="0"/>
        <w:shd w:val="clear" w:color="auto" w:fill="auto"/>
        <w:tabs>
          <w:tab w:pos="344" w:val="left"/>
        </w:tabs>
        <w:bidi w:val="0"/>
        <w:spacing w:before="0" w:after="100" w:line="240" w:lineRule="auto"/>
        <w:ind w:left="0" w:right="0" w:firstLine="0"/>
        <w:jc w:val="both"/>
      </w:pPr>
      <w:bookmarkStart w:id="2460" w:name="bookmark2460"/>
      <w:r>
        <w:rPr>
          <w:rFonts w:ascii="Times New Roman" w:eastAsia="Times New Roman" w:hAnsi="Times New Roman" w:cs="Times New Roman"/>
          <w:color w:val="000000"/>
          <w:spacing w:val="0"/>
          <w:w w:val="100"/>
          <w:position w:val="0"/>
          <w:sz w:val="18"/>
          <w:szCs w:val="18"/>
        </w:rPr>
        <w:t>3</w:t>
      </w:r>
      <w:bookmarkEnd w:id="2460"/>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354" w:val="left"/>
        </w:tabs>
        <w:bidi w:val="0"/>
        <w:spacing w:before="0" w:after="1360" w:line="240" w:lineRule="auto"/>
        <w:ind w:left="0" w:right="0" w:firstLine="0"/>
        <w:jc w:val="both"/>
      </w:pPr>
      <w:bookmarkStart w:id="2461" w:name="bookmark2461"/>
      <w:r>
        <w:rPr>
          <w:rFonts w:ascii="Times New Roman" w:eastAsia="Times New Roman" w:hAnsi="Times New Roman" w:cs="Times New Roman"/>
          <w:color w:val="000000"/>
          <w:spacing w:val="0"/>
          <w:w w:val="100"/>
          <w:position w:val="0"/>
          <w:sz w:val="18"/>
          <w:szCs w:val="18"/>
        </w:rPr>
        <w:t>4</w:t>
      </w:r>
      <w:bookmarkEnd w:id="2461"/>
      <w:r>
        <w:rPr>
          <w:color w:val="000000"/>
          <w:spacing w:val="0"/>
          <w:w w:val="100"/>
          <w:position w:val="0"/>
        </w:rPr>
        <w:t>、</w:t>
        <w:tab/>
        <w:t>报告期内在中国证监会指定信息披露载体上公开披露过的所有公司文件的正本及公告的原稿</w:t>
      </w:r>
    </w:p>
    <w:p>
      <w:pPr>
        <w:pStyle w:val="Style23"/>
        <w:keepNext w:val="0"/>
        <w:keepLines w:val="0"/>
        <w:widowControl w:val="0"/>
        <w:shd w:val="clear" w:color="auto" w:fill="auto"/>
        <w:bidi w:val="0"/>
        <w:spacing w:before="0" w:after="340" w:line="307" w:lineRule="exact"/>
        <w:ind w:left="0" w:right="0" w:firstLine="0"/>
        <w:jc w:val="center"/>
        <w:rPr>
          <w:sz w:val="22"/>
          <w:szCs w:val="22"/>
        </w:rPr>
      </w:pPr>
      <w:r>
        <w:rPr>
          <w:color w:val="000000"/>
          <w:spacing w:val="0"/>
          <w:w w:val="100"/>
          <w:position w:val="0"/>
          <w:sz w:val="22"/>
          <w:szCs w:val="22"/>
        </w:rPr>
        <w:t>法定代表人：王浩涛（签章</w:t>
      </w:r>
      <w:r>
        <w:rPr>
          <w:rFonts w:ascii="Calibri" w:eastAsia="Calibri" w:hAnsi="Calibri" w:cs="Calibri"/>
          <w:color w:val="000000"/>
          <w:spacing w:val="0"/>
          <w:w w:val="100"/>
          <w:position w:val="0"/>
          <w:sz w:val="20"/>
          <w:szCs w:val="20"/>
        </w:rPr>
        <w:t>）</w:t>
        <w:br/>
      </w:r>
      <w:r>
        <w:rPr>
          <w:color w:val="000000"/>
          <w:spacing w:val="0"/>
          <w:w w:val="100"/>
          <w:position w:val="0"/>
          <w:sz w:val="22"/>
          <w:szCs w:val="22"/>
        </w:rPr>
        <w:t>茂硕电源科技股份有限公司</w:t>
      </w:r>
      <w:r>
        <w:rPr>
          <w:rFonts w:ascii="Calibri" w:eastAsia="Calibri" w:hAnsi="Calibri" w:cs="Calibri"/>
          <w:color w:val="000000"/>
          <w:spacing w:val="0"/>
          <w:w w:val="100"/>
          <w:position w:val="0"/>
          <w:sz w:val="20"/>
          <w:szCs w:val="20"/>
        </w:rPr>
        <w:br/>
      </w:r>
      <w:r>
        <w:rPr>
          <w:color w:val="000000"/>
          <w:spacing w:val="0"/>
          <w:w w:val="100"/>
          <w:position w:val="0"/>
          <w:sz w:val="22"/>
          <w:szCs w:val="22"/>
        </w:rPr>
        <w:t>二。二一年四月六日</w:t>
      </w:r>
    </w:p>
    <w:sectPr>
      <w:footnotePr>
        <w:pos w:val="pageBottom"/>
        <w:numFmt w:val="decimal"/>
        <w:numRestart w:val="continuous"/>
      </w:footnotePr>
      <w:pgSz w:w="11900" w:h="16840"/>
      <w:pgMar w:top="1657" w:right="1114" w:bottom="1657"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6789420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6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6725920</wp:posOffset>
              </wp:positionH>
              <wp:positionV relativeFrom="page">
                <wp:posOffset>9958070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9.60000000000002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6725920</wp:posOffset>
              </wp:positionH>
              <wp:positionV relativeFrom="page">
                <wp:posOffset>9958070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60000000000002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6725920</wp:posOffset>
              </wp:positionH>
              <wp:positionV relativeFrom="page">
                <wp:posOffset>9958070</wp:posOffset>
              </wp:positionV>
              <wp:extent cx="97790" cy="79375"/>
              <wp:wrapNone/>
              <wp:docPr id="39" name="Shape 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9.60000000000002pt;margin-top:784.10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6382385</wp:posOffset>
              </wp:positionH>
              <wp:positionV relativeFrom="page">
                <wp:posOffset>9739630</wp:posOffset>
              </wp:positionV>
              <wp:extent cx="445135" cy="106680"/>
              <wp:wrapNone/>
              <wp:docPr id="44" name="Shape 4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0" type="#_x0000_t202" style="position:absolute;margin-left:502.55000000000001pt;margin-top:766.89999999999998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6671945</wp:posOffset>
              </wp:positionH>
              <wp:positionV relativeFrom="page">
                <wp:posOffset>10190480</wp:posOffset>
              </wp:positionV>
              <wp:extent cx="155575" cy="79375"/>
              <wp:wrapNone/>
              <wp:docPr id="46" name="Shape 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5.35000000000002pt;margin-top:802.39999999999998pt;width:12.25pt;height:6.25pt;z-index:-18874403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6725920</wp:posOffset>
              </wp:positionH>
              <wp:positionV relativeFrom="page">
                <wp:posOffset>9958070</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9.60000000000002pt;margin-top:784.10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6725920</wp:posOffset>
              </wp:positionH>
              <wp:positionV relativeFrom="page">
                <wp:posOffset>9958070</wp:posOffset>
              </wp:positionV>
              <wp:extent cx="97790" cy="79375"/>
              <wp:wrapNone/>
              <wp:docPr id="57" name="Shape 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9.60000000000002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4384675</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25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4384675</wp:posOffset>
              </wp:positionH>
              <wp:positionV relativeFrom="page">
                <wp:posOffset>478790</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5.25pt;margin-top:37.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4385945</wp:posOffset>
              </wp:positionH>
              <wp:positionV relativeFrom="page">
                <wp:posOffset>438785</wp:posOffset>
              </wp:positionV>
              <wp:extent cx="2447290" cy="106680"/>
              <wp:wrapNone/>
              <wp:docPr id="11" name="Shape 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45.35000000000002pt;margin-top:34.550000000000004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4385945</wp:posOffset>
              </wp:positionH>
              <wp:positionV relativeFrom="page">
                <wp:posOffset>438785</wp:posOffset>
              </wp:positionV>
              <wp:extent cx="2447290" cy="106680"/>
              <wp:wrapNone/>
              <wp:docPr id="16" name="Shape 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45.35000000000002pt;margin-top:34.550000000000004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4385945</wp:posOffset>
              </wp:positionH>
              <wp:positionV relativeFrom="page">
                <wp:posOffset>438785</wp:posOffset>
              </wp:positionV>
              <wp:extent cx="2447290" cy="106680"/>
              <wp:wrapNone/>
              <wp:docPr id="36" name="Shape 3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2" type="#_x0000_t202" style="position:absolute;margin-left:345.35000000000002pt;margin-top:34.550000000000004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4379595</wp:posOffset>
              </wp:positionH>
              <wp:positionV relativeFrom="page">
                <wp:posOffset>683895</wp:posOffset>
              </wp:positionV>
              <wp:extent cx="2447290" cy="106680"/>
              <wp:wrapNone/>
              <wp:docPr id="41" name="Shape 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44.85000000000002pt;margin-top:53.850000000000001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rPr>
                      <w:t>茂硕电源科技股份有限公司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941705</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4.15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4385945</wp:posOffset>
              </wp:positionH>
              <wp:positionV relativeFrom="page">
                <wp:posOffset>438785</wp:posOffset>
              </wp:positionV>
              <wp:extent cx="2447290" cy="106680"/>
              <wp:wrapNone/>
              <wp:docPr id="49" name="Shape 4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45.35000000000002pt;margin-top:34.550000000000004pt;width:192.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4385945</wp:posOffset>
              </wp:positionH>
              <wp:positionV relativeFrom="page">
                <wp:posOffset>438785</wp:posOffset>
              </wp:positionV>
              <wp:extent cx="2447290" cy="106680"/>
              <wp:wrapNone/>
              <wp:docPr id="54" name="Shape 5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0" type="#_x0000_t202" style="position:absolute;margin-left:345.35000000000002pt;margin-top:34.550000000000004pt;width:192.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茂硕电源科技股份有限公司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5"/>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EnclosedCircle"/>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8)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8">
    <w:name w:val="标题 #5_"/>
    <w:basedOn w:val="DefaultParagraphFont"/>
    <w:link w:val="Style67"/>
    <w:rPr>
      <w:rFonts w:ascii="SimSun" w:eastAsia="SimSun" w:hAnsi="SimSun" w:cs="SimSun"/>
      <w:b/>
      <w:bCs/>
      <w:i w:val="0"/>
      <w:iCs w:val="0"/>
      <w:smallCaps w:val="0"/>
      <w:strike w:val="0"/>
      <w:sz w:val="20"/>
      <w:szCs w:val="20"/>
      <w:u w:val="none"/>
      <w:shd w:val="clear" w:color="auto" w:fill="auto"/>
    </w:rPr>
  </w:style>
  <w:style w:type="character" w:customStyle="1" w:styleId="CharStyle71">
    <w:name w:val="页眉或页脚_"/>
    <w:basedOn w:val="DefaultParagraphFont"/>
    <w:link w:val="Style70"/>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before="710" w:after="7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49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其他"/>
    <w:basedOn w:val="Normal"/>
    <w:link w:val="CharStyle24"/>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8)"/>
    <w:basedOn w:val="Normal"/>
    <w:link w:val="CharStyle51"/>
    <w:pPr>
      <w:widowControl w:val="0"/>
      <w:shd w:val="clear" w:color="auto" w:fill="auto"/>
      <w:spacing w:after="380" w:line="315"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7">
    <w:name w:val="标题 #5"/>
    <w:basedOn w:val="Normal"/>
    <w:link w:val="CharStyle68"/>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0">
    <w:name w:val="页眉或页脚"/>
    <w:basedOn w:val="Normal"/>
    <w:link w:val="CharStyle7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image" Target="media/image2.jpeg"/><Relationship Id="rId20" Type="http://schemas.openxmlformats.org/officeDocument/2006/relationships/image" Target="media/image2.jpeg" TargetMode="Externa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茂硕电源科技股份有限公司2020年年度报告全文</dc:title>
  <dc:subject/>
  <dc:creator>茂硕电源科技股份有限公司</dc:creator>
  <cp:keywords/>
</cp:coreProperties>
</file>