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20" w:line="240" w:lineRule="auto"/>
        <w:ind w:left="0" w:right="0" w:firstLine="0"/>
        <w:jc w:val="center"/>
        <w:rPr>
          <w:sz w:val="48"/>
          <w:szCs w:val="48"/>
        </w:rPr>
      </w:pPr>
      <w:r>
        <w:rPr>
          <w:rFonts w:ascii="Arial" w:eastAsia="Arial" w:hAnsi="Arial" w:cs="Arial"/>
          <w:i/>
          <w:iCs/>
          <w:color w:val="38AF5E"/>
          <w:spacing w:val="0"/>
          <w:w w:val="100"/>
          <w:position w:val="0"/>
          <w:sz w:val="48"/>
          <w:szCs w:val="48"/>
        </w:rPr>
        <w:t>I^ASUNG</w:t>
      </w:r>
    </w:p>
    <w:p>
      <w:pPr>
        <w:pStyle w:val="Style9"/>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广东华声电器股份有限公司</w:t>
      </w:r>
      <w:bookmarkEnd w:id="0"/>
      <w:bookmarkEnd w:id="1"/>
      <w:bookmarkEnd w:id="2"/>
    </w:p>
    <w:p>
      <w:pPr>
        <w:pStyle w:val="Style9"/>
        <w:keepNext/>
        <w:keepLines/>
        <w:widowControl w:val="0"/>
        <w:shd w:val="clear" w:color="auto" w:fill="auto"/>
        <w:bidi w:val="0"/>
        <w:spacing w:before="0" w:after="6020" w:line="240" w:lineRule="auto"/>
        <w:ind w:left="0" w:right="0" w:firstLine="0"/>
        <w:jc w:val="center"/>
      </w:pPr>
      <w:bookmarkStart w:id="0" w:name="bookmark0"/>
      <w:bookmarkStart w:id="1" w:name="bookmark1"/>
      <w:bookmarkStart w:id="3" w:name="bookmark3"/>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0"/>
      <w:bookmarkEnd w:id="1"/>
      <w:bookmarkEnd w:id="3"/>
    </w:p>
    <w:p>
      <w:pPr>
        <w:pStyle w:val="Style2"/>
        <w:keepNext w:val="0"/>
        <w:keepLines w:val="0"/>
        <w:widowControl w:val="0"/>
        <w:shd w:val="clear" w:color="auto" w:fill="auto"/>
        <w:bidi w:val="0"/>
        <w:spacing w:before="0" w:after="960" w:line="240" w:lineRule="auto"/>
        <w:ind w:left="0" w:right="0" w:firstLine="0"/>
        <w:jc w:val="center"/>
        <w:rPr>
          <w:sz w:val="52"/>
          <w:szCs w:val="52"/>
        </w:rPr>
      </w:pPr>
      <w:r>
        <w:rPr>
          <w:rFonts w:ascii="Times New Roman" w:eastAsia="Times New Roman" w:hAnsi="Times New Roman" w:cs="Times New Roman"/>
          <w:b/>
          <w:bCs/>
          <w:color w:val="000000"/>
          <w:spacing w:val="0"/>
          <w:w w:val="100"/>
          <w:position w:val="0"/>
          <w:sz w:val="52"/>
          <w:szCs w:val="52"/>
        </w:rPr>
        <w:t>2014</w:t>
      </w:r>
      <w:r>
        <w:rPr>
          <w:b/>
          <w:bCs/>
          <w:color w:val="000000"/>
          <w:spacing w:val="0"/>
          <w:w w:val="100"/>
          <w:position w:val="0"/>
          <w:sz w:val="52"/>
          <w:szCs w:val="52"/>
        </w:rPr>
        <w:t>年</w:t>
      </w:r>
      <w:r>
        <w:rPr>
          <w:rFonts w:ascii="Times New Roman" w:eastAsia="Times New Roman" w:hAnsi="Times New Roman" w:cs="Times New Roman"/>
          <w:b/>
          <w:bCs/>
          <w:color w:val="000000"/>
          <w:spacing w:val="0"/>
          <w:w w:val="100"/>
          <w:position w:val="0"/>
          <w:sz w:val="52"/>
          <w:szCs w:val="52"/>
        </w:rPr>
        <w:t>04</w:t>
      </w:r>
      <w:r>
        <w:rPr>
          <w:b/>
          <w:bCs/>
          <w:color w:val="000000"/>
          <w:spacing w:val="0"/>
          <w:w w:val="100"/>
          <w:position w:val="0"/>
          <w:sz w:val="52"/>
          <w:szCs w:val="52"/>
        </w:rPr>
        <w:t>月</w:t>
      </w:r>
    </w:p>
    <w:p>
      <w:pPr>
        <w:widowControl w:val="0"/>
        <w:jc w:val="center"/>
        <w:rPr>
          <w:sz w:val="2"/>
          <w:szCs w:val="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3380" w:right="1109" w:bottom="1" w:left="1109" w:header="0" w:footer="3" w:gutter="0"/>
          <w:pgNumType w:start="1"/>
          <w:cols w:space="720"/>
          <w:noEndnote/>
          <w:rtlGutter w:val="0"/>
          <w:docGrid w:linePitch="360"/>
        </w:sectPr>
      </w:pPr>
      <w:r>
        <w:drawing>
          <wp:inline>
            <wp:extent cx="1737360" cy="99949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1737360" cy="999490"/>
                    </a:xfrm>
                    <a:prstGeom prst="rect"/>
                  </pic:spPr>
                </pic:pic>
              </a:graphicData>
            </a:graphic>
          </wp:inline>
        </w:drawing>
      </w:r>
    </w:p>
    <w:p>
      <w:pPr>
        <w:pStyle w:val="Style14"/>
        <w:keepNext/>
        <w:keepLines/>
        <w:widowControl w:val="0"/>
        <w:shd w:val="clear" w:color="auto" w:fill="auto"/>
        <w:bidi w:val="0"/>
        <w:spacing w:before="1080" w:after="380" w:line="626" w:lineRule="exact"/>
        <w:ind w:left="0" w:right="0" w:firstLine="0"/>
        <w:jc w:val="center"/>
      </w:pPr>
      <w:bookmarkStart w:id="4" w:name="bookmark4"/>
      <w:bookmarkStart w:id="5" w:name="bookmark5"/>
      <w:bookmarkStart w:id="6" w:name="bookmark6"/>
      <w:r>
        <w:rPr>
          <w:color w:val="000000"/>
          <w:spacing w:val="0"/>
          <w:w w:val="100"/>
          <w:position w:val="0"/>
        </w:rPr>
        <w:t>第一节重要提示、目录和释义</w:t>
      </w:r>
      <w:bookmarkEnd w:id="4"/>
      <w:bookmarkEnd w:id="5"/>
      <w:bookmarkEnd w:id="6"/>
    </w:p>
    <w:p>
      <w:pPr>
        <w:pStyle w:val="Style16"/>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 告内容的真实、准确、完整，不存在虚假记载、误导性陈述或重大遗 漏，并承担个别和连带的法律责任。</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3.00</w:t>
      </w:r>
      <w:r>
        <w:rPr>
          <w:color w:val="000000"/>
          <w:spacing w:val="0"/>
          <w:w w:val="100"/>
          <w:position w:val="0"/>
        </w:rPr>
        <w:t xml:space="preserve">元 </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，送红股</w:t>
      </w:r>
      <w:r>
        <w:rPr>
          <w:rFonts w:ascii="Times New Roman" w:eastAsia="Times New Roman" w:hAnsi="Times New Roman" w:cs="Times New Roman"/>
          <w:color w:val="000000"/>
          <w:spacing w:val="0"/>
          <w:w w:val="100"/>
          <w:position w:val="0"/>
        </w:rPr>
        <w:t>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，不以公积金转增股本。</w:t>
      </w:r>
    </w:p>
    <w:p>
      <w:pPr>
        <w:pStyle w:val="Style16"/>
        <w:keepNext w:val="0"/>
        <w:keepLines w:val="0"/>
        <w:widowControl w:val="0"/>
        <w:shd w:val="clear" w:color="auto" w:fill="auto"/>
        <w:bidi w:val="0"/>
        <w:spacing w:before="0" w:line="610" w:lineRule="exact"/>
        <w:ind w:left="0" w:right="0"/>
        <w:jc w:val="both"/>
      </w:pPr>
      <w:r>
        <w:rPr>
          <w:color w:val="000000"/>
          <w:spacing w:val="0"/>
          <w:w w:val="100"/>
          <w:position w:val="0"/>
        </w:rPr>
        <w:t>公司负责人罗桥胜、主管会计工作负责人黄志坚及会计机构负责 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冯云霞声明：保证年度报告中财务报告的真实、准 确、完整。</w:t>
      </w:r>
    </w:p>
    <w:p>
      <w:pPr>
        <w:pStyle w:val="Style19"/>
        <w:keepNext w:val="0"/>
        <w:keepLines w:val="0"/>
        <w:widowControl w:val="0"/>
        <w:shd w:val="clear" w:color="auto" w:fill="auto"/>
        <w:tabs>
          <w:tab w:pos="1150" w:val="left"/>
          <w:tab w:leader="dot" w:pos="9609" w:val="right"/>
        </w:tabs>
        <w:bidi w:val="0"/>
        <w:spacing w:before="0" w:line="240" w:lineRule="auto"/>
        <w:ind w:left="0" w:right="0" w:firstLine="0"/>
        <w:jc w:val="right"/>
      </w:pPr>
      <w:r>
        <w:fldChar w:fldCharType="begin"/>
        <w:instrText xml:space="preserve"> TOC \o "1-5" \h \z </w:instrText>
        <w:fldChar w:fldCharType="separate"/>
      </w:r>
      <w:hyperlink w:anchor="bookmark5"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9"/>
        <w:keepNext w:val="0"/>
        <w:keepLines w:val="0"/>
        <w:widowControl w:val="0"/>
        <w:shd w:val="clear" w:color="auto" w:fill="auto"/>
        <w:tabs>
          <w:tab w:leader="dot" w:pos="9609" w:val="right"/>
        </w:tabs>
        <w:bidi w:val="0"/>
        <w:spacing w:before="0" w:line="240" w:lineRule="auto"/>
        <w:ind w:left="0" w:right="0" w:firstLine="0"/>
        <w:jc w:val="right"/>
      </w:pPr>
      <w:hyperlink w:anchor="bookmark11"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9"/>
        <w:keepNext w:val="0"/>
        <w:keepLines w:val="0"/>
        <w:widowControl w:val="0"/>
        <w:shd w:val="clear" w:color="auto" w:fill="auto"/>
        <w:tabs>
          <w:tab w:leader="dot" w:pos="9609" w:val="right"/>
        </w:tabs>
        <w:bidi w:val="0"/>
        <w:spacing w:before="0" w:line="240" w:lineRule="auto"/>
        <w:ind w:left="0" w:right="0" w:firstLine="0"/>
        <w:jc w:val="right"/>
      </w:pPr>
      <w:hyperlink w:anchor="bookmark32"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9"/>
        <w:keepNext w:val="0"/>
        <w:keepLines w:val="0"/>
        <w:widowControl w:val="0"/>
        <w:shd w:val="clear" w:color="auto" w:fill="auto"/>
        <w:tabs>
          <w:tab w:leader="dot" w:pos="9609" w:val="right"/>
        </w:tabs>
        <w:bidi w:val="0"/>
        <w:spacing w:before="0" w:line="240" w:lineRule="auto"/>
        <w:ind w:left="0" w:right="0" w:firstLine="0"/>
        <w:jc w:val="right"/>
      </w:pPr>
      <w:hyperlink w:anchor="bookmark49"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9"/>
        <w:keepNext w:val="0"/>
        <w:keepLines w:val="0"/>
        <w:widowControl w:val="0"/>
        <w:shd w:val="clear" w:color="auto" w:fill="auto"/>
        <w:tabs>
          <w:tab w:leader="dot" w:pos="9609" w:val="right"/>
        </w:tabs>
        <w:bidi w:val="0"/>
        <w:spacing w:before="0" w:line="240" w:lineRule="auto"/>
        <w:ind w:left="0" w:right="0" w:firstLine="0"/>
        <w:jc w:val="right"/>
      </w:pPr>
      <w:hyperlink w:anchor="bookmark178"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21</w:t>
        </w:r>
      </w:hyperlink>
    </w:p>
    <w:p>
      <w:pPr>
        <w:pStyle w:val="Style19"/>
        <w:keepNext w:val="0"/>
        <w:keepLines w:val="0"/>
        <w:widowControl w:val="0"/>
        <w:shd w:val="clear" w:color="auto" w:fill="auto"/>
        <w:tabs>
          <w:tab w:leader="dot" w:pos="9609" w:val="right"/>
        </w:tabs>
        <w:bidi w:val="0"/>
        <w:spacing w:before="0" w:line="240" w:lineRule="auto"/>
        <w:ind w:left="0" w:right="0" w:firstLine="0"/>
        <w:jc w:val="right"/>
      </w:pPr>
      <w:hyperlink w:anchor="bookmark221"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24</w:t>
        </w:r>
      </w:hyperlink>
    </w:p>
    <w:p>
      <w:pPr>
        <w:pStyle w:val="Style19"/>
        <w:keepNext w:val="0"/>
        <w:keepLines w:val="0"/>
        <w:widowControl w:val="0"/>
        <w:shd w:val="clear" w:color="auto" w:fill="auto"/>
        <w:tabs>
          <w:tab w:pos="1150" w:val="left"/>
          <w:tab w:leader="dot" w:pos="9609" w:val="right"/>
        </w:tabs>
        <w:bidi w:val="0"/>
        <w:spacing w:before="0" w:line="240" w:lineRule="auto"/>
        <w:ind w:left="0" w:right="0" w:firstLine="0"/>
        <w:jc w:val="right"/>
      </w:pPr>
      <w:hyperlink w:anchor="bookmark259" w:tooltip="Current Document">
        <w:r>
          <w:rPr>
            <w:color w:val="000000"/>
            <w:spacing w:val="0"/>
            <w:w w:val="100"/>
            <w:position w:val="0"/>
          </w:rPr>
          <w:t>第七节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19"/>
        <w:keepNext w:val="0"/>
        <w:keepLines w:val="0"/>
        <w:widowControl w:val="0"/>
        <w:shd w:val="clear" w:color="auto" w:fill="auto"/>
        <w:tabs>
          <w:tab w:leader="dot" w:pos="9609" w:val="right"/>
        </w:tabs>
        <w:bidi w:val="0"/>
        <w:spacing w:before="0" w:line="240" w:lineRule="auto"/>
        <w:ind w:left="0" w:right="0" w:firstLine="0"/>
        <w:jc w:val="right"/>
      </w:pPr>
      <w:hyperlink w:anchor="bookmark296"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19"/>
        <w:keepNext w:val="0"/>
        <w:keepLines w:val="0"/>
        <w:widowControl w:val="0"/>
        <w:shd w:val="clear" w:color="auto" w:fill="auto"/>
        <w:tabs>
          <w:tab w:leader="dot" w:pos="9609" w:val="right"/>
        </w:tabs>
        <w:bidi w:val="0"/>
        <w:spacing w:before="0" w:line="240" w:lineRule="auto"/>
        <w:ind w:left="0" w:right="0" w:firstLine="0"/>
        <w:jc w:val="right"/>
      </w:pPr>
      <w:hyperlink w:anchor="bookmark348"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19"/>
        <w:keepNext w:val="0"/>
        <w:keepLines w:val="0"/>
        <w:widowControl w:val="0"/>
        <w:shd w:val="clear" w:color="auto" w:fill="auto"/>
        <w:tabs>
          <w:tab w:leader="dot" w:pos="9609" w:val="right"/>
        </w:tabs>
        <w:bidi w:val="0"/>
        <w:spacing w:before="0" w:line="240" w:lineRule="auto"/>
        <w:ind w:left="0" w:right="0" w:firstLine="0"/>
        <w:jc w:val="right"/>
      </w:pPr>
      <w:hyperlink w:anchor="bookmark370"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38</w:t>
        </w:r>
      </w:hyperlink>
    </w:p>
    <w:p>
      <w:pPr>
        <w:pStyle w:val="Style19"/>
        <w:keepNext w:val="0"/>
        <w:keepLines w:val="0"/>
        <w:widowControl w:val="0"/>
        <w:shd w:val="clear" w:color="auto" w:fill="auto"/>
        <w:tabs>
          <w:tab w:leader="dot" w:pos="9609" w:val="right"/>
        </w:tabs>
        <w:bidi w:val="0"/>
        <w:spacing w:before="0" w:after="3380" w:line="240" w:lineRule="auto"/>
        <w:ind w:left="0" w:right="0" w:firstLine="0"/>
        <w:jc w:val="right"/>
      </w:pPr>
      <w:hyperlink w:anchor="bookmark830" w:tooltip="Current Document">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101</w:t>
        </w:r>
      </w:hyperlink>
      <w:r>
        <w:fldChar w:fldCharType="end"/>
      </w:r>
    </w:p>
    <w:p>
      <w:pPr>
        <w:widowControl w:val="0"/>
        <w:jc w:val="center"/>
        <w:rPr>
          <w:sz w:val="2"/>
          <w:szCs w:val="2"/>
        </w:rPr>
        <w:sectPr>
          <w:footnotePr>
            <w:pos w:val="pageBottom"/>
            <w:numFmt w:val="decimal"/>
            <w:numRestart w:val="continuous"/>
          </w:footnotePr>
          <w:pgSz w:w="11900" w:h="16840"/>
          <w:pgMar w:top="645" w:right="998" w:bottom="950" w:left="1086" w:header="0" w:footer="3" w:gutter="0"/>
          <w:cols w:space="720"/>
          <w:noEndnote/>
          <w:rtlGutter w:val="0"/>
          <w:docGrid w:linePitch="360"/>
        </w:sectPr>
      </w:pPr>
      <w:r>
        <w:drawing>
          <wp:inline>
            <wp:extent cx="1718945" cy="98171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1718945" cy="981710"/>
                    </a:xfrm>
                    <a:prstGeom prst="rect"/>
                  </pic:spPr>
                </pic:pic>
              </a:graphicData>
            </a:graphic>
          </wp:inline>
        </w:drawing>
      </w:r>
    </w:p>
    <w:tbl>
      <w:tblPr>
        <w:tblOverlap w:val="never"/>
        <w:jc w:val="center"/>
        <w:tblLayout w:type="fixed"/>
      </w:tblPr>
      <w:tblGrid>
        <w:gridCol w:w="3067"/>
        <w:gridCol w:w="542"/>
        <w:gridCol w:w="597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广东华声电器股份有限公司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锐达投资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佛山锐达投资发展有限公司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香港华声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华声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香港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远茂化工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佛山市顺德区远茂化工实业有限公司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诚众投资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佛山市顺德区诚众投资管理中心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有限合伙</w:t>
            </w:r>
            <w:r>
              <w:rPr>
                <w:color w:val="000000"/>
                <w:spacing w:val="0"/>
                <w:w w:val="100"/>
                <w:position w:val="0"/>
                <w:sz w:val="24"/>
                <w:szCs w:val="24"/>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扬州华声、全资子公司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扬州华声电子实业有限公司</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VDE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 xml:space="preserve">指 </w:t>
            </w:r>
            <w:r>
              <w:rPr>
                <w:rFonts w:ascii="Times New Roman" w:eastAsia="Times New Roman" w:hAnsi="Times New Roman" w:cs="Times New Roman"/>
                <w:color w:val="000000"/>
                <w:spacing w:val="0"/>
                <w:w w:val="100"/>
                <w:position w:val="0"/>
                <w:sz w:val="24"/>
                <w:szCs w:val="24"/>
              </w:rPr>
              <w:t>VERBAND DER ELEKTROTECHNIK</w:t>
            </w:r>
            <w:r>
              <w:rPr>
                <w:color w:val="000000"/>
                <w:spacing w:val="0"/>
                <w:w w:val="100"/>
                <w:position w:val="0"/>
                <w:sz w:val="22"/>
                <w:szCs w:val="22"/>
              </w:rPr>
              <w:t>，意即德国电气 工程师协会。成立于</w:t>
            </w:r>
            <w:r>
              <w:rPr>
                <w:rFonts w:ascii="Times New Roman" w:eastAsia="Times New Roman" w:hAnsi="Times New Roman" w:cs="Times New Roman"/>
                <w:color w:val="000000"/>
                <w:spacing w:val="0"/>
                <w:w w:val="100"/>
                <w:position w:val="0"/>
                <w:sz w:val="24"/>
                <w:szCs w:val="24"/>
              </w:rPr>
              <w:t>1920</w:t>
            </w:r>
            <w:r>
              <w:rPr>
                <w:color w:val="000000"/>
                <w:spacing w:val="0"/>
                <w:w w:val="100"/>
                <w:position w:val="0"/>
                <w:sz w:val="22"/>
                <w:szCs w:val="22"/>
              </w:rPr>
              <w:t>年，是欧洲最有经验的试验认 证和检查机构之一，是欧盟授权的</w:t>
            </w:r>
            <w:r>
              <w:rPr>
                <w:rFonts w:ascii="Times New Roman" w:eastAsia="Times New Roman" w:hAnsi="Times New Roman" w:cs="Times New Roman"/>
                <w:color w:val="000000"/>
                <w:spacing w:val="0"/>
                <w:w w:val="100"/>
                <w:position w:val="0"/>
                <w:sz w:val="24"/>
                <w:szCs w:val="24"/>
              </w:rPr>
              <w:t>CE</w:t>
            </w:r>
            <w:r>
              <w:rPr>
                <w:color w:val="000000"/>
                <w:spacing w:val="0"/>
                <w:w w:val="100"/>
                <w:position w:val="0"/>
                <w:sz w:val="22"/>
                <w:szCs w:val="22"/>
              </w:rPr>
              <w:t xml:space="preserve">公告机构及国际 </w:t>
            </w:r>
            <w:r>
              <w:rPr>
                <w:rFonts w:ascii="Times New Roman" w:eastAsia="Times New Roman" w:hAnsi="Times New Roman" w:cs="Times New Roman"/>
                <w:color w:val="000000"/>
                <w:spacing w:val="0"/>
                <w:w w:val="100"/>
                <w:position w:val="0"/>
                <w:sz w:val="24"/>
                <w:szCs w:val="24"/>
              </w:rPr>
              <w:t>CB</w:t>
            </w:r>
            <w:r>
              <w:rPr>
                <w:color w:val="000000"/>
                <w:spacing w:val="0"/>
                <w:w w:val="100"/>
                <w:position w:val="0"/>
                <w:sz w:val="22"/>
                <w:szCs w:val="22"/>
              </w:rPr>
              <w:t>组织成员</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UL</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2"/>
                <w:szCs w:val="22"/>
              </w:rPr>
            </w:pPr>
            <w:r>
              <w:rPr>
                <w:color w:val="000000"/>
                <w:spacing w:val="0"/>
                <w:w w:val="100"/>
                <w:position w:val="0"/>
                <w:sz w:val="22"/>
                <w:szCs w:val="22"/>
              </w:rPr>
              <w:t>指英文</w:t>
            </w:r>
            <w:r>
              <w:rPr>
                <w:rFonts w:ascii="Times New Roman" w:eastAsia="Times New Roman" w:hAnsi="Times New Roman" w:cs="Times New Roman"/>
                <w:color w:val="000000"/>
                <w:spacing w:val="0"/>
                <w:w w:val="100"/>
                <w:position w:val="0"/>
                <w:sz w:val="24"/>
                <w:szCs w:val="24"/>
              </w:rPr>
              <w:t>Underwriter Laboratories Inc.</w:t>
            </w:r>
            <w:r>
              <w:rPr>
                <w:color w:val="000000"/>
                <w:spacing w:val="0"/>
                <w:w w:val="100"/>
                <w:position w:val="0"/>
                <w:sz w:val="22"/>
                <w:szCs w:val="22"/>
              </w:rPr>
              <w:t>的简写；</w:t>
            </w:r>
            <w:r>
              <w:rPr>
                <w:rFonts w:ascii="Times New Roman" w:eastAsia="Times New Roman" w:hAnsi="Times New Roman" w:cs="Times New Roman"/>
                <w:color w:val="000000"/>
                <w:spacing w:val="0"/>
                <w:w w:val="100"/>
                <w:position w:val="0"/>
                <w:sz w:val="24"/>
                <w:szCs w:val="24"/>
              </w:rPr>
              <w:t>UL</w:t>
            </w:r>
            <w:r>
              <w:rPr>
                <w:color w:val="000000"/>
                <w:spacing w:val="0"/>
                <w:w w:val="100"/>
                <w:position w:val="0"/>
                <w:sz w:val="22"/>
                <w:szCs w:val="22"/>
              </w:rPr>
              <w:t>安全试验 所是美国从事安全试验和鉴定的最权威民间机构之一。</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RoHS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 xml:space="preserve">《关于限制在电子电器设备中使用某些有害成分的指令》 </w:t>
            </w:r>
            <w:r>
              <w:rPr>
                <w:rFonts w:ascii="Times New Roman" w:eastAsia="Times New Roman" w:hAnsi="Times New Roman" w:cs="Times New Roman"/>
                <w:color w:val="000000"/>
                <w:spacing w:val="0"/>
                <w:w w:val="100"/>
                <w:position w:val="0"/>
                <w:sz w:val="24"/>
                <w:szCs w:val="24"/>
              </w:rPr>
              <w:t>（Restriction of Hazardous Substances）</w:t>
            </w:r>
            <w:r>
              <w:rPr>
                <w:color w:val="000000"/>
                <w:spacing w:val="0"/>
                <w:w w:val="100"/>
                <w:position w:val="0"/>
                <w:sz w:val="22"/>
                <w:szCs w:val="22"/>
              </w:rPr>
              <w:t>，欧盟制定的一项强 制性标准。</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CNAS</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22"/>
                <w:szCs w:val="22"/>
              </w:rPr>
            </w:pPr>
            <w:r>
              <w:rPr>
                <w:color w:val="000000"/>
                <w:spacing w:val="0"/>
                <w:w w:val="100"/>
                <w:position w:val="0"/>
                <w:sz w:val="22"/>
                <w:szCs w:val="22"/>
              </w:rPr>
              <w:t>中国合格评定国家认可委员会，是根据《中华人民共和国 认证认可条例》由国家认证认可监督管理委员会批准设立 并授权的国家认可机构，统一负责对认证机构、实验室和 检查机构等相关机构的认可工作。</w:t>
            </w:r>
          </w:p>
        </w:tc>
      </w:tr>
    </w:tbl>
    <w:p>
      <w:pPr>
        <w:pStyle w:val="Style14"/>
        <w:keepNext/>
        <w:keepLines/>
        <w:widowControl w:val="0"/>
        <w:shd w:val="clear" w:color="auto" w:fill="auto"/>
        <w:bidi w:val="0"/>
        <w:spacing w:before="0" w:after="220" w:line="240" w:lineRule="auto"/>
        <w:ind w:left="0" w:right="0" w:firstLine="0"/>
        <w:jc w:val="center"/>
      </w:pPr>
      <w:bookmarkStart w:id="7" w:name="bookmark7"/>
      <w:bookmarkStart w:id="8" w:name="bookmark8"/>
      <w:bookmarkStart w:id="9" w:name="bookmark9"/>
      <w:r>
        <w:rPr>
          <w:color w:val="000000"/>
          <w:spacing w:val="0"/>
          <w:w w:val="100"/>
          <w:position w:val="0"/>
        </w:rPr>
        <w:t>重大风险提示</w:t>
      </w:r>
      <w:bookmarkEnd w:id="7"/>
      <w:bookmarkEnd w:id="8"/>
      <w:bookmarkEnd w:id="9"/>
    </w:p>
    <w:p>
      <w:pPr>
        <w:pStyle w:val="Style2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行业风险公司长期从事家用电器配线组件的研发、生产和销售，主要产 品直接应用于家用电器制造行业，销售受下游家电行业影响较大。在新一轮的 经济增长期中，家用电器行业仍将是我国最具市场竞争力的产业之一，长期向 好的发展趋势不会改变。但家电行业可能受到宏观经济、消费趋向、行业周期 等多方面影响，若国际国内家电消费需求下降，将对公司生产经营和市场销售 产生不利影响。同时，公司近三年空调连接组件销售收入占主营业务收入的比 重均在</w:t>
      </w:r>
      <w:r>
        <w:rPr>
          <w:rFonts w:ascii="Times New Roman" w:eastAsia="Times New Roman" w:hAnsi="Times New Roman" w:cs="Times New Roman"/>
          <w:color w:val="000000"/>
          <w:spacing w:val="0"/>
          <w:w w:val="100"/>
          <w:position w:val="0"/>
        </w:rPr>
        <w:t>70%</w:t>
      </w:r>
      <w:r>
        <w:rPr>
          <w:color w:val="000000"/>
          <w:spacing w:val="0"/>
          <w:w w:val="100"/>
          <w:position w:val="0"/>
        </w:rPr>
        <w:t>以上，且按照发展规划，未来公司主业将保持不变，其中空调连接 组件仍将占据较高比重，因此存在主营业务集中度过高的风险。</w:t>
      </w:r>
      <w:r>
        <w:rPr>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主要客户集 中风险因下游家电制造业集中度较高，近三年，公司对前五大客户</w:t>
      </w:r>
      <w:r>
        <w:rPr>
          <w:rFonts w:ascii="Times New Roman" w:eastAsia="Times New Roman" w:hAnsi="Times New Roman" w:cs="Times New Roman"/>
          <w:color w:val="000000"/>
          <w:spacing w:val="0"/>
          <w:w w:val="100"/>
          <w:position w:val="0"/>
        </w:rPr>
        <w:t>（</w:t>
      </w:r>
      <w:r>
        <w:rPr>
          <w:color w:val="000000"/>
          <w:spacing w:val="0"/>
          <w:w w:val="100"/>
          <w:position w:val="0"/>
        </w:rPr>
        <w:t>按最终客户 为统计口径合并计算</w:t>
      </w:r>
      <w:r>
        <w:rPr>
          <w:rFonts w:ascii="Times New Roman" w:eastAsia="Times New Roman" w:hAnsi="Times New Roman" w:cs="Times New Roman"/>
          <w:color w:val="000000"/>
          <w:spacing w:val="0"/>
          <w:w w:val="100"/>
          <w:position w:val="0"/>
        </w:rPr>
        <w:t>）</w:t>
      </w:r>
      <w:r>
        <w:rPr>
          <w:color w:val="000000"/>
          <w:spacing w:val="0"/>
          <w:w w:val="100"/>
          <w:position w:val="0"/>
        </w:rPr>
        <w:t>的合计销售收入占营业收入的比重均达</w:t>
      </w:r>
      <w:r>
        <w:rPr>
          <w:rFonts w:ascii="Times New Roman" w:eastAsia="Times New Roman" w:hAnsi="Times New Roman" w:cs="Times New Roman"/>
          <w:color w:val="000000"/>
          <w:spacing w:val="0"/>
          <w:w w:val="100"/>
          <w:position w:val="0"/>
        </w:rPr>
        <w:t>80%</w:t>
      </w:r>
      <w:r>
        <w:rPr>
          <w:color w:val="000000"/>
          <w:spacing w:val="0"/>
          <w:w w:val="100"/>
          <w:position w:val="0"/>
        </w:rPr>
        <w:t>以上。公司客 户在选择供应商时有严格的审核标准、长期的评价过程，要求供应商具有完善 的业务管理体系、质量控制体系以及充足的加工制造能力、配送服务实力。公 司依靠竞争优势成为前五大客户的重要合作伙伴，已得到其长期认可，未来仍 将继续深入合作。如果上述家电客户经营发生重大不利变化或减少订单，可能 对公司的生产和销售带来不利影响。</w:t>
      </w:r>
      <w:r>
        <w:rPr>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原材料价格波动风险公司生产所用主要 原材料为铜材及化工原料，其中铜材消耗占生产成本的</w:t>
      </w:r>
      <w:r>
        <w:rPr>
          <w:rFonts w:ascii="Times New Roman" w:eastAsia="Times New Roman" w:hAnsi="Times New Roman" w:cs="Times New Roman"/>
          <w:color w:val="000000"/>
          <w:spacing w:val="0"/>
          <w:w w:val="100"/>
          <w:position w:val="0"/>
        </w:rPr>
        <w:t>60%</w:t>
      </w:r>
      <w:r>
        <w:rPr>
          <w:color w:val="000000"/>
          <w:spacing w:val="0"/>
          <w:w w:val="100"/>
          <w:position w:val="0"/>
        </w:rPr>
        <w:t>左右。因此，铜材 市场价格的波动会直接造成公司采购成本的波动。然而，本公司实行以销定产, 按订单组织原材料采购和生产的经营模式，公司主要产品采取成本加成的定价 原则，销售定价以市场铜价为基础并逐月调整，很大程度上化解了铜材价格波 动带来的风险。但是，未来受市场需求变动等多方面因素影响，如果主要原材 料价格出现大幅波动，将对公司营运资金安排和生产成本控制带来不确定性， 公司在生产经营过程中必须面对主要原材料价格大幅波动引致的风险。此外， 公司保持了一定的存货量，与</w:t>
      </w:r>
      <w:r>
        <w:rPr>
          <w:rFonts w:ascii="Times New Roman" w:eastAsia="Times New Roman" w:hAnsi="Times New Roman" w:cs="Times New Roman"/>
          <w:color w:val="000000"/>
          <w:spacing w:val="0"/>
          <w:w w:val="100"/>
          <w:position w:val="0"/>
        </w:rPr>
        <w:t>1-2</w:t>
      </w:r>
      <w:r>
        <w:rPr>
          <w:color w:val="000000"/>
          <w:spacing w:val="0"/>
          <w:w w:val="100"/>
          <w:position w:val="0"/>
        </w:rPr>
        <w:t>个月的生产经营需要相匹配，若铜价出现快速 大幅下跌，公司可能产生存货跌价风险。</w:t>
      </w:r>
      <w:r>
        <w:br w:type="page"/>
      </w:r>
    </w:p>
    <w:p>
      <w:pPr>
        <w:pStyle w:val="Style14"/>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w:t>
      </w:r>
      <w:bookmarkEnd w:id="10"/>
      <w:bookmarkEnd w:id="11"/>
      <w:bookmarkEnd w:id="12"/>
    </w:p>
    <w:p>
      <w:pPr>
        <w:pStyle w:val="Style30"/>
        <w:keepNext/>
        <w:keepLines/>
        <w:widowControl w:val="0"/>
        <w:shd w:val="clear" w:color="auto" w:fill="auto"/>
        <w:bidi w:val="0"/>
        <w:spacing w:before="0" w:after="300" w:line="240" w:lineRule="auto"/>
        <w:ind w:left="0" w:right="0" w:firstLine="240"/>
        <w:jc w:val="left"/>
      </w:pPr>
      <w:bookmarkStart w:id="13" w:name="bookmark13"/>
      <w:bookmarkStart w:id="14" w:name="bookmark14"/>
      <w:bookmarkStart w:id="15" w:name="bookmark15"/>
      <w:r>
        <w:rPr>
          <w:color w:val="000000"/>
          <w:spacing w:val="0"/>
          <w:w w:val="100"/>
          <w:position w:val="0"/>
          <w:sz w:val="24"/>
          <w:szCs w:val="24"/>
        </w:rPr>
        <w:t>、公司信息</w:t>
      </w:r>
      <w:bookmarkEnd w:id="13"/>
      <w:bookmarkEnd w:id="14"/>
      <w:bookmarkEnd w:id="15"/>
    </w:p>
    <w:tbl>
      <w:tblPr>
        <w:tblOverlap w:val="never"/>
        <w:jc w:val="center"/>
        <w:tblLayout w:type="fixed"/>
      </w:tblPr>
      <w:tblGrid>
        <w:gridCol w:w="4147"/>
        <w:gridCol w:w="1982"/>
        <w:gridCol w:w="1618"/>
        <w:gridCol w:w="18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002670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华声股份</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GuangDong Huasheng Electrical Appliances Co.,Ltd</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佛山市顺德区容桂街道华口昌宝东路</w:t>
            </w:r>
            <w:r>
              <w:rPr>
                <w:rFonts w:ascii="Times New Roman" w:eastAsia="Times New Roman" w:hAnsi="Times New Roman" w:cs="Times New Roman"/>
                <w:color w:val="000000"/>
                <w:spacing w:val="0"/>
                <w:w w:val="100"/>
                <w:position w:val="0"/>
              </w:rPr>
              <w:t>13</w:t>
            </w:r>
            <w:r>
              <w:rPr>
                <w:color w:val="000000"/>
                <w:spacing w:val="0"/>
                <w:w w:val="100"/>
                <w:position w:val="0"/>
              </w:rPr>
              <w:t>号</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528306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佛山市顺德区容桂街道华口昌宝东路</w:t>
            </w:r>
            <w:r>
              <w:rPr>
                <w:rFonts w:ascii="Times New Roman" w:eastAsia="Times New Roman" w:hAnsi="Times New Roman" w:cs="Times New Roman"/>
                <w:color w:val="000000"/>
                <w:spacing w:val="0"/>
                <w:w w:val="100"/>
                <w:position w:val="0"/>
              </w:rPr>
              <w:t>13</w:t>
            </w:r>
            <w:r>
              <w:rPr>
                <w:color w:val="000000"/>
                <w:spacing w:val="0"/>
                <w:w w:val="100"/>
                <w:position w:val="0"/>
              </w:rPr>
              <w:t>号</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528306</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"http://www.wasung.com" </w:instrText>
            </w:r>
            <w:r>
              <w:fldChar w:fldCharType="separate"/>
            </w:r>
            <w:r>
              <w:rPr>
                <w:rFonts w:ascii="Times New Roman" w:eastAsia="Times New Roman" w:hAnsi="Times New Roman" w:cs="Times New Roman"/>
                <w:color w:val="000000"/>
                <w:spacing w:val="0"/>
                <w:w w:val="100"/>
                <w:position w:val="0"/>
              </w:rPr>
              <w:t>www.wasung.com</w:t>
            </w:r>
            <w:r>
              <w:fldChar w:fldCharType="end"/>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"mailto:zqb@wasung.com" </w:instrText>
            </w:r>
            <w:r>
              <w:fldChar w:fldCharType="separate"/>
            </w:r>
            <w:r>
              <w:rPr>
                <w:rFonts w:ascii="Times New Roman" w:eastAsia="Times New Roman" w:hAnsi="Times New Roman" w:cs="Times New Roman"/>
                <w:color w:val="000000"/>
                <w:spacing w:val="0"/>
                <w:w w:val="100"/>
                <w:position w:val="0"/>
              </w:rPr>
              <w:t>zqb@wasung.com</w:t>
            </w:r>
            <w:r>
              <w:fldChar w:fldCharType="end"/>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240"/>
        <w:jc w:val="left"/>
      </w:pPr>
      <w:bookmarkStart w:id="16" w:name="bookmark16"/>
      <w:bookmarkStart w:id="17" w:name="bookmark17"/>
      <w:bookmarkStart w:id="18" w:name="bookmark18"/>
      <w:r>
        <w:rPr>
          <w:color w:val="000000"/>
          <w:spacing w:val="0"/>
          <w:w w:val="100"/>
          <w:position w:val="0"/>
          <w:sz w:val="24"/>
          <w:szCs w:val="24"/>
        </w:rPr>
        <w:t>、联系人和联系方式</w:t>
      </w:r>
      <w:bookmarkEnd w:id="16"/>
      <w:bookmarkEnd w:id="17"/>
      <w:bookmarkEnd w:id="18"/>
    </w:p>
    <w:tbl>
      <w:tblPr>
        <w:tblOverlap w:val="never"/>
        <w:jc w:val="center"/>
        <w:tblLayout w:type="fixed"/>
      </w:tblPr>
      <w:tblGrid>
        <w:gridCol w:w="4147"/>
        <w:gridCol w:w="2702"/>
        <w:gridCol w:w="273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赖德富</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佛山市顺德区容桂街道华口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佛山市顺德区容桂街道华口</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0757-26680089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0757-26680089</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0757-26680089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0757-26680089</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"mailto:zqb@wasung.com" </w:instrText>
            </w:r>
            <w:r>
              <w:fldChar w:fldCharType="separate"/>
            </w:r>
            <w:r>
              <w:rPr>
                <w:rFonts w:ascii="Times New Roman" w:eastAsia="Times New Roman" w:hAnsi="Times New Roman" w:cs="Times New Roman"/>
                <w:color w:val="000000"/>
                <w:spacing w:val="0"/>
                <w:w w:val="100"/>
                <w:position w:val="0"/>
              </w:rPr>
              <w:t>zqb@wasung.com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"mailto:zqb@wasung.com" </w:instrText>
            </w:r>
            <w:r>
              <w:fldChar w:fldCharType="separate"/>
            </w:r>
            <w:r>
              <w:rPr>
                <w:rFonts w:ascii="Times New Roman" w:eastAsia="Times New Roman" w:hAnsi="Times New Roman" w:cs="Times New Roman"/>
                <w:color w:val="000000"/>
                <w:spacing w:val="0"/>
                <w:w w:val="100"/>
                <w:position w:val="0"/>
              </w:rPr>
              <w:t>zqb@wasung.com</w:t>
            </w:r>
            <w:r>
              <w:fldChar w:fldCharType="end"/>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4147"/>
        <w:gridCol w:w="54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xml:space="preserve"> .cn</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、注册变更情况</w:t>
      </w:r>
      <w:bookmarkEnd w:id="23"/>
      <w:bookmarkEnd w:id="24"/>
      <w:bookmarkEnd w:id="26"/>
    </w:p>
    <w:tbl>
      <w:tblPr>
        <w:tblOverlap w:val="never"/>
        <w:jc w:val="center"/>
        <w:tblLayout w:type="fixed"/>
      </w:tblPr>
      <w:tblGrid>
        <w:gridCol w:w="1603"/>
        <w:gridCol w:w="1824"/>
        <w:gridCol w:w="1440"/>
        <w:gridCol w:w="1800"/>
        <w:gridCol w:w="1800"/>
        <w:gridCol w:w="1118"/>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广东省佛山市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0117033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440681617655613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61765561-3</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广东省佛山市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440681400005369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440681617655613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61765561-3</w:t>
            </w:r>
          </w:p>
        </w:tc>
      </w:tr>
      <w:tr>
        <w:trPr>
          <w:trHeight w:val="365" w:hRule="exact"/>
        </w:trPr>
        <w:tc>
          <w:tcPr>
            <w:gridSpan w:val="3"/>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w:t>
            </w: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645" w:right="998" w:bottom="950" w:left="1086" w:header="0" w:footer="3" w:gutter="0"/>
          <w:cols w:space="720"/>
          <w:noEndnote/>
          <w:rtlGutter w:val="0"/>
          <w:docGrid w:linePitch="360"/>
        </w:sectPr>
      </w:pPr>
    </w:p>
    <w:tbl>
      <w:tblPr>
        <w:tblOverlap w:val="never"/>
        <w:jc w:val="center"/>
        <w:tblLayout w:type="fixed"/>
      </w:tblPr>
      <w:tblGrid>
        <w:gridCol w:w="4867"/>
        <w:gridCol w:w="4718"/>
      </w:tblGrid>
      <w:tr>
        <w:trPr>
          <w:trHeight w:val="365"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w:t>
            </w: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pStyle w:val="Style30"/>
        <w:keepNext/>
        <w:keepLines/>
        <w:widowControl w:val="0"/>
        <w:shd w:val="clear" w:color="auto" w:fill="auto"/>
        <w:bidi w:val="0"/>
        <w:spacing w:before="0" w:after="0" w:line="595" w:lineRule="exact"/>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shd w:val="clear" w:color="auto" w:fill="FFFFFF"/>
        </w:rPr>
        <w:t>五</w:t>
      </w:r>
      <w:bookmarkEnd w:id="29"/>
      <w:r>
        <w:rPr>
          <w:color w:val="000000"/>
          <w:spacing w:val="0"/>
          <w:w w:val="100"/>
          <w:position w:val="0"/>
          <w:sz w:val="24"/>
          <w:szCs w:val="24"/>
          <w:shd w:val="clear" w:color="auto" w:fill="FFFFFF"/>
        </w:rPr>
        <w:t>、其他有关资料</w:t>
      </w:r>
      <w:bookmarkEnd w:id="27"/>
      <w:bookmarkEnd w:id="28"/>
      <w:bookmarkEnd w:id="30"/>
    </w:p>
    <w:p>
      <w:pPr>
        <w:pStyle w:val="Style35"/>
        <w:keepNext w:val="0"/>
        <w:keepLines w:val="0"/>
        <w:widowControl w:val="0"/>
        <w:shd w:val="clear" w:color="auto" w:fill="auto"/>
        <w:bidi w:val="0"/>
        <w:spacing w:before="0" w:after="60" w:line="595" w:lineRule="exact"/>
        <w:ind w:left="0" w:right="0" w:firstLine="0"/>
        <w:jc w:val="left"/>
      </w:pPr>
      <w:r>
        <w:rPr>
          <w:b/>
          <w:bCs/>
          <w:color w:val="000000"/>
          <w:spacing w:val="0"/>
          <w:w w:val="100"/>
          <w:position w:val="0"/>
        </w:rPr>
        <w:t>公司聘请的会计师事务所</w:t>
      </w:r>
    </w:p>
    <w:tbl>
      <w:tblPr>
        <w:tblOverlap w:val="never"/>
        <w:jc w:val="center"/>
        <w:tblLayout w:type="fixed"/>
      </w:tblPr>
      <w:tblGrid>
        <w:gridCol w:w="2674"/>
        <w:gridCol w:w="6912"/>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rPr>
              <w:t>61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楼</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室</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张锦坤、漆红燕</w:t>
            </w:r>
          </w:p>
        </w:tc>
      </w:tr>
    </w:tbl>
    <w:p>
      <w:pPr>
        <w:widowControl w:val="0"/>
        <w:spacing w:after="399" w:line="1" w:lineRule="exact"/>
      </w:pPr>
    </w:p>
    <w:p>
      <w:pPr>
        <w:pStyle w:val="Style3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公司聘请的报告期内履行持续督导职责的保荐机构</w:t>
      </w:r>
    </w:p>
    <w:tbl>
      <w:tblPr>
        <w:tblOverlap w:val="never"/>
        <w:jc w:val="center"/>
        <w:tblLayout w:type="fixed"/>
      </w:tblPr>
      <w:tblGrid>
        <w:gridCol w:w="2347"/>
        <w:gridCol w:w="2702"/>
        <w:gridCol w:w="2136"/>
        <w:gridCol w:w="2400"/>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6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上海市静安区新闸路</w:t>
            </w:r>
            <w:r>
              <w:rPr>
                <w:rFonts w:ascii="Times New Roman" w:eastAsia="Times New Roman" w:hAnsi="Times New Roman" w:cs="Times New Roman"/>
                <w:color w:val="000000"/>
                <w:spacing w:val="0"/>
                <w:w w:val="100"/>
                <w:position w:val="0"/>
              </w:rPr>
              <w:t>1508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晏学飞、卫成业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pStyle w:val="Style38"/>
        <w:keepNext w:val="0"/>
        <w:keepLines w:val="0"/>
        <w:widowControl w:val="0"/>
        <w:shd w:val="clear" w:color="auto" w:fill="auto"/>
        <w:tabs>
          <w:tab w:pos="7565" w:val="left"/>
        </w:tabs>
        <w:bidi w:val="0"/>
        <w:spacing w:before="0" w:after="0" w:line="240" w:lineRule="auto"/>
        <w:ind w:left="0" w:right="0" w:firstLine="0"/>
        <w:jc w:val="center"/>
      </w:pPr>
      <w:r>
        <w:rPr>
          <w:color w:val="000000"/>
          <w:spacing w:val="0"/>
          <w:w w:val="100"/>
          <w:position w:val="0"/>
        </w:rPr>
        <w:t>公司聘请的报告期内履行持续督导职责的财务顾问</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519" w:line="1" w:lineRule="exact"/>
      </w:pPr>
    </w:p>
    <w:p>
      <w:pPr>
        <w:pStyle w:val="Style14"/>
        <w:keepNext/>
        <w:keepLines/>
        <w:widowControl w:val="0"/>
        <w:shd w:val="clear" w:color="auto" w:fill="auto"/>
        <w:bidi w:val="0"/>
        <w:spacing w:before="0" w:after="520" w:line="240" w:lineRule="auto"/>
        <w:ind w:left="0" w:right="0" w:firstLine="0"/>
        <w:jc w:val="center"/>
      </w:pPr>
      <w:bookmarkStart w:id="31" w:name="bookmark31"/>
      <w:bookmarkStart w:id="32" w:name="bookmark32"/>
      <w:bookmarkStart w:id="33" w:name="bookmark33"/>
      <w:r>
        <w:rPr>
          <w:color w:val="000000"/>
          <w:spacing w:val="0"/>
          <w:w w:val="100"/>
          <w:position w:val="0"/>
        </w:rPr>
        <w:t>第三节会计数据和财务指标摘要</w:t>
      </w:r>
      <w:bookmarkEnd w:id="31"/>
      <w:bookmarkEnd w:id="32"/>
      <w:bookmarkEnd w:id="33"/>
    </w:p>
    <w:p>
      <w:pPr>
        <w:pStyle w:val="Style30"/>
        <w:keepNext/>
        <w:keepLines/>
        <w:widowControl w:val="0"/>
        <w:shd w:val="clear" w:color="auto" w:fill="auto"/>
        <w:bidi w:val="0"/>
        <w:spacing w:before="0" w:after="36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一</w:t>
      </w:r>
      <w:bookmarkEnd w:id="36"/>
      <w:r>
        <w:rPr>
          <w:color w:val="000000"/>
          <w:spacing w:val="0"/>
          <w:w w:val="100"/>
          <w:position w:val="0"/>
          <w:sz w:val="24"/>
          <w:szCs w:val="24"/>
        </w:rPr>
        <w:t>、主要会计数据和财务指标</w:t>
      </w:r>
      <w:bookmarkEnd w:id="34"/>
      <w:bookmarkEnd w:id="35"/>
      <w:bookmarkEnd w:id="37"/>
    </w:p>
    <w:p>
      <w:pPr>
        <w:pStyle w:val="Style35"/>
        <w:keepNext w:val="0"/>
        <w:keepLines w:val="0"/>
        <w:widowControl w:val="0"/>
        <w:shd w:val="clear" w:color="auto" w:fill="auto"/>
        <w:tabs>
          <w:tab w:pos="8285" w:val="left"/>
        </w:tabs>
        <w:bidi w:val="0"/>
        <w:spacing w:before="0" w:after="60" w:line="240" w:lineRule="auto"/>
        <w:ind w:left="0" w:right="0" w:firstLine="0"/>
        <w:jc w:val="left"/>
      </w:pPr>
      <w:r>
        <w:rPr>
          <w:color w:val="000000"/>
          <w:spacing w:val="0"/>
          <w:w w:val="100"/>
          <w:position w:val="0"/>
        </w:rPr>
        <w:t>公司是否因会计政策变更及会计差错更正等追溯调整或重述以前年度会计数据</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tbl>
      <w:tblPr>
        <w:tblOverlap w:val="never"/>
        <w:jc w:val="center"/>
        <w:tblLayout w:type="fixed"/>
      </w:tblPr>
      <w:tblGrid>
        <w:gridCol w:w="3427"/>
        <w:gridCol w:w="1622"/>
        <w:gridCol w:w="1618"/>
        <w:gridCol w:w="1262"/>
        <w:gridCol w:w="1656"/>
      </w:tblGrid>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 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1,486,881,930.29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1,274,355,668.78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1,550,233,997.96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90,625,042.03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65,553,926.28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71,985,684.66</w:t>
            </w:r>
          </w:p>
        </w:tc>
      </w:tr>
      <w:tr>
        <w:trPr>
          <w:trHeight w:val="68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归属于上市公司股东的扣除非经常性 损益的净利润</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91,311,925.74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61,089,003.51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66,996,376.50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-55,803,328.66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121,022,441.82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-63,651,684.33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w:t>
            </w:r>
          </w:p>
        </w:tc>
      </w:tr>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 年末增减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1,367,080,888.56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1,096,964,121.84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1,047,261,189.36</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793,065,531.59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752,440,489.56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392,219,019.77</w:t>
            </w:r>
          </w:p>
        </w:tc>
      </w:tr>
    </w:tbl>
    <w:p>
      <w:pPr>
        <w:spacing w:lineRule="exact" w:line="1"/>
        <w:rPr>
          <w:sz w:val="2"/>
          <w:szCs w:val="2"/>
        </w:rPr>
      </w:pPr>
      <w:r>
        <w:br w:type="page"/>
      </w:r>
    </w:p>
    <w:p>
      <w:pPr>
        <w:pStyle w:val="Style30"/>
        <w:keepNext/>
        <w:keepLines/>
        <w:widowControl w:val="0"/>
        <w:shd w:val="clear" w:color="auto" w:fill="auto"/>
        <w:bidi w:val="0"/>
        <w:spacing w:before="0" w:after="34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二</w:t>
      </w:r>
      <w:bookmarkEnd w:id="40"/>
      <w:r>
        <w:rPr>
          <w:color w:val="000000"/>
          <w:spacing w:val="0"/>
          <w:w w:val="100"/>
          <w:position w:val="0"/>
          <w:sz w:val="24"/>
          <w:szCs w:val="24"/>
        </w:rPr>
        <w:t>、境内外会计准则下会计数据差异</w:t>
      </w:r>
      <w:bookmarkEnd w:id="38"/>
      <w:bookmarkEnd w:id="39"/>
      <w:bookmarkEnd w:id="41"/>
    </w:p>
    <w:p>
      <w:pPr>
        <w:pStyle w:val="Style35"/>
        <w:keepNext w:val="0"/>
        <w:keepLines w:val="0"/>
        <w:widowControl w:val="0"/>
        <w:shd w:val="clear" w:color="auto" w:fill="auto"/>
        <w:bidi w:val="0"/>
        <w:spacing w:before="0" w:after="340" w:line="240" w:lineRule="auto"/>
        <w:ind w:left="0" w:right="0" w:firstLine="0"/>
        <w:jc w:val="left"/>
      </w:pPr>
      <w:bookmarkStart w:id="42" w:name="bookmark42"/>
      <w:r>
        <w:rPr>
          <w:rFonts w:ascii="Times New Roman" w:eastAsia="Times New Roman" w:hAnsi="Times New Roman" w:cs="Times New Roman"/>
          <w:b/>
          <w:bCs/>
          <w:color w:val="000000"/>
          <w:spacing w:val="0"/>
          <w:w w:val="100"/>
          <w:position w:val="0"/>
        </w:rPr>
        <w:t>1</w:t>
      </w:r>
      <w:bookmarkEnd w:id="42"/>
      <w:r>
        <w:rPr>
          <w:b/>
          <w:bCs/>
          <w:color w:val="000000"/>
          <w:spacing w:val="0"/>
          <w:w w:val="100"/>
          <w:position w:val="0"/>
        </w:rPr>
        <w:t>、同时按照国际会计准则与按中国会计准则披露的财务报告中净利润和净资产差异情况</w:t>
      </w:r>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期初数</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90,625,042.03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65,553,926.28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793,065,531.59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752,440,489.56</w:t>
            </w:r>
          </w:p>
        </w:tc>
      </w:tr>
      <w:tr>
        <w:trPr>
          <w:trHeight w:val="379"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7651" w:val="left"/>
              </w:tabs>
              <w:bidi w:val="0"/>
              <w:spacing w:before="0" w:after="0" w:line="240" w:lineRule="auto"/>
              <w:ind w:left="0" w:right="0" w:firstLine="0"/>
              <w:jc w:val="left"/>
            </w:pPr>
            <w:r>
              <w:rPr>
                <w:color w:val="000000"/>
                <w:spacing w:val="0"/>
                <w:w w:val="100"/>
                <w:position w:val="0"/>
              </w:rPr>
              <w:t>按国际会计准则调整的项目及金额</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、同时按照境外会计准则与按中国会计准则披露的财务报告中净利润和净资产差异情况</w:t>
      </w:r>
    </w:p>
    <w:p>
      <w:pPr>
        <w:widowControl w:val="0"/>
        <w:spacing w:after="339" w:line="1" w:lineRule="exact"/>
      </w:pPr>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期初数</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90,625,042.03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65,553,926.28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793,065,531.59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752,440,489.56</w:t>
            </w:r>
          </w:p>
        </w:tc>
      </w:tr>
      <w:tr>
        <w:trPr>
          <w:trHeight w:val="379"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7666" w:val="left"/>
              </w:tabs>
              <w:bidi w:val="0"/>
              <w:spacing w:before="0" w:after="0" w:line="240" w:lineRule="auto"/>
              <w:ind w:left="0" w:right="0" w:firstLine="0"/>
              <w:jc w:val="left"/>
            </w:pPr>
            <w:r>
              <w:rPr>
                <w:color w:val="000000"/>
                <w:spacing w:val="0"/>
                <w:w w:val="100"/>
                <w:position w:val="0"/>
              </w:rPr>
              <w:t>按境外会计准则调整的项目及金额</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c>
      </w:tr>
    </w:tbl>
    <w:p>
      <w:pPr>
        <w:widowControl w:val="0"/>
        <w:spacing w:after="339" w:line="1" w:lineRule="exact"/>
      </w:pPr>
    </w:p>
    <w:p>
      <w:pPr>
        <w:pStyle w:val="Style35"/>
        <w:keepNext w:val="0"/>
        <w:keepLines w:val="0"/>
        <w:widowControl w:val="0"/>
        <w:shd w:val="clear" w:color="auto" w:fill="auto"/>
        <w:tabs>
          <w:tab w:pos="7670" w:val="left"/>
        </w:tabs>
        <w:bidi w:val="0"/>
        <w:spacing w:before="0" w:after="340" w:line="240" w:lineRule="auto"/>
        <w:ind w:left="0" w:right="0" w:firstLine="0"/>
        <w:jc w:val="left"/>
      </w:pPr>
      <w:bookmarkStart w:id="43" w:name="bookmark43"/>
      <w:r>
        <w:rPr>
          <w:rFonts w:ascii="Times New Roman" w:eastAsia="Times New Roman" w:hAnsi="Times New Roman" w:cs="Times New Roman"/>
          <w:b/>
          <w:bCs/>
          <w:color w:val="000000"/>
          <w:spacing w:val="0"/>
          <w:w w:val="100"/>
          <w:position w:val="0"/>
        </w:rPr>
        <w:t>3</w:t>
      </w:r>
      <w:bookmarkEnd w:id="43"/>
      <w:r>
        <w:rPr>
          <w:b/>
          <w:bCs/>
          <w:color w:val="000000"/>
          <w:spacing w:val="0"/>
          <w:w w:val="100"/>
          <w:position w:val="0"/>
        </w:rPr>
        <w:t>、境内外会计准则下会计数据差异原因说明</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三</w:t>
      </w:r>
      <w:bookmarkEnd w:id="46"/>
      <w:r>
        <w:rPr>
          <w:color w:val="000000"/>
          <w:spacing w:val="0"/>
          <w:w w:val="100"/>
          <w:position w:val="0"/>
          <w:sz w:val="24"/>
          <w:szCs w:val="24"/>
        </w:rPr>
        <w:t>、非经常性损益项目及金额</w:t>
      </w:r>
      <w:bookmarkEnd w:id="44"/>
      <w:bookmarkEnd w:id="45"/>
      <w:bookmarkEnd w:id="47"/>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单位：元</w:t>
      </w:r>
    </w:p>
    <w:tbl>
      <w:tblPr>
        <w:tblOverlap w:val="never"/>
        <w:jc w:val="center"/>
        <w:tblLayout w:type="fixed"/>
      </w:tblPr>
      <w:tblGrid>
        <w:gridCol w:w="3970"/>
        <w:gridCol w:w="1440"/>
        <w:gridCol w:w="1440"/>
        <w:gridCol w:w="1440"/>
        <w:gridCol w:w="129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7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w:t>
            </w:r>
            <w:r>
              <w:rPr>
                <w:rFonts w:ascii="Times New Roman" w:eastAsia="Times New Roman" w:hAnsi="Times New Roman" w:cs="Times New Roman"/>
                <w:color w:val="000000"/>
                <w:spacing w:val="0"/>
                <w:w w:val="100"/>
                <w:position w:val="0"/>
              </w:rPr>
              <w:t>（</w:t>
            </w:r>
            <w:r>
              <w:rPr>
                <w:color w:val="000000"/>
                <w:spacing w:val="0"/>
                <w:w w:val="100"/>
                <w:position w:val="0"/>
              </w:rPr>
              <w:t>包括已计提资产减值 准备的冲销部分</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-1,393,323.98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-5,124,120.14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-1,253,392.96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w:t>
            </w:r>
            <w:r>
              <w:rPr>
                <w:rFonts w:ascii="Times New Roman" w:eastAsia="Times New Roman" w:hAnsi="Times New Roman" w:cs="Times New Roman"/>
                <w:color w:val="000000"/>
                <w:spacing w:val="0"/>
                <w:w w:val="100"/>
                <w:position w:val="0"/>
              </w:rPr>
              <w:t>（</w:t>
            </w:r>
            <w:r>
              <w:rPr>
                <w:color w:val="000000"/>
                <w:spacing w:val="0"/>
                <w:w w:val="100"/>
                <w:position w:val="0"/>
              </w:rPr>
              <w:t>与企业业务密切 相关，按照国家统一标准定额或定量享受的 政府补助除外</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10,245,408.00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-449,977.02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133,327.16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97,230.39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-118,617.29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789,692.25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1,794,529.27</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w:t>
            </w:r>
            <w:r>
              <w:rPr>
                <w:rFonts w:ascii="Times New Roman" w:eastAsia="Times New Roman" w:hAnsi="Times New Roman" w:cs="Times New Roman"/>
                <w:color w:val="000000"/>
                <w:spacing w:val="0"/>
                <w:w w:val="100"/>
                <w:position w:val="0"/>
              </w:rPr>
              <w:t>（</w:t>
            </w:r>
            <w:r>
              <w:rPr>
                <w:color w:val="000000"/>
                <w:spacing w:val="0"/>
                <w:w w:val="100"/>
                <w:position w:val="0"/>
              </w:rPr>
              <w:t>税后</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-686,883.71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4,464,922.77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4,989,308.16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非经常性损益》中列举的非经常性 损益项目界定为经常性损益的项目，应说明原因 </w:t>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4"/>
        <w:keepNext/>
        <w:keepLines/>
        <w:widowControl w:val="0"/>
        <w:shd w:val="clear" w:color="auto" w:fill="auto"/>
        <w:bidi w:val="0"/>
        <w:spacing w:before="0" w:after="540" w:line="240" w:lineRule="auto"/>
        <w:ind w:left="0" w:right="0" w:firstLine="0"/>
        <w:jc w:val="center"/>
      </w:pPr>
      <w:bookmarkStart w:id="48" w:name="bookmark48"/>
      <w:bookmarkStart w:id="49" w:name="bookmark49"/>
      <w:bookmarkStart w:id="50" w:name="bookmark50"/>
      <w:r>
        <w:rPr>
          <w:color w:val="000000"/>
          <w:spacing w:val="0"/>
          <w:w w:val="100"/>
          <w:position w:val="0"/>
        </w:rPr>
        <w:t>第四节董事会报告</w:t>
      </w:r>
      <w:bookmarkEnd w:id="48"/>
      <w:bookmarkEnd w:id="49"/>
      <w:bookmarkEnd w:id="50"/>
    </w:p>
    <w:p>
      <w:pPr>
        <w:pStyle w:val="Style30"/>
        <w:keepNext/>
        <w:keepLines/>
        <w:widowControl w:val="0"/>
        <w:shd w:val="clear" w:color="auto" w:fill="auto"/>
        <w:tabs>
          <w:tab w:pos="513" w:val="left"/>
        </w:tabs>
        <w:bidi w:val="0"/>
        <w:spacing w:before="0" w:after="28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一</w:t>
      </w:r>
      <w:bookmarkEnd w:id="53"/>
      <w:r>
        <w:rPr>
          <w:color w:val="000000"/>
          <w:spacing w:val="0"/>
          <w:w w:val="100"/>
          <w:position w:val="0"/>
          <w:sz w:val="24"/>
          <w:szCs w:val="24"/>
        </w:rPr>
        <w:t>、</w:t>
        <w:tab/>
        <w:t>概述</w:t>
      </w:r>
      <w:bookmarkEnd w:id="51"/>
      <w:bookmarkEnd w:id="52"/>
      <w:bookmarkEnd w:id="54"/>
    </w:p>
    <w:p>
      <w:pPr>
        <w:pStyle w:val="Style48"/>
        <w:keepNext/>
        <w:keepLines/>
        <w:widowControl w:val="0"/>
        <w:shd w:val="clear" w:color="auto" w:fill="auto"/>
        <w:tabs>
          <w:tab w:pos="398" w:val="left"/>
        </w:tabs>
        <w:bidi w:val="0"/>
        <w:spacing w:before="0" w:after="280" w:line="312" w:lineRule="exact"/>
        <w:ind w:left="0" w:right="0" w:firstLine="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1</w:t>
      </w:r>
      <w:bookmarkEnd w:id="57"/>
      <w:r>
        <w:rPr>
          <w:color w:val="000000"/>
          <w:spacing w:val="0"/>
          <w:w w:val="100"/>
          <w:position w:val="0"/>
        </w:rPr>
        <w:t>、</w:t>
        <w:tab/>
        <w:t>总体情况概述</w:t>
      </w:r>
      <w:bookmarkEnd w:id="55"/>
      <w:bookmarkEnd w:id="56"/>
      <w:bookmarkEnd w:id="58"/>
    </w:p>
    <w:p>
      <w:pPr>
        <w:pStyle w:val="Style35"/>
        <w:keepNext w:val="0"/>
        <w:keepLines w:val="0"/>
        <w:widowControl w:val="0"/>
        <w:shd w:val="clear" w:color="auto" w:fill="auto"/>
        <w:bidi w:val="0"/>
        <w:spacing w:before="0" w:after="280" w:line="312"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年，国内经济发展平稳，家电行业平稳增长，家用电器配线组件需求回暖。公司上下按照年度 既定经营目标和计划，牢牢把握市场形势，不断夯实基础，提升效率，全面推进各项工作的实施：一方 面，加大国内外市场开拓力度，深化与客户的合作，实现销售业绩新突破；另一方面，不断优化流程， 完善机制，提升效率，提高综合竞争力。通过各项工作的稳步推进，经营业绩有所提升，期内公司实现 营业收入</w:t>
      </w:r>
      <w:r>
        <w:rPr>
          <w:rFonts w:ascii="Times New Roman" w:eastAsia="Times New Roman" w:hAnsi="Times New Roman" w:cs="Times New Roman"/>
          <w:color w:val="000000"/>
          <w:spacing w:val="0"/>
          <w:w w:val="100"/>
          <w:position w:val="0"/>
        </w:rPr>
        <w:t>14.87</w:t>
      </w:r>
      <w:r>
        <w:rPr>
          <w:color w:val="000000"/>
          <w:spacing w:val="0"/>
          <w:w w:val="100"/>
          <w:position w:val="0"/>
        </w:rPr>
        <w:t>亿元，营业利润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.06</w:t>
      </w:r>
      <w:r>
        <w:rPr>
          <w:color w:val="000000"/>
          <w:spacing w:val="0"/>
          <w:w w:val="100"/>
          <w:position w:val="0"/>
        </w:rPr>
        <w:t>亿元，归属于公司股东净利润</w:t>
      </w:r>
      <w:r>
        <w:rPr>
          <w:rFonts w:ascii="Times New Roman" w:eastAsia="Times New Roman" w:hAnsi="Times New Roman" w:cs="Times New Roman"/>
          <w:color w:val="000000"/>
          <w:spacing w:val="0"/>
          <w:w w:val="100"/>
          <w:position w:val="0"/>
        </w:rPr>
        <w:t>9,063</w:t>
      </w:r>
      <w:r>
        <w:rPr>
          <w:color w:val="000000"/>
          <w:spacing w:val="0"/>
          <w:w w:val="100"/>
          <w:position w:val="0"/>
        </w:rPr>
        <w:t>万元，与去年度相比分别增长</w:t>
      </w:r>
      <w:r>
        <w:rPr>
          <w:rFonts w:ascii="Times New Roman" w:eastAsia="Times New Roman" w:hAnsi="Times New Roman" w:cs="Times New Roman"/>
          <w:color w:val="000000"/>
          <w:spacing w:val="0"/>
          <w:w w:val="100"/>
          <w:position w:val="0"/>
        </w:rPr>
        <w:t>16.68%</w:t>
      </w:r>
      <w:r>
        <w:rPr>
          <w:color w:val="000000"/>
          <w:spacing w:val="0"/>
          <w:w w:val="100"/>
          <w:position w:val="0"/>
        </w:rPr>
        <w:t xml:space="preserve">、 </w:t>
      </w:r>
      <w:r>
        <w:rPr>
          <w:rFonts w:ascii="Times New Roman" w:eastAsia="Times New Roman" w:hAnsi="Times New Roman" w:cs="Times New Roman"/>
          <w:color w:val="000000"/>
          <w:spacing w:val="0"/>
          <w:w w:val="100"/>
          <w:position w:val="0"/>
        </w:rPr>
        <w:t>47.41%</w:t>
      </w:r>
      <w:r>
        <w:rPr>
          <w:color w:val="000000"/>
          <w:spacing w:val="0"/>
          <w:w w:val="100"/>
          <w:position w:val="0"/>
        </w:rPr>
        <w:t>和</w:t>
      </w:r>
      <w:r>
        <w:rPr>
          <w:rFonts w:ascii="Times New Roman" w:eastAsia="Times New Roman" w:hAnsi="Times New Roman" w:cs="Times New Roman"/>
          <w:color w:val="000000"/>
          <w:spacing w:val="0"/>
          <w:w w:val="100"/>
          <w:position w:val="0"/>
        </w:rPr>
        <w:t>38.25%</w:t>
      </w:r>
      <w:r>
        <w:rPr>
          <w:color w:val="000000"/>
          <w:spacing w:val="0"/>
          <w:w w:val="100"/>
          <w:position w:val="0"/>
        </w:rPr>
        <w:t>；公司总资产</w:t>
      </w:r>
      <w:r>
        <w:rPr>
          <w:rFonts w:ascii="Times New Roman" w:eastAsia="Times New Roman" w:hAnsi="Times New Roman" w:cs="Times New Roman"/>
          <w:color w:val="000000"/>
          <w:spacing w:val="0"/>
          <w:w w:val="100"/>
          <w:position w:val="0"/>
        </w:rPr>
        <w:t>13.67</w:t>
      </w:r>
      <w:r>
        <w:rPr>
          <w:color w:val="000000"/>
          <w:spacing w:val="0"/>
          <w:w w:val="100"/>
          <w:position w:val="0"/>
        </w:rPr>
        <w:t>亿元，同比增长</w:t>
      </w:r>
      <w:r>
        <w:rPr>
          <w:rFonts w:ascii="Times New Roman" w:eastAsia="Times New Roman" w:hAnsi="Times New Roman" w:cs="Times New Roman"/>
          <w:color w:val="000000"/>
          <w:spacing w:val="0"/>
          <w:w w:val="100"/>
          <w:position w:val="0"/>
        </w:rPr>
        <w:t>24.62%</w:t>
      </w:r>
      <w:r>
        <w:rPr>
          <w:color w:val="000000"/>
          <w:spacing w:val="0"/>
          <w:w w:val="100"/>
          <w:position w:val="0"/>
        </w:rPr>
        <w:t>。</w:t>
      </w:r>
    </w:p>
    <w:p>
      <w:pPr>
        <w:pStyle w:val="Style48"/>
        <w:keepNext/>
        <w:keepLines/>
        <w:widowControl w:val="0"/>
        <w:shd w:val="clear" w:color="auto" w:fill="auto"/>
        <w:tabs>
          <w:tab w:pos="398" w:val="left"/>
        </w:tabs>
        <w:bidi w:val="0"/>
        <w:spacing w:before="0" w:after="280" w:line="312" w:lineRule="exact"/>
        <w:ind w:left="0" w:right="0" w:firstLine="0"/>
        <w:jc w:val="left"/>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2</w:t>
      </w:r>
      <w:bookmarkEnd w:id="61"/>
      <w:r>
        <w:rPr>
          <w:color w:val="000000"/>
          <w:spacing w:val="0"/>
          <w:w w:val="100"/>
          <w:position w:val="0"/>
        </w:rPr>
        <w:t>、</w:t>
        <w:tab/>
        <w:t>重点工作回顾</w:t>
      </w:r>
      <w:bookmarkEnd w:id="59"/>
      <w:bookmarkEnd w:id="60"/>
      <w:bookmarkEnd w:id="62"/>
    </w:p>
    <w:p>
      <w:pPr>
        <w:pStyle w:val="Style35"/>
        <w:keepNext w:val="0"/>
        <w:keepLines w:val="0"/>
        <w:widowControl w:val="0"/>
        <w:shd w:val="clear" w:color="auto" w:fill="auto"/>
        <w:bidi w:val="0"/>
        <w:spacing w:before="0" w:after="0" w:line="312" w:lineRule="exact"/>
        <w:ind w:left="0" w:right="0" w:firstLine="440"/>
        <w:jc w:val="left"/>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rPr>
        <w:t>1</w:t>
      </w:r>
      <w:r>
        <w:rPr>
          <w:color w:val="000000"/>
          <w:spacing w:val="0"/>
          <w:w w:val="100"/>
          <w:position w:val="0"/>
        </w:rPr>
        <w:t>）优化流程，完善机制，提升管理效率</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公司推行精益生产管理，狠抓产品质量，严控生产成本，提高生产管理能力；不断梳理管理体系和 管理机制，进一步优化各项业务流程，提高市场反应速度；完善激励机制，加强员工培训和人才队伍建 设，强化绩效考核与人力资源管理，提升管理效率。</w:t>
      </w:r>
    </w:p>
    <w:p>
      <w:pPr>
        <w:pStyle w:val="Style35"/>
        <w:keepNext w:val="0"/>
        <w:keepLines w:val="0"/>
        <w:widowControl w:val="0"/>
        <w:shd w:val="clear" w:color="auto" w:fill="auto"/>
        <w:bidi w:val="0"/>
        <w:spacing w:before="0" w:after="0" w:line="312" w:lineRule="exact"/>
        <w:ind w:left="0" w:right="0" w:firstLine="320"/>
        <w:jc w:val="left"/>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rPr>
        <w:t>2</w:t>
      </w:r>
      <w:r>
        <w:rPr>
          <w:color w:val="000000"/>
          <w:spacing w:val="0"/>
          <w:w w:val="100"/>
          <w:position w:val="0"/>
        </w:rPr>
        <w:t>）积极开拓市场，提升产品市场占有率</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公司坚持以客户需求为导向，积极支持和配合战略客户的产能扩展，不断提高产品质量，提升销售 服务水平，赢得战略客户认可，主要产品市场占有率稳中有升，产销量规模进一步扩大；不断加大现有 客户的横向开发力度，扩大其他产品的销售规模；充分发挥国际安全认证齐全的优势，积极开拓国际家 电制造客户，为持续开拓国际市场奠定基础。</w:t>
      </w:r>
    </w:p>
    <w:p>
      <w:pPr>
        <w:pStyle w:val="Style35"/>
        <w:keepNext w:val="0"/>
        <w:keepLines w:val="0"/>
        <w:widowControl w:val="0"/>
        <w:shd w:val="clear" w:color="auto" w:fill="auto"/>
        <w:tabs>
          <w:tab w:pos="924" w:val="left"/>
        </w:tabs>
        <w:bidi w:val="0"/>
        <w:spacing w:before="0" w:after="0" w:line="312" w:lineRule="exact"/>
        <w:ind w:left="0" w:right="0" w:firstLine="44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3</w:t>
      </w:r>
      <w:r>
        <w:rPr>
          <w:color w:val="000000"/>
          <w:spacing w:val="0"/>
          <w:w w:val="100"/>
          <w:position w:val="0"/>
        </w:rPr>
        <w:t>）</w:t>
        <w:tab/>
        <w:t>稳步推进募投项目建设</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期内，公司全力推进“新型节能家用电器环保配线组件项目”的建设工作，加快新设备、新工艺的 投入使用，有效提高生产效率，降低产品成本。同时，进一步优化生产管理，理顺客户生产淡旺季所出 现的矛盾，有效开展客户满意度管理工作，提升了公司综合竞争力。“环保配线组件工程技术研究开发 中心项目”主体工程亦在期内顺利封顶。</w:t>
      </w:r>
    </w:p>
    <w:p>
      <w:pPr>
        <w:pStyle w:val="Style35"/>
        <w:keepNext w:val="0"/>
        <w:keepLines w:val="0"/>
        <w:widowControl w:val="0"/>
        <w:shd w:val="clear" w:color="auto" w:fill="auto"/>
        <w:tabs>
          <w:tab w:pos="924" w:val="left"/>
        </w:tabs>
        <w:bidi w:val="0"/>
        <w:spacing w:before="0" w:after="0" w:line="312" w:lineRule="exact"/>
        <w:ind w:left="0" w:right="0" w:firstLine="44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4</w:t>
      </w:r>
      <w:r>
        <w:rPr>
          <w:color w:val="000000"/>
          <w:spacing w:val="0"/>
          <w:w w:val="100"/>
          <w:position w:val="0"/>
        </w:rPr>
        <w:t>）</w:t>
        <w:tab/>
        <w:t>顺利完成董事会换届工作</w:t>
      </w:r>
    </w:p>
    <w:p>
      <w:pPr>
        <w:pStyle w:val="Style35"/>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根据《公司章程》规定，在股东支持下，公司顺利完成董事会及其专门委员会的换届选举以及新一 届高级管理人员的聘任工作。新一届董事会及其专门委员会的成员组成、专业分布、知识结构以及代表 性合理、全面，其有效工作将为进一步优化公司的法人治理结构，促进公司更好更快地持续健康发展提 供坚强保证。</w:t>
      </w:r>
    </w:p>
    <w:p>
      <w:pPr>
        <w:pStyle w:val="Style30"/>
        <w:keepNext/>
        <w:keepLines/>
        <w:widowControl w:val="0"/>
        <w:shd w:val="clear" w:color="auto" w:fill="auto"/>
        <w:tabs>
          <w:tab w:pos="513" w:val="left"/>
        </w:tabs>
        <w:bidi w:val="0"/>
        <w:spacing w:before="0" w:after="36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二</w:t>
      </w:r>
      <w:bookmarkEnd w:id="69"/>
      <w:r>
        <w:rPr>
          <w:color w:val="000000"/>
          <w:spacing w:val="0"/>
          <w:w w:val="100"/>
          <w:position w:val="0"/>
          <w:sz w:val="24"/>
          <w:szCs w:val="24"/>
        </w:rPr>
        <w:t>、</w:t>
        <w:tab/>
        <w:t>主营业务分析</w:t>
      </w:r>
      <w:bookmarkEnd w:id="67"/>
      <w:bookmarkEnd w:id="68"/>
      <w:bookmarkEnd w:id="70"/>
    </w:p>
    <w:p>
      <w:pPr>
        <w:pStyle w:val="Style48"/>
        <w:keepNext/>
        <w:keepLines/>
        <w:widowControl w:val="0"/>
        <w:shd w:val="clear" w:color="auto" w:fill="auto"/>
        <w:bidi w:val="0"/>
        <w:spacing w:before="0" w:after="220" w:line="326"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、概述</w:t>
      </w:r>
      <w:bookmarkEnd w:id="71"/>
      <w:bookmarkEnd w:id="72"/>
      <w:bookmarkEnd w:id="74"/>
    </w:p>
    <w:p>
      <w:pPr>
        <w:pStyle w:val="Style35"/>
        <w:keepNext w:val="0"/>
        <w:keepLines w:val="0"/>
        <w:widowControl w:val="0"/>
        <w:shd w:val="clear" w:color="auto" w:fill="auto"/>
        <w:bidi w:val="0"/>
        <w:spacing w:before="0" w:after="0" w:line="302" w:lineRule="exact"/>
        <w:ind w:left="0" w:right="0" w:firstLine="440"/>
        <w:jc w:val="lef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645" w:right="998" w:bottom="950" w:left="1086" w:header="0" w:footer="3" w:gutter="0"/>
          <w:cols w:space="720"/>
          <w:noEndnote/>
          <w:rtlGutter w:val="0"/>
          <w:docGrid w:linePitch="360"/>
        </w:sectPr>
      </w:pPr>
      <w:r>
        <w:rPr>
          <w:color w:val="000000"/>
          <w:spacing w:val="0"/>
          <w:w w:val="100"/>
          <w:position w:val="0"/>
        </w:rPr>
        <w:t>报告期内，受家电行业回暖影响及公司改革创新措施影响，公司销售各类家电配线组件</w:t>
      </w:r>
      <w:r>
        <w:rPr>
          <w:rFonts w:ascii="Times New Roman" w:eastAsia="Times New Roman" w:hAnsi="Times New Roman" w:cs="Times New Roman"/>
          <w:color w:val="000000"/>
          <w:spacing w:val="0"/>
          <w:w w:val="100"/>
          <w:position w:val="0"/>
        </w:rPr>
        <w:t>12,010</w:t>
      </w:r>
      <w:r>
        <w:rPr>
          <w:color w:val="000000"/>
          <w:spacing w:val="0"/>
          <w:w w:val="100"/>
          <w:position w:val="0"/>
        </w:rPr>
        <w:t>万套， 实现营业收入</w:t>
      </w:r>
      <w:r>
        <w:rPr>
          <w:rFonts w:ascii="Times New Roman" w:eastAsia="Times New Roman" w:hAnsi="Times New Roman" w:cs="Times New Roman"/>
          <w:color w:val="000000"/>
          <w:spacing w:val="0"/>
          <w:w w:val="100"/>
          <w:position w:val="0"/>
        </w:rPr>
        <w:t>14.87</w:t>
      </w:r>
      <w:r>
        <w:rPr>
          <w:color w:val="000000"/>
          <w:spacing w:val="0"/>
          <w:w w:val="100"/>
          <w:position w:val="0"/>
        </w:rPr>
        <w:t>亿元，归属于上市公司股东的净利润为</w:t>
      </w:r>
      <w:r>
        <w:rPr>
          <w:rFonts w:ascii="Times New Roman" w:eastAsia="Times New Roman" w:hAnsi="Times New Roman" w:cs="Times New Roman"/>
          <w:color w:val="000000"/>
          <w:spacing w:val="0"/>
          <w:w w:val="100"/>
          <w:position w:val="0"/>
        </w:rPr>
        <w:t>9,063</w:t>
      </w:r>
      <w:r>
        <w:rPr>
          <w:color w:val="000000"/>
          <w:spacing w:val="0"/>
          <w:w w:val="100"/>
          <w:position w:val="0"/>
        </w:rPr>
        <w:t>万元，分别比去年同期增长</w:t>
      </w:r>
      <w:r>
        <w:rPr>
          <w:rFonts w:ascii="Times New Roman" w:eastAsia="Times New Roman" w:hAnsi="Times New Roman" w:cs="Times New Roman"/>
          <w:color w:val="000000"/>
          <w:spacing w:val="0"/>
          <w:w w:val="100"/>
          <w:position w:val="0"/>
        </w:rPr>
        <w:t>19.78%</w:t>
      </w:r>
      <w:r>
        <w:rPr>
          <w:color w:val="000000"/>
          <w:spacing w:val="0"/>
          <w:w w:val="100"/>
          <w:position w:val="0"/>
        </w:rPr>
        <w:t>、</w:t>
      </w:r>
      <w:r>
        <w:rPr>
          <w:rFonts w:ascii="Times New Roman" w:eastAsia="Times New Roman" w:hAnsi="Times New Roman" w:cs="Times New Roman"/>
          <w:color w:val="000000"/>
          <w:spacing w:val="0"/>
          <w:w w:val="100"/>
          <w:position w:val="0"/>
        </w:rPr>
        <w:t xml:space="preserve">16.68% </w:t>
      </w:r>
    </w:p>
    <w:p>
      <w:pPr>
        <w:pStyle w:val="Style35"/>
        <w:keepNext w:val="0"/>
        <w:keepLines w:val="0"/>
        <w:widowControl w:val="0"/>
        <w:shd w:val="clear" w:color="auto" w:fill="auto"/>
        <w:bidi w:val="0"/>
        <w:spacing w:before="0" w:after="0" w:line="302" w:lineRule="exact"/>
        <w:ind w:left="0" w:right="0" w:firstLine="0"/>
        <w:jc w:val="left"/>
      </w:pPr>
      <w:r>
        <w:rPr>
          <w:color w:val="000000"/>
          <w:spacing w:val="0"/>
          <w:w w:val="100"/>
          <w:position w:val="0"/>
        </w:rPr>
        <w:t>及</w:t>
      </w:r>
      <w:r>
        <w:rPr>
          <w:rFonts w:ascii="Times New Roman" w:eastAsia="Times New Roman" w:hAnsi="Times New Roman" w:cs="Times New Roman"/>
          <w:color w:val="000000"/>
          <w:spacing w:val="0"/>
          <w:w w:val="100"/>
          <w:position w:val="0"/>
        </w:rPr>
        <w:t>38.25%</w:t>
      </w:r>
      <w:r>
        <w:rPr>
          <w:color w:val="000000"/>
          <w:spacing w:val="0"/>
          <w:w w:val="100"/>
          <w:position w:val="0"/>
        </w:rPr>
        <w:t>；通过经营活动产生的现金流量净额</w:t>
      </w:r>
      <w:r>
        <w:rPr>
          <w:rFonts w:ascii="Times New Roman" w:eastAsia="Times New Roman" w:hAnsi="Times New Roman" w:cs="Times New Roman"/>
          <w:color w:val="000000"/>
          <w:spacing w:val="0"/>
          <w:w w:val="100"/>
          <w:position w:val="0"/>
        </w:rPr>
        <w:t>-5,580</w:t>
      </w:r>
      <w:r>
        <w:rPr>
          <w:color w:val="000000"/>
          <w:spacing w:val="0"/>
          <w:w w:val="100"/>
          <w:position w:val="0"/>
        </w:rPr>
        <w:t>万元，筹资活动产生的现金流量净额</w:t>
      </w:r>
      <w:r>
        <w:rPr>
          <w:rFonts w:ascii="Times New Roman" w:eastAsia="Times New Roman" w:hAnsi="Times New Roman" w:cs="Times New Roman"/>
          <w:color w:val="000000"/>
          <w:spacing w:val="0"/>
          <w:w w:val="100"/>
          <w:position w:val="0"/>
        </w:rPr>
        <w:t>8,367</w:t>
      </w:r>
      <w:r>
        <w:rPr>
          <w:color w:val="000000"/>
          <w:spacing w:val="0"/>
          <w:w w:val="100"/>
          <w:position w:val="0"/>
        </w:rPr>
        <w:t>万元，分别 比去年同期增长</w:t>
      </w:r>
      <w:r>
        <w:rPr>
          <w:rFonts w:ascii="Times New Roman" w:eastAsia="Times New Roman" w:hAnsi="Times New Roman" w:cs="Times New Roman"/>
          <w:color w:val="000000"/>
          <w:spacing w:val="0"/>
          <w:w w:val="100"/>
          <w:position w:val="0"/>
        </w:rPr>
        <w:t>-146.11%</w:t>
      </w:r>
      <w:r>
        <w:rPr>
          <w:color w:val="000000"/>
          <w:spacing w:val="0"/>
          <w:w w:val="100"/>
          <w:position w:val="0"/>
        </w:rPr>
        <w:t>、</w:t>
      </w:r>
      <w:r>
        <w:rPr>
          <w:rFonts w:ascii="Times New Roman" w:eastAsia="Times New Roman" w:hAnsi="Times New Roman" w:cs="Times New Roman"/>
          <w:color w:val="000000"/>
          <w:spacing w:val="0"/>
          <w:w w:val="100"/>
          <w:position w:val="0"/>
        </w:rPr>
        <w:t>742.63%</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公司回顾总结前期披露的发展战略和经营计划在报告期内的进展情况</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详见本节“一，概述”之“</w:t>
      </w:r>
      <w:r>
        <w:rPr>
          <w:rFonts w:ascii="Times New Roman" w:eastAsia="Times New Roman" w:hAnsi="Times New Roman" w:cs="Times New Roman"/>
          <w:color w:val="000000"/>
          <w:spacing w:val="0"/>
          <w:w w:val="100"/>
          <w:position w:val="0"/>
        </w:rPr>
        <w:t>2</w:t>
      </w:r>
      <w:r>
        <w:rPr>
          <w:color w:val="000000"/>
          <w:spacing w:val="0"/>
          <w:w w:val="100"/>
          <w:position w:val="0"/>
        </w:rPr>
        <w:t>、重点工作回顾”部分。</w:t>
      </w:r>
    </w:p>
    <w:p>
      <w:pPr>
        <w:pStyle w:val="Style3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公司实际经营业绩较曾公开披露过的本年度盈利预测低于或高于</w:t>
      </w:r>
      <w:r>
        <w:rPr>
          <w:rFonts w:ascii="Times New Roman" w:eastAsia="Times New Roman" w:hAnsi="Times New Roman" w:cs="Times New Roman"/>
          <w:b/>
          <w:bCs/>
          <w:color w:val="000000"/>
          <w:spacing w:val="0"/>
          <w:w w:val="100"/>
          <w:position w:val="0"/>
        </w:rPr>
        <w:t>20%</w:t>
      </w:r>
      <w:r>
        <w:rPr>
          <w:b/>
          <w:bCs/>
          <w:color w:val="000000"/>
          <w:spacing w:val="0"/>
          <w:w w:val="100"/>
          <w:position w:val="0"/>
        </w:rPr>
        <w:t>以上的差异原因</w:t>
      </w:r>
    </w:p>
    <w:p>
      <w:pPr>
        <w:pStyle w:val="Style35"/>
        <w:keepNext w:val="0"/>
        <w:keepLines w:val="0"/>
        <w:widowControl w:val="0"/>
        <w:shd w:val="clear" w:color="auto" w:fill="auto"/>
        <w:bidi w:val="0"/>
        <w:spacing w:before="0" w:after="300" w:line="312" w:lineRule="exact"/>
        <w:ind w:left="0" w:right="26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8"/>
        <w:keepNext/>
        <w:keepLines/>
        <w:widowControl w:val="0"/>
        <w:shd w:val="clear" w:color="auto" w:fill="auto"/>
        <w:bidi w:val="0"/>
        <w:spacing w:before="0" w:after="300" w:line="312" w:lineRule="exact"/>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、收入</w:t>
      </w:r>
      <w:bookmarkEnd w:id="75"/>
      <w:bookmarkEnd w:id="76"/>
      <w:bookmarkEnd w:id="78"/>
    </w:p>
    <w:p>
      <w:pPr>
        <w:pStyle w:val="Style38"/>
        <w:keepNext w:val="0"/>
        <w:keepLines w:val="0"/>
        <w:widowControl w:val="0"/>
        <w:shd w:val="clear" w:color="auto" w:fill="auto"/>
        <w:bidi w:val="0"/>
        <w:spacing w:before="0" w:after="60" w:line="302" w:lineRule="exact"/>
        <w:ind w:left="0" w:right="0" w:firstLine="0"/>
        <w:jc w:val="left"/>
      </w:pPr>
      <w:r>
        <w:rPr>
          <w:color w:val="000000"/>
          <w:spacing w:val="0"/>
          <w:w w:val="100"/>
          <w:position w:val="0"/>
        </w:rPr>
        <w:t>报告期内，受家电行业回暖影响及公司改革创新措施影响，公司销售各类家电配线组件</w:t>
      </w:r>
      <w:r>
        <w:rPr>
          <w:rFonts w:ascii="Times New Roman" w:eastAsia="Times New Roman" w:hAnsi="Times New Roman" w:cs="Times New Roman"/>
          <w:color w:val="000000"/>
          <w:spacing w:val="0"/>
          <w:w w:val="100"/>
          <w:position w:val="0"/>
        </w:rPr>
        <w:t>12,010</w:t>
      </w:r>
      <w:r>
        <w:rPr>
          <w:color w:val="000000"/>
          <w:spacing w:val="0"/>
          <w:w w:val="100"/>
          <w:position w:val="0"/>
        </w:rPr>
        <w:t>万套, 实现营业收入</w:t>
      </w:r>
      <w:r>
        <w:rPr>
          <w:rFonts w:ascii="Times New Roman" w:eastAsia="Times New Roman" w:hAnsi="Times New Roman" w:cs="Times New Roman"/>
          <w:color w:val="000000"/>
          <w:spacing w:val="0"/>
          <w:w w:val="100"/>
          <w:position w:val="0"/>
        </w:rPr>
        <w:t>14.87</w:t>
      </w:r>
      <w:r>
        <w:rPr>
          <w:color w:val="000000"/>
          <w:spacing w:val="0"/>
          <w:w w:val="100"/>
          <w:position w:val="0"/>
        </w:rPr>
        <w:t>亿元，分别比去年同期增长</w:t>
      </w:r>
      <w:r>
        <w:rPr>
          <w:rFonts w:ascii="Times New Roman" w:eastAsia="Times New Roman" w:hAnsi="Times New Roman" w:cs="Times New Roman"/>
          <w:color w:val="000000"/>
          <w:spacing w:val="0"/>
          <w:w w:val="100"/>
          <w:position w:val="0"/>
        </w:rPr>
        <w:t>19.78%</w:t>
      </w:r>
      <w:r>
        <w:rPr>
          <w:color w:val="000000"/>
          <w:spacing w:val="0"/>
          <w:w w:val="100"/>
          <w:position w:val="0"/>
        </w:rPr>
        <w:t>、</w:t>
      </w:r>
      <w:r>
        <w:rPr>
          <w:rFonts w:ascii="Times New Roman" w:eastAsia="Times New Roman" w:hAnsi="Times New Roman" w:cs="Times New Roman"/>
          <w:color w:val="000000"/>
          <w:spacing w:val="0"/>
          <w:w w:val="100"/>
          <w:position w:val="0"/>
        </w:rPr>
        <w:t>16.68%</w:t>
      </w:r>
      <w:r>
        <w:rPr>
          <w:color w:val="000000"/>
          <w:spacing w:val="0"/>
          <w:w w:val="100"/>
          <w:position w:val="0"/>
        </w:rPr>
        <w:t>。</w:t>
      </w:r>
    </w:p>
    <w:p>
      <w:pPr>
        <w:pStyle w:val="Style38"/>
        <w:keepNext w:val="0"/>
        <w:keepLines w:val="0"/>
        <w:widowControl w:val="0"/>
        <w:shd w:val="clear" w:color="auto" w:fill="auto"/>
        <w:tabs>
          <w:tab w:pos="8280" w:val="left"/>
        </w:tabs>
        <w:bidi w:val="0"/>
        <w:spacing w:before="0" w:after="0" w:line="302" w:lineRule="exact"/>
        <w:ind w:left="0" w:right="0" w:firstLine="0"/>
        <w:jc w:val="left"/>
      </w:pPr>
      <w:r>
        <w:rPr>
          <w:b/>
          <w:bCs/>
          <w:color w:val="000000"/>
          <w:spacing w:val="0"/>
          <w:w w:val="100"/>
          <w:position w:val="0"/>
        </w:rPr>
        <w:t>公司实物销售收入是否大于劳务收入</w:t>
        <w:tab/>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920"/>
        <w:gridCol w:w="1915"/>
        <w:gridCol w:w="1915"/>
        <w:gridCol w:w="1910"/>
        <w:gridCol w:w="1925"/>
      </w:tblGrid>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34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工业</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12,009.79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10,026.29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12,384.33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10,385.58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w:t>
            </w:r>
          </w:p>
        </w:tc>
      </w:tr>
      <w:tr>
        <w:trPr>
          <w:trHeight w:val="3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45.56%</w:t>
            </w:r>
          </w:p>
        </w:tc>
      </w:tr>
    </w:tbl>
    <w:p>
      <w:pPr>
        <w:pStyle w:val="Style38"/>
        <w:keepNext w:val="0"/>
        <w:keepLines w:val="0"/>
        <w:widowControl w:val="0"/>
        <w:shd w:val="clear" w:color="auto" w:fill="auto"/>
        <w:tabs>
          <w:tab w:pos="7637" w:val="left"/>
        </w:tabs>
        <w:bidi w:val="0"/>
        <w:spacing w:before="0" w:after="0" w:line="240" w:lineRule="auto"/>
        <w:ind w:left="0" w:right="0" w:firstLine="0"/>
        <w:jc w:val="center"/>
      </w:pPr>
      <w:r>
        <w:rPr>
          <w:b/>
          <w:bCs/>
          <w:color w:val="000000"/>
          <w:spacing w:val="0"/>
          <w:w w:val="100"/>
          <w:position w:val="0"/>
        </w:rPr>
        <w:t>相关数据同比发生变动</w:t>
      </w:r>
      <w:r>
        <w:rPr>
          <w:rFonts w:ascii="Times New Roman" w:eastAsia="Times New Roman" w:hAnsi="Times New Roman" w:cs="Times New Roman"/>
          <w:b/>
          <w:bCs/>
          <w:color w:val="000000"/>
          <w:spacing w:val="0"/>
          <w:w w:val="100"/>
          <w:position w:val="0"/>
        </w:rPr>
        <w:t>30%</w:t>
      </w:r>
      <w:r>
        <w:rPr>
          <w:b/>
          <w:bCs/>
          <w:color w:val="000000"/>
          <w:spacing w:val="0"/>
          <w:w w:val="100"/>
          <w:position w:val="0"/>
        </w:rPr>
        <w:t>以上的原因说明</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库存量变动主要是综合淡旺季生产产能及劳工招聘情况，稳定春节前后及旺季订单供货，提高客户订单 交货达成率，增加备货所致。</w:t>
      </w:r>
    </w:p>
    <w:p>
      <w:pPr>
        <w:pStyle w:val="Style38"/>
        <w:keepNext w:val="0"/>
        <w:keepLines w:val="0"/>
        <w:widowControl w:val="0"/>
        <w:shd w:val="clear" w:color="auto" w:fill="auto"/>
        <w:bidi w:val="0"/>
        <w:spacing w:before="0" w:after="0" w:line="348" w:lineRule="exact"/>
        <w:ind w:left="0" w:right="0" w:firstLine="0"/>
        <w:jc w:val="left"/>
      </w:pPr>
      <w:r>
        <w:rPr>
          <w:b/>
          <w:bCs/>
          <w:color w:val="000000"/>
          <w:spacing w:val="0"/>
          <w:w w:val="100"/>
          <w:position w:val="0"/>
        </w:rPr>
        <w:t xml:space="preserve">公司重大的在手订单情况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 xml:space="preserve">不适用 </w:t>
      </w:r>
      <w:r>
        <w:rPr>
          <w:b/>
          <w:bCs/>
          <w:color w:val="000000"/>
          <w:spacing w:val="0"/>
          <w:w w:val="100"/>
          <w:position w:val="0"/>
        </w:rPr>
        <w:t xml:space="preserve">公司报告期内产品或服务发生重大变化或调整有关情况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 xml:space="preserve">不适用 </w:t>
      </w:r>
      <w:r>
        <w:rPr>
          <w:b/>
          <w:bCs/>
          <w:color w:val="000000"/>
          <w:spacing w:val="0"/>
          <w:w w:val="100"/>
          <w:position w:val="0"/>
        </w:rPr>
        <w:t>公司主要销售客户情况</w:t>
      </w:r>
    </w:p>
    <w:tbl>
      <w:tblPr>
        <w:tblOverlap w:val="never"/>
        <w:jc w:val="center"/>
        <w:tblLayout w:type="fixed"/>
      </w:tblPr>
      <w:tblGrid>
        <w:gridCol w:w="5045"/>
        <w:gridCol w:w="4541"/>
      </w:tblGrid>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1,291,408,131.32</w:t>
            </w:r>
          </w:p>
        </w:tc>
      </w:tr>
      <w:tr>
        <w:trPr>
          <w:trHeight w:val="350"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86.86%</w:t>
            </w:r>
          </w:p>
        </w:tc>
      </w:tr>
    </w:tbl>
    <w:p>
      <w:pPr>
        <w:widowControl w:val="0"/>
        <w:spacing w:after="79" w:line="1" w:lineRule="exact"/>
      </w:pPr>
    </w:p>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5</w:t>
      </w:r>
      <w:r>
        <w:rPr>
          <w:b/>
          <w:bCs/>
          <w:color w:val="000000"/>
          <w:spacing w:val="0"/>
          <w:w w:val="100"/>
          <w:position w:val="0"/>
        </w:rPr>
        <w:t>大客户资料</w:t>
      </w:r>
    </w:p>
    <w:tbl>
      <w:tblPr>
        <w:tblOverlap w:val="never"/>
        <w:jc w:val="center"/>
        <w:tblLayout w:type="fixed"/>
      </w:tblPr>
      <w:tblGrid>
        <w:gridCol w:w="806"/>
        <w:gridCol w:w="3302"/>
        <w:gridCol w:w="2323"/>
        <w:gridCol w:w="3154"/>
      </w:tblGrid>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811,748,128.59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54.59%</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217,581,689.60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14.63%</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123,354,336.39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8.31%</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99,484,686.69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6.69%</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39,239,290.05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2.64%</w:t>
            </w:r>
          </w:p>
        </w:tc>
      </w:tr>
      <w:tr>
        <w:trPr>
          <w:trHeight w:val="350"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1,291,408,131.32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86.86%</w:t>
            </w:r>
          </w:p>
        </w:tc>
      </w:tr>
    </w:tbl>
    <w:p>
      <w:pPr>
        <w:widowControl w:val="0"/>
        <w:spacing w:after="299" w:line="1" w:lineRule="exact"/>
      </w:pPr>
    </w:p>
    <w:p>
      <w:pPr>
        <w:pStyle w:val="Style48"/>
        <w:keepNext/>
        <w:keepLines/>
        <w:widowControl w:val="0"/>
        <w:shd w:val="clear" w:color="auto" w:fill="auto"/>
        <w:bidi w:val="0"/>
        <w:spacing w:before="0" w:after="38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3</w:t>
      </w:r>
      <w:bookmarkEnd w:id="81"/>
      <w:r>
        <w:rPr>
          <w:color w:val="000000"/>
          <w:spacing w:val="0"/>
          <w:w w:val="100"/>
          <w:position w:val="0"/>
        </w:rPr>
        <w:t>、成本</w:t>
      </w:r>
      <w:bookmarkEnd w:id="79"/>
      <w:bookmarkEnd w:id="80"/>
      <w:bookmarkEnd w:id="82"/>
    </w:p>
    <w:p>
      <w:pPr>
        <w:pStyle w:val="Style48"/>
        <w:keepNext/>
        <w:keepLines/>
        <w:widowControl w:val="0"/>
        <w:shd w:val="clear" w:color="auto" w:fill="auto"/>
        <w:bidi w:val="0"/>
        <w:spacing w:before="0" w:after="80" w:line="240" w:lineRule="auto"/>
        <w:ind w:left="0" w:right="0" w:firstLine="0"/>
        <w:jc w:val="left"/>
      </w:pPr>
      <w:bookmarkStart w:id="79" w:name="bookmark79"/>
      <w:bookmarkStart w:id="80" w:name="bookmark80"/>
      <w:bookmarkStart w:id="83" w:name="bookmark83"/>
      <w:r>
        <w:rPr>
          <w:color w:val="000000"/>
          <w:spacing w:val="0"/>
          <w:w w:val="100"/>
          <w:position w:val="0"/>
        </w:rPr>
        <w:t>行业分类</w:t>
      </w:r>
      <w:bookmarkEnd w:id="79"/>
      <w:bookmarkEnd w:id="80"/>
      <w:bookmarkEnd w:id="83"/>
    </w:p>
    <w:p>
      <w:pPr>
        <w:pStyle w:val="Style38"/>
        <w:keepNext w:val="0"/>
        <w:keepLines w:val="0"/>
        <w:widowControl w:val="0"/>
        <w:shd w:val="clear" w:color="auto" w:fill="auto"/>
        <w:bidi w:val="0"/>
        <w:spacing w:before="0" w:after="0" w:line="240" w:lineRule="auto"/>
        <w:ind w:left="8381" w:right="0" w:firstLine="0"/>
        <w:jc w:val="left"/>
      </w:pPr>
      <w:r>
        <w:rPr>
          <w:color w:val="000000"/>
          <w:spacing w:val="0"/>
          <w:w w:val="100"/>
          <w:position w:val="0"/>
        </w:rPr>
        <w:t>单位：元</w:t>
      </w:r>
    </w:p>
    <w:tbl>
      <w:tblPr>
        <w:tblOverlap w:val="never"/>
        <w:jc w:val="center"/>
        <w:tblLayout w:type="fixed"/>
      </w:tblPr>
      <w:tblGrid>
        <w:gridCol w:w="2347"/>
        <w:gridCol w:w="1978"/>
        <w:gridCol w:w="1262"/>
        <w:gridCol w:w="1618"/>
        <w:gridCol w:w="1262"/>
        <w:gridCol w:w="1090"/>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同比增减</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67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1,262,585,208.25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1,095,923,210.00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15.21%</w:t>
            </w:r>
          </w:p>
        </w:tc>
      </w:tr>
    </w:tbl>
    <w:p>
      <w:pPr>
        <w:spacing w:lineRule="exact" w:line="1"/>
        <w:rPr>
          <w:sz w:val="2"/>
          <w:szCs w:val="2"/>
        </w:rPr>
      </w:pPr>
      <w:r>
        <w:br w:type="page"/>
      </w:r>
    </w:p>
    <w:p>
      <w:pPr>
        <w:pStyle w:val="Style3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产品分类</w:t>
      </w:r>
    </w:p>
    <w:p>
      <w:pPr>
        <w:pStyle w:val="Style38"/>
        <w:keepNext w:val="0"/>
        <w:keepLines w:val="0"/>
        <w:widowControl w:val="0"/>
        <w:shd w:val="clear" w:color="auto" w:fill="auto"/>
        <w:bidi w:val="0"/>
        <w:spacing w:before="0" w:after="0" w:line="240" w:lineRule="auto"/>
        <w:ind w:left="8381" w:right="0" w:firstLine="0"/>
        <w:jc w:val="left"/>
      </w:pPr>
      <w:r>
        <w:rPr>
          <w:color w:val="000000"/>
          <w:spacing w:val="0"/>
          <w:w w:val="100"/>
          <w:position w:val="0"/>
        </w:rPr>
        <w:t>单位：元</w:t>
      </w:r>
    </w:p>
    <w:tbl>
      <w:tblPr>
        <w:tblOverlap w:val="never"/>
        <w:jc w:val="center"/>
        <w:tblLayout w:type="fixed"/>
      </w:tblPr>
      <w:tblGrid>
        <w:gridCol w:w="2347"/>
        <w:gridCol w:w="1978"/>
        <w:gridCol w:w="1262"/>
        <w:gridCol w:w="1618"/>
        <w:gridCol w:w="1262"/>
        <w:gridCol w:w="1090"/>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同比增减</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68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空调连接组件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841,776,555.81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780,616,542.54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7.83%</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空调电源输入组件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320,576,907.94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227,354,993.04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电热电器电源输入组件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51,956,342.28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51,614,448.15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0.66%</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冰洗电器电源输入组件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20,062,662.50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19,651,078.89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其他家电电源输入组件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28,212,739.70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16,686,147.38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69.08%</w:t>
            </w:r>
          </w:p>
        </w:tc>
      </w:tr>
    </w:tbl>
    <w:p>
      <w:pPr>
        <w:pStyle w:val="Style3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报告期内，受家电行业回暖影响，公司产品销量增长，同时公司通过致力提升管理水平，改进生产 技术，降低成本。</w:t>
      </w:r>
    </w:p>
    <w:p>
      <w:pPr>
        <w:pStyle w:val="Style38"/>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公司主要供应商情况</w:t>
      </w:r>
    </w:p>
    <w:tbl>
      <w:tblPr>
        <w:tblOverlap w:val="never"/>
        <w:jc w:val="center"/>
        <w:tblLayout w:type="fixed"/>
      </w:tblPr>
      <w:tblGrid>
        <w:gridCol w:w="5045"/>
        <w:gridCol w:w="4541"/>
      </w:tblGrid>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755,049,124.29</w:t>
            </w:r>
          </w:p>
        </w:tc>
      </w:tr>
      <w:tr>
        <w:trPr>
          <w:trHeight w:val="350"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w:t>
            </w:r>
          </w:p>
        </w:tc>
      </w:tr>
    </w:tbl>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5</w:t>
      </w:r>
      <w:r>
        <w:rPr>
          <w:b/>
          <w:bCs/>
          <w:color w:val="000000"/>
          <w:spacing w:val="0"/>
          <w:w w:val="100"/>
          <w:position w:val="0"/>
        </w:rPr>
        <w:t>名供应商资料</w:t>
      </w:r>
    </w:p>
    <w:tbl>
      <w:tblPr>
        <w:tblOverlap w:val="never"/>
        <w:jc w:val="center"/>
        <w:tblLayout w:type="fixed"/>
      </w:tblPr>
      <w:tblGrid>
        <w:gridCol w:w="941"/>
        <w:gridCol w:w="3168"/>
        <w:gridCol w:w="2736"/>
        <w:gridCol w:w="2741"/>
      </w:tblGrid>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334,521,478.03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255,371,778.48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60,071,906.64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53,096,043.51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51,987,917.63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w:t>
            </w:r>
          </w:p>
        </w:tc>
      </w:tr>
      <w:tr>
        <w:trPr>
          <w:trHeight w:val="350"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755,049,124.29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、费用</w:t>
      </w:r>
    </w:p>
    <w:p>
      <w:pPr>
        <w:widowControl w:val="0"/>
        <w:spacing w:after="319" w:line="1" w:lineRule="exact"/>
      </w:pPr>
    </w:p>
    <w:p>
      <w:pPr>
        <w:pStyle w:val="Style38"/>
        <w:keepNext w:val="0"/>
        <w:keepLines w:val="0"/>
        <w:widowControl w:val="0"/>
        <w:shd w:val="clear" w:color="auto" w:fill="auto"/>
        <w:bidi w:val="0"/>
        <w:spacing w:before="0" w:after="0" w:line="240" w:lineRule="auto"/>
        <w:ind w:left="8410" w:right="0" w:firstLine="0"/>
        <w:jc w:val="left"/>
      </w:pPr>
      <w:r>
        <w:rPr>
          <w:color w:val="000000"/>
          <w:spacing w:val="0"/>
          <w:w w:val="100"/>
          <w:position w:val="0"/>
        </w:rPr>
        <w:t>单位：元</w:t>
      </w:r>
    </w:p>
    <w:tbl>
      <w:tblPr>
        <w:tblOverlap w:val="never"/>
        <w:jc w:val="center"/>
        <w:tblLayout w:type="fixed"/>
      </w:tblPr>
      <w:tblGrid>
        <w:gridCol w:w="2539"/>
        <w:gridCol w:w="2160"/>
        <w:gridCol w:w="2160"/>
        <w:gridCol w:w="271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同比变动情况</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30,372,096.29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26,630,731.99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51,118,277.22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46,891,986.20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30,088,300.31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29,352,667.88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14,635,819.34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11,654,505.48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25.58%</w:t>
            </w:r>
          </w:p>
        </w:tc>
      </w:tr>
    </w:tbl>
    <w:p>
      <w:pPr>
        <w:widowControl w:val="0"/>
        <w:spacing w:after="319" w:line="1" w:lineRule="exact"/>
      </w:pP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、研发支出</w:t>
      </w:r>
    </w:p>
    <w:tbl>
      <w:tblPr>
        <w:tblOverlap w:val="never"/>
        <w:jc w:val="center"/>
        <w:tblLayout w:type="fixed"/>
      </w:tblPr>
      <w:tblGrid>
        <w:gridCol w:w="4651"/>
        <w:gridCol w:w="1670"/>
        <w:gridCol w:w="1440"/>
        <w:gridCol w:w="181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w:t>
            </w:r>
            <w:r>
              <w:rPr>
                <w:rFonts w:ascii="Times New Roman" w:eastAsia="Times New Roman" w:hAnsi="Times New Roman" w:cs="Times New Roman"/>
                <w:color w:val="000000"/>
                <w:spacing w:val="0"/>
                <w:w w:val="100"/>
                <w:position w:val="0"/>
              </w:rPr>
              <w:t>(</w:t>
            </w:r>
            <w:r>
              <w:rPr>
                <w:color w:val="000000"/>
                <w:spacing w:val="0"/>
                <w:w w:val="100"/>
                <w:position w:val="0"/>
              </w:rPr>
              <w:t>万元</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7,094.73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5,892.72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研发支出占本期经审计净资产比例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研发支出占本期经审计营业收入比例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r>
    </w:tbl>
    <w:p>
      <w:pPr>
        <w:spacing w:lineRule="exact" w:line="1"/>
        <w:rPr>
          <w:sz w:val="2"/>
          <w:szCs w:val="2"/>
        </w:rPr>
      </w:pPr>
      <w:r>
        <w:br w:type="page"/>
      </w:r>
    </w:p>
    <w:p>
      <w:pPr>
        <w:pStyle w:val="Style3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b/>
          <w:bCs/>
          <w:color w:val="000000"/>
          <w:spacing w:val="0"/>
          <w:w w:val="100"/>
          <w:position w:val="0"/>
        </w:rPr>
        <w:t>6</w:t>
      </w:r>
      <w:r>
        <w:rPr>
          <w:b/>
          <w:bCs/>
          <w:color w:val="000000"/>
          <w:spacing w:val="0"/>
          <w:w w:val="100"/>
          <w:position w:val="0"/>
        </w:rPr>
        <w:t>、现金流</w:t>
      </w:r>
    </w:p>
    <w:p>
      <w:pPr>
        <w:pStyle w:val="Style38"/>
        <w:keepNext w:val="0"/>
        <w:keepLines w:val="0"/>
        <w:widowControl w:val="0"/>
        <w:shd w:val="clear" w:color="auto" w:fill="auto"/>
        <w:bidi w:val="0"/>
        <w:spacing w:before="0" w:after="0" w:line="240" w:lineRule="auto"/>
        <w:ind w:left="8275" w:right="0" w:firstLine="0"/>
        <w:jc w:val="left"/>
      </w:pPr>
      <w:r>
        <w:rPr>
          <w:color w:val="000000"/>
          <w:spacing w:val="0"/>
          <w:w w:val="100"/>
          <w:position w:val="0"/>
        </w:rPr>
        <w:t>单位：元</w:t>
      </w:r>
    </w:p>
    <w:tbl>
      <w:tblPr>
        <w:tblOverlap w:val="never"/>
        <w:jc w:val="center"/>
        <w:tblLayout w:type="fixed"/>
      </w:tblPr>
      <w:tblGrid>
        <w:gridCol w:w="4147"/>
        <w:gridCol w:w="1800"/>
        <w:gridCol w:w="1978"/>
        <w:gridCol w:w="1661"/>
      </w:tblGrid>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1,495,345,797.10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1,593,411,073.46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1,551,149,125.76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1,472,388,631.64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-55,803,328.66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121,022,441.82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-146.11%</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81,243,517.81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80,641,075.33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-81,153,363.81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-80,641,075.33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499,532,008.29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517,000,000.00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415,866,333.81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507,070,863.26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83,665,674.48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9,929,136.74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742.63%</w:t>
            </w:r>
          </w:p>
        </w:tc>
      </w:tr>
      <w:tr>
        <w:trPr>
          <w:trHeight w:val="350"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-53,291,017.99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50,310,503.23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-205.92%</w:t>
            </w:r>
          </w:p>
        </w:tc>
      </w:tr>
    </w:tbl>
    <w:p>
      <w:pPr>
        <w:pStyle w:val="Style3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相关数据同比发生变动</w:t>
      </w:r>
      <w:r>
        <w:rPr>
          <w:rFonts w:ascii="Times New Roman" w:eastAsia="Times New Roman" w:hAnsi="Times New Roman" w:cs="Times New Roman"/>
          <w:b/>
          <w:bCs/>
          <w:color w:val="000000"/>
          <w:spacing w:val="0"/>
          <w:w w:val="100"/>
          <w:position w:val="0"/>
        </w:rPr>
        <w:t>30%</w:t>
      </w:r>
      <w:r>
        <w:rPr>
          <w:b/>
          <w:bCs/>
          <w:color w:val="000000"/>
          <w:spacing w:val="0"/>
          <w:w w:val="100"/>
          <w:position w:val="0"/>
        </w:rPr>
        <w:t>以上的原因说明</w:t>
      </w:r>
    </w:p>
    <w:p>
      <w:pPr>
        <w:pStyle w:val="Style35"/>
        <w:keepNext w:val="0"/>
        <w:keepLines w:val="0"/>
        <w:widowControl w:val="0"/>
        <w:shd w:val="clear" w:color="auto" w:fill="auto"/>
        <w:tabs>
          <w:tab w:pos="354" w:val="left"/>
        </w:tabs>
        <w:bidi w:val="0"/>
        <w:spacing w:before="0" w:after="0" w:line="329" w:lineRule="exact"/>
        <w:ind w:left="0" w:right="0" w:firstLine="0"/>
        <w:jc w:val="both"/>
      </w:pPr>
      <w:bookmarkStart w:id="84" w:name="bookmark84"/>
      <w:r>
        <w:rPr>
          <w:rFonts w:ascii="Times New Roman" w:eastAsia="Times New Roman" w:hAnsi="Times New Roman" w:cs="Times New Roman"/>
          <w:color w:val="000000"/>
          <w:spacing w:val="0"/>
          <w:w w:val="100"/>
          <w:position w:val="0"/>
        </w:rPr>
        <w:t>1</w:t>
      </w:r>
      <w:bookmarkEnd w:id="84"/>
      <w:r>
        <w:rPr>
          <w:color w:val="000000"/>
          <w:spacing w:val="0"/>
          <w:w w:val="100"/>
          <w:position w:val="0"/>
        </w:rPr>
        <w:t>、</w:t>
        <w:tab/>
        <w:t>经营活动产生的现金流量净额，同比减少</w:t>
      </w:r>
      <w:r>
        <w:rPr>
          <w:rFonts w:ascii="Times New Roman" w:eastAsia="Times New Roman" w:hAnsi="Times New Roman" w:cs="Times New Roman"/>
          <w:color w:val="000000"/>
          <w:spacing w:val="0"/>
          <w:w w:val="100"/>
          <w:position w:val="0"/>
        </w:rPr>
        <w:t>146.11%</w:t>
      </w:r>
      <w:r>
        <w:rPr>
          <w:color w:val="000000"/>
          <w:spacing w:val="0"/>
          <w:w w:val="100"/>
          <w:position w:val="0"/>
        </w:rPr>
        <w:t>，银承贴现利率上升，公司减少银承贴现增加贷款 以降低财务费用。</w:t>
      </w:r>
    </w:p>
    <w:p>
      <w:pPr>
        <w:pStyle w:val="Style35"/>
        <w:keepNext w:val="0"/>
        <w:keepLines w:val="0"/>
        <w:widowControl w:val="0"/>
        <w:shd w:val="clear" w:color="auto" w:fill="auto"/>
        <w:tabs>
          <w:tab w:pos="373" w:val="left"/>
        </w:tabs>
        <w:bidi w:val="0"/>
        <w:spacing w:before="0" w:after="0" w:line="329" w:lineRule="exact"/>
        <w:ind w:left="0" w:right="0" w:firstLine="0"/>
        <w:jc w:val="both"/>
      </w:pPr>
      <w:bookmarkStart w:id="85" w:name="bookmark85"/>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筹资活动产生的现金流量净额，同比增加</w:t>
      </w:r>
      <w:r>
        <w:rPr>
          <w:rFonts w:ascii="Times New Roman" w:eastAsia="Times New Roman" w:hAnsi="Times New Roman" w:cs="Times New Roman"/>
          <w:color w:val="000000"/>
          <w:spacing w:val="0"/>
          <w:w w:val="100"/>
          <w:position w:val="0"/>
        </w:rPr>
        <w:t>742.63%</w:t>
      </w:r>
      <w:r>
        <w:rPr>
          <w:color w:val="000000"/>
          <w:spacing w:val="0"/>
          <w:w w:val="100"/>
          <w:position w:val="0"/>
        </w:rPr>
        <w:t>，银承贴现利率上升，公司减少银承贴现增加贷款 以降低财务费用。</w:t>
      </w:r>
    </w:p>
    <w:p>
      <w:pPr>
        <w:pStyle w:val="Style35"/>
        <w:keepNext w:val="0"/>
        <w:keepLines w:val="0"/>
        <w:widowControl w:val="0"/>
        <w:shd w:val="clear" w:color="auto" w:fill="auto"/>
        <w:bidi w:val="0"/>
        <w:spacing w:before="0" w:after="0" w:line="321" w:lineRule="exact"/>
        <w:ind w:left="0" w:right="0" w:firstLine="0"/>
        <w:jc w:val="both"/>
      </w:pPr>
      <w:r>
        <w:rPr>
          <w:b/>
          <w:bCs/>
          <w:color w:val="000000"/>
          <w:spacing w:val="0"/>
          <w:w w:val="100"/>
          <w:position w:val="0"/>
        </w:rPr>
        <w:t>报告期内公司经营活动的现金流量与本年度净利润存在重大差异的原因说明</w:t>
      </w:r>
    </w:p>
    <w:p>
      <w:pPr>
        <w:pStyle w:val="Style35"/>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报告期末，公司进入生产经营旺季，信用期内应收账款增加；综合淡旺季生产产能及劳工招聘情况，稳 定春节前后及旺季订单供货，提高客户订单交货达成率，公司实施备货计划，存货增加；银承贴现利率 上升，公司减少银承贴现增加贷款以降低财务费用，应收票据增加；因此，报告期内公司经营活动产生 的现金流量为负。</w:t>
      </w:r>
    </w:p>
    <w:p>
      <w:pPr>
        <w:pStyle w:val="Style30"/>
        <w:keepNext/>
        <w:keepLines/>
        <w:widowControl w:val="0"/>
        <w:shd w:val="clear" w:color="auto" w:fill="auto"/>
        <w:bidi w:val="0"/>
        <w:spacing w:before="0" w:after="340" w:line="240" w:lineRule="auto"/>
        <w:ind w:left="0" w:right="0" w:firstLine="0"/>
        <w:jc w:val="both"/>
      </w:pPr>
      <w:bookmarkStart w:id="86" w:name="bookmark86"/>
      <w:bookmarkStart w:id="87" w:name="bookmark87"/>
      <w:bookmarkStart w:id="88" w:name="bookmark88"/>
      <w:bookmarkStart w:id="89" w:name="bookmark89"/>
      <w:r>
        <w:rPr>
          <w:color w:val="000000"/>
          <w:spacing w:val="0"/>
          <w:w w:val="100"/>
          <w:position w:val="0"/>
          <w:sz w:val="24"/>
          <w:szCs w:val="24"/>
        </w:rPr>
        <w:t>三</w:t>
      </w:r>
      <w:bookmarkEnd w:id="88"/>
      <w:r>
        <w:rPr>
          <w:color w:val="000000"/>
          <w:spacing w:val="0"/>
          <w:w w:val="100"/>
          <w:position w:val="0"/>
          <w:sz w:val="24"/>
          <w:szCs w:val="24"/>
        </w:rPr>
        <w:t>、主营业务构成情况</w:t>
      </w:r>
      <w:bookmarkEnd w:id="86"/>
      <w:bookmarkEnd w:id="87"/>
      <w:bookmarkEnd w:id="89"/>
    </w:p>
    <w:p>
      <w:pPr>
        <w:pStyle w:val="Style38"/>
        <w:keepNext w:val="0"/>
        <w:keepLines w:val="0"/>
        <w:widowControl w:val="0"/>
        <w:shd w:val="clear" w:color="auto" w:fill="auto"/>
        <w:bidi w:val="0"/>
        <w:spacing w:before="0" w:after="0" w:line="240" w:lineRule="auto"/>
        <w:ind w:left="8381" w:right="0" w:firstLine="0"/>
        <w:jc w:val="left"/>
      </w:pPr>
      <w:r>
        <w:rPr>
          <w:color w:val="000000"/>
          <w:spacing w:val="0"/>
          <w:w w:val="100"/>
          <w:position w:val="0"/>
        </w:rPr>
        <w:t>单位：元</w:t>
      </w:r>
    </w:p>
    <w:tbl>
      <w:tblPr>
        <w:tblOverlap w:val="never"/>
        <w:jc w:val="center"/>
        <w:tblLayout w:type="fixed"/>
      </w:tblPr>
      <w:tblGrid>
        <w:gridCol w:w="2347"/>
        <w:gridCol w:w="1618"/>
        <w:gridCol w:w="1622"/>
        <w:gridCol w:w="898"/>
        <w:gridCol w:w="1080"/>
        <w:gridCol w:w="1080"/>
        <w:gridCol w:w="94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毛利率</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 比上年同 期增减</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营业成本 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 上年同期 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0"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1,484,810,534.84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1,262,585,208.25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370"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空调连接组件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997,634,047.17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841,776,555.81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空调电源输入组件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364,617,460.36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320,576,907.94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电热电器电源输入组件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64,497,044.46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51,956,342.28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冰洗电器电源输入组件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23,578,902.26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20,062,662.50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其他家电电源输入组件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34,483,080.59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28,212,739.72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w:t>
            </w:r>
          </w:p>
        </w:tc>
      </w:tr>
      <w:tr>
        <w:trPr>
          <w:trHeight w:val="379"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645" w:right="998" w:bottom="950" w:left="1086" w:header="0" w:footer="3" w:gutter="0"/>
          <w:cols w:space="720"/>
          <w:noEndnote/>
          <w:rtlGutter w:val="0"/>
          <w:docGrid w:linePitch="360"/>
        </w:sectPr>
      </w:pPr>
    </w:p>
    <w:tbl>
      <w:tblPr>
        <w:tblOverlap w:val="never"/>
        <w:jc w:val="center"/>
        <w:tblLayout w:type="fixed"/>
      </w:tblPr>
      <w:tblGrid>
        <w:gridCol w:w="2347"/>
        <w:gridCol w:w="1618"/>
        <w:gridCol w:w="1622"/>
        <w:gridCol w:w="898"/>
        <w:gridCol w:w="1080"/>
        <w:gridCol w:w="1080"/>
        <w:gridCol w:w="941"/>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475,879,489.45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407,330,209.85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957,868,117.52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813,567,216.48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51,062,927.87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41,687,781.92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r>
    </w:tbl>
    <w:p>
      <w:pPr>
        <w:pStyle w:val="Style35"/>
        <w:keepNext w:val="0"/>
        <w:keepLines w:val="0"/>
        <w:widowControl w:val="0"/>
        <w:shd w:val="clear" w:color="auto" w:fill="auto"/>
        <w:tabs>
          <w:tab w:pos="7862" w:val="left"/>
        </w:tabs>
        <w:bidi w:val="0"/>
        <w:spacing w:before="0" w:after="360" w:line="317"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 务数据</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sz w:val="24"/>
          <w:szCs w:val="24"/>
        </w:rPr>
        <w:t>四</w:t>
      </w:r>
      <w:bookmarkEnd w:id="92"/>
      <w:r>
        <w:rPr>
          <w:color w:val="000000"/>
          <w:spacing w:val="0"/>
          <w:w w:val="100"/>
          <w:position w:val="0"/>
          <w:sz w:val="24"/>
          <w:szCs w:val="24"/>
        </w:rPr>
        <w:t>、资产、负债状况分析</w:t>
      </w:r>
      <w:bookmarkEnd w:id="90"/>
      <w:bookmarkEnd w:id="91"/>
      <w:bookmarkEnd w:id="93"/>
    </w:p>
    <w:p>
      <w:pPr>
        <w:pStyle w:val="Style48"/>
        <w:keepNext/>
        <w:keepLines/>
        <w:widowControl w:val="0"/>
        <w:shd w:val="clear" w:color="auto" w:fill="auto"/>
        <w:bidi w:val="0"/>
        <w:spacing w:before="0" w:after="260" w:line="331"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1</w:t>
      </w:r>
      <w:bookmarkEnd w:id="96"/>
      <w:r>
        <w:rPr>
          <w:color w:val="000000"/>
          <w:spacing w:val="0"/>
          <w:w w:val="100"/>
          <w:position w:val="0"/>
        </w:rPr>
        <w:t>、资产项目重大变动情况</w:t>
      </w:r>
      <w:bookmarkEnd w:id="94"/>
      <w:bookmarkEnd w:id="95"/>
      <w:bookmarkEnd w:id="97"/>
    </w:p>
    <w:p>
      <w:pPr>
        <w:pStyle w:val="Style38"/>
        <w:keepNext w:val="0"/>
        <w:keepLines w:val="0"/>
        <w:widowControl w:val="0"/>
        <w:shd w:val="clear" w:color="auto" w:fill="auto"/>
        <w:bidi w:val="0"/>
        <w:spacing w:before="0" w:after="0" w:line="240" w:lineRule="auto"/>
        <w:ind w:left="8381" w:right="0" w:firstLine="0"/>
        <w:jc w:val="left"/>
      </w:pPr>
      <w:r>
        <w:rPr>
          <w:color w:val="000000"/>
          <w:spacing w:val="0"/>
          <w:w w:val="100"/>
          <w:position w:val="0"/>
        </w:rPr>
        <w:t>单位：元</w:t>
      </w:r>
    </w:p>
    <w:tbl>
      <w:tblPr>
        <w:tblOverlap w:val="never"/>
        <w:jc w:val="center"/>
        <w:tblLayout w:type="fixed"/>
      </w:tblPr>
      <w:tblGrid>
        <w:gridCol w:w="1627"/>
        <w:gridCol w:w="1618"/>
        <w:gridCol w:w="1080"/>
        <w:gridCol w:w="1622"/>
        <w:gridCol w:w="1080"/>
        <w:gridCol w:w="1080"/>
        <w:gridCol w:w="1450"/>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73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141,167,731.22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188,270,481.54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333,108,382.37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237,428,720.32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2.73%</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214,045,413.17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168,945,534.90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231,754,095.98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205,556,763.97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58,027,099.27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22,806,124.34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、负债项目重大变动情况</w:t>
      </w:r>
    </w:p>
    <w:p>
      <w:pPr>
        <w:widowControl w:val="0"/>
        <w:spacing w:after="359" w:line="1" w:lineRule="exact"/>
      </w:pPr>
    </w:p>
    <w:p>
      <w:pPr>
        <w:pStyle w:val="Style38"/>
        <w:keepNext w:val="0"/>
        <w:keepLines w:val="0"/>
        <w:widowControl w:val="0"/>
        <w:shd w:val="clear" w:color="auto" w:fill="auto"/>
        <w:bidi w:val="0"/>
        <w:spacing w:before="0" w:after="0" w:line="240" w:lineRule="auto"/>
        <w:ind w:left="8381" w:right="0" w:firstLine="0"/>
        <w:jc w:val="left"/>
      </w:pPr>
      <w:r>
        <w:rPr>
          <w:color w:val="000000"/>
          <w:spacing w:val="0"/>
          <w:w w:val="100"/>
          <w:position w:val="0"/>
        </w:rPr>
        <w:t>单位：元</w:t>
      </w:r>
    </w:p>
    <w:tbl>
      <w:tblPr>
        <w:tblOverlap w:val="never"/>
        <w:jc w:val="center"/>
        <w:tblLayout w:type="fixed"/>
      </w:tblPr>
      <w:tblGrid>
        <w:gridCol w:w="1627"/>
        <w:gridCol w:w="1618"/>
        <w:gridCol w:w="1080"/>
        <w:gridCol w:w="1622"/>
        <w:gridCol w:w="1080"/>
        <w:gridCol w:w="1080"/>
        <w:gridCol w:w="1478"/>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65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5"/>
        <w:keepNext w:val="0"/>
        <w:keepLines w:val="0"/>
        <w:widowControl w:val="0"/>
        <w:shd w:val="clear" w:color="auto" w:fill="auto"/>
        <w:tabs>
          <w:tab w:pos="8299" w:val="left"/>
        </w:tabs>
        <w:bidi w:val="0"/>
        <w:spacing w:before="0" w:after="360" w:line="312" w:lineRule="exact"/>
        <w:ind w:left="0" w:right="0" w:firstLine="0"/>
        <w:jc w:val="left"/>
      </w:pPr>
      <w:bookmarkStart w:id="98" w:name="bookmark98"/>
      <w:r>
        <w:rPr>
          <w:rFonts w:ascii="Times New Roman" w:eastAsia="Times New Roman" w:hAnsi="Times New Roman" w:cs="Times New Roman"/>
          <w:b/>
          <w:bCs/>
          <w:color w:val="000000"/>
          <w:spacing w:val="0"/>
          <w:w w:val="100"/>
          <w:position w:val="0"/>
        </w:rPr>
        <w:t>3</w:t>
      </w:r>
      <w:bookmarkEnd w:id="98"/>
      <w:r>
        <w:rPr>
          <w:b/>
          <w:bCs/>
          <w:color w:val="000000"/>
          <w:spacing w:val="0"/>
          <w:w w:val="100"/>
          <w:position w:val="0"/>
        </w:rPr>
        <w:t>、以公允价值计量的资产和负债</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0"/>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五</w:t>
      </w:r>
      <w:bookmarkEnd w:id="101"/>
      <w:r>
        <w:rPr>
          <w:color w:val="000000"/>
          <w:spacing w:val="0"/>
          <w:w w:val="100"/>
          <w:position w:val="0"/>
          <w:sz w:val="24"/>
          <w:szCs w:val="24"/>
        </w:rPr>
        <w:t>、核心竞争力分析</w:t>
      </w:r>
      <w:bookmarkEnd w:id="100"/>
      <w:bookmarkEnd w:id="102"/>
      <w:bookmarkEnd w:id="99"/>
    </w:p>
    <w:p>
      <w:pPr>
        <w:pStyle w:val="Style35"/>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经过多年发展，公司行业地位不断提升，现已成为国内空调连接组件主要供应商之一，公司的优势 及核心竞争力主要体现在以下几个方面：</w:t>
      </w:r>
    </w:p>
    <w:p>
      <w:pPr>
        <w:pStyle w:val="Style48"/>
        <w:keepNext/>
        <w:keepLines/>
        <w:widowControl w:val="0"/>
        <w:numPr>
          <w:ilvl w:val="0"/>
          <w:numId w:val="1"/>
        </w:numPr>
        <w:shd w:val="clear" w:color="auto" w:fill="auto"/>
        <w:bidi w:val="0"/>
        <w:spacing w:before="0" w:after="180" w:line="326" w:lineRule="auto"/>
        <w:ind w:left="0" w:right="0" w:firstLine="0"/>
        <w:jc w:val="left"/>
      </w:pPr>
      <w:bookmarkStart w:id="103" w:name="bookmark103"/>
      <w:bookmarkStart w:id="104" w:name="bookmark104"/>
      <w:bookmarkStart w:id="105" w:name="bookmark105"/>
      <w:bookmarkStart w:id="106" w:name="bookmark106"/>
      <w:bookmarkEnd w:id="105"/>
      <w:r>
        <w:rPr>
          <w:color w:val="000000"/>
          <w:spacing w:val="0"/>
          <w:w w:val="100"/>
          <w:position w:val="0"/>
        </w:rPr>
        <w:t>技术优势</w:t>
      </w:r>
      <w:bookmarkEnd w:id="103"/>
      <w:bookmarkEnd w:id="104"/>
      <w:bookmarkEnd w:id="106"/>
    </w:p>
    <w:p>
      <w:pPr>
        <w:pStyle w:val="Style35"/>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凭借完善的创新机制和对研发资源的持续投入，公司在家电配线组件领域拥有业内领先的技术优势: 建立了完善的技术研发体系，设立了包括物理实验室，化学实验室，电气实验室，环保实验室等国家</w:t>
      </w:r>
      <w:r>
        <w:rPr>
          <w:rFonts w:ascii="Times New Roman" w:eastAsia="Times New Roman" w:hAnsi="Times New Roman" w:cs="Times New Roman"/>
          <w:color w:val="000000"/>
          <w:spacing w:val="0"/>
          <w:w w:val="100"/>
          <w:position w:val="0"/>
        </w:rPr>
        <w:t xml:space="preserve">CNAS </w:t>
      </w:r>
      <w:r>
        <w:rPr>
          <w:color w:val="000000"/>
          <w:spacing w:val="0"/>
          <w:w w:val="100"/>
          <w:position w:val="0"/>
        </w:rPr>
        <w:t xml:space="preserve">认可实验室，配备了多位经验丰富的工程师，形成了强大的产品开发能力。公司不断加大研发投入与支 持力度，加速产品配方优化与新产品开发力度，增加产品附加值，如公司开发的环保型低泄漏高性能空 </w:t>
      </w:r>
      <w:r>
        <w:rPr>
          <w:color w:val="000000"/>
          <w:spacing w:val="0"/>
          <w:w w:val="100"/>
          <w:position w:val="0"/>
        </w:rPr>
        <w:t>调连接组件，被评为广东省高新技术产品，各项环保指标均达国际先进水平。</w:t>
      </w:r>
    </w:p>
    <w:p>
      <w:pPr>
        <w:pStyle w:val="Style35"/>
        <w:keepNext w:val="0"/>
        <w:keepLines w:val="0"/>
        <w:widowControl w:val="0"/>
        <w:numPr>
          <w:ilvl w:val="0"/>
          <w:numId w:val="1"/>
        </w:numPr>
        <w:shd w:val="clear" w:color="auto" w:fill="auto"/>
        <w:tabs>
          <w:tab w:pos="332" w:val="left"/>
        </w:tabs>
        <w:bidi w:val="0"/>
        <w:spacing w:before="0" w:after="200" w:line="324" w:lineRule="auto"/>
        <w:ind w:left="0" w:right="0" w:firstLine="0"/>
        <w:jc w:val="both"/>
      </w:pPr>
      <w:bookmarkStart w:id="107" w:name="bookmark107"/>
      <w:bookmarkEnd w:id="107"/>
      <w:r>
        <w:rPr>
          <w:b/>
          <w:bCs/>
          <w:color w:val="000000"/>
          <w:spacing w:val="0"/>
          <w:w w:val="100"/>
          <w:position w:val="0"/>
        </w:rPr>
        <w:t>认证优势</w:t>
      </w:r>
    </w:p>
    <w:p>
      <w:pPr>
        <w:pStyle w:val="Style35"/>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中国作为全球最主要的家电生产基地，家电产品出口到世界各地，需符合不同国家、地区的安全标 准；因此，家电企业在选择配线组件供应商时，既要考虑产品符合国内的强制安全认证，又要符合产品 出口国家的强制安全认证。公司的产品通过了德国</w:t>
      </w:r>
      <w:r>
        <w:rPr>
          <w:rFonts w:ascii="Times New Roman" w:eastAsia="Times New Roman" w:hAnsi="Times New Roman" w:cs="Times New Roman"/>
          <w:color w:val="000000"/>
          <w:spacing w:val="0"/>
          <w:w w:val="100"/>
          <w:position w:val="0"/>
        </w:rPr>
        <w:t>VDE</w:t>
      </w:r>
      <w:r>
        <w:rPr>
          <w:color w:val="000000"/>
          <w:spacing w:val="0"/>
          <w:w w:val="100"/>
          <w:position w:val="0"/>
        </w:rPr>
        <w:t>、</w:t>
      </w:r>
      <w:r>
        <w:rPr>
          <w:color w:val="000000"/>
          <w:spacing w:val="0"/>
          <w:w w:val="100"/>
          <w:position w:val="0"/>
        </w:rPr>
        <w:t>美国</w:t>
      </w:r>
      <w:r>
        <w:rPr>
          <w:rFonts w:ascii="Times New Roman" w:eastAsia="Times New Roman" w:hAnsi="Times New Roman" w:cs="Times New Roman"/>
          <w:color w:val="000000"/>
          <w:spacing w:val="0"/>
          <w:w w:val="100"/>
          <w:position w:val="0"/>
        </w:rPr>
        <w:t>UL</w:t>
      </w:r>
      <w:r>
        <w:rPr>
          <w:color w:val="000000"/>
          <w:spacing w:val="0"/>
          <w:w w:val="100"/>
          <w:position w:val="0"/>
        </w:rPr>
        <w:t>、</w:t>
      </w:r>
      <w:r>
        <w:rPr>
          <w:color w:val="000000"/>
          <w:spacing w:val="0"/>
          <w:w w:val="100"/>
          <w:position w:val="0"/>
        </w:rPr>
        <w:t>日本</w:t>
      </w:r>
      <w:r>
        <w:rPr>
          <w:rFonts w:ascii="Times New Roman" w:eastAsia="Times New Roman" w:hAnsi="Times New Roman" w:cs="Times New Roman"/>
          <w:color w:val="000000"/>
          <w:spacing w:val="0"/>
          <w:w w:val="100"/>
          <w:position w:val="0"/>
        </w:rPr>
        <w:t>JET</w:t>
      </w:r>
      <w:r>
        <w:rPr>
          <w:color w:val="000000"/>
          <w:spacing w:val="0"/>
          <w:w w:val="100"/>
          <w:position w:val="0"/>
        </w:rPr>
        <w:t>、</w:t>
      </w:r>
      <w:r>
        <w:rPr>
          <w:color w:val="000000"/>
          <w:spacing w:val="0"/>
          <w:w w:val="100"/>
          <w:position w:val="0"/>
        </w:rPr>
        <w:t>丹麦</w:t>
      </w:r>
      <w:r>
        <w:rPr>
          <w:rFonts w:ascii="Times New Roman" w:eastAsia="Times New Roman" w:hAnsi="Times New Roman" w:cs="Times New Roman"/>
          <w:color w:val="000000"/>
          <w:spacing w:val="0"/>
          <w:w w:val="100"/>
          <w:position w:val="0"/>
        </w:rPr>
        <w:t>DEMKO</w:t>
      </w:r>
      <w:r>
        <w:rPr>
          <w:color w:val="000000"/>
          <w:spacing w:val="0"/>
          <w:w w:val="100"/>
          <w:position w:val="0"/>
        </w:rPr>
        <w:t>等</w:t>
      </w:r>
      <w:r>
        <w:rPr>
          <w:rFonts w:ascii="Times New Roman" w:eastAsia="Times New Roman" w:hAnsi="Times New Roman" w:cs="Times New Roman"/>
          <w:color w:val="000000"/>
          <w:spacing w:val="0"/>
          <w:w w:val="100"/>
          <w:position w:val="0"/>
        </w:rPr>
        <w:t>20</w:t>
      </w:r>
      <w:r>
        <w:rPr>
          <w:color w:val="000000"/>
          <w:spacing w:val="0"/>
          <w:w w:val="100"/>
          <w:position w:val="0"/>
        </w:rPr>
        <w:t>多个国家 及地区的安全认证，是国际认证最齐全的家电配线组件供应商之一，可以为各大家电制造厂商快速、及 时地提供质量达标、符合出口地认证标准的各类家电配线组件。</w:t>
      </w:r>
    </w:p>
    <w:p>
      <w:pPr>
        <w:pStyle w:val="Style48"/>
        <w:keepNext/>
        <w:keepLines/>
        <w:widowControl w:val="0"/>
        <w:numPr>
          <w:ilvl w:val="0"/>
          <w:numId w:val="1"/>
        </w:numPr>
        <w:shd w:val="clear" w:color="auto" w:fill="auto"/>
        <w:tabs>
          <w:tab w:pos="332" w:val="left"/>
        </w:tabs>
        <w:bidi w:val="0"/>
        <w:spacing w:before="0" w:after="200"/>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快速供货保障优势</w:t>
      </w:r>
      <w:bookmarkEnd w:id="108"/>
      <w:bookmarkEnd w:id="109"/>
      <w:bookmarkEnd w:id="111"/>
    </w:p>
    <w:p>
      <w:pPr>
        <w:pStyle w:val="Style35"/>
        <w:keepNext w:val="0"/>
        <w:keepLines w:val="0"/>
        <w:widowControl w:val="0"/>
        <w:shd w:val="clear" w:color="auto" w:fill="auto"/>
        <w:bidi w:val="0"/>
        <w:spacing w:before="0" w:after="360" w:line="311" w:lineRule="exact"/>
        <w:ind w:left="0" w:right="0" w:firstLine="440"/>
        <w:jc w:val="left"/>
      </w:pPr>
      <w:r>
        <w:rPr>
          <w:color w:val="000000"/>
          <w:spacing w:val="0"/>
          <w:w w:val="100"/>
          <w:position w:val="0"/>
        </w:rPr>
        <w:t>大型家电制造厂商对配线组件需求大，交货期紧，一般三至五天内即要求交货，对合作供应商的生 产规模要求高。公司是国内主要的家电配线组件制造企业之一，各类连接组件、电源输入组件的年产能 超过</w:t>
      </w:r>
      <w:r>
        <w:rPr>
          <w:rFonts w:ascii="Times New Roman" w:eastAsia="Times New Roman" w:hAnsi="Times New Roman" w:cs="Times New Roman"/>
          <w:color w:val="000000"/>
          <w:spacing w:val="0"/>
          <w:w w:val="100"/>
          <w:position w:val="0"/>
        </w:rPr>
        <w:t>1</w:t>
      </w:r>
      <w:r>
        <w:rPr>
          <w:color w:val="000000"/>
          <w:spacing w:val="0"/>
          <w:w w:val="100"/>
          <w:position w:val="0"/>
        </w:rPr>
        <w:t>亿套，可以快速、及时地向各大家电制造厂商提供不同规格型号、符合不同国家安全认证要求的家 电配线组件，提供</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服务。同时，公司所在地珠三角区域，是家电产业发展较早、产业最集中的地 区之一，也是世界最重要的家电生产基地之一，区域内汇集了格力、美的、广州松下、</w:t>
      </w:r>
      <w:r>
        <w:rPr>
          <w:rFonts w:ascii="Times New Roman" w:eastAsia="Times New Roman" w:hAnsi="Times New Roman" w:cs="Times New Roman"/>
          <w:color w:val="000000"/>
          <w:spacing w:val="0"/>
          <w:w w:val="100"/>
          <w:position w:val="0"/>
        </w:rPr>
        <w:t>TCL</w:t>
      </w:r>
      <w:r>
        <w:rPr>
          <w:color w:val="000000"/>
          <w:spacing w:val="0"/>
          <w:w w:val="100"/>
          <w:position w:val="0"/>
        </w:rPr>
        <w:t>、</w:t>
      </w:r>
      <w:r>
        <w:rPr>
          <w:color w:val="000000"/>
          <w:spacing w:val="0"/>
          <w:w w:val="100"/>
          <w:position w:val="0"/>
        </w:rPr>
        <w:t>三菱电机、 海信科龙、志高、格兰仕等一大批中国家电行业知名企业；公司之全资子公司扬州华声位于长三角地区， 毗邻合肥美的、格力、海尔，武汉美的、海尔，以及芜湖美的等大型家电厂商的生产基地。公司利用贴 近市场的地域条件，在提高订单响应速度、降低物流运输成本、加深与客户的长期合作方面具有优势。</w:t>
      </w:r>
    </w:p>
    <w:p>
      <w:pPr>
        <w:pStyle w:val="Style48"/>
        <w:keepNext/>
        <w:keepLines/>
        <w:widowControl w:val="0"/>
        <w:numPr>
          <w:ilvl w:val="0"/>
          <w:numId w:val="1"/>
        </w:numPr>
        <w:shd w:val="clear" w:color="auto" w:fill="auto"/>
        <w:tabs>
          <w:tab w:pos="332" w:val="left"/>
        </w:tabs>
        <w:bidi w:val="0"/>
        <w:spacing w:before="0" w:after="200"/>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客户资源优势</w:t>
      </w:r>
      <w:bookmarkEnd w:id="112"/>
      <w:bookmarkEnd w:id="113"/>
      <w:bookmarkEnd w:id="115"/>
    </w:p>
    <w:p>
      <w:pPr>
        <w:pStyle w:val="Style35"/>
        <w:keepNext w:val="0"/>
        <w:keepLines w:val="0"/>
        <w:widowControl w:val="0"/>
        <w:shd w:val="clear" w:color="auto" w:fill="auto"/>
        <w:bidi w:val="0"/>
        <w:spacing w:before="0" w:after="360" w:line="310" w:lineRule="exact"/>
        <w:ind w:left="0" w:right="0" w:firstLine="440"/>
        <w:jc w:val="left"/>
      </w:pPr>
      <w:r>
        <w:rPr>
          <w:color w:val="000000"/>
          <w:spacing w:val="0"/>
          <w:w w:val="100"/>
          <w:position w:val="0"/>
        </w:rPr>
        <w:t>经过多年的发展，凭借过硬的产品质量和良好的商业信誉，公司与多家国内外知名的家电企业建立 起良好、稳定的合作关系，并获得多家知名家电企业授予优秀供应商的荣誉。广泛的客户资源优势保证 了公司业务的稳定性，并为公司后续发展多样化的家电配线组件产品提供了稳定的客户基础。</w:t>
      </w:r>
    </w:p>
    <w:p>
      <w:pPr>
        <w:pStyle w:val="Style30"/>
        <w:keepNext/>
        <w:keepLines/>
        <w:widowControl w:val="0"/>
        <w:shd w:val="clear" w:color="auto" w:fill="auto"/>
        <w:bidi w:val="0"/>
        <w:spacing w:before="0" w:after="36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sz w:val="24"/>
          <w:szCs w:val="24"/>
        </w:rPr>
        <w:t>六</w:t>
      </w:r>
      <w:bookmarkEnd w:id="118"/>
      <w:r>
        <w:rPr>
          <w:color w:val="000000"/>
          <w:spacing w:val="0"/>
          <w:w w:val="100"/>
          <w:position w:val="0"/>
          <w:sz w:val="24"/>
          <w:szCs w:val="24"/>
        </w:rPr>
        <w:t>、投资状况分析</w:t>
      </w:r>
      <w:bookmarkEnd w:id="116"/>
      <w:bookmarkEnd w:id="117"/>
      <w:bookmarkEnd w:id="119"/>
    </w:p>
    <w:p>
      <w:pPr>
        <w:pStyle w:val="Style48"/>
        <w:keepNext/>
        <w:keepLines/>
        <w:widowControl w:val="0"/>
        <w:shd w:val="clear" w:color="auto" w:fill="auto"/>
        <w:tabs>
          <w:tab w:pos="356" w:val="left"/>
        </w:tabs>
        <w:bidi w:val="0"/>
        <w:spacing w:before="0" w:after="200"/>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w:t>
        <w:tab/>
        <w:t>对外股权投资情况</w:t>
      </w:r>
      <w:bookmarkEnd w:id="120"/>
      <w:bookmarkEnd w:id="121"/>
      <w:bookmarkEnd w:id="123"/>
    </w:p>
    <w:p>
      <w:pPr>
        <w:pStyle w:val="Style3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报告期内，公司未发生对外投资、持有金融企业股权、证券投资等情况。</w:t>
      </w:r>
    </w:p>
    <w:p>
      <w:pPr>
        <w:pStyle w:val="Style48"/>
        <w:keepNext/>
        <w:keepLines/>
        <w:widowControl w:val="0"/>
        <w:shd w:val="clear" w:color="auto" w:fill="auto"/>
        <w:tabs>
          <w:tab w:pos="366" w:val="left"/>
        </w:tabs>
        <w:bidi w:val="0"/>
        <w:spacing w:before="0" w:after="200"/>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w:t>
        <w:tab/>
        <w:t>委托理财、衍生品投资和委托贷款情况</w:t>
      </w:r>
      <w:bookmarkEnd w:id="124"/>
      <w:bookmarkEnd w:id="125"/>
      <w:bookmarkEnd w:id="127"/>
    </w:p>
    <w:p>
      <w:pPr>
        <w:pStyle w:val="Style35"/>
        <w:keepNext w:val="0"/>
        <w:keepLines w:val="0"/>
        <w:widowControl w:val="0"/>
        <w:shd w:val="clear" w:color="auto" w:fill="auto"/>
        <w:bidi w:val="0"/>
        <w:spacing w:before="0" w:after="360" w:line="311" w:lineRule="exact"/>
        <w:ind w:left="0" w:right="0" w:firstLine="0"/>
        <w:jc w:val="left"/>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645" w:right="998" w:bottom="950" w:left="1086" w:header="0" w:footer="3" w:gutter="0"/>
          <w:cols w:space="720"/>
          <w:noEndnote/>
          <w:titlePg/>
          <w:rtlGutter w:val="0"/>
          <w:docGrid w:linePitch="360"/>
        </w:sectPr>
      </w:pPr>
      <w:r>
        <w:rPr>
          <w:color w:val="000000"/>
          <w:spacing w:val="0"/>
          <w:w w:val="100"/>
          <w:position w:val="0"/>
        </w:rPr>
        <w:t>报告期内，公司未发生委托理财、衍生品投资、委托贷款等情况。</w:t>
      </w:r>
    </w:p>
    <w:p>
      <w:pPr>
        <w:pStyle w:val="Style35"/>
        <w:keepNext w:val="0"/>
        <w:keepLines w:val="0"/>
        <w:widowControl w:val="0"/>
        <w:shd w:val="clear" w:color="auto" w:fill="auto"/>
        <w:bidi w:val="0"/>
        <w:spacing w:before="0" w:after="380" w:line="240" w:lineRule="auto"/>
        <w:ind w:left="0" w:right="0" w:firstLine="0"/>
        <w:jc w:val="left"/>
      </w:pPr>
      <w:bookmarkStart w:id="128" w:name="bookmark128"/>
      <w:r>
        <w:rPr>
          <w:rFonts w:ascii="Times New Roman" w:eastAsia="Times New Roman" w:hAnsi="Times New Roman" w:cs="Times New Roman"/>
          <w:b/>
          <w:bCs/>
          <w:color w:val="000000"/>
          <w:spacing w:val="0"/>
          <w:w w:val="100"/>
          <w:position w:val="0"/>
        </w:rPr>
        <w:t>3</w:t>
      </w:r>
      <w:bookmarkEnd w:id="128"/>
      <w:r>
        <w:rPr>
          <w:b/>
          <w:bCs/>
          <w:color w:val="000000"/>
          <w:spacing w:val="0"/>
          <w:w w:val="100"/>
          <w:position w:val="0"/>
        </w:rPr>
        <w:t>、募集资金使用情况</w:t>
      </w:r>
    </w:p>
    <w:p>
      <w:pPr>
        <w:pStyle w:val="Style35"/>
        <w:keepNext w:val="0"/>
        <w:keepLines w:val="0"/>
        <w:widowControl w:val="0"/>
        <w:numPr>
          <w:ilvl w:val="0"/>
          <w:numId w:val="3"/>
        </w:numPr>
        <w:shd w:val="clear" w:color="auto" w:fill="auto"/>
        <w:bidi w:val="0"/>
        <w:spacing w:before="0" w:after="340" w:line="240" w:lineRule="auto"/>
        <w:ind w:left="0" w:right="0" w:firstLine="0"/>
        <w:jc w:val="left"/>
      </w:pPr>
      <w:bookmarkStart w:id="129" w:name="bookmark129"/>
      <w:bookmarkEnd w:id="129"/>
      <w:r>
        <w:rPr>
          <w:b/>
          <w:bCs/>
          <w:color w:val="000000"/>
          <w:spacing w:val="0"/>
          <w:w w:val="100"/>
          <w:position w:val="0"/>
        </w:rPr>
        <w:t>募集资金总体使用情况</w:t>
      </w:r>
    </w:p>
    <w:p>
      <w:pPr>
        <w:pStyle w:val="Style38"/>
        <w:keepNext w:val="0"/>
        <w:keepLines w:val="0"/>
        <w:widowControl w:val="0"/>
        <w:shd w:val="clear" w:color="auto" w:fill="auto"/>
        <w:bidi w:val="0"/>
        <w:spacing w:before="0" w:after="0" w:line="240" w:lineRule="auto"/>
        <w:ind w:left="12806" w:right="0" w:firstLine="0"/>
        <w:jc w:val="left"/>
      </w:pPr>
      <w:r>
        <w:rPr>
          <w:color w:val="000000"/>
          <w:spacing w:val="0"/>
          <w:w w:val="100"/>
          <w:position w:val="0"/>
        </w:rPr>
        <w:t>单位：万元</w:t>
      </w:r>
    </w:p>
    <w:tbl>
      <w:tblPr>
        <w:tblOverlap w:val="never"/>
        <w:jc w:val="center"/>
        <w:tblLayout w:type="fixed"/>
      </w:tblPr>
      <w:tblGrid>
        <w:gridCol w:w="6490"/>
        <w:gridCol w:w="7747"/>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33,466.75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9,070.92</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30,101.06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9"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募集资金承诺项目情况</w:t>
      </w:r>
    </w:p>
    <w:p>
      <w:pPr>
        <w:widowControl w:val="0"/>
        <w:spacing w:after="33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12806" w:right="0" w:firstLine="0"/>
        <w:jc w:val="left"/>
      </w:pPr>
      <w:r>
        <w:rPr>
          <w:color w:val="000000"/>
          <w:spacing w:val="0"/>
          <w:w w:val="100"/>
          <w:position w:val="0"/>
        </w:rPr>
        <w:t>单位：万元</w:t>
      </w:r>
    </w:p>
    <w:tbl>
      <w:tblPr>
        <w:tblOverlap w:val="never"/>
        <w:jc w:val="center"/>
        <w:tblLayout w:type="fixed"/>
      </w:tblPr>
      <w:tblGrid>
        <w:gridCol w:w="3250"/>
        <w:gridCol w:w="1080"/>
        <w:gridCol w:w="1080"/>
        <w:gridCol w:w="1080"/>
        <w:gridCol w:w="898"/>
        <w:gridCol w:w="1080"/>
        <w:gridCol w:w="1262"/>
        <w:gridCol w:w="1800"/>
        <w:gridCol w:w="720"/>
        <w:gridCol w:w="720"/>
        <w:gridCol w:w="126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承诺投资项目和超募资金投向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是否已变 更项目</w:t>
            </w:r>
            <w:r>
              <w:rPr>
                <w:rFonts w:ascii="Times New Roman" w:eastAsia="Times New Roman" w:hAnsi="Times New Roman" w:cs="Times New Roman"/>
                <w:color w:val="000000"/>
                <w:spacing w:val="0"/>
                <w:w w:val="100"/>
                <w:position w:val="0"/>
              </w:rPr>
              <w:t>(</w:t>
            </w:r>
            <w:r>
              <w:rPr>
                <w:color w:val="000000"/>
                <w:spacing w:val="0"/>
                <w:w w:val="100"/>
                <w:position w:val="0"/>
              </w:rPr>
              <w:t>含 部分变更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调整后投 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307" w:lineRule="exact"/>
              <w:ind w:left="0" w:right="0" w:firstLine="0"/>
              <w:jc w:val="center"/>
            </w:pPr>
            <w:r>
              <w:rPr>
                <w:color w:val="000000"/>
                <w:spacing w:val="0"/>
                <w:w w:val="100"/>
                <w:position w:val="0"/>
              </w:rPr>
              <w:t>截至期末投 资进度</w:t>
            </w:r>
            <w:r>
              <w:rPr>
                <w:rFonts w:ascii="Times New Roman" w:eastAsia="Times New Roman" w:hAnsi="Times New Roman" w:cs="Times New Roman"/>
                <w:color w:val="000000"/>
                <w:spacing w:val="0"/>
                <w:w w:val="100"/>
                <w:position w:val="0"/>
              </w:rPr>
              <w:t>(%)(3)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项目达到预定可使 用状态日期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项目可行性 是否发生重 大变化</w:t>
            </w:r>
          </w:p>
        </w:tc>
      </w:tr>
      <w:tr>
        <w:trPr>
          <w:trHeight w:val="370"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62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新型节能家用电器环保配线组 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6,441.61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17,977.22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2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环保配线组件工程技术研究开 发中心项目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2,957.09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20,934.31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764.13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65"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w:t>
            </w: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9,166.75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9,166.75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9,166.75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9,166.75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E9E9E9"/>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30"/>
        <w:gridCol w:w="99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合计 </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275" w:val="left"/>
                <w:tab w:pos="2278" w:val="left"/>
                <w:tab w:pos="3253" w:val="left"/>
                <w:tab w:pos="4688" w:val="left"/>
                <w:tab w:pos="8197" w:val="left"/>
              </w:tabs>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33,466.75</w:t>
              <w:tab/>
              <w:t>33,466.75</w:t>
              <w:tab/>
              <w:t>9,070.92</w:t>
              <w:tab/>
              <w:t>30,101.06</w:t>
              <w:tab/>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764.13</w:t>
              <w:tab/>
            </w:r>
            <w:r>
              <w:rPr>
                <w:rFonts w:ascii="Times New Roman" w:eastAsia="Times New Roman" w:hAnsi="Times New Roman" w:cs="Times New Roman"/>
                <w:color w:val="000000"/>
                <w:spacing w:val="0"/>
                <w:w w:val="100"/>
                <w:position w:val="0"/>
              </w:rPr>
              <w:t xml:space="preserve"> </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未达到计划进度或预计收益的情况和原因</w:t>
            </w:r>
            <w:r>
              <w:rPr>
                <w:rFonts w:ascii="Times New Roman" w:eastAsia="Times New Roman" w:hAnsi="Times New Roman" w:cs="Times New Roman"/>
                <w:color w:val="000000"/>
                <w:spacing w:val="0"/>
                <w:w w:val="100"/>
                <w:position w:val="0"/>
              </w:rPr>
              <w:t>（</w:t>
            </w:r>
            <w:r>
              <w:rPr>
                <w:color w:val="000000"/>
                <w:spacing w:val="0"/>
                <w:w w:val="100"/>
                <w:position w:val="0"/>
              </w:rPr>
              <w:t>分 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新型节能家用电器环保配线组件工程技术研究开发中心</w:t>
            </w:r>
            <w:r>
              <w:rPr>
                <w:rFonts w:ascii="Times New Roman" w:eastAsia="Times New Roman" w:hAnsi="Times New Roman" w:cs="Times New Roman"/>
                <w:color w:val="000000"/>
                <w:spacing w:val="0"/>
                <w:w w:val="100"/>
                <w:position w:val="0"/>
              </w:rPr>
              <w:t>''</w:t>
            </w:r>
            <w:r>
              <w:rPr>
                <w:color w:val="000000"/>
                <w:spacing w:val="0"/>
                <w:w w:val="100"/>
                <w:position w:val="0"/>
              </w:rPr>
              <w:t>因设计反复论证修改导致实施进度较计划出现延 缓，截止报告日主体工程施工已完成，预计将于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日前投入使用。</w:t>
            </w:r>
            <w:r>
              <w:rPr>
                <w:rFonts w:ascii="Times New Roman" w:eastAsia="Times New Roman" w:hAnsi="Times New Roman" w:cs="Times New Roman"/>
                <w:color w:val="000000"/>
                <w:spacing w:val="0"/>
                <w:w w:val="100"/>
                <w:position w:val="0"/>
              </w:rPr>
              <w:t>“</w:t>
            </w:r>
            <w:r>
              <w:rPr>
                <w:color w:val="000000"/>
                <w:spacing w:val="0"/>
                <w:w w:val="100"/>
                <w:position w:val="0"/>
              </w:rPr>
              <w:t>新型节能家用电器环保配 线组件项目</w:t>
            </w:r>
            <w:r>
              <w:rPr>
                <w:rFonts w:ascii="Times New Roman" w:eastAsia="Times New Roman" w:hAnsi="Times New Roman" w:cs="Times New Roman"/>
                <w:color w:val="000000"/>
                <w:spacing w:val="0"/>
                <w:w w:val="100"/>
                <w:position w:val="0"/>
              </w:rPr>
              <w:t>''</w:t>
            </w:r>
            <w:r>
              <w:rPr>
                <w:color w:val="000000"/>
                <w:spacing w:val="0"/>
                <w:w w:val="100"/>
                <w:position w:val="0"/>
              </w:rPr>
              <w:t>一期工程已于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月投入使用并产生预期效益，二期工程基本完成主体结构建造</w:t>
            </w:r>
            <w:r>
              <w:rPr>
                <w:color w:val="000000"/>
                <w:spacing w:val="0"/>
                <w:w w:val="100"/>
                <w:position w:val="0"/>
              </w:rPr>
              <w:t>，</w:t>
            </w:r>
            <w:r>
              <w:rPr>
                <w:color w:val="000000"/>
                <w:spacing w:val="0"/>
                <w:w w:val="100"/>
                <w:position w:val="0"/>
              </w:rPr>
              <w:t xml:space="preserve">预计将于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日前投入使用。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年公司第一届董事会第八次会议审议通过了《关于使用超额募集资金归还银行贷款的议案》，同意公司 利用全部超额募集资金</w:t>
            </w:r>
            <w:r>
              <w:rPr>
                <w:rFonts w:ascii="Times New Roman" w:eastAsia="Times New Roman" w:hAnsi="Times New Roman" w:cs="Times New Roman"/>
                <w:color w:val="000000"/>
                <w:spacing w:val="0"/>
                <w:w w:val="100"/>
                <w:position w:val="0"/>
              </w:rPr>
              <w:t>9,166.75</w:t>
            </w:r>
            <w:r>
              <w:rPr>
                <w:color w:val="000000"/>
                <w:spacing w:val="0"/>
                <w:w w:val="100"/>
                <w:position w:val="0"/>
              </w:rPr>
              <w:t>万元人民币提前归还银行贷款，公司已于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日归还银行贷款 </w:t>
            </w:r>
            <w:r>
              <w:rPr>
                <w:rFonts w:ascii="Times New Roman" w:eastAsia="Times New Roman" w:hAnsi="Times New Roman" w:cs="Times New Roman"/>
                <w:color w:val="000000"/>
                <w:spacing w:val="0"/>
                <w:w w:val="100"/>
                <w:position w:val="0"/>
              </w:rPr>
              <w:t>9,166.75</w:t>
            </w:r>
            <w:r>
              <w:rPr>
                <w:color w:val="000000"/>
                <w:spacing w:val="0"/>
                <w:w w:val="100"/>
                <w:position w:val="0"/>
              </w:rPr>
              <w:t>万元人民币。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根据《深圳证券交易所中小企业板上市公司规范运作指引》等有关法律、法规和制度的规定，公司以募集资 金置换预先投入募集资金投资项目建设的自筹资金已在发行申请文件中披露且预先投入的金额确定，当在对 外公告后实施置换。报告期内，公司于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日在巨潮网</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及《中国证券报》、《证 券时报》刊登公司《关于使用募集资金置换预先投入募集资金投资项目自筹资金的公告》，涉及募集资金 </w:t>
            </w:r>
            <w:r>
              <w:rPr>
                <w:rFonts w:ascii="Times New Roman" w:eastAsia="Times New Roman" w:hAnsi="Times New Roman" w:cs="Times New Roman"/>
                <w:color w:val="000000"/>
                <w:spacing w:val="0"/>
                <w:w w:val="100"/>
                <w:position w:val="0"/>
              </w:rPr>
              <w:t xml:space="preserve">4,553.58 </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尚未使用的募集资金均存储于公司开立的募集资金专户。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募集资金使用及披露中存在的问题或其他情况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募集资金使用符合相关法律法规及公司制度规定，信息披露合规，不存在资金使用和信息披露不规范情形。</w:t>
            </w:r>
          </w:p>
        </w:tc>
      </w:tr>
    </w:tbl>
    <w:p>
      <w:pPr>
        <w:pStyle w:val="Style38"/>
        <w:keepNext w:val="0"/>
        <w:keepLines w:val="0"/>
        <w:widowControl w:val="0"/>
        <w:shd w:val="clear" w:color="auto" w:fill="auto"/>
        <w:tabs>
          <w:tab w:pos="11928" w:val="left"/>
        </w:tabs>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募集资金变更项目情况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4</w:t>
      </w:r>
      <w:bookmarkEnd w:id="132"/>
      <w:r>
        <w:rPr>
          <w:color w:val="000000"/>
          <w:spacing w:val="0"/>
          <w:w w:val="100"/>
          <w:position w:val="0"/>
        </w:rPr>
        <w:t>、主要子公司、参股公司分析</w:t>
      </w:r>
      <w:bookmarkEnd w:id="130"/>
      <w:bookmarkEnd w:id="131"/>
      <w:bookmarkEnd w:id="133"/>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主要子公司、参股公司情况</w:t>
      </w:r>
    </w:p>
    <w:p>
      <w:pPr>
        <w:pStyle w:val="Style35"/>
        <w:keepNext w:val="0"/>
        <w:keepLines w:val="0"/>
        <w:widowControl w:val="0"/>
        <w:shd w:val="clear" w:color="auto" w:fill="auto"/>
        <w:bidi w:val="0"/>
        <w:spacing w:before="0" w:after="360" w:line="240" w:lineRule="auto"/>
        <w:ind w:left="0" w:right="340" w:firstLine="0"/>
        <w:jc w:val="right"/>
        <w:sectPr>
          <w:headerReference w:type="default" r:id="rId31"/>
          <w:footerReference w:type="default" r:id="rId32"/>
          <w:headerReference w:type="even" r:id="rId33"/>
          <w:footerReference w:type="even" r:id="rId34"/>
          <w:footnotePr>
            <w:pos w:val="pageBottom"/>
            <w:numFmt w:val="decimal"/>
            <w:numRestart w:val="continuous"/>
          </w:footnotePr>
          <w:pgSz w:w="16840" w:h="11900" w:orient="landscape"/>
          <w:pgMar w:top="1094" w:right="1171" w:bottom="1207" w:left="1417" w:header="0" w:footer="3" w:gutter="0"/>
          <w:cols w:space="720"/>
          <w:noEndnote/>
          <w:rtlGutter w:val="0"/>
          <w:docGrid w:linePitch="360"/>
        </w:sectPr>
      </w:pPr>
      <w:r>
        <w:rPr>
          <w:color w:val="292929"/>
          <w:spacing w:val="0"/>
          <w:w w:val="100"/>
          <w:position w:val="0"/>
        </w:rPr>
        <w:t>单位：</w:t>
      </w:r>
      <w:r>
        <w:rPr>
          <w:color w:val="5B5B5B"/>
          <w:spacing w:val="0"/>
          <w:w w:val="100"/>
          <w:position w:val="0"/>
        </w:rPr>
        <w:t>元</w:t>
      </w:r>
    </w:p>
    <w:tbl>
      <w:tblPr>
        <w:tblOverlap w:val="never"/>
        <w:jc w:val="left"/>
        <w:tblLayout w:type="fixed"/>
      </w:tblPr>
      <w:tblGrid>
        <w:gridCol w:w="955"/>
        <w:gridCol w:w="1032"/>
        <w:gridCol w:w="984"/>
        <w:gridCol w:w="2616"/>
        <w:gridCol w:w="1080"/>
        <w:gridCol w:w="1622"/>
        <w:gridCol w:w="1618"/>
        <w:gridCol w:w="1440"/>
        <w:gridCol w:w="1440"/>
        <w:gridCol w:w="1450"/>
      </w:tblGrid>
      <w:tr>
        <w:trPr>
          <w:trHeight w:val="403" w:hRule="exact"/>
        </w:trPr>
        <w:tc>
          <w:tcPr>
            <w:tcBorders>
              <w:top w:val="single" w:sz="4"/>
              <w:left w:val="single" w:sz="4"/>
            </w:tcBorders>
            <w:shd w:val="clear" w:color="auto" w:fill="D3D3D3"/>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center"/>
            </w:pPr>
            <w:r>
              <w:rPr>
                <w:color w:val="000000"/>
                <w:spacing w:val="0"/>
                <w:w w:val="100"/>
                <w:position w:val="0"/>
              </w:rPr>
              <w:t>主要产品或服务</w:t>
            </w:r>
          </w:p>
        </w:tc>
        <w:tc>
          <w:tcPr>
            <w:tcBorders>
              <w:top w:val="single" w:sz="4"/>
              <w:left w:val="single" w:sz="4"/>
            </w:tcBorders>
            <w:shd w:val="clear" w:color="auto" w:fill="D3D3D3"/>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left"/>
            </w:pPr>
            <w:r>
              <w:rPr>
                <w:color w:val="000000"/>
                <w:spacing w:val="0"/>
                <w:w w:val="100"/>
                <w:position w:val="0"/>
              </w:rPr>
              <w:t>扬州华声</w:t>
            </w:r>
          </w:p>
        </w:tc>
        <w:tc>
          <w:tcPr>
            <w:tcBorders>
              <w:top w:val="single" w:sz="4"/>
              <w:left w:val="single" w:sz="4"/>
              <w:bottom w:val="single" w:sz="4"/>
            </w:tcBorders>
            <w:shd w:val="clear" w:color="auto" w:fill="FFFFFF"/>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312" w:lineRule="exact"/>
              <w:ind w:left="0" w:right="0" w:firstLine="0"/>
              <w:jc w:val="left"/>
            </w:pPr>
            <w:r>
              <w:rPr>
                <w:color w:val="000000"/>
                <w:spacing w:val="0"/>
                <w:w w:val="100"/>
                <w:position w:val="0"/>
              </w:rPr>
              <w:t>家用电器 配件制造</w:t>
            </w:r>
          </w:p>
        </w:tc>
        <w:tc>
          <w:tcPr>
            <w:tcBorders>
              <w:top w:val="single" w:sz="4"/>
              <w:left w:val="single" w:sz="4"/>
              <w:bottom w:val="single" w:sz="4"/>
            </w:tcBorders>
            <w:shd w:val="clear" w:color="auto" w:fill="FFFFFF"/>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314" w:lineRule="exact"/>
              <w:ind w:left="0" w:right="0" w:firstLine="0"/>
              <w:jc w:val="left"/>
            </w:pPr>
            <w:r>
              <w:rPr>
                <w:color w:val="000000"/>
                <w:spacing w:val="0"/>
                <w:w w:val="100"/>
                <w:position w:val="0"/>
              </w:rPr>
              <w:t>生产</w:t>
            </w:r>
            <w:r>
              <w:rPr>
                <w:color w:val="000000"/>
                <w:spacing w:val="0"/>
                <w:w w:val="100"/>
                <w:position w:val="0"/>
              </w:rPr>
              <w:t>，</w:t>
            </w:r>
            <w:r>
              <w:rPr>
                <w:color w:val="000000"/>
                <w:spacing w:val="0"/>
                <w:w w:val="100"/>
                <w:position w:val="0"/>
              </w:rPr>
              <w:t>加工连接线</w:t>
            </w:r>
            <w:r>
              <w:rPr>
                <w:color w:val="000000"/>
                <w:spacing w:val="0"/>
                <w:w w:val="100"/>
                <w:position w:val="0"/>
              </w:rPr>
              <w:t>，</w:t>
            </w:r>
            <w:r>
              <w:rPr>
                <w:color w:val="000000"/>
                <w:spacing w:val="0"/>
                <w:w w:val="100"/>
                <w:position w:val="0"/>
              </w:rPr>
              <w:t>连接器</w:t>
            </w:r>
            <w:r>
              <w:rPr>
                <w:color w:val="000000"/>
                <w:spacing w:val="0"/>
                <w:w w:val="100"/>
                <w:position w:val="0"/>
              </w:rPr>
              <w:t>，</w:t>
            </w:r>
            <w:r>
              <w:rPr>
                <w:color w:val="000000"/>
                <w:spacing w:val="0"/>
                <w:w w:val="100"/>
                <w:position w:val="0"/>
              </w:rPr>
              <w:t>电 源线及插头</w:t>
            </w:r>
            <w:r>
              <w:rPr>
                <w:color w:val="000000"/>
                <w:spacing w:val="0"/>
                <w:w w:val="100"/>
                <w:position w:val="0"/>
              </w:rPr>
              <w:t>，</w:t>
            </w:r>
            <w:r>
              <w:rPr>
                <w:color w:val="000000"/>
                <w:spacing w:val="0"/>
                <w:w w:val="100"/>
                <w:position w:val="0"/>
              </w:rPr>
              <w:t>铜杆</w:t>
            </w:r>
            <w:r>
              <w:rPr>
                <w:color w:val="000000"/>
                <w:spacing w:val="0"/>
                <w:w w:val="100"/>
                <w:position w:val="0"/>
              </w:rPr>
              <w:t>，</w:t>
            </w:r>
            <w:r>
              <w:rPr>
                <w:color w:val="000000"/>
                <w:spacing w:val="0"/>
                <w:w w:val="100"/>
                <w:position w:val="0"/>
              </w:rPr>
              <w:t>并销售本 公司自产产品</w:t>
            </w:r>
          </w:p>
        </w:tc>
        <w:tc>
          <w:tcPr>
            <w:tcBorders>
              <w:top w:val="single" w:sz="4"/>
              <w:left w:val="single" w:sz="4"/>
              <w:bottom w:val="single" w:sz="4"/>
            </w:tcBorders>
            <w:shd w:val="clear" w:color="auto" w:fill="FFFFFF"/>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253,052,098.74</w:t>
            </w:r>
          </w:p>
        </w:tc>
        <w:tc>
          <w:tcPr>
            <w:tcBorders>
              <w:top w:val="single" w:sz="4"/>
              <w:left w:val="single" w:sz="4"/>
              <w:bottom w:val="single" w:sz="4"/>
            </w:tcBorders>
            <w:shd w:val="clear" w:color="auto" w:fill="FFFFFF"/>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165,663,866.78</w:t>
            </w:r>
          </w:p>
        </w:tc>
        <w:tc>
          <w:tcPr>
            <w:tcBorders>
              <w:top w:val="single" w:sz="4"/>
              <w:left w:val="single" w:sz="4"/>
              <w:bottom w:val="single" w:sz="4"/>
            </w:tcBorders>
            <w:shd w:val="clear" w:color="auto" w:fill="FFFFFF"/>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615,949,682.66</w:t>
            </w:r>
          </w:p>
        </w:tc>
        <w:tc>
          <w:tcPr>
            <w:tcBorders>
              <w:top w:val="single" w:sz="4"/>
              <w:left w:val="single" w:sz="4"/>
              <w:bottom w:val="single" w:sz="4"/>
            </w:tcBorders>
            <w:shd w:val="clear" w:color="auto" w:fill="FFFFFF"/>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37,674,158.55</w:t>
            </w:r>
          </w:p>
        </w:tc>
        <w:tc>
          <w:tcPr>
            <w:tcBorders>
              <w:top w:val="single" w:sz="4"/>
              <w:left w:val="single" w:sz="4"/>
              <w:bottom w:val="single" w:sz="4"/>
              <w:right w:val="single" w:sz="4"/>
            </w:tcBorders>
            <w:shd w:val="clear" w:color="auto" w:fill="FFFFFF"/>
            <w:vAlign w:val="center"/>
          </w:tcPr>
          <w:p>
            <w:pPr>
              <w:pStyle w:val="Style2"/>
              <w:keepNext w:val="0"/>
              <w:keepLines w:val="0"/>
              <w:framePr w:w="14237" w:h="1440" w:hSpace="10" w:vSpace="346" w:wrap="notBeside" w:vAnchor="text" w:hAnchor="text" w:x="13"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33,551,020.76</w:t>
            </w:r>
          </w:p>
        </w:tc>
      </w:tr>
    </w:tbl>
    <w:p>
      <w:pPr>
        <w:pStyle w:val="Style38"/>
        <w:keepNext w:val="0"/>
        <w:keepLines w:val="0"/>
        <w:framePr w:w="3192" w:h="269" w:hSpace="2" w:wrap="notBeside" w:vAnchor="text" w:hAnchor="text" w:x="3" w:y="1508"/>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38"/>
        <w:keepNext w:val="0"/>
        <w:keepLines w:val="0"/>
        <w:framePr w:w="1642" w:h="298" w:hSpace="2" w:wrap="notBeside" w:vAnchor="text" w:hAnchor="text" w:x="12085" w:y="148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line="1" w:lineRule="exact"/>
      </w:pPr>
    </w:p>
    <w:p>
      <w:pPr>
        <w:pStyle w:val="Style35"/>
        <w:keepNext w:val="0"/>
        <w:keepLines w:val="0"/>
        <w:widowControl w:val="0"/>
        <w:shd w:val="clear" w:color="auto" w:fill="auto"/>
        <w:bidi w:val="0"/>
        <w:spacing w:before="0" w:after="360" w:line="240" w:lineRule="auto"/>
        <w:ind w:left="0" w:right="0" w:firstLine="0"/>
        <w:jc w:val="left"/>
      </w:pPr>
      <w:r>
        <mc:AlternateContent>
          <mc:Choice Requires="wps">
            <w:drawing>
              <wp:anchor distT="0" distB="396240" distL="114300" distR="144780" simplePos="0" relativeHeight="125829378" behindDoc="0" locked="0" layoutInCell="1" allowOverlap="1">
                <wp:simplePos x="0" y="0"/>
                <wp:positionH relativeFrom="page">
                  <wp:posOffset>8602345</wp:posOffset>
                </wp:positionH>
                <wp:positionV relativeFrom="paragraph">
                  <wp:posOffset>12700</wp:posOffset>
                </wp:positionV>
                <wp:extent cx="1045210" cy="189230"/>
                <wp:wrapSquare wrapText="left"/>
                <wp:docPr id="80" name="Shape 80"/>
                <a:graphic xmlns:a="http://schemas.openxmlformats.org/drawingml/2006/main">
                  <a:graphicData uri="http://schemas.microsoft.com/office/word/2010/wordprocessingShape">
                    <wps:wsp>
                      <wps:cNvSpPr txBox="1"/>
                      <wps:spPr>
                        <a:xfrm>
                          <a:ext cx="1045210" cy="1892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106" type="#_x0000_t202" style="position:absolute;margin-left:677.35000000000002pt;margin-top:1.pt;width:82.299999999999997pt;height:14.9pt;z-index:-125829375;mso-wrap-distance-left:9.pt;mso-wrap-distance-right:11.4pt;mso-wrap-distance-bottom:31.199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v:textbox>
                <w10:wrap type="square" side="left" anchorx="page"/>
              </v:shape>
            </w:pict>
          </mc:Fallback>
        </mc:AlternateContent>
      </w:r>
      <w:r>
        <mc:AlternateContent>
          <mc:Choice Requires="wps">
            <w:drawing>
              <wp:anchor distT="396240" distB="0" distL="144780" distR="114300" simplePos="0" relativeHeight="125829380" behindDoc="0" locked="0" layoutInCell="1" allowOverlap="1">
                <wp:simplePos x="0" y="0"/>
                <wp:positionH relativeFrom="page">
                  <wp:posOffset>8632825</wp:posOffset>
                </wp:positionH>
                <wp:positionV relativeFrom="paragraph">
                  <wp:posOffset>408940</wp:posOffset>
                </wp:positionV>
                <wp:extent cx="1045210" cy="189230"/>
                <wp:wrapSquare wrapText="left"/>
                <wp:docPr id="82" name="Shape 82"/>
                <a:graphic xmlns:a="http://schemas.openxmlformats.org/drawingml/2006/main">
                  <a:graphicData uri="http://schemas.microsoft.com/office/word/2010/wordprocessingShape">
                    <wps:wsp>
                      <wps:cNvSpPr txBox="1"/>
                      <wps:spPr>
                        <a:xfrm>
                          <a:ext cx="1045210" cy="1892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108" type="#_x0000_t202" style="position:absolute;margin-left:679.75pt;margin-top:32.200000000000003pt;width:82.299999999999997pt;height:14.9pt;z-index:-125829373;mso-wrap-distance-left:11.4pt;mso-wrap-distance-top:31.199999999999999pt;mso-wrap-distance-right: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v:textbox>
                <w10:wrap type="square" side="left" anchorx="page"/>
              </v:shape>
            </w:pict>
          </mc:Fallback>
        </mc:AlternateContent>
      </w:r>
      <w:bookmarkStart w:id="134" w:name="bookmark134"/>
      <w:r>
        <w:rPr>
          <w:rFonts w:ascii="Times New Roman" w:eastAsia="Times New Roman" w:hAnsi="Times New Roman" w:cs="Times New Roman"/>
          <w:b/>
          <w:bCs/>
          <w:color w:val="000000"/>
          <w:spacing w:val="0"/>
          <w:w w:val="100"/>
          <w:position w:val="0"/>
        </w:rPr>
        <w:t>5</w:t>
      </w:r>
      <w:bookmarkEnd w:id="134"/>
      <w:r>
        <w:rPr>
          <w:b/>
          <w:bCs/>
          <w:color w:val="000000"/>
          <w:spacing w:val="0"/>
          <w:w w:val="100"/>
          <w:position w:val="0"/>
        </w:rPr>
        <w:t>、非募集资金投资的重大项目情况</w:t>
      </w:r>
    </w:p>
    <w:p>
      <w:pPr>
        <w:pStyle w:val="Style30"/>
        <w:keepNext/>
        <w:keepLines/>
        <w:widowControl w:val="0"/>
        <w:shd w:val="clear" w:color="auto" w:fill="auto"/>
        <w:bidi w:val="0"/>
        <w:spacing w:before="0" w:after="0" w:line="240" w:lineRule="auto"/>
        <w:ind w:left="0" w:right="0" w:firstLine="0"/>
        <w:jc w:val="left"/>
        <w:sectPr>
          <w:headerReference w:type="default" r:id="rId35"/>
          <w:footerReference w:type="default" r:id="rId36"/>
          <w:headerReference w:type="even" r:id="rId37"/>
          <w:footerReference w:type="even" r:id="rId38"/>
          <w:footnotePr>
            <w:pos w:val="pageBottom"/>
            <w:numFmt w:val="decimal"/>
            <w:numRestart w:val="continuous"/>
          </w:footnotePr>
          <w:pgSz w:w="16840" w:h="11900" w:orient="landscape"/>
          <w:pgMar w:top="1094" w:right="1171" w:bottom="1207" w:left="1417" w:header="0" w:footer="779" w:gutter="0"/>
          <w:cols w:space="720"/>
          <w:noEndnote/>
          <w:rtlGutter w:val="0"/>
          <w:docGrid w:linePitch="360"/>
        </w:sectPr>
      </w:pPr>
      <w:bookmarkStart w:id="135" w:name="bookmark135"/>
      <w:bookmarkStart w:id="136" w:name="bookmark136"/>
      <w:bookmarkStart w:id="137" w:name="bookmark137"/>
      <w:bookmarkStart w:id="138" w:name="bookmark138"/>
      <w:r>
        <w:rPr>
          <w:color w:val="000000"/>
          <w:spacing w:val="0"/>
          <w:w w:val="100"/>
          <w:position w:val="0"/>
          <w:sz w:val="24"/>
          <w:szCs w:val="24"/>
        </w:rPr>
        <w:t>七</w:t>
      </w:r>
      <w:bookmarkEnd w:id="137"/>
      <w:r>
        <w:rPr>
          <w:color w:val="000000"/>
          <w:spacing w:val="0"/>
          <w:w w:val="100"/>
          <w:position w:val="0"/>
          <w:sz w:val="24"/>
          <w:szCs w:val="24"/>
        </w:rPr>
        <w:t>、公司控制的特殊目的主体情况</w:t>
      </w:r>
      <w:bookmarkEnd w:id="135"/>
      <w:bookmarkEnd w:id="136"/>
      <w:bookmarkEnd w:id="138"/>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2" w:right="0" w:bottom="0" w:left="0" w:header="0" w:footer="3" w:gutter="0"/>
          <w:cols w:space="720"/>
          <w:noEndnote/>
          <w:rtlGutter w:val="0"/>
          <w:docGrid w:linePitch="360"/>
        </w:sectPr>
      </w:pPr>
    </w:p>
    <w:p>
      <w:pPr>
        <w:widowControl w:val="0"/>
        <w:spacing w:after="335" w:line="1" w:lineRule="exact"/>
      </w:pPr>
      <w:r>
        <w:drawing>
          <wp:anchor distT="0" distB="0" distL="0" distR="0" simplePos="0" relativeHeight="62914760" behindDoc="1" locked="0" layoutInCell="1" allowOverlap="1">
            <wp:simplePos x="0" y="0"/>
            <wp:positionH relativeFrom="page">
              <wp:posOffset>8976995</wp:posOffset>
            </wp:positionH>
            <wp:positionV relativeFrom="paragraph">
              <wp:posOffset>12700</wp:posOffset>
            </wp:positionV>
            <wp:extent cx="1718945" cy="981710"/>
            <wp:wrapNone/>
            <wp:docPr id="88" name="Shape 88"/>
            <a:graphic xmlns:a="http://schemas.openxmlformats.org/drawingml/2006/main">
              <a:graphicData uri="http://schemas.openxmlformats.org/drawingml/2006/picture">
                <pic:pic xmlns:pic="http://schemas.openxmlformats.org/drawingml/2006/picture">
                  <pic:nvPicPr>
                    <pic:cNvPr id="89" name="Picture box 89"/>
                    <pic:cNvPicPr/>
                  </pic:nvPicPr>
                  <pic:blipFill>
                    <a:blip r:embed="rId39"/>
                    <a:stretch/>
                  </pic:blipFill>
                  <pic:spPr>
                    <a:xfrm>
                      <a:ext cx="1718945" cy="981710"/>
                    </a:xfrm>
                    <a:prstGeom prst="rect"/>
                  </pic:spPr>
                </pic:pic>
              </a:graphicData>
            </a:graphic>
          </wp:anchor>
        </w:drawing>
      </w:r>
    </w:p>
    <w:p>
      <w:pPr>
        <w:widowControl w:val="0"/>
        <w:spacing w:line="1" w:lineRule="exact"/>
        <w:sectPr>
          <w:footnotePr>
            <w:pos w:val="pageBottom"/>
            <w:numFmt w:val="decimal"/>
            <w:numRestart w:val="continuous"/>
          </w:footnotePr>
          <w:type w:val="continuous"/>
          <w:pgSz w:w="16840" w:h="11900" w:orient="landscape"/>
          <w:pgMar w:top="1142" w:right="1" w:bottom="0" w:left="1417" w:header="0" w:footer="3" w:gutter="0"/>
          <w:cols w:space="720"/>
          <w:noEndnote/>
          <w:rtlGutter w:val="0"/>
          <w:docGrid w:linePitch="360"/>
        </w:sectPr>
      </w:pPr>
    </w:p>
    <w:p>
      <w:pPr>
        <w:pStyle w:val="Style30"/>
        <w:keepNext/>
        <w:keepLines/>
        <w:widowControl w:val="0"/>
        <w:shd w:val="clear" w:color="auto" w:fill="auto"/>
        <w:bidi w:val="0"/>
        <w:spacing w:before="0" w:after="32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sz w:val="24"/>
          <w:szCs w:val="24"/>
        </w:rPr>
        <w:t>八</w:t>
      </w:r>
      <w:bookmarkEnd w:id="143"/>
      <w:r>
        <w:rPr>
          <w:color w:val="000000"/>
          <w:spacing w:val="0"/>
          <w:w w:val="100"/>
          <w:position w:val="0"/>
          <w:sz w:val="24"/>
          <w:szCs w:val="24"/>
        </w:rPr>
        <w:t>、公司未来发展的展望</w:t>
      </w:r>
      <w:bookmarkEnd w:id="141"/>
      <w:bookmarkEnd w:id="142"/>
      <w:bookmarkEnd w:id="144"/>
    </w:p>
    <w:p>
      <w:pPr>
        <w:pStyle w:val="Style35"/>
        <w:keepNext w:val="0"/>
        <w:keepLines w:val="0"/>
        <w:widowControl w:val="0"/>
        <w:shd w:val="clear" w:color="auto" w:fill="auto"/>
        <w:bidi w:val="0"/>
        <w:spacing w:before="0" w:after="0" w:line="378" w:lineRule="exact"/>
        <w:ind w:left="0" w:right="0" w:firstLine="440"/>
        <w:jc w:val="both"/>
      </w:pPr>
      <w:r>
        <w:rPr>
          <w:color w:val="000000"/>
          <w:spacing w:val="0"/>
          <w:w w:val="100"/>
          <w:position w:val="0"/>
        </w:rPr>
        <w:t>伴随中国经济发展动力逐步转向由内需驱动，新型城镇化建设等激活内需、消费潜力逐步释放，家电 行业仍将保持持续稳定的发展，家电配线组件行业也将迎来诸多机遇与挑战。在家电行业市场集中度持续 提升的趋势下，拥有产品质量、性价比、供货速度等方面优势，并与下游家电品牌客户保持了良好合作关 系的家电零部件制造企业，将进一步获得优势地位，逐步扩大市场份额，进而导致家电配线组件行业集中 度不断提升，并推动行业进一步走向规范竞争、良性发展。公司将继续秉承“以人为本，诚信经营，做全 球家电企业的优质供应商”的经营理念，抢抓机遇、面迎挑战，以市场需求和行业趋势为导向，坚持自主 创新，改善工艺流程，优化产品结构，提升产品性能，提高管理水平，增强核心竞争力，保持并巩固公司 的行业地位。根据发展规划，</w:t>
      </w:r>
      <w:r>
        <w:rPr>
          <w:rFonts w:ascii="Times New Roman" w:eastAsia="Times New Roman" w:hAnsi="Times New Roman" w:cs="Times New Roman"/>
          <w:color w:val="000000"/>
          <w:spacing w:val="0"/>
          <w:w w:val="100"/>
          <w:position w:val="0"/>
        </w:rPr>
        <w:t>2014</w:t>
      </w:r>
      <w:r>
        <w:rPr>
          <w:color w:val="000000"/>
          <w:spacing w:val="0"/>
          <w:w w:val="100"/>
          <w:position w:val="0"/>
        </w:rPr>
        <w:t>年度经营重点如下：</w:t>
      </w:r>
    </w:p>
    <w:p>
      <w:pPr>
        <w:pStyle w:val="Style35"/>
        <w:keepNext w:val="0"/>
        <w:keepLines w:val="0"/>
        <w:widowControl w:val="0"/>
        <w:shd w:val="clear" w:color="auto" w:fill="auto"/>
        <w:bidi w:val="0"/>
        <w:spacing w:before="0" w:after="0" w:line="378" w:lineRule="exact"/>
        <w:ind w:left="0" w:right="0" w:firstLine="440"/>
        <w:jc w:val="both"/>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rPr>
        <w:t>1</w:t>
      </w:r>
      <w:r>
        <w:rPr>
          <w:color w:val="000000"/>
          <w:spacing w:val="0"/>
          <w:w w:val="100"/>
          <w:position w:val="0"/>
        </w:rPr>
        <w:t>） 积极实施募投项目，提升综合竞争力</w:t>
      </w:r>
    </w:p>
    <w:p>
      <w:pPr>
        <w:pStyle w:val="Style35"/>
        <w:keepNext w:val="0"/>
        <w:keepLines w:val="0"/>
        <w:widowControl w:val="0"/>
        <w:shd w:val="clear" w:color="auto" w:fill="auto"/>
        <w:bidi w:val="0"/>
        <w:spacing w:before="0" w:after="0" w:line="382" w:lineRule="exact"/>
        <w:ind w:left="0" w:right="0" w:firstLine="440"/>
        <w:jc w:val="both"/>
      </w:pPr>
      <w:r>
        <w:rPr>
          <w:color w:val="000000"/>
          <w:spacing w:val="0"/>
          <w:w w:val="100"/>
          <w:position w:val="0"/>
        </w:rPr>
        <w:t>公司将积极推进“新型节能家用电器环保配线组件项目”二期工程及“环保配线组件工程技术研究开 发中心项目”的建设工作。募投项目的实施将进一步提高公司的研发创新和成果转化能力，优化公司产品 结构，提升产能，为公司持续稳步发展打好坚实基础。</w:t>
      </w:r>
    </w:p>
    <w:p>
      <w:pPr>
        <w:pStyle w:val="Style35"/>
        <w:keepNext w:val="0"/>
        <w:keepLines w:val="0"/>
        <w:widowControl w:val="0"/>
        <w:shd w:val="clear" w:color="auto" w:fill="auto"/>
        <w:tabs>
          <w:tab w:pos="928" w:val="left"/>
        </w:tabs>
        <w:bidi w:val="0"/>
        <w:spacing w:before="0" w:after="0" w:line="378" w:lineRule="exact"/>
        <w:ind w:left="0" w:right="0" w:firstLine="440"/>
        <w:jc w:val="both"/>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rPr>
        <w:t>2</w:t>
      </w:r>
      <w:r>
        <w:rPr>
          <w:color w:val="000000"/>
          <w:spacing w:val="0"/>
          <w:w w:val="100"/>
          <w:position w:val="0"/>
        </w:rPr>
        <w:t>）</w:t>
        <w:tab/>
        <w:t>进一步加大市场开拓力度，巩固公司行业地位</w:t>
      </w:r>
    </w:p>
    <w:p>
      <w:pPr>
        <w:pStyle w:val="Style35"/>
        <w:keepNext w:val="0"/>
        <w:keepLines w:val="0"/>
        <w:widowControl w:val="0"/>
        <w:shd w:val="clear" w:color="auto" w:fill="auto"/>
        <w:bidi w:val="0"/>
        <w:spacing w:before="0" w:after="0" w:line="380" w:lineRule="exact"/>
        <w:ind w:left="0" w:right="0" w:firstLine="440"/>
        <w:jc w:val="both"/>
      </w:pPr>
      <w:r>
        <w:rPr>
          <w:color w:val="000000"/>
          <w:spacing w:val="0"/>
          <w:w w:val="100"/>
          <w:position w:val="0"/>
        </w:rPr>
        <w:t>随着“新型节能家用电器环保配线组件项目”二期工程投产，公司产能将进一步提升。公司将进一步 加大市场开拓力度，充分利用募投项目实施所带来的产能与研发能力提升的契机，不断提升销售服务水平, 提高生产管理能力，巩固与重点客户合作，加大对新客户订单支持与服务力度；同时加强产品研发，扩大 技术范围，开拓智能家电配线组件等新型产品市场，提升公司总体市场占有率。此外，公司还将充分发挥 国际安全认证齐全的优势，持续开拓国际市场，提升外销规模，增加国际市场份额。</w:t>
      </w:r>
    </w:p>
    <w:p>
      <w:pPr>
        <w:pStyle w:val="Style35"/>
        <w:keepNext w:val="0"/>
        <w:keepLines w:val="0"/>
        <w:widowControl w:val="0"/>
        <w:shd w:val="clear" w:color="auto" w:fill="auto"/>
        <w:bidi w:val="0"/>
        <w:spacing w:before="0" w:after="0" w:line="378" w:lineRule="exact"/>
        <w:ind w:left="0" w:right="0" w:firstLine="440"/>
        <w:jc w:val="both"/>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rPr>
        <w:t>3</w:t>
      </w:r>
      <w:r>
        <w:rPr>
          <w:color w:val="000000"/>
          <w:spacing w:val="0"/>
          <w:w w:val="100"/>
          <w:position w:val="0"/>
        </w:rPr>
        <w:t>） 加强质量管理与成本控制，进一步优化业务管理流程，提升整体盈利能力</w:t>
      </w:r>
    </w:p>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公司将持续推行精益生产管理，狠抓产品质量与生产成本，不断提升产品质量问题与制造成本的分析管控 能力，积极改进工艺流程，提高产品质量与材料利用率，提升整体盈利能力。</w:t>
      </w:r>
    </w:p>
    <w:p>
      <w:pPr>
        <w:pStyle w:val="Style35"/>
        <w:keepNext w:val="0"/>
        <w:keepLines w:val="0"/>
        <w:widowControl w:val="0"/>
        <w:shd w:val="clear" w:color="auto" w:fill="auto"/>
        <w:bidi w:val="0"/>
        <w:spacing w:before="0" w:after="420" w:line="307" w:lineRule="exact"/>
        <w:ind w:left="0" w:right="0" w:firstLine="540"/>
        <w:jc w:val="left"/>
      </w:pPr>
      <w:r>
        <w:rPr>
          <w:color w:val="000000"/>
          <w:spacing w:val="0"/>
          <w:w w:val="100"/>
          <w:position w:val="0"/>
        </w:rPr>
        <w:t>上述经营计划不构成公司对投资者的实质承诺，敬请注意投资风险。</w:t>
      </w:r>
    </w:p>
    <w:p>
      <w:pPr>
        <w:pStyle w:val="Style35"/>
        <w:keepNext w:val="0"/>
        <w:keepLines w:val="0"/>
        <w:widowControl w:val="0"/>
        <w:shd w:val="clear" w:color="auto" w:fill="auto"/>
        <w:bidi w:val="0"/>
        <w:spacing w:before="0" w:after="320" w:line="240" w:lineRule="auto"/>
        <w:ind w:left="0" w:right="0" w:firstLine="540"/>
        <w:jc w:val="left"/>
      </w:pPr>
      <w:r>
        <w:rPr>
          <w:b/>
          <w:bCs/>
          <w:color w:val="000000"/>
          <w:spacing w:val="0"/>
          <w:w w:val="100"/>
          <w:position w:val="0"/>
        </w:rPr>
        <w:t>公司未来发展面临的主要风险详见</w:t>
      </w:r>
      <w:r>
        <w:rPr>
          <w:rFonts w:ascii="Times New Roman" w:eastAsia="Times New Roman" w:hAnsi="Times New Roman" w:cs="Times New Roman"/>
          <w:b/>
          <w:bCs/>
          <w:color w:val="000000"/>
          <w:spacing w:val="0"/>
          <w:w w:val="100"/>
          <w:position w:val="0"/>
        </w:rPr>
        <w:t>“</w:t>
      </w:r>
      <w:r>
        <w:rPr>
          <w:b/>
          <w:bCs/>
          <w:color w:val="000000"/>
          <w:spacing w:val="0"/>
          <w:w w:val="100"/>
          <w:position w:val="0"/>
        </w:rPr>
        <w:t>第一节重要提示、目录和释义</w:t>
      </w:r>
      <w:r>
        <w:rPr>
          <w:rFonts w:ascii="Times New Roman" w:eastAsia="Times New Roman" w:hAnsi="Times New Roman" w:cs="Times New Roman"/>
          <w:b/>
          <w:bCs/>
          <w:color w:val="000000"/>
          <w:spacing w:val="0"/>
          <w:w w:val="100"/>
          <w:position w:val="0"/>
        </w:rPr>
        <w:t>”</w:t>
      </w:r>
      <w:r>
        <w:rPr>
          <w:b/>
          <w:bCs/>
          <w:color w:val="000000"/>
          <w:spacing w:val="0"/>
          <w:w w:val="100"/>
          <w:position w:val="0"/>
        </w:rPr>
        <w:t>之</w:t>
      </w:r>
      <w:r>
        <w:rPr>
          <w:rFonts w:ascii="Times New Roman" w:eastAsia="Times New Roman" w:hAnsi="Times New Roman" w:cs="Times New Roman"/>
          <w:b/>
          <w:bCs/>
          <w:color w:val="000000"/>
          <w:spacing w:val="0"/>
          <w:w w:val="100"/>
          <w:position w:val="0"/>
        </w:rPr>
        <w:t>“</w:t>
      </w:r>
      <w:r>
        <w:rPr>
          <w:b/>
          <w:bCs/>
          <w:color w:val="000000"/>
          <w:spacing w:val="0"/>
          <w:w w:val="100"/>
          <w:position w:val="0"/>
        </w:rPr>
        <w:t>重大风险提示气</w:t>
      </w:r>
    </w:p>
    <w:p>
      <w:pPr>
        <w:pStyle w:val="Style30"/>
        <w:keepNext/>
        <w:keepLines/>
        <w:widowControl w:val="0"/>
        <w:shd w:val="clear" w:color="auto" w:fill="auto"/>
        <w:bidi w:val="0"/>
        <w:spacing w:before="0" w:after="320" w:line="240" w:lineRule="auto"/>
        <w:ind w:left="0" w:right="0" w:firstLine="0"/>
        <w:jc w:val="left"/>
        <w:rPr>
          <w:sz w:val="20"/>
          <w:szCs w:val="20"/>
        </w:rPr>
      </w:pPr>
      <w:bookmarkStart w:id="148" w:name="bookmark148"/>
      <w:bookmarkStart w:id="149" w:name="bookmark149"/>
      <w:bookmarkStart w:id="150" w:name="bookmark150"/>
      <w:bookmarkStart w:id="151" w:name="bookmark151"/>
      <w:r>
        <w:rPr>
          <w:color w:val="000000"/>
          <w:spacing w:val="0"/>
          <w:w w:val="100"/>
          <w:position w:val="0"/>
          <w:sz w:val="24"/>
          <w:szCs w:val="24"/>
        </w:rPr>
        <w:t>九</w:t>
      </w:r>
      <w:bookmarkEnd w:id="150"/>
      <w:r>
        <w:rPr>
          <w:color w:val="000000"/>
          <w:spacing w:val="0"/>
          <w:w w:val="100"/>
          <w:position w:val="0"/>
          <w:sz w:val="24"/>
          <w:szCs w:val="24"/>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r>
        <w:rPr>
          <w:b w:val="0"/>
          <w:bCs w:val="0"/>
          <w:color w:val="000000"/>
          <w:spacing w:val="0"/>
          <w:w w:val="100"/>
          <w:position w:val="0"/>
          <w:sz w:val="20"/>
          <w:szCs w:val="20"/>
        </w:rPr>
        <w:t>口</w:t>
      </w:r>
      <w:r>
        <w:rPr>
          <w:b w:val="0"/>
          <w:bCs w:val="0"/>
          <w:color w:val="000000"/>
          <w:spacing w:val="0"/>
          <w:w w:val="100"/>
          <w:position w:val="0"/>
          <w:sz w:val="20"/>
          <w:szCs w:val="20"/>
        </w:rPr>
        <w:t>适用</w:t>
      </w:r>
      <w:r>
        <w:rPr>
          <w:rFonts w:ascii="Times New Roman" w:eastAsia="Times New Roman" w:hAnsi="Times New Roman" w:cs="Times New Roman"/>
          <w:b w:val="0"/>
          <w:bCs w:val="0"/>
          <w:color w:val="000000"/>
          <w:spacing w:val="0"/>
          <w:w w:val="100"/>
          <w:position w:val="0"/>
          <w:sz w:val="20"/>
          <w:szCs w:val="20"/>
        </w:rPr>
        <w:t>q</w:t>
      </w:r>
      <w:r>
        <w:rPr>
          <w:b w:val="0"/>
          <w:bCs w:val="0"/>
          <w:color w:val="000000"/>
          <w:spacing w:val="0"/>
          <w:w w:val="100"/>
          <w:position w:val="0"/>
          <w:sz w:val="20"/>
          <w:szCs w:val="20"/>
        </w:rPr>
        <w:t>不适用</w:t>
      </w:r>
      <w:bookmarkEnd w:id="148"/>
      <w:bookmarkEnd w:id="149"/>
      <w:bookmarkEnd w:id="151"/>
    </w:p>
    <w:p>
      <w:pPr>
        <w:pStyle w:val="Style30"/>
        <w:keepNext/>
        <w:keepLines/>
        <w:widowControl w:val="0"/>
        <w:shd w:val="clear" w:color="auto" w:fill="auto"/>
        <w:bidi w:val="0"/>
        <w:spacing w:before="0" w:after="360" w:line="240" w:lineRule="auto"/>
        <w:ind w:left="0" w:right="0" w:firstLine="0"/>
        <w:jc w:val="left"/>
      </w:pPr>
      <w:bookmarkStart w:id="148" w:name="bookmark148"/>
      <w:bookmarkStart w:id="149" w:name="bookmark149"/>
      <w:bookmarkStart w:id="152" w:name="bookmark152"/>
      <w:r>
        <w:rPr>
          <w:color w:val="000000"/>
          <w:spacing w:val="0"/>
          <w:w w:val="100"/>
          <w:position w:val="0"/>
          <w:sz w:val="24"/>
          <w:szCs w:val="24"/>
        </w:rPr>
        <w:t>十、与上年度财务报告相比，会计政策、会计估计和核算方法发生变化的情况说明</w:t>
      </w:r>
      <w:bookmarkEnd w:id="148"/>
      <w:bookmarkEnd w:id="149"/>
      <w:bookmarkEnd w:id="152"/>
    </w:p>
    <w:p>
      <w:pPr>
        <w:pStyle w:val="Style35"/>
        <w:keepNext w:val="0"/>
        <w:keepLines w:val="0"/>
        <w:widowControl w:val="0"/>
        <w:shd w:val="clear" w:color="auto" w:fill="auto"/>
        <w:bidi w:val="0"/>
        <w:spacing w:before="0" w:after="320" w:line="240" w:lineRule="auto"/>
        <w:ind w:left="0" w:right="44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left"/>
      </w:pPr>
      <w:r>
        <mc:AlternateContent>
          <mc:Choice Requires="wps">
            <w:drawing>
              <wp:anchor distT="0" distB="0" distL="114300" distR="114300" simplePos="0" relativeHeight="125829382" behindDoc="0" locked="0" layoutInCell="1" allowOverlap="1">
                <wp:simplePos x="0" y="0"/>
                <wp:positionH relativeFrom="page">
                  <wp:posOffset>5572125</wp:posOffset>
                </wp:positionH>
                <wp:positionV relativeFrom="paragraph">
                  <wp:posOffset>12700</wp:posOffset>
                </wp:positionV>
                <wp:extent cx="1289050" cy="1667510"/>
                <wp:wrapSquare wrapText="left"/>
                <wp:docPr id="90" name="Shape 90"/>
                <a:graphic xmlns:a="http://schemas.openxmlformats.org/drawingml/2006/main">
                  <a:graphicData uri="http://schemas.microsoft.com/office/word/2010/wordprocessingShape">
                    <wps:wsp>
                      <wps:cNvSpPr txBox="1"/>
                      <wps:spPr>
                        <a:xfrm>
                          <a:ext cx="1289050" cy="1667510"/>
                        </a:xfrm>
                        <a:prstGeom prst="rect"/>
                        <a:noFill/>
                      </wps:spPr>
                      <wps:txbx>
                        <w:txbxContent>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9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color w:val="000000"/>
                                <w:spacing w:val="0"/>
                                <w:w w:val="100"/>
                                <w:position w:val="0"/>
                              </w:rPr>
                              <w:t>适申、/不活申</w:t>
                            </w:r>
                          </w:p>
                          <w:p>
                            <w:pPr>
                              <w:pStyle w:val="Style2"/>
                              <w:keepNext w:val="0"/>
                              <w:keepLines w:val="0"/>
                              <w:widowControl w:val="0"/>
                              <w:shd w:val="clear" w:color="auto" w:fill="auto"/>
                              <w:bidi w:val="0"/>
                              <w:spacing w:before="0" w:after="360" w:line="240" w:lineRule="auto"/>
                              <w:ind w:left="0" w:right="0" w:firstLine="0"/>
                              <w:jc w:val="right"/>
                              <w:rPr>
                                <w:sz w:val="40"/>
                                <w:szCs w:val="40"/>
                              </w:rPr>
                            </w:pPr>
                            <w:r>
                              <w:rPr>
                                <w:rFonts w:ascii="Arial" w:eastAsia="Arial" w:hAnsi="Arial" w:cs="Arial"/>
                                <w:b/>
                                <w:bCs/>
                                <w:color w:val="CFCFCF"/>
                                <w:spacing w:val="0"/>
                                <w:w w:val="100"/>
                                <w:position w:val="0"/>
                                <w:sz w:val="40"/>
                                <w:szCs w:val="40"/>
                              </w:rPr>
                              <w:t>cninf</w:t>
                            </w:r>
                          </w:p>
                        </w:txbxContent>
                      </wps:txbx>
                      <wps:bodyPr lIns="0" tIns="0" rIns="0" bIns="0">
                        <a:noAutoFit/>
                      </wps:bodyPr>
                    </wps:wsp>
                  </a:graphicData>
                </a:graphic>
              </wp:anchor>
            </w:drawing>
          </mc:Choice>
          <mc:Fallback>
            <w:pict>
              <v:shape id="_x0000_s1116" type="#_x0000_t202" style="position:absolute;margin-left:438.75pt;margin-top:1.pt;width:101.5pt;height:131.30000000000001pt;z-index:-125829371;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9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color w:val="000000"/>
                          <w:spacing w:val="0"/>
                          <w:w w:val="100"/>
                          <w:position w:val="0"/>
                        </w:rPr>
                        <w:t>适申、/不活申</w:t>
                      </w:r>
                    </w:p>
                    <w:p>
                      <w:pPr>
                        <w:pStyle w:val="Style2"/>
                        <w:keepNext w:val="0"/>
                        <w:keepLines w:val="0"/>
                        <w:widowControl w:val="0"/>
                        <w:shd w:val="clear" w:color="auto" w:fill="auto"/>
                        <w:bidi w:val="0"/>
                        <w:spacing w:before="0" w:after="360" w:line="240" w:lineRule="auto"/>
                        <w:ind w:left="0" w:right="0" w:firstLine="0"/>
                        <w:jc w:val="right"/>
                        <w:rPr>
                          <w:sz w:val="40"/>
                          <w:szCs w:val="40"/>
                        </w:rPr>
                      </w:pPr>
                      <w:r>
                        <w:rPr>
                          <w:rFonts w:ascii="Arial" w:eastAsia="Arial" w:hAnsi="Arial" w:cs="Arial"/>
                          <w:b/>
                          <w:bCs/>
                          <w:color w:val="CFCFCF"/>
                          <w:spacing w:val="0"/>
                          <w:w w:val="100"/>
                          <w:position w:val="0"/>
                          <w:sz w:val="40"/>
                          <w:szCs w:val="40"/>
                        </w:rPr>
                        <w:t>cninf</w:t>
                      </w:r>
                    </w:p>
                  </w:txbxContent>
                </v:textbox>
                <w10:wrap type="square" side="left" anchorx="page"/>
              </v:shape>
            </w:pict>
          </mc:Fallback>
        </mc:AlternateContent>
      </w:r>
      <w:bookmarkStart w:id="153" w:name="bookmark153"/>
      <w:bookmarkStart w:id="154" w:name="bookmark154"/>
      <w:bookmarkStart w:id="155" w:name="bookmark155"/>
      <w:r>
        <w:rPr>
          <w:color w:val="000000"/>
          <w:spacing w:val="0"/>
          <w:w w:val="100"/>
          <w:position w:val="0"/>
          <w:sz w:val="24"/>
          <w:szCs w:val="24"/>
        </w:rPr>
        <w:t>十一、报告期内发生重大会计差错更正需追溯重述的情况说明</w:t>
      </w:r>
      <w:bookmarkEnd w:id="153"/>
      <w:bookmarkEnd w:id="154"/>
      <w:bookmarkEnd w:id="155"/>
    </w:p>
    <w:p>
      <w:pPr>
        <w:pStyle w:val="Style30"/>
        <w:keepNext/>
        <w:keepLines/>
        <w:widowControl w:val="0"/>
        <w:shd w:val="clear" w:color="auto" w:fill="auto"/>
        <w:bidi w:val="0"/>
        <w:spacing w:before="0" w:after="320" w:line="240" w:lineRule="auto"/>
        <w:ind w:left="0" w:right="0" w:firstLine="0"/>
        <w:jc w:val="left"/>
      </w:pPr>
      <w:bookmarkStart w:id="153" w:name="bookmark153"/>
      <w:bookmarkStart w:id="154" w:name="bookmark154"/>
      <w:bookmarkStart w:id="156" w:name="bookmark156"/>
      <w:r>
        <w:rPr>
          <w:color w:val="000000"/>
          <w:spacing w:val="0"/>
          <w:w w:val="100"/>
          <w:position w:val="0"/>
          <w:sz w:val="24"/>
          <w:szCs w:val="24"/>
        </w:rPr>
        <w:t>十二、与上年度财务报告相比，合并报表范围发生变化的情况说明</w:t>
      </w:r>
      <w:bookmarkEnd w:id="153"/>
      <w:bookmarkEnd w:id="154"/>
      <w:bookmarkEnd w:id="156"/>
    </w:p>
    <w:p>
      <w:pPr>
        <w:pStyle w:val="Style30"/>
        <w:keepNext/>
        <w:keepLines/>
        <w:widowControl w:val="0"/>
        <w:shd w:val="clear" w:color="auto" w:fill="auto"/>
        <w:bidi w:val="0"/>
        <w:spacing w:before="0" w:after="360" w:line="240" w:lineRule="auto"/>
        <w:ind w:left="0" w:right="0" w:firstLine="0"/>
        <w:jc w:val="left"/>
      </w:pPr>
      <w:bookmarkStart w:id="153" w:name="bookmark153"/>
      <w:bookmarkStart w:id="154" w:name="bookmark154"/>
      <w:bookmarkStart w:id="157" w:name="bookmark157"/>
      <w:r>
        <w:rPr>
          <w:color w:val="000000"/>
          <w:spacing w:val="0"/>
          <w:w w:val="100"/>
          <w:position w:val="0"/>
          <w:sz w:val="24"/>
          <w:szCs w:val="24"/>
        </w:rPr>
        <w:t>十三、公司利润分配及分红派息情况</w:t>
      </w:r>
      <w:bookmarkEnd w:id="153"/>
      <w:bookmarkEnd w:id="154"/>
      <w:bookmarkEnd w:id="157"/>
    </w:p>
    <w:p>
      <w:pPr>
        <w:pStyle w:val="Style35"/>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报告期内利润分配政策特别是现金分红政策的制定、执行或调整情况</w:t>
      </w:r>
    </w:p>
    <w:p>
      <w:pPr>
        <w:pStyle w:val="Style48"/>
        <w:keepNext/>
        <w:keepLines/>
        <w:widowControl w:val="0"/>
        <w:shd w:val="clear" w:color="auto" w:fill="auto"/>
        <w:bidi w:val="0"/>
        <w:spacing w:before="0" w:after="0" w:line="313" w:lineRule="exact"/>
        <w:ind w:left="0" w:right="0" w:firstLine="0"/>
        <w:jc w:val="left"/>
      </w:pPr>
      <w:bookmarkStart w:id="158" w:name="bookmark158"/>
      <w:bookmarkStart w:id="159" w:name="bookmark159"/>
      <w:bookmarkStart w:id="160" w:name="bookmark160"/>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含报告期</w:t>
      </w:r>
      <w:r>
        <w:rPr>
          <w:rFonts w:ascii="Times New Roman" w:eastAsia="Times New Roman" w:hAnsi="Times New Roman" w:cs="Times New Roman"/>
          <w:color w:val="000000"/>
          <w:spacing w:val="0"/>
          <w:w w:val="100"/>
          <w:position w:val="0"/>
        </w:rPr>
        <w:t>）</w:t>
      </w:r>
      <w:r>
        <w:rPr>
          <w:color w:val="000000"/>
          <w:spacing w:val="0"/>
          <w:w w:val="100"/>
          <w:position w:val="0"/>
        </w:rPr>
        <w:t>的利润分配预案或方案及资本公积金转增股本预案或方案情况</w:t>
      </w:r>
      <w:bookmarkEnd w:id="158"/>
      <w:bookmarkEnd w:id="159"/>
      <w:bookmarkEnd w:id="160"/>
    </w:p>
    <w:p>
      <w:pPr>
        <w:pStyle w:val="Style35"/>
        <w:keepNext w:val="0"/>
        <w:keepLines w:val="0"/>
        <w:widowControl w:val="0"/>
        <w:shd w:val="clear" w:color="auto" w:fill="auto"/>
        <w:tabs>
          <w:tab w:pos="794" w:val="left"/>
        </w:tabs>
        <w:bidi w:val="0"/>
        <w:spacing w:before="0" w:after="0" w:line="313" w:lineRule="exact"/>
        <w:ind w:left="0" w:right="0" w:firstLine="440"/>
        <w:jc w:val="both"/>
      </w:pPr>
      <w:bookmarkStart w:id="161" w:name="bookmark161"/>
      <w:r>
        <w:rPr>
          <w:rFonts w:ascii="Times New Roman" w:eastAsia="Times New Roman" w:hAnsi="Times New Roman" w:cs="Times New Roman"/>
          <w:color w:val="000000"/>
          <w:spacing w:val="0"/>
          <w:w w:val="100"/>
          <w:position w:val="0"/>
        </w:rPr>
        <w:t>1</w:t>
      </w:r>
      <w:bookmarkEnd w:id="161"/>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w:t>
      </w:r>
    </w:p>
    <w:p>
      <w:pPr>
        <w:pStyle w:val="Style3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经立信会计师事务所（特殊普通合伙）审计，（母）公司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rPr>
        <w:t>76,250,241.20</w:t>
      </w:r>
      <w:r>
        <w:rPr>
          <w:color w:val="000000"/>
          <w:spacing w:val="0"/>
          <w:w w:val="100"/>
          <w:position w:val="0"/>
        </w:rPr>
        <w:t>元，计提 法定盈余公积金</w:t>
      </w:r>
      <w:r>
        <w:rPr>
          <w:rFonts w:ascii="Times New Roman" w:eastAsia="Times New Roman" w:hAnsi="Times New Roman" w:cs="Times New Roman"/>
          <w:color w:val="000000"/>
          <w:spacing w:val="0"/>
          <w:w w:val="100"/>
          <w:position w:val="0"/>
        </w:rPr>
        <w:t>7,625,024.12</w:t>
      </w:r>
      <w:r>
        <w:rPr>
          <w:color w:val="000000"/>
          <w:spacing w:val="0"/>
          <w:w w:val="100"/>
          <w:position w:val="0"/>
        </w:rPr>
        <w:t>元后，滚存可供分配利润</w:t>
      </w:r>
      <w:r>
        <w:rPr>
          <w:rFonts w:ascii="Times New Roman" w:eastAsia="Times New Roman" w:hAnsi="Times New Roman" w:cs="Times New Roman"/>
          <w:color w:val="000000"/>
          <w:spacing w:val="0"/>
          <w:w w:val="100"/>
          <w:position w:val="0"/>
        </w:rPr>
        <w:t>96,482,510.01</w:t>
      </w:r>
      <w:r>
        <w:rPr>
          <w:color w:val="000000"/>
          <w:spacing w:val="0"/>
          <w:w w:val="100"/>
          <w:position w:val="0"/>
        </w:rPr>
        <w:t>元。综合考虑公司发展及股东利益， 拟定</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年度利润分配预案如下：以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20,000</w:t>
      </w:r>
      <w:r>
        <w:rPr>
          <w:color w:val="000000"/>
          <w:spacing w:val="0"/>
          <w:w w:val="100"/>
          <w:position w:val="0"/>
        </w:rPr>
        <w:t>万股为基数，向全体股东共计分配 利润人民币</w:t>
      </w:r>
      <w:r>
        <w:rPr>
          <w:rFonts w:ascii="Times New Roman" w:eastAsia="Times New Roman" w:hAnsi="Times New Roman" w:cs="Times New Roman"/>
          <w:color w:val="000000"/>
          <w:spacing w:val="0"/>
          <w:w w:val="100"/>
          <w:position w:val="0"/>
        </w:rPr>
        <w:t>6,000</w:t>
      </w:r>
      <w:r>
        <w:rPr>
          <w:color w:val="000000"/>
          <w:spacing w:val="0"/>
          <w:w w:val="100"/>
          <w:position w:val="0"/>
        </w:rPr>
        <w:t>万元整，即每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3.00</w:t>
      </w:r>
      <w:r>
        <w:rPr>
          <w:color w:val="000000"/>
          <w:spacing w:val="0"/>
          <w:w w:val="100"/>
          <w:position w:val="0"/>
        </w:rPr>
        <w:t>元（含税）；不转增，不送股。本次分配后的剩余未 分配利润留存至以后年度进行分配。</w:t>
      </w:r>
    </w:p>
    <w:p>
      <w:pPr>
        <w:pStyle w:val="Style35"/>
        <w:keepNext w:val="0"/>
        <w:keepLines w:val="0"/>
        <w:widowControl w:val="0"/>
        <w:shd w:val="clear" w:color="auto" w:fill="auto"/>
        <w:tabs>
          <w:tab w:pos="813" w:val="left"/>
        </w:tabs>
        <w:bidi w:val="0"/>
        <w:spacing w:before="0" w:after="0" w:line="326" w:lineRule="auto"/>
        <w:ind w:left="0" w:right="0" w:firstLine="440"/>
        <w:jc w:val="both"/>
      </w:pPr>
      <w:bookmarkStart w:id="162" w:name="bookmark162"/>
      <w:r>
        <w:rPr>
          <w:rFonts w:ascii="Times New Roman" w:eastAsia="Times New Roman" w:hAnsi="Times New Roman" w:cs="Times New Roman"/>
          <w:color w:val="000000"/>
          <w:spacing w:val="0"/>
          <w:w w:val="100"/>
          <w:position w:val="0"/>
        </w:rPr>
        <w:t>2</w:t>
      </w:r>
      <w:bookmarkEnd w:id="162"/>
      <w:r>
        <w:rPr>
          <w:color w:val="000000"/>
          <w:spacing w:val="0"/>
          <w:w w:val="100"/>
          <w:position w:val="0"/>
        </w:rPr>
        <w:t>、</w:t>
        <w:tab/>
      </w:r>
      <w:r>
        <w:rPr>
          <w:rFonts w:ascii="Times New Roman" w:eastAsia="Times New Roman" w:hAnsi="Times New Roman" w:cs="Times New Roman"/>
          <w:color w:val="000000"/>
          <w:spacing w:val="0"/>
          <w:w w:val="100"/>
          <w:position w:val="0"/>
        </w:rPr>
        <w:t>2011-2012</w:t>
      </w:r>
      <w:r>
        <w:rPr>
          <w:color w:val="000000"/>
          <w:spacing w:val="0"/>
          <w:w w:val="100"/>
          <w:position w:val="0"/>
        </w:rPr>
        <w:t>年度利润分配方案</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20,000</w:t>
      </w:r>
      <w:r>
        <w:rPr>
          <w:color w:val="000000"/>
          <w:spacing w:val="0"/>
          <w:w w:val="100"/>
          <w:position w:val="0"/>
        </w:rPr>
        <w:t>万股为基数，向全体股东共计分配利 润人民币</w:t>
      </w:r>
      <w:r>
        <w:rPr>
          <w:rFonts w:ascii="Times New Roman" w:eastAsia="Times New Roman" w:hAnsi="Times New Roman" w:cs="Times New Roman"/>
          <w:color w:val="000000"/>
          <w:spacing w:val="0"/>
          <w:w w:val="100"/>
          <w:position w:val="0"/>
        </w:rPr>
        <w:t>5,000</w:t>
      </w:r>
      <w:r>
        <w:rPr>
          <w:color w:val="000000"/>
          <w:spacing w:val="0"/>
          <w:w w:val="100"/>
          <w:position w:val="0"/>
        </w:rPr>
        <w:t>万元整，即每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。此议案经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日召开的公司</w:t>
      </w:r>
      <w:r>
        <w:rPr>
          <w:rFonts w:ascii="Times New Roman" w:eastAsia="Times New Roman" w:hAnsi="Times New Roman" w:cs="Times New Roman"/>
          <w:color w:val="000000"/>
          <w:spacing w:val="0"/>
          <w:w w:val="100"/>
          <w:position w:val="0"/>
        </w:rPr>
        <w:t>2012</w:t>
      </w:r>
      <w:r>
        <w:rPr>
          <w:color w:val="000000"/>
          <w:spacing w:val="0"/>
          <w:w w:val="100"/>
          <w:position w:val="0"/>
        </w:rPr>
        <w:t>年度 股东大会审议通过后实施，并于</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日实施完毕。</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年度利润分配方案为：以公司上市后总股本</w:t>
      </w:r>
      <w:r>
        <w:rPr>
          <w:rFonts w:ascii="Times New Roman" w:eastAsia="Times New Roman" w:hAnsi="Times New Roman" w:cs="Times New Roman"/>
          <w:color w:val="000000"/>
          <w:spacing w:val="0"/>
          <w:w w:val="100"/>
          <w:position w:val="0"/>
        </w:rPr>
        <w:t>20,000</w:t>
      </w:r>
      <w:r>
        <w:rPr>
          <w:color w:val="000000"/>
          <w:spacing w:val="0"/>
          <w:w w:val="100"/>
          <w:position w:val="0"/>
        </w:rPr>
        <w:t>万股为基数，向全体股东共计分配利润人 民币</w:t>
      </w:r>
      <w:r>
        <w:rPr>
          <w:rFonts w:ascii="Times New Roman" w:eastAsia="Times New Roman" w:hAnsi="Times New Roman" w:cs="Times New Roman"/>
          <w:color w:val="000000"/>
          <w:spacing w:val="0"/>
          <w:w w:val="100"/>
          <w:position w:val="0"/>
        </w:rPr>
        <w:t>4,000</w:t>
      </w:r>
      <w:r>
        <w:rPr>
          <w:color w:val="000000"/>
          <w:spacing w:val="0"/>
          <w:w w:val="100"/>
          <w:position w:val="0"/>
        </w:rPr>
        <w:t>万元整，即每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。此议案经</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 时股东大会审议通过后实施，并于</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日实施完毕。</w:t>
      </w:r>
    </w:p>
    <w:p>
      <w:pPr>
        <w:pStyle w:val="Style35"/>
        <w:keepNext w:val="0"/>
        <w:keepLines w:val="0"/>
        <w:widowControl w:val="0"/>
        <w:shd w:val="clear" w:color="auto" w:fill="auto"/>
        <w:bidi w:val="0"/>
        <w:spacing w:before="0" w:after="80" w:line="313" w:lineRule="exact"/>
        <w:ind w:left="0" w:right="0" w:firstLine="0"/>
        <w:jc w:val="left"/>
      </w:pPr>
      <w:r>
        <w:rPr>
          <w:color w:val="000000"/>
          <w:spacing w:val="0"/>
          <w:w w:val="100"/>
          <w:position w:val="0"/>
        </w:rPr>
        <w:t>公司近三年现金分红情况表</w:t>
      </w:r>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单位：元</w:t>
      </w:r>
    </w:p>
    <w:tbl>
      <w:tblPr>
        <w:tblOverlap w:val="never"/>
        <w:jc w:val="center"/>
        <w:tblLayout w:type="fixed"/>
      </w:tblPr>
      <w:tblGrid>
        <w:gridCol w:w="1987"/>
        <w:gridCol w:w="2160"/>
        <w:gridCol w:w="2702"/>
        <w:gridCol w:w="2736"/>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现金分红金额</w:t>
            </w:r>
            <w:r>
              <w:rPr>
                <w:rFonts w:ascii="Times New Roman" w:eastAsia="Times New Roman" w:hAnsi="Times New Roman" w:cs="Times New Roman"/>
                <w:color w:val="000000"/>
                <w:spacing w:val="0"/>
                <w:w w:val="100"/>
                <w:position w:val="0"/>
              </w:rPr>
              <w:t>（</w:t>
            </w:r>
            <w:r>
              <w:rPr>
                <w:color w:val="000000"/>
                <w:spacing w:val="0"/>
                <w:w w:val="100"/>
                <w:position w:val="0"/>
              </w:rPr>
              <w:t>含税</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90,625,042.03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66.21%</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65,553,926.28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w:t>
            </w:r>
          </w:p>
        </w:tc>
      </w:tr>
      <w:tr>
        <w:trPr>
          <w:trHeight w:val="350"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40,000,000.00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71,985,684.66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55.57%</w:t>
            </w:r>
          </w:p>
        </w:tc>
      </w:tr>
    </w:tbl>
    <w:p>
      <w:pPr>
        <w:pStyle w:val="Style38"/>
        <w:keepNext w:val="0"/>
        <w:keepLines w:val="0"/>
        <w:widowControl w:val="0"/>
        <w:shd w:val="clear" w:color="auto" w:fill="auto"/>
        <w:tabs>
          <w:tab w:pos="7555" w:val="left"/>
        </w:tabs>
        <w:bidi w:val="0"/>
        <w:spacing w:before="0" w:after="0" w:line="240" w:lineRule="auto"/>
        <w:ind w:left="0" w:right="0" w:firstLine="0"/>
        <w:jc w:val="center"/>
      </w:pPr>
      <w:r>
        <w:rPr>
          <w:b/>
          <w:bCs/>
          <w:color w:val="000000"/>
          <w:spacing w:val="0"/>
          <w:w w:val="100"/>
          <w:position w:val="0"/>
        </w:rPr>
        <w:t>公司报告期内盈利且母公司未分配利润为正但未提出现金红利分配预案</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63" w:name="bookmark163"/>
      <w:bookmarkStart w:id="164" w:name="bookmark164"/>
      <w:bookmarkStart w:id="165" w:name="bookmark165"/>
      <w:r>
        <w:rPr>
          <w:color w:val="000000"/>
          <w:spacing w:val="0"/>
          <w:w w:val="100"/>
          <w:position w:val="0"/>
          <w:sz w:val="24"/>
          <w:szCs w:val="24"/>
        </w:rPr>
        <w:t>十四、本报告期利润分配及资本公积金转增股本预案</w:t>
      </w:r>
      <w:bookmarkEnd w:id="163"/>
      <w:bookmarkEnd w:id="164"/>
      <w:bookmarkEnd w:id="165"/>
    </w:p>
    <w:tbl>
      <w:tblPr>
        <w:tblOverlap w:val="never"/>
        <w:jc w:val="center"/>
        <w:tblLayout w:type="fixed"/>
      </w:tblPr>
      <w:tblGrid>
        <w:gridCol w:w="4330"/>
        <w:gridCol w:w="5256"/>
      </w:tblGrid>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96,482,510.01</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41" w:hRule="exact"/>
        </w:trPr>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341"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36" w:hRule="exact"/>
        </w:trPr>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61"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经立信会计师事务所（特殊普通合伙）审计，（母）公司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rPr>
              <w:t>76,250,241.20</w:t>
            </w:r>
            <w:r>
              <w:rPr>
                <w:color w:val="000000"/>
                <w:spacing w:val="0"/>
                <w:w w:val="100"/>
                <w:position w:val="0"/>
              </w:rPr>
              <w:t>元，计提法 定盈余公积金</w:t>
            </w:r>
            <w:r>
              <w:rPr>
                <w:rFonts w:ascii="Times New Roman" w:eastAsia="Times New Roman" w:hAnsi="Times New Roman" w:cs="Times New Roman"/>
                <w:color w:val="000000"/>
                <w:spacing w:val="0"/>
                <w:w w:val="100"/>
                <w:position w:val="0"/>
              </w:rPr>
              <w:t>7,625,024.12</w:t>
            </w:r>
            <w:r>
              <w:rPr>
                <w:color w:val="000000"/>
                <w:spacing w:val="0"/>
                <w:w w:val="100"/>
                <w:position w:val="0"/>
              </w:rPr>
              <w:t>元后，滚存可供分配利润</w:t>
            </w:r>
            <w:r>
              <w:rPr>
                <w:rFonts w:ascii="Times New Roman" w:eastAsia="Times New Roman" w:hAnsi="Times New Roman" w:cs="Times New Roman"/>
                <w:color w:val="000000"/>
                <w:spacing w:val="0"/>
                <w:w w:val="100"/>
                <w:position w:val="0"/>
              </w:rPr>
              <w:t>96,482,510.01</w:t>
            </w:r>
            <w:r>
              <w:rPr>
                <w:color w:val="000000"/>
                <w:spacing w:val="0"/>
                <w:w w:val="100"/>
                <w:position w:val="0"/>
              </w:rPr>
              <w:t>元。综合考虑公司发展及股东利益， 拟定</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年度利润分配预案如下：以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20,000</w:t>
            </w:r>
            <w:r>
              <w:rPr>
                <w:color w:val="000000"/>
                <w:spacing w:val="0"/>
                <w:w w:val="100"/>
                <w:position w:val="0"/>
              </w:rPr>
              <w:t>万股为基数，向全体股东共 计分配利润人民币</w:t>
            </w:r>
            <w:r>
              <w:rPr>
                <w:rFonts w:ascii="Times New Roman" w:eastAsia="Times New Roman" w:hAnsi="Times New Roman" w:cs="Times New Roman"/>
                <w:color w:val="000000"/>
                <w:spacing w:val="0"/>
                <w:w w:val="100"/>
                <w:position w:val="0"/>
              </w:rPr>
              <w:t>6,000</w:t>
            </w:r>
            <w:r>
              <w:rPr>
                <w:color w:val="000000"/>
                <w:spacing w:val="0"/>
                <w:w w:val="100"/>
                <w:position w:val="0"/>
              </w:rPr>
              <w:t>万元整，即每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3.00</w:t>
            </w:r>
            <w:r>
              <w:rPr>
                <w:color w:val="000000"/>
                <w:spacing w:val="0"/>
                <w:w w:val="100"/>
                <w:position w:val="0"/>
              </w:rPr>
              <w:t>元（含税）</w:t>
            </w:r>
            <w:r>
              <w:rPr>
                <w:i/>
                <w:iCs/>
                <w:color w:val="000000"/>
                <w:spacing w:val="0"/>
                <w:w w:val="100"/>
                <w:position w:val="0"/>
              </w:rPr>
              <w:t>；</w:t>
            </w:r>
            <w:r>
              <w:rPr>
                <w:color w:val="000000"/>
                <w:spacing w:val="0"/>
                <w:w w:val="100"/>
                <w:position w:val="0"/>
              </w:rPr>
              <w:t>不转增，不送股。本次分配 后的剩余未分配利润留存至以后年度进行分配。</w:t>
            </w:r>
          </w:p>
        </w:tc>
      </w:tr>
    </w:tbl>
    <w:p>
      <w:pPr>
        <w:widowControl w:val="0"/>
        <w:spacing w:after="299" w:line="1" w:lineRule="exact"/>
      </w:pPr>
    </w:p>
    <w:p>
      <w:pPr>
        <w:pStyle w:val="Style30"/>
        <w:keepNext/>
        <w:keepLines/>
        <w:widowControl w:val="0"/>
        <w:shd w:val="clear" w:color="auto" w:fill="auto"/>
        <w:bidi w:val="0"/>
        <w:spacing w:before="0" w:after="420" w:line="240" w:lineRule="auto"/>
        <w:ind w:left="0" w:right="0" w:firstLine="0"/>
        <w:jc w:val="left"/>
      </w:pPr>
      <w:bookmarkStart w:id="166" w:name="bookmark166"/>
      <w:bookmarkStart w:id="167" w:name="bookmark167"/>
      <w:bookmarkStart w:id="168" w:name="bookmark168"/>
      <w:r>
        <w:rPr>
          <w:color w:val="000000"/>
          <w:spacing w:val="0"/>
          <w:w w:val="100"/>
          <w:position w:val="0"/>
          <w:sz w:val="24"/>
          <w:szCs w:val="24"/>
        </w:rPr>
        <w:t>十五、社会责任情况</w:t>
      </w:r>
      <w:bookmarkEnd w:id="166"/>
      <w:bookmarkEnd w:id="167"/>
      <w:bookmarkEnd w:id="168"/>
    </w:p>
    <w:p>
      <w:pPr>
        <w:pStyle w:val="Style35"/>
        <w:keepNext w:val="0"/>
        <w:keepLines w:val="0"/>
        <w:widowControl w:val="0"/>
        <w:shd w:val="clear" w:color="auto" w:fill="auto"/>
        <w:bidi w:val="0"/>
        <w:spacing w:before="0" w:after="80" w:line="240" w:lineRule="auto"/>
        <w:ind w:left="0" w:right="0" w:firstLine="440"/>
        <w:jc w:val="both"/>
      </w:pPr>
      <w:r>
        <w:rPr>
          <w:color w:val="000000"/>
          <w:spacing w:val="0"/>
          <w:w w:val="100"/>
          <w:position w:val="0"/>
        </w:rPr>
        <w:t xml:space="preserve">公司高度重视并积极主动履行社会责任，切实维护利益相关方的合法权益，注重沟丸 </w:t>
      </w:r>
      <w:r>
        <w:rPr>
          <w:color w:val="7D7D7D"/>
          <w:spacing w:val="0"/>
          <w:w w:val="100"/>
          <w:position w:val="0"/>
        </w:rPr>
        <w:t>协同，恪守诚</w:t>
      </w:r>
    </w:p>
    <w:p>
      <w:pPr>
        <w:pStyle w:val="Style2"/>
        <w:keepNext w:val="0"/>
        <w:keepLines w:val="0"/>
        <w:widowControl w:val="0"/>
        <w:shd w:val="clear" w:color="auto" w:fill="auto"/>
        <w:bidi w:val="0"/>
        <w:spacing w:before="0" w:after="120" w:line="240" w:lineRule="auto"/>
        <w:ind w:left="0" w:right="0" w:firstLine="0"/>
        <w:jc w:val="left"/>
        <w:rPr>
          <w:sz w:val="18"/>
          <w:szCs w:val="18"/>
        </w:rPr>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00" w:h="16840"/>
          <w:pgMar w:top="1199" w:right="1032" w:bottom="1149" w:left="1076" w:header="0" w:footer="3" w:gutter="0"/>
          <w:cols w:space="720"/>
          <w:noEndnote/>
          <w:titlePg/>
          <w:rtlGutter w:val="0"/>
          <w:docGrid w:linePitch="360"/>
        </w:sectPr>
      </w:pPr>
      <w:r>
        <w:rPr>
          <w:rFonts w:ascii="Times New Roman" w:eastAsia="Times New Roman" w:hAnsi="Times New Roman" w:cs="Times New Roman"/>
          <w:color w:val="6C6B6B"/>
          <w:spacing w:val="0"/>
          <w:w w:val="100"/>
          <w:position w:val="0"/>
          <w:sz w:val="18"/>
          <w:szCs w:val="18"/>
        </w:rPr>
        <w:t xml:space="preserve">19 </w:t>
      </w:r>
    </w:p>
    <w:p>
      <w:pPr>
        <w:pStyle w:val="Style2"/>
        <w:keepNext w:val="0"/>
        <w:keepLines w:val="0"/>
        <w:widowControl w:val="0"/>
        <w:shd w:val="clear" w:color="auto" w:fill="auto"/>
        <w:bidi w:val="0"/>
        <w:spacing w:before="0" w:after="120" w:line="240" w:lineRule="auto"/>
        <w:ind w:left="0" w:right="0" w:firstLine="0"/>
        <w:jc w:val="left"/>
      </w:pPr>
      <w:r>
        <w:rPr>
          <w:rStyle w:val="CharStyle36"/>
        </w:rPr>
        <w:t>信与承诺，践行法律与道义，以实际行动获得社会各界的认可。</w:t>
      </w:r>
    </w:p>
    <w:p>
      <w:pPr>
        <w:pStyle w:val="Style35"/>
        <w:keepNext w:val="0"/>
        <w:keepLines w:val="0"/>
        <w:widowControl w:val="0"/>
        <w:shd w:val="clear" w:color="auto" w:fill="auto"/>
        <w:tabs>
          <w:tab w:pos="911" w:val="left"/>
        </w:tabs>
        <w:bidi w:val="0"/>
        <w:spacing w:before="0" w:after="0" w:line="377" w:lineRule="auto"/>
        <w:ind w:left="0" w:right="0" w:firstLine="440"/>
        <w:jc w:val="both"/>
      </w:pPr>
      <w:bookmarkStart w:id="169" w:name="bookmark169"/>
      <w:r>
        <w:rPr>
          <w:rFonts w:ascii="Times New Roman" w:eastAsia="Times New Roman" w:hAnsi="Times New Roman" w:cs="Times New Roman"/>
          <w:color w:val="000000"/>
          <w:spacing w:val="0"/>
          <w:w w:val="100"/>
          <w:position w:val="0"/>
        </w:rPr>
        <w:t>（</w:t>
      </w:r>
      <w:bookmarkEnd w:id="169"/>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股东和债权人权益保护</w:t>
      </w:r>
    </w:p>
    <w:p>
      <w:pPr>
        <w:pStyle w:val="Style35"/>
        <w:keepNext w:val="0"/>
        <w:keepLines w:val="0"/>
        <w:widowControl w:val="0"/>
        <w:shd w:val="clear" w:color="auto" w:fill="auto"/>
        <w:bidi w:val="0"/>
        <w:spacing w:before="0" w:line="360" w:lineRule="exact"/>
        <w:ind w:left="0" w:right="0" w:firstLine="440"/>
        <w:jc w:val="left"/>
      </w:pPr>
      <w:r>
        <w:rPr>
          <w:color w:val="000000"/>
          <w:spacing w:val="0"/>
          <w:w w:val="100"/>
          <w:position w:val="0"/>
        </w:rPr>
        <w:t>公司建立了以《公司章程》为基础，以《股东大会议事规则》、《董事会议事规则》、《监事会议事规则》、 《总经理工作细则》等为主要构架的规章体系，形成了股东大会、董事会、监事会、董事会专门委员会以 及高级管理层为主体结构的决策与经营体系，切实保障全体股东及债权人的权益。公司按照相关法律法规 及公司《信息披露管理制度》、《投资者关系管理制度》的要求，及时、准确披露定期报告、临时报告及其 他重大事项，通过股东大会、业绩说明会、投资者关系网站、日常调研接待等方式积极与投资者沟通交流。 公司一贯重视对投资者的合理回报，结合实际情况，采取积极的利润分配政策，实实在在回报股东，构建 与股东的和谐关系。自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月上市以来，累计分派现金红利</w:t>
      </w:r>
      <w:r>
        <w:rPr>
          <w:rFonts w:ascii="Times New Roman" w:eastAsia="Times New Roman" w:hAnsi="Times New Roman" w:cs="Times New Roman"/>
          <w:color w:val="000000"/>
          <w:spacing w:val="0"/>
          <w:w w:val="100"/>
          <w:position w:val="0"/>
        </w:rPr>
        <w:t>9,000</w:t>
      </w:r>
      <w:r>
        <w:rPr>
          <w:color w:val="000000"/>
          <w:spacing w:val="0"/>
          <w:w w:val="100"/>
          <w:position w:val="0"/>
        </w:rPr>
        <w:t>万元人民币</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，以回报全体股东 长期以来对公司的支持。</w:t>
      </w:r>
    </w:p>
    <w:p>
      <w:pPr>
        <w:pStyle w:val="Style35"/>
        <w:keepNext w:val="0"/>
        <w:keepLines w:val="0"/>
        <w:widowControl w:val="0"/>
        <w:shd w:val="clear" w:color="auto" w:fill="auto"/>
        <w:tabs>
          <w:tab w:pos="911" w:val="left"/>
        </w:tabs>
        <w:bidi w:val="0"/>
        <w:spacing w:before="0" w:after="0" w:line="377" w:lineRule="auto"/>
        <w:ind w:left="0" w:right="0" w:firstLine="440"/>
        <w:jc w:val="both"/>
      </w:pPr>
      <w:bookmarkStart w:id="170" w:name="bookmark170"/>
      <w:r>
        <w:rPr>
          <w:rFonts w:ascii="Times New Roman" w:eastAsia="Times New Roman" w:hAnsi="Times New Roman" w:cs="Times New Roman"/>
          <w:color w:val="000000"/>
          <w:spacing w:val="0"/>
          <w:w w:val="100"/>
          <w:position w:val="0"/>
        </w:rPr>
        <w:t>（</w:t>
      </w:r>
      <w:bookmarkEnd w:id="170"/>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职工权益保护</w:t>
      </w:r>
    </w:p>
    <w:p>
      <w:pPr>
        <w:pStyle w:val="Style35"/>
        <w:keepNext w:val="0"/>
        <w:keepLines w:val="0"/>
        <w:widowControl w:val="0"/>
        <w:shd w:val="clear" w:color="auto" w:fill="auto"/>
        <w:bidi w:val="0"/>
        <w:spacing w:before="0" w:line="360" w:lineRule="exact"/>
        <w:ind w:left="0" w:right="0" w:firstLine="440"/>
        <w:jc w:val="both"/>
      </w:pPr>
      <w:r>
        <w:rPr>
          <w:color w:val="000000"/>
          <w:spacing w:val="0"/>
          <w:w w:val="100"/>
          <w:position w:val="0"/>
        </w:rPr>
        <w:t>公司始终把维护全体员工的利益作为工作重点，切实提升员工的自身价值，培养员工的凝聚力，使员 工的个人梦想和企业的愿景达到有机统一。公司紧紧围绕生产经营和改革发展的中心任务，对公司重要事 项及时予以公开，增加工作透明度，让员工参与管理和监督，进一步调动和发挥了广大员工的积极性、创 造性。公司建立了合理的薪酬体制，并积极稳妥地推进职工薪酬制度改革；建立了符合岗位工作需求和突 出岗位工作业绩的职工基本工资制度和绩效考核制度，客观、公正地评价员工工作能力、工作态度和取得 的工作业绩，有效激发了员工工作积极性。公司坚持“安全第一、预防为主”的工作方针，加大对员工劳 动安全卫生技能的培训力度，引导和教育职工增强安全生产法制观念，自觉遵守企业安全生产规章制度， 严格按操作规程作业，提高安全生产技能和行为意识。公司针对行业生产特点，建立并完善了生产场所的 防尘、降噪和应急报警等配套设施和急救装备，并按照劳动保护的要求，配备质量可靠的劳动防护用品， 同时，全力确保配备到位、更换及时、防护有效。公司坚持组织员工进行健康体检，并针对粉尘等特殊岗 位的员工增加专项体检项目。</w:t>
      </w:r>
    </w:p>
    <w:p>
      <w:pPr>
        <w:pStyle w:val="Style35"/>
        <w:keepNext w:val="0"/>
        <w:keepLines w:val="0"/>
        <w:widowControl w:val="0"/>
        <w:shd w:val="clear" w:color="auto" w:fill="auto"/>
        <w:tabs>
          <w:tab w:pos="911" w:val="left"/>
        </w:tabs>
        <w:bidi w:val="0"/>
        <w:spacing w:before="0" w:after="0" w:line="377" w:lineRule="auto"/>
        <w:ind w:left="0" w:right="0" w:firstLine="440"/>
        <w:jc w:val="both"/>
      </w:pPr>
      <w:bookmarkStart w:id="171" w:name="bookmark171"/>
      <w:r>
        <w:rPr>
          <w:rFonts w:ascii="Times New Roman" w:eastAsia="Times New Roman" w:hAnsi="Times New Roman" w:cs="Times New Roman"/>
          <w:color w:val="000000"/>
          <w:spacing w:val="0"/>
          <w:w w:val="100"/>
          <w:position w:val="0"/>
        </w:rPr>
        <w:t>（</w:t>
      </w:r>
      <w:bookmarkEnd w:id="171"/>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供应商、客户和消费者权益保护</w:t>
      </w:r>
    </w:p>
    <w:p>
      <w:pPr>
        <w:pStyle w:val="Style35"/>
        <w:keepNext w:val="0"/>
        <w:keepLines w:val="0"/>
        <w:widowControl w:val="0"/>
        <w:shd w:val="clear" w:color="auto" w:fill="auto"/>
        <w:bidi w:val="0"/>
        <w:spacing w:before="0" w:line="360" w:lineRule="exact"/>
        <w:ind w:left="0" w:right="0" w:firstLine="440"/>
        <w:jc w:val="both"/>
      </w:pPr>
      <w:r>
        <w:rPr>
          <w:color w:val="000000"/>
          <w:spacing w:val="0"/>
          <w:w w:val="100"/>
          <w:position w:val="0"/>
        </w:rPr>
        <w:t>公司将客户作为企业存在的最大价值，把客户满意度作为衡量公司各项工作的准绳，重视与客户的共 赢关系，恪守诚信，致力于为客户提供安全可靠、节能环保的产品和服务。公司不仅将采购及供应链管理 作为企业日常运营的重要工作，同时将供应商作为可信赖的战略伙伴，将协助供应商发展视为培育外部战 略性资源。公司将履行社会责任情况作为选择供应商的标准之一，从守法合规、保护环境、诚信经营等方 面考核供应商。公司始终以质量为关注焦点，根据</w:t>
      </w:r>
      <w:r>
        <w:rPr>
          <w:rFonts w:ascii="Times New Roman" w:eastAsia="Times New Roman" w:hAnsi="Times New Roman" w:cs="Times New Roman"/>
          <w:color w:val="000000"/>
          <w:spacing w:val="0"/>
          <w:w w:val="100"/>
          <w:position w:val="0"/>
        </w:rPr>
        <w:t>ISO9001</w:t>
      </w:r>
      <w:r>
        <w:rPr>
          <w:color w:val="000000"/>
          <w:spacing w:val="0"/>
          <w:w w:val="100"/>
          <w:position w:val="0"/>
        </w:rPr>
        <w:t>标准建立了质量管理体系，并在此基础上进一 步明确质量控制关键点，从原材料入厂检验、生产加工过程检验到产成品检验，形成了一套完整的质量控 制体系。通过严格的质量标准和全方位的质量控制措施，为客户提供优质安全的产品和服务。报告期内， 公司进一步规范和强化了质量管理工作，梳理和完善质量目标管理体系，提升员工质量意识，明确质量责 任，从而保证了质量目标的实现。公司在全面学习贯彻质量管理体系标准的基础上，抓好产品生产及售后 服务各环节质量控制工作，努力使公司的质量水平持续保持一流。</w:t>
      </w:r>
    </w:p>
    <w:p>
      <w:pPr>
        <w:pStyle w:val="Style35"/>
        <w:keepNext w:val="0"/>
        <w:keepLines w:val="0"/>
        <w:widowControl w:val="0"/>
        <w:shd w:val="clear" w:color="auto" w:fill="auto"/>
        <w:tabs>
          <w:tab w:pos="911" w:val="left"/>
        </w:tabs>
        <w:bidi w:val="0"/>
        <w:spacing w:before="0" w:after="0" w:line="377" w:lineRule="auto"/>
        <w:ind w:left="0" w:right="0" w:firstLine="440"/>
        <w:jc w:val="both"/>
      </w:pPr>
      <w:bookmarkStart w:id="172" w:name="bookmark172"/>
      <w:r>
        <w:rPr>
          <w:rFonts w:ascii="Times New Roman" w:eastAsia="Times New Roman" w:hAnsi="Times New Roman" w:cs="Times New Roman"/>
          <w:color w:val="000000"/>
          <w:spacing w:val="0"/>
          <w:w w:val="100"/>
          <w:position w:val="0"/>
        </w:rPr>
        <w:t>（</w:t>
      </w:r>
      <w:bookmarkEnd w:id="172"/>
      <w:r>
        <w:rPr>
          <w:color w:val="000000"/>
          <w:spacing w:val="0"/>
          <w:w w:val="100"/>
          <w:position w:val="0"/>
        </w:rPr>
        <w:t>四</w:t>
      </w:r>
      <w:r>
        <w:rPr>
          <w:rFonts w:ascii="Times New Roman" w:eastAsia="Times New Roman" w:hAnsi="Times New Roman" w:cs="Times New Roman"/>
          <w:color w:val="000000"/>
          <w:spacing w:val="0"/>
          <w:w w:val="100"/>
          <w:position w:val="0"/>
        </w:rPr>
        <w:t>）</w:t>
        <w:tab/>
      </w:r>
      <w:r>
        <w:rPr>
          <w:color w:val="000000"/>
          <w:spacing w:val="0"/>
          <w:w w:val="100"/>
          <w:position w:val="0"/>
        </w:rPr>
        <w:t>注重环境保护与可持续性发展</w:t>
      </w:r>
    </w:p>
    <w:p>
      <w:pPr>
        <w:pStyle w:val="Style35"/>
        <w:keepNext w:val="0"/>
        <w:keepLines w:val="0"/>
        <w:widowControl w:val="0"/>
        <w:shd w:val="clear" w:color="auto" w:fill="auto"/>
        <w:bidi w:val="0"/>
        <w:spacing w:before="0" w:line="360" w:lineRule="exact"/>
        <w:ind w:left="0" w:right="0" w:firstLine="440"/>
        <w:jc w:val="both"/>
      </w:pPr>
      <w:r>
        <w:rPr>
          <w:color w:val="000000"/>
          <w:spacing w:val="0"/>
          <w:w w:val="100"/>
          <w:position w:val="0"/>
        </w:rPr>
        <w:t>公司坚持低碳、绿色、可持续发展的原则，注重对环境的保护，秉承对环境负责的态度进行生产运营, 努力降低制造过程中的资源和能源消耗，减少各类污染物向自然界的排放。公司在生产经营过程中严格遵 守国家环境保护相关的法律、法规和地方环境保护有关规定，以资源再利用技术为核心，积极发展循环经 济，推动节能减排。报告期内，公司已经通过</w:t>
      </w:r>
      <w:r>
        <w:rPr>
          <w:rFonts w:ascii="Times New Roman" w:eastAsia="Times New Roman" w:hAnsi="Times New Roman" w:cs="Times New Roman"/>
          <w:color w:val="000000"/>
          <w:spacing w:val="0"/>
          <w:w w:val="100"/>
          <w:position w:val="0"/>
        </w:rPr>
        <w:t>ISO1400</w:t>
      </w:r>
      <w:r>
        <w:rPr>
          <w:rFonts w:ascii="Times New Roman" w:eastAsia="Times New Roman" w:hAnsi="Times New Roman" w:cs="Times New Roman"/>
          <w:color w:val="000000"/>
          <w:spacing w:val="0"/>
          <w:w w:val="100"/>
          <w:position w:val="0"/>
        </w:rPr>
        <w:t>1</w:t>
      </w:r>
      <w:r>
        <w:rPr>
          <w:color w:val="000000"/>
          <w:spacing w:val="0"/>
          <w:w w:val="100"/>
          <w:position w:val="0"/>
        </w:rPr>
        <w:t xml:space="preserve">环境管理体系认证。根据环境管理体系要求，结合 公司自身特点，将环境保护、节能减排等融入每个经营管理环节，有效节约能源消耗。工口 </w:t>
      </w:r>
      <w:r>
        <w:rPr>
          <w:color w:val="000000"/>
          <w:spacing w:val="0"/>
          <w:w w:val="100"/>
          <w:position w:val="0"/>
        </w:rPr>
        <w:t>的人力、物力，根据社会动态及监管要求，实现环境治理与产业发展同步，时刻检查自己的活动对环境和 资源的影响，力争在创造价值的同时，把“节能减排”做到最佳状态，把公司建设成为人文、科技、绿色、 环保的现代企业。</w:t>
      </w:r>
    </w:p>
    <w:p>
      <w:pPr>
        <w:pStyle w:val="Style35"/>
        <w:keepNext w:val="0"/>
        <w:keepLines w:val="0"/>
        <w:widowControl w:val="0"/>
        <w:shd w:val="clear" w:color="auto" w:fill="auto"/>
        <w:bidi w:val="0"/>
        <w:spacing w:before="0" w:after="0" w:line="377" w:lineRule="auto"/>
        <w:ind w:left="0" w:right="0" w:firstLine="440"/>
        <w:jc w:val="both"/>
      </w:pPr>
      <w:bookmarkStart w:id="173" w:name="bookmark173"/>
      <w:r>
        <w:rPr>
          <w:rFonts w:ascii="Times New Roman" w:eastAsia="Times New Roman" w:hAnsi="Times New Roman" w:cs="Times New Roman"/>
          <w:color w:val="000000"/>
          <w:spacing w:val="0"/>
          <w:w w:val="100"/>
          <w:position w:val="0"/>
        </w:rPr>
        <w:t>（</w:t>
      </w:r>
      <w:bookmarkEnd w:id="173"/>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支持社会公益事业发展</w:t>
      </w:r>
    </w:p>
    <w:p>
      <w:pPr>
        <w:pStyle w:val="Style35"/>
        <w:keepNext w:val="0"/>
        <w:keepLines w:val="0"/>
        <w:widowControl w:val="0"/>
        <w:shd w:val="clear" w:color="auto" w:fill="auto"/>
        <w:bidi w:val="0"/>
        <w:spacing w:before="0" w:after="360" w:line="361" w:lineRule="exact"/>
        <w:ind w:left="0" w:right="0" w:firstLine="440"/>
        <w:jc w:val="both"/>
      </w:pPr>
      <w:r>
        <w:rPr>
          <w:color w:val="000000"/>
          <w:spacing w:val="0"/>
          <w:w w:val="100"/>
          <w:position w:val="0"/>
        </w:rPr>
        <w:t>十年树木，百年树人，教育乃强国之本。公司积极参与社会公益，努力回馈社会，致力推进教育事业 发展，开展一系列捐资助学活动，先后向南雄市“广东华声坪田中学”、广东省教育基金会捐赠物资。</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月，公司再次对“广东华声坪田中学”围墙修缮建设进行支援，并向学校捐赠奖教奖学金及图书资料, 为学生们带去关爱，并鼓励学生立志成才，报效祖国，报答社会。</w:t>
      </w:r>
    </w:p>
    <w:p>
      <w:pPr>
        <w:pStyle w:val="Style30"/>
        <w:keepNext/>
        <w:keepLines/>
        <w:widowControl w:val="0"/>
        <w:shd w:val="clear" w:color="auto" w:fill="auto"/>
        <w:bidi w:val="0"/>
        <w:spacing w:before="0" w:after="300" w:line="240" w:lineRule="auto"/>
        <w:ind w:left="0" w:right="0" w:firstLine="0"/>
        <w:jc w:val="both"/>
      </w:pPr>
      <w:bookmarkStart w:id="174" w:name="bookmark174"/>
      <w:bookmarkStart w:id="175" w:name="bookmark175"/>
      <w:bookmarkStart w:id="176" w:name="bookmark176"/>
      <w:r>
        <w:rPr>
          <w:color w:val="000000"/>
          <w:spacing w:val="0"/>
          <w:w w:val="100"/>
          <w:position w:val="0"/>
          <w:sz w:val="24"/>
          <w:szCs w:val="24"/>
        </w:rPr>
        <w:t>十六、报告期内接待调研、沟通、采访等活动登记表</w:t>
      </w:r>
      <w:bookmarkEnd w:id="174"/>
      <w:bookmarkEnd w:id="175"/>
      <w:bookmarkEnd w:id="176"/>
    </w:p>
    <w:tbl>
      <w:tblPr>
        <w:tblOverlap w:val="never"/>
        <w:jc w:val="center"/>
        <w:tblLayout w:type="fixed"/>
      </w:tblPr>
      <w:tblGrid>
        <w:gridCol w:w="1987"/>
        <w:gridCol w:w="1262"/>
        <w:gridCol w:w="1080"/>
        <w:gridCol w:w="898"/>
        <w:gridCol w:w="1800"/>
        <w:gridCol w:w="25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渤海证券股份有限 公司、第一创业证 券股份有限公司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公司基本情况、竞争优势 等。各参与调研人员签署指 定格式的保密《承诺书》。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信达证券股份有限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公司基本情况、竞争优势 等。各参与调研人员签署指 定格式的保密《承诺书》。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北京京富融源投资 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公司基本情况、竞争优势 等。各参与调研人员签署指 定格式的保密《承诺书》。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光大资本投资有限 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公司基本情况、竞争优势 等。各参与调研人员签署指 定格式的保密《承诺书》。</w:t>
            </w:r>
          </w:p>
        </w:tc>
      </w:tr>
    </w:tbl>
    <w:p>
      <w:pPr>
        <w:widowControl w:val="0"/>
        <w:spacing w:after="879" w:line="1" w:lineRule="exact"/>
      </w:pPr>
    </w:p>
    <w:p>
      <w:pPr>
        <w:pStyle w:val="Style14"/>
        <w:keepNext/>
        <w:keepLines/>
        <w:widowControl w:val="0"/>
        <w:shd w:val="clear" w:color="auto" w:fill="auto"/>
        <w:bidi w:val="0"/>
        <w:spacing w:before="0" w:after="540" w:line="240" w:lineRule="auto"/>
        <w:ind w:left="0" w:right="0" w:firstLine="0"/>
        <w:jc w:val="center"/>
      </w:pPr>
      <w:bookmarkStart w:id="177" w:name="bookmark177"/>
      <w:bookmarkStart w:id="178" w:name="bookmark178"/>
      <w:bookmarkStart w:id="179" w:name="bookmark179"/>
      <w:r>
        <w:rPr>
          <w:color w:val="000000"/>
          <w:spacing w:val="0"/>
          <w:w w:val="100"/>
          <w:position w:val="0"/>
        </w:rPr>
        <w:t>第五节重要事项</w:t>
      </w:r>
      <w:bookmarkEnd w:id="177"/>
      <w:bookmarkEnd w:id="178"/>
      <w:bookmarkEnd w:id="179"/>
    </w:p>
    <w:p>
      <w:pPr>
        <w:pStyle w:val="Style30"/>
        <w:keepNext/>
        <w:keepLines/>
        <w:widowControl w:val="0"/>
        <w:shd w:val="clear" w:color="auto" w:fill="auto"/>
        <w:tabs>
          <w:tab w:pos="517" w:val="left"/>
        </w:tabs>
        <w:bidi w:val="0"/>
        <w:spacing w:before="0" w:after="360" w:line="240" w:lineRule="auto"/>
        <w:ind w:left="0" w:right="0" w:firstLine="0"/>
        <w:jc w:val="both"/>
      </w:pPr>
      <w:bookmarkStart w:id="180" w:name="bookmark180"/>
      <w:bookmarkStart w:id="181" w:name="bookmark181"/>
      <w:bookmarkStart w:id="182" w:name="bookmark182"/>
      <w:bookmarkStart w:id="183" w:name="bookmark183"/>
      <w:r>
        <w:rPr>
          <w:color w:val="000000"/>
          <w:spacing w:val="0"/>
          <w:w w:val="100"/>
          <w:position w:val="0"/>
          <w:sz w:val="24"/>
          <w:szCs w:val="24"/>
        </w:rPr>
        <w:t>一</w:t>
      </w:r>
      <w:bookmarkEnd w:id="182"/>
      <w:r>
        <w:rPr>
          <w:color w:val="000000"/>
          <w:spacing w:val="0"/>
          <w:w w:val="100"/>
          <w:position w:val="0"/>
          <w:sz w:val="24"/>
          <w:szCs w:val="24"/>
        </w:rPr>
        <w:t>、</w:t>
        <w:tab/>
        <w:t>重大诉讼仲裁事项</w:t>
      </w:r>
      <w:bookmarkEnd w:id="180"/>
      <w:bookmarkEnd w:id="181"/>
      <w:bookmarkEnd w:id="183"/>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本报告期公司无重大诉讼、仲裁事项。</w:t>
      </w:r>
    </w:p>
    <w:p>
      <w:pPr>
        <w:pStyle w:val="Style30"/>
        <w:keepNext/>
        <w:keepLines/>
        <w:widowControl w:val="0"/>
        <w:shd w:val="clear" w:color="auto" w:fill="auto"/>
        <w:tabs>
          <w:tab w:pos="517" w:val="left"/>
        </w:tabs>
        <w:bidi w:val="0"/>
        <w:spacing w:before="0" w:after="360" w:line="240" w:lineRule="auto"/>
        <w:ind w:left="0" w:right="0" w:firstLine="0"/>
        <w:jc w:val="both"/>
      </w:pPr>
      <w:bookmarkStart w:id="184" w:name="bookmark184"/>
      <w:bookmarkStart w:id="185" w:name="bookmark185"/>
      <w:bookmarkStart w:id="186" w:name="bookmark186"/>
      <w:bookmarkStart w:id="187" w:name="bookmark187"/>
      <w:r>
        <w:rPr>
          <w:color w:val="000000"/>
          <w:spacing w:val="0"/>
          <w:w w:val="100"/>
          <w:position w:val="0"/>
          <w:sz w:val="24"/>
          <w:szCs w:val="24"/>
        </w:rPr>
        <w:t>二</w:t>
      </w:r>
      <w:bookmarkEnd w:id="186"/>
      <w:r>
        <w:rPr>
          <w:color w:val="000000"/>
          <w:spacing w:val="0"/>
          <w:w w:val="100"/>
          <w:position w:val="0"/>
          <w:sz w:val="24"/>
          <w:szCs w:val="24"/>
        </w:rPr>
        <w:t>、</w:t>
        <w:tab/>
        <w:t>媒体质疑情况</w:t>
      </w:r>
      <w:bookmarkEnd w:id="184"/>
      <w:bookmarkEnd w:id="185"/>
      <w:bookmarkEnd w:id="187"/>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本报告期公司无媒体普遍质疑事项。</w:t>
      </w:r>
    </w:p>
    <w:p>
      <w:pPr>
        <w:pStyle w:val="Style30"/>
        <w:keepNext/>
        <w:keepLines/>
        <w:widowControl w:val="0"/>
        <w:shd w:val="clear" w:color="auto" w:fill="auto"/>
        <w:tabs>
          <w:tab w:pos="522" w:val="left"/>
        </w:tabs>
        <w:bidi w:val="0"/>
        <w:spacing w:before="0" w:after="360" w:line="240" w:lineRule="auto"/>
        <w:ind w:left="0" w:right="0" w:firstLine="0"/>
        <w:jc w:val="both"/>
      </w:pPr>
      <w:bookmarkStart w:id="188" w:name="bookmark188"/>
      <w:bookmarkStart w:id="189" w:name="bookmark189"/>
      <w:bookmarkStart w:id="190" w:name="bookmark190"/>
      <w:bookmarkStart w:id="191" w:name="bookmark191"/>
      <w:r>
        <w:rPr>
          <w:color w:val="000000"/>
          <w:spacing w:val="0"/>
          <w:w w:val="100"/>
          <w:position w:val="0"/>
          <w:sz w:val="24"/>
          <w:szCs w:val="24"/>
        </w:rPr>
        <w:t>三</w:t>
      </w:r>
      <w:bookmarkEnd w:id="190"/>
      <w:r>
        <w:rPr>
          <w:color w:val="000000"/>
          <w:spacing w:val="0"/>
          <w:w w:val="100"/>
          <w:position w:val="0"/>
          <w:sz w:val="24"/>
          <w:szCs w:val="24"/>
        </w:rPr>
        <w:t>、</w:t>
        <w:tab/>
        <w:t>控股股东及其关联方对上市公司的非经营性占用资金情况</w:t>
      </w:r>
      <w:bookmarkEnd w:id="188"/>
      <w:bookmarkEnd w:id="189"/>
      <w:bookmarkEnd w:id="191"/>
    </w:p>
    <w:p>
      <w:pPr>
        <w:pStyle w:val="Style35"/>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本年度公司无发生控股股东及其关联方非经营性占用资金情况。</w:t>
      </w:r>
    </w:p>
    <w:p>
      <w:pPr>
        <w:pStyle w:val="Style64"/>
        <w:keepNext/>
        <w:keepLines/>
        <w:widowControl w:val="0"/>
        <w:shd w:val="clear" w:color="auto" w:fill="auto"/>
        <w:bidi w:val="0"/>
        <w:spacing w:before="0" w:line="240" w:lineRule="auto"/>
        <w:ind w:left="0" w:right="0" w:firstLine="0"/>
        <w:jc w:val="right"/>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1900" w:h="16840"/>
          <w:pgMar w:top="1199" w:right="1032" w:bottom="1149" w:left="1076" w:header="0" w:footer="3" w:gutter="0"/>
          <w:cols w:space="720"/>
          <w:noEndnote/>
          <w:titlePg/>
          <w:rtlGutter w:val="0"/>
          <w:docGrid w:linePitch="360"/>
        </w:sectPr>
      </w:pPr>
      <w:bookmarkStart w:id="192" w:name="bookmark192"/>
      <w:bookmarkStart w:id="193" w:name="bookmark193"/>
      <w:bookmarkStart w:id="194" w:name="bookmark194"/>
      <w:r>
        <w:rPr>
          <w:spacing w:val="0"/>
          <w:w w:val="100"/>
          <w:position w:val="0"/>
        </w:rPr>
        <w:t xml:space="preserve">cnii </w:t>
      </w:r>
      <w:r>
        <w:rPr>
          <w:color w:val="7D7D7D"/>
          <w:spacing w:val="0"/>
          <w:w w:val="100"/>
          <w:position w:val="0"/>
          <w:vertAlign w:val="subscript"/>
        </w:rPr>
        <w:t>2</w:t>
      </w:r>
      <w:bookmarkEnd w:id="192"/>
      <w:bookmarkEnd w:id="193"/>
      <w:bookmarkEnd w:id="194"/>
    </w:p>
    <w:p>
      <w:pPr>
        <w:pStyle w:val="Style30"/>
        <w:keepNext/>
        <w:keepLines/>
        <w:widowControl w:val="0"/>
        <w:shd w:val="clear" w:color="auto" w:fill="auto"/>
        <w:tabs>
          <w:tab w:pos="498" w:val="left"/>
          <w:tab w:pos="7560" w:val="left"/>
        </w:tabs>
        <w:bidi w:val="0"/>
        <w:spacing w:before="0" w:after="320" w:line="240" w:lineRule="auto"/>
        <w:ind w:left="0" w:right="0" w:firstLine="0"/>
        <w:jc w:val="left"/>
        <w:rPr>
          <w:sz w:val="20"/>
          <w:szCs w:val="20"/>
        </w:rPr>
      </w:pPr>
      <w:bookmarkStart w:id="195" w:name="bookmark195"/>
      <w:bookmarkStart w:id="196" w:name="bookmark196"/>
      <w:bookmarkStart w:id="197" w:name="bookmark197"/>
      <w:bookmarkStart w:id="198" w:name="bookmark198"/>
      <w:r>
        <w:rPr>
          <w:color w:val="000000"/>
          <w:spacing w:val="0"/>
          <w:w w:val="100"/>
          <w:position w:val="0"/>
          <w:sz w:val="24"/>
          <w:szCs w:val="24"/>
        </w:rPr>
        <w:t>四</w:t>
      </w:r>
      <w:bookmarkEnd w:id="197"/>
      <w:r>
        <w:rPr>
          <w:color w:val="000000"/>
          <w:spacing w:val="0"/>
          <w:w w:val="100"/>
          <w:position w:val="0"/>
          <w:sz w:val="24"/>
          <w:szCs w:val="24"/>
        </w:rPr>
        <w:t>、</w:t>
        <w:tab/>
        <w:t>破产重整相关事项</w:t>
        <w:tab/>
      </w:r>
      <w:r>
        <w:rPr>
          <w:b w:val="0"/>
          <w:bCs w:val="0"/>
          <w:color w:val="000000"/>
          <w:spacing w:val="0"/>
          <w:w w:val="100"/>
          <w:position w:val="0"/>
          <w:sz w:val="20"/>
          <w:szCs w:val="20"/>
        </w:rPr>
        <w:t>口</w:t>
      </w:r>
      <w:r>
        <w:rPr>
          <w:b w:val="0"/>
          <w:bCs w:val="0"/>
          <w:color w:val="000000"/>
          <w:spacing w:val="0"/>
          <w:w w:val="100"/>
          <w:position w:val="0"/>
          <w:sz w:val="20"/>
          <w:szCs w:val="20"/>
        </w:rPr>
        <w:t>适用</w:t>
      </w:r>
      <w:r>
        <w:rPr>
          <w:rFonts w:ascii="Times New Roman" w:eastAsia="Times New Roman" w:hAnsi="Times New Roman" w:cs="Times New Roman"/>
          <w:b w:val="0"/>
          <w:bCs w:val="0"/>
          <w:color w:val="000000"/>
          <w:spacing w:val="0"/>
          <w:w w:val="100"/>
          <w:position w:val="0"/>
          <w:sz w:val="20"/>
          <w:szCs w:val="20"/>
        </w:rPr>
        <w:t>q</w:t>
      </w:r>
      <w:r>
        <w:rPr>
          <w:b w:val="0"/>
          <w:bCs w:val="0"/>
          <w:color w:val="000000"/>
          <w:spacing w:val="0"/>
          <w:w w:val="100"/>
          <w:position w:val="0"/>
          <w:sz w:val="20"/>
          <w:szCs w:val="20"/>
        </w:rPr>
        <w:t>不适用</w:t>
      </w:r>
      <w:bookmarkEnd w:id="195"/>
      <w:bookmarkEnd w:id="196"/>
      <w:bookmarkEnd w:id="198"/>
    </w:p>
    <w:p>
      <w:pPr>
        <w:pStyle w:val="Style30"/>
        <w:keepNext/>
        <w:keepLines/>
        <w:widowControl w:val="0"/>
        <w:shd w:val="clear" w:color="auto" w:fill="auto"/>
        <w:tabs>
          <w:tab w:pos="517" w:val="left"/>
        </w:tabs>
        <w:bidi w:val="0"/>
        <w:spacing w:before="0" w:after="320" w:line="240" w:lineRule="auto"/>
        <w:ind w:left="0" w:right="0" w:firstLine="0"/>
        <w:jc w:val="left"/>
      </w:pPr>
      <w:bookmarkStart w:id="195" w:name="bookmark195"/>
      <w:bookmarkStart w:id="196" w:name="bookmark196"/>
      <w:bookmarkStart w:id="199" w:name="bookmark199"/>
      <w:bookmarkStart w:id="200" w:name="bookmark200"/>
      <w:r>
        <w:rPr>
          <w:color w:val="000000"/>
          <w:spacing w:val="0"/>
          <w:w w:val="100"/>
          <w:position w:val="0"/>
          <w:sz w:val="24"/>
          <w:szCs w:val="24"/>
        </w:rPr>
        <w:t>五</w:t>
      </w:r>
      <w:bookmarkEnd w:id="199"/>
      <w:r>
        <w:rPr>
          <w:color w:val="000000"/>
          <w:spacing w:val="0"/>
          <w:w w:val="100"/>
          <w:position w:val="0"/>
          <w:sz w:val="24"/>
          <w:szCs w:val="24"/>
        </w:rPr>
        <w:t>、</w:t>
        <w:tab/>
        <w:t>资产交易事项</w:t>
      </w:r>
      <w:bookmarkEnd w:id="195"/>
      <w:bookmarkEnd w:id="196"/>
      <w:bookmarkEnd w:id="200"/>
    </w:p>
    <w:p>
      <w:pPr>
        <w:pStyle w:val="Style35"/>
        <w:keepNext w:val="0"/>
        <w:keepLines w:val="0"/>
        <w:widowControl w:val="0"/>
        <w:shd w:val="clear" w:color="auto" w:fill="auto"/>
        <w:bidi w:val="0"/>
        <w:spacing w:before="0" w:after="320" w:line="403" w:lineRule="exact"/>
        <w:ind w:left="0" w:right="0" w:firstLine="0"/>
        <w:jc w:val="left"/>
      </w:pPr>
      <w:r>
        <w:rPr>
          <w:color w:val="000000"/>
          <w:spacing w:val="0"/>
          <w:w w:val="100"/>
          <w:position w:val="0"/>
        </w:rPr>
        <w:t>本年度公司无发生收购资产、出售资产、企业合并等情况。</w:t>
      </w:r>
    </w:p>
    <w:p>
      <w:pPr>
        <w:pStyle w:val="Style30"/>
        <w:keepNext/>
        <w:keepLines/>
        <w:widowControl w:val="0"/>
        <w:shd w:val="clear" w:color="auto" w:fill="auto"/>
        <w:tabs>
          <w:tab w:pos="522" w:val="left"/>
          <w:tab w:pos="7560" w:val="left"/>
        </w:tabs>
        <w:bidi w:val="0"/>
        <w:spacing w:before="0" w:after="360" w:line="240" w:lineRule="auto"/>
        <w:ind w:left="0" w:right="0" w:firstLine="0"/>
        <w:jc w:val="left"/>
        <w:rPr>
          <w:sz w:val="20"/>
          <w:szCs w:val="20"/>
        </w:rPr>
      </w:pPr>
      <w:bookmarkStart w:id="201" w:name="bookmark201"/>
      <w:bookmarkStart w:id="202" w:name="bookmark202"/>
      <w:bookmarkStart w:id="203" w:name="bookmark203"/>
      <w:bookmarkStart w:id="204" w:name="bookmark204"/>
      <w:r>
        <w:rPr>
          <w:color w:val="000000"/>
          <w:spacing w:val="0"/>
          <w:w w:val="100"/>
          <w:position w:val="0"/>
          <w:sz w:val="24"/>
          <w:szCs w:val="24"/>
        </w:rPr>
        <w:t>六</w:t>
      </w:r>
      <w:bookmarkEnd w:id="203"/>
      <w:r>
        <w:rPr>
          <w:color w:val="000000"/>
          <w:spacing w:val="0"/>
          <w:w w:val="100"/>
          <w:position w:val="0"/>
          <w:sz w:val="24"/>
          <w:szCs w:val="24"/>
        </w:rPr>
        <w:t>、</w:t>
        <w:tab/>
        <w:t>公司股权激励的实施情况及其影响</w:t>
        <w:tab/>
      </w:r>
      <w:r>
        <w:rPr>
          <w:b w:val="0"/>
          <w:bCs w:val="0"/>
          <w:color w:val="000000"/>
          <w:spacing w:val="0"/>
          <w:w w:val="100"/>
          <w:position w:val="0"/>
          <w:sz w:val="20"/>
          <w:szCs w:val="20"/>
        </w:rPr>
        <w:t>口</w:t>
      </w:r>
      <w:r>
        <w:rPr>
          <w:b w:val="0"/>
          <w:bCs w:val="0"/>
          <w:color w:val="000000"/>
          <w:spacing w:val="0"/>
          <w:w w:val="100"/>
          <w:position w:val="0"/>
          <w:sz w:val="20"/>
          <w:szCs w:val="20"/>
        </w:rPr>
        <w:t>适用</w:t>
      </w:r>
      <w:r>
        <w:rPr>
          <w:b w:val="0"/>
          <w:bCs w:val="0"/>
          <w:i/>
          <w:iCs/>
          <w:color w:val="000000"/>
          <w:spacing w:val="0"/>
          <w:w w:val="100"/>
          <w:position w:val="0"/>
          <w:sz w:val="20"/>
          <w:szCs w:val="20"/>
        </w:rPr>
        <w:t>q</w:t>
      </w:r>
      <w:r>
        <w:rPr>
          <w:b w:val="0"/>
          <w:bCs w:val="0"/>
          <w:color w:val="000000"/>
          <w:spacing w:val="0"/>
          <w:w w:val="100"/>
          <w:position w:val="0"/>
          <w:sz w:val="20"/>
          <w:szCs w:val="20"/>
        </w:rPr>
        <w:t>不适用</w:t>
      </w:r>
      <w:bookmarkEnd w:id="201"/>
      <w:bookmarkEnd w:id="202"/>
      <w:bookmarkEnd w:id="204"/>
    </w:p>
    <w:p>
      <w:pPr>
        <w:pStyle w:val="Style30"/>
        <w:keepNext/>
        <w:keepLines/>
        <w:widowControl w:val="0"/>
        <w:shd w:val="clear" w:color="auto" w:fill="auto"/>
        <w:tabs>
          <w:tab w:pos="522" w:val="left"/>
        </w:tabs>
        <w:bidi w:val="0"/>
        <w:spacing w:before="0" w:after="320" w:line="240" w:lineRule="auto"/>
        <w:ind w:left="0" w:right="0" w:firstLine="0"/>
        <w:jc w:val="left"/>
      </w:pPr>
      <w:bookmarkStart w:id="201" w:name="bookmark201"/>
      <w:bookmarkStart w:id="202" w:name="bookmark202"/>
      <w:bookmarkStart w:id="205" w:name="bookmark205"/>
      <w:bookmarkStart w:id="206" w:name="bookmark206"/>
      <w:r>
        <w:rPr>
          <w:color w:val="000000"/>
          <w:spacing w:val="0"/>
          <w:w w:val="100"/>
          <w:position w:val="0"/>
          <w:sz w:val="24"/>
          <w:szCs w:val="24"/>
        </w:rPr>
        <w:t>七</w:t>
      </w:r>
      <w:bookmarkEnd w:id="205"/>
      <w:r>
        <w:rPr>
          <w:color w:val="000000"/>
          <w:spacing w:val="0"/>
          <w:w w:val="100"/>
          <w:position w:val="0"/>
          <w:sz w:val="24"/>
          <w:szCs w:val="24"/>
        </w:rPr>
        <w:t>、</w:t>
        <w:tab/>
        <w:t>重大关联交易</w:t>
      </w:r>
      <w:bookmarkEnd w:id="201"/>
      <w:bookmarkEnd w:id="202"/>
      <w:bookmarkEnd w:id="206"/>
    </w:p>
    <w:p>
      <w:pPr>
        <w:pStyle w:val="Style35"/>
        <w:keepNext w:val="0"/>
        <w:keepLines w:val="0"/>
        <w:widowControl w:val="0"/>
        <w:shd w:val="clear" w:color="auto" w:fill="auto"/>
        <w:bidi w:val="0"/>
        <w:spacing w:before="0" w:after="320" w:line="403" w:lineRule="exact"/>
        <w:ind w:left="0" w:right="0" w:firstLine="0"/>
        <w:jc w:val="left"/>
      </w:pPr>
      <w:r>
        <w:rPr>
          <w:color w:val="000000"/>
          <w:spacing w:val="0"/>
          <w:w w:val="100"/>
          <w:position w:val="0"/>
        </w:rPr>
        <w:t>本年度公司无发生与日常经营相关的关联交易、资产收购、出售发生的关联交易、共同对外投资的重大关 联交易、关联债权债务往来、其他重大关联交易等情况。</w:t>
      </w:r>
    </w:p>
    <w:p>
      <w:pPr>
        <w:pStyle w:val="Style30"/>
        <w:keepNext/>
        <w:keepLines/>
        <w:widowControl w:val="0"/>
        <w:shd w:val="clear" w:color="auto" w:fill="auto"/>
        <w:tabs>
          <w:tab w:pos="522" w:val="left"/>
          <w:tab w:pos="7560" w:val="left"/>
        </w:tabs>
        <w:bidi w:val="0"/>
        <w:spacing w:before="0" w:after="320" w:line="240" w:lineRule="auto"/>
        <w:ind w:left="0" w:right="0" w:firstLine="0"/>
        <w:jc w:val="left"/>
        <w:rPr>
          <w:sz w:val="20"/>
          <w:szCs w:val="20"/>
        </w:rPr>
      </w:pPr>
      <w:bookmarkStart w:id="207" w:name="bookmark207"/>
      <w:bookmarkStart w:id="208" w:name="bookmark208"/>
      <w:bookmarkStart w:id="209" w:name="bookmark209"/>
      <w:bookmarkStart w:id="210" w:name="bookmark210"/>
      <w:r>
        <w:rPr>
          <w:color w:val="000000"/>
          <w:spacing w:val="0"/>
          <w:w w:val="100"/>
          <w:position w:val="0"/>
          <w:sz w:val="24"/>
          <w:szCs w:val="24"/>
        </w:rPr>
        <w:t>八</w:t>
      </w:r>
      <w:bookmarkEnd w:id="209"/>
      <w:r>
        <w:rPr>
          <w:color w:val="000000"/>
          <w:spacing w:val="0"/>
          <w:w w:val="100"/>
          <w:position w:val="0"/>
          <w:sz w:val="24"/>
          <w:szCs w:val="24"/>
        </w:rPr>
        <w:t>、</w:t>
        <w:tab/>
        <w:t>重大合同及其履行情况</w:t>
        <w:tab/>
      </w:r>
      <w:r>
        <w:rPr>
          <w:b w:val="0"/>
          <w:bCs w:val="0"/>
          <w:color w:val="000000"/>
          <w:spacing w:val="0"/>
          <w:w w:val="100"/>
          <w:position w:val="0"/>
          <w:sz w:val="20"/>
          <w:szCs w:val="20"/>
        </w:rPr>
        <w:t>口</w:t>
      </w:r>
      <w:r>
        <w:rPr>
          <w:b w:val="0"/>
          <w:bCs w:val="0"/>
          <w:color w:val="000000"/>
          <w:spacing w:val="0"/>
          <w:w w:val="100"/>
          <w:position w:val="0"/>
          <w:sz w:val="20"/>
          <w:szCs w:val="20"/>
        </w:rPr>
        <w:t>适用</w:t>
      </w:r>
      <w:r>
        <w:rPr>
          <w:rFonts w:ascii="Times New Roman" w:eastAsia="Times New Roman" w:hAnsi="Times New Roman" w:cs="Times New Roman"/>
          <w:b w:val="0"/>
          <w:bCs w:val="0"/>
          <w:color w:val="000000"/>
          <w:spacing w:val="0"/>
          <w:w w:val="100"/>
          <w:position w:val="0"/>
          <w:sz w:val="20"/>
          <w:szCs w:val="20"/>
        </w:rPr>
        <w:t>q</w:t>
      </w:r>
      <w:r>
        <w:rPr>
          <w:b w:val="0"/>
          <w:bCs w:val="0"/>
          <w:color w:val="000000"/>
          <w:spacing w:val="0"/>
          <w:w w:val="100"/>
          <w:position w:val="0"/>
          <w:sz w:val="20"/>
          <w:szCs w:val="20"/>
        </w:rPr>
        <w:t>不适用</w:t>
      </w:r>
      <w:bookmarkEnd w:id="207"/>
      <w:bookmarkEnd w:id="208"/>
      <w:bookmarkEnd w:id="210"/>
    </w:p>
    <w:p>
      <w:pPr>
        <w:pStyle w:val="Style30"/>
        <w:keepNext/>
        <w:keepLines/>
        <w:widowControl w:val="0"/>
        <w:shd w:val="clear" w:color="auto" w:fill="auto"/>
        <w:tabs>
          <w:tab w:pos="522" w:val="left"/>
        </w:tabs>
        <w:bidi w:val="0"/>
        <w:spacing w:before="0" w:after="360" w:line="240" w:lineRule="auto"/>
        <w:ind w:left="0" w:right="0" w:firstLine="0"/>
        <w:jc w:val="left"/>
      </w:pPr>
      <w:bookmarkStart w:id="207" w:name="bookmark207"/>
      <w:bookmarkStart w:id="208" w:name="bookmark208"/>
      <w:bookmarkStart w:id="211" w:name="bookmark211"/>
      <w:bookmarkStart w:id="212" w:name="bookmark212"/>
      <w:r>
        <w:rPr>
          <w:color w:val="000000"/>
          <w:spacing w:val="0"/>
          <w:w w:val="100"/>
          <w:position w:val="0"/>
          <w:sz w:val="24"/>
          <w:szCs w:val="24"/>
        </w:rPr>
        <w:t>九</w:t>
      </w:r>
      <w:bookmarkEnd w:id="211"/>
      <w:r>
        <w:rPr>
          <w:color w:val="000000"/>
          <w:spacing w:val="0"/>
          <w:w w:val="100"/>
          <w:position w:val="0"/>
          <w:sz w:val="24"/>
          <w:szCs w:val="24"/>
        </w:rPr>
        <w:t>、</w:t>
        <w:tab/>
        <w:t>承诺事项履行情况</w:t>
      </w:r>
      <w:bookmarkEnd w:id="207"/>
      <w:bookmarkEnd w:id="208"/>
      <w:bookmarkEnd w:id="212"/>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、公司或持股</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以上股东在报告期内发生或以前期间发生但持续到报告期内的承诺事项</w:t>
      </w:r>
    </w:p>
    <w:tbl>
      <w:tblPr>
        <w:tblOverlap w:val="never"/>
        <w:jc w:val="center"/>
        <w:tblLayout w:type="fixed"/>
      </w:tblPr>
      <w:tblGrid>
        <w:gridCol w:w="907"/>
        <w:gridCol w:w="1440"/>
        <w:gridCol w:w="4502"/>
        <w:gridCol w:w="898"/>
        <w:gridCol w:w="902"/>
        <w:gridCol w:w="907"/>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16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控股股东锐达 投资、香港华声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自本公司股票上市之日起三十六个月内，除香港 华声与锐达投资存在股份委托管理的情形外，香 港华声及锐达投资不转让或者委托他人管理其持 有的本公司股份，也不由本公司回购其持有的股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股东远茂化工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自本公司股票上市之日起三十六个月内，不转让 或者委托他人管理其持有的本公司股份，也不由 本公司回购其持有的股份。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9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实际控制人罗 桥胜、冯倩红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自本公司股票上市之日起三十六个月内，不转让 或者委托他人管理其于本公司公开发行股票前已 经持有的香港华声、锐达投资股权，也不由香港 华声、锐达投资回购其所持股权；不转让或者委 托他人管理其持有的本公司股份，也不由本公司 回购其持有的股份。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96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董监高罗桥胜、 冯倩红、卢锡 球、黄喜强、谢 基柱、卢惠全、 刘琛、刘世明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在作为本公司董事、监事、高级管理人员期间， 每年转让的股份不超过其直接或间接持有本公司 股份总数的</w:t>
            </w:r>
            <w:r>
              <w:rPr>
                <w:rFonts w:ascii="Times New Roman" w:eastAsia="Times New Roman" w:hAnsi="Times New Roman" w:cs="Times New Roman"/>
                <w:color w:val="000000"/>
                <w:spacing w:val="0"/>
                <w:w w:val="100"/>
                <w:position w:val="0"/>
              </w:rPr>
              <w:t>25%</w:t>
            </w:r>
            <w:r>
              <w:rPr>
                <w:color w:val="000000"/>
                <w:spacing w:val="0"/>
                <w:w w:val="100"/>
                <w:position w:val="0"/>
              </w:rPr>
              <w:t>。如其离职，离职后半年内不转 让其所持有的本公司股份，在申报离任六个月后 的十二个月内通过证券交易所挂牌交易出售的股 份不超过其所持有本公司股份总数的</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17" w:lineRule="exact"/>
              <w:ind w:left="0" w:right="0" w:firstLine="0"/>
              <w:jc w:val="both"/>
            </w:pPr>
            <w:r>
              <w:rPr>
                <w:color w:val="000000"/>
                <w:spacing w:val="0"/>
                <w:w w:val="100"/>
                <w:position w:val="0"/>
              </w:rPr>
              <w:t>公司上市 一年后至 其离任后</w:t>
            </w:r>
          </w:p>
          <w:p>
            <w:pPr>
              <w:pStyle w:val="Style2"/>
              <w:keepNext w:val="0"/>
              <w:keepLines w:val="0"/>
              <w:widowControl w:val="0"/>
              <w:shd w:val="clear" w:color="auto" w:fill="auto"/>
              <w:bidi w:val="0"/>
              <w:spacing w:before="0" w:after="0" w:line="331"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04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实际控制人罗 桥胜、冯倩红及 股东锐达投资、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不直接或间接从事、参与或进行与本公司的生产、 经营相竞争的任何活动。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widowControl w:val="0"/>
        <w:spacing w:line="1" w:lineRule="exact"/>
      </w:pPr>
      <w:r>
        <w:br w:type="page"/>
      </w:r>
    </w:p>
    <w:tbl>
      <w:tblPr>
        <w:tblOverlap w:val="never"/>
        <w:jc w:val="center"/>
        <w:tblLayout w:type="fixed"/>
      </w:tblPr>
      <w:tblGrid>
        <w:gridCol w:w="907"/>
        <w:gridCol w:w="1440"/>
        <w:gridCol w:w="4502"/>
        <w:gridCol w:w="898"/>
        <w:gridCol w:w="902"/>
        <w:gridCol w:w="907"/>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香港华声、远茂 化工、诚众投资</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实际控制人罗 桥胜、冯倩红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、在香港华声持有公司股份期间，保证促使香港 华声和锐达投资不终止并完全履行于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日签署的《股份委托管理协议书》，不再通过 香港华声行使除资产收益权和处置权以外的其他 全部股东权利。</w:t>
            </w:r>
            <w:r>
              <w:rPr>
                <w:rFonts w:ascii="Times New Roman" w:eastAsia="Times New Roman" w:hAnsi="Times New Roman" w:cs="Times New Roman"/>
                <w:color w:val="000000"/>
                <w:spacing w:val="0"/>
                <w:w w:val="100"/>
                <w:position w:val="0"/>
              </w:rPr>
              <w:t>2</w:t>
            </w:r>
            <w:r>
              <w:rPr>
                <w:color w:val="000000"/>
                <w:spacing w:val="0"/>
                <w:w w:val="100"/>
                <w:position w:val="0"/>
              </w:rPr>
              <w:t>、在香港华声持有公司股份期间， 保证不转让香港华声和锐达投资的股权或引进新 的股东；保证维持香港华声及锐达投资的董事不 变，即香港华声的董事为罗桥胜及冯倩红，锐达 投资的执行董事为罗桥胜。</w:t>
            </w:r>
            <w:r>
              <w:rPr>
                <w:rFonts w:ascii="Times New Roman" w:eastAsia="Times New Roman" w:hAnsi="Times New Roman" w:cs="Times New Roman"/>
                <w:color w:val="000000"/>
                <w:spacing w:val="0"/>
                <w:w w:val="100"/>
                <w:position w:val="0"/>
              </w:rPr>
              <w:t>3</w:t>
            </w:r>
            <w:r>
              <w:rPr>
                <w:color w:val="000000"/>
                <w:spacing w:val="0"/>
                <w:w w:val="100"/>
                <w:position w:val="0"/>
              </w:rPr>
              <w:t>、在香港华声及锐达 投资所持公司股份达到法定减持条件并依法减持 时，保证先减持香港华声所持公司的股份；在香 港华声所持公司的股份减持完毕之前，不减持锐 达投资所持公司的股份。</w:t>
            </w:r>
            <w:r>
              <w:rPr>
                <w:rFonts w:ascii="Times New Roman" w:eastAsia="Times New Roman" w:hAnsi="Times New Roman" w:cs="Times New Roman"/>
                <w:color w:val="000000"/>
                <w:spacing w:val="0"/>
                <w:w w:val="100"/>
                <w:position w:val="0"/>
              </w:rPr>
              <w:t>4</w:t>
            </w:r>
            <w:r>
              <w:rPr>
                <w:color w:val="000000"/>
                <w:spacing w:val="0"/>
                <w:w w:val="100"/>
                <w:position w:val="0"/>
              </w:rPr>
              <w:t>、保证无条件配合中国 证监会及其派出机构、主管部门、保荐机构、律 师、会计师对香港华声的监管及调查要求。</w:t>
            </w:r>
            <w:r>
              <w:rPr>
                <w:rFonts w:ascii="Times New Roman" w:eastAsia="Times New Roman" w:hAnsi="Times New Roman" w:cs="Times New Roman"/>
                <w:color w:val="000000"/>
                <w:spacing w:val="0"/>
                <w:w w:val="100"/>
                <w:position w:val="0"/>
              </w:rPr>
              <w:t>5</w:t>
            </w:r>
            <w:r>
              <w:rPr>
                <w:color w:val="000000"/>
                <w:spacing w:val="0"/>
                <w:w w:val="100"/>
                <w:position w:val="0"/>
              </w:rPr>
              <w:t>、若 违背上述承诺，除承担相关处罚等法律责任及向 有关利益方承担损害赔偿责任外，还将向公司一 次支付赔偿金</w:t>
            </w: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严格履行</w:t>
            </w:r>
          </w:p>
        </w:tc>
      </w:tr>
      <w:tr>
        <w:trPr>
          <w:trHeight w:val="37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9"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未完成履行的具体原因及下一步计划</w:t>
            </w: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39" w:line="1" w:lineRule="exact"/>
      </w:pPr>
    </w:p>
    <w:p>
      <w:pPr>
        <w:pStyle w:val="Style35"/>
        <w:keepNext w:val="0"/>
        <w:keepLines w:val="0"/>
        <w:widowControl w:val="0"/>
        <w:shd w:val="clear" w:color="auto" w:fill="auto"/>
        <w:tabs>
          <w:tab w:pos="7699" w:val="left"/>
        </w:tabs>
        <w:bidi w:val="0"/>
        <w:spacing w:before="0" w:after="340" w:line="322" w:lineRule="exact"/>
        <w:ind w:left="0" w:right="0" w:firstLine="0"/>
        <w:jc w:val="left"/>
      </w:pPr>
      <w:bookmarkStart w:id="213" w:name="bookmark213"/>
      <w:r>
        <w:rPr>
          <w:rFonts w:ascii="Times New Roman" w:eastAsia="Times New Roman" w:hAnsi="Times New Roman" w:cs="Times New Roman"/>
          <w:b/>
          <w:bCs/>
          <w:color w:val="000000"/>
          <w:spacing w:val="0"/>
          <w:w w:val="100"/>
          <w:position w:val="0"/>
        </w:rPr>
        <w:t>2</w:t>
      </w:r>
      <w:bookmarkEnd w:id="213"/>
      <w:r>
        <w:rPr>
          <w:b/>
          <w:bCs/>
          <w:color w:val="000000"/>
          <w:spacing w:val="0"/>
          <w:w w:val="100"/>
          <w:position w:val="0"/>
        </w:rPr>
        <w:t>、公司资产或项目存在盈利预测，且报告期仍处在盈利预测期间，公司就资产或项目达到原盈利预测及 其原因做出说明</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214" w:name="bookmark214"/>
      <w:bookmarkStart w:id="215" w:name="bookmark215"/>
      <w:bookmarkStart w:id="216" w:name="bookmark216"/>
      <w:r>
        <w:rPr>
          <w:color w:val="000000"/>
          <w:spacing w:val="0"/>
          <w:w w:val="100"/>
          <w:position w:val="0"/>
          <w:sz w:val="24"/>
          <w:szCs w:val="24"/>
        </w:rPr>
        <w:t>十、聘任、解聘会计师事务所情况</w:t>
      </w:r>
      <w:bookmarkEnd w:id="214"/>
      <w:bookmarkEnd w:id="215"/>
      <w:bookmarkEnd w:id="216"/>
    </w:p>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现聘任的会计师事务所</w:t>
      </w:r>
    </w:p>
    <w:tbl>
      <w:tblPr>
        <w:tblOverlap w:val="never"/>
        <w:jc w:val="center"/>
        <w:tblLayout w:type="fixed"/>
      </w:tblPr>
      <w:tblGrid>
        <w:gridCol w:w="4507"/>
        <w:gridCol w:w="507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r>
              <w:rPr>
                <w:rFonts w:ascii="Times New Roman" w:eastAsia="Times New Roman" w:hAnsi="Times New Roman" w:cs="Times New Roman"/>
                <w:color w:val="000000"/>
                <w:spacing w:val="0"/>
                <w:w w:val="100"/>
                <w:position w:val="0"/>
              </w:rPr>
              <w:t>（</w:t>
            </w:r>
            <w:r>
              <w:rPr>
                <w:color w:val="000000"/>
                <w:spacing w:val="0"/>
                <w:w w:val="100"/>
                <w:position w:val="0"/>
              </w:rPr>
              <w:t>万元</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张锦坤、漆红燕</w:t>
            </w:r>
          </w:p>
        </w:tc>
      </w:tr>
    </w:tbl>
    <w:p>
      <w:pPr>
        <w:pStyle w:val="Style38"/>
        <w:keepNext w:val="0"/>
        <w:keepLines w:val="0"/>
        <w:widowControl w:val="0"/>
        <w:shd w:val="clear" w:color="auto" w:fill="auto"/>
        <w:tabs>
          <w:tab w:pos="8064" w:val="left"/>
        </w:tabs>
        <w:bidi w:val="0"/>
        <w:spacing w:before="0" w:after="80" w:line="240" w:lineRule="auto"/>
        <w:ind w:left="0" w:right="0" w:firstLine="0"/>
        <w:jc w:val="left"/>
      </w:pPr>
      <w:r>
        <w:rPr>
          <w:b/>
          <w:bCs/>
          <w:color w:val="000000"/>
          <w:spacing w:val="0"/>
          <w:w w:val="100"/>
          <w:position w:val="0"/>
        </w:rPr>
        <w:t>当期是否改聘会计师事务所</w:t>
        <w:tab/>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8"/>
        <w:keepNext w:val="0"/>
        <w:keepLines w:val="0"/>
        <w:widowControl w:val="0"/>
        <w:shd w:val="clear" w:color="auto" w:fill="auto"/>
        <w:tabs>
          <w:tab w:pos="7459" w:val="left"/>
        </w:tabs>
        <w:bidi w:val="0"/>
        <w:spacing w:before="0" w:after="0" w:line="240" w:lineRule="auto"/>
        <w:ind w:left="0" w:right="0" w:firstLine="0"/>
        <w:jc w:val="left"/>
      </w:pPr>
      <w:r>
        <w:rPr>
          <w:b/>
          <w:bCs/>
          <w:color w:val="000000"/>
          <w:spacing w:val="0"/>
          <w:w w:val="100"/>
          <w:position w:val="0"/>
        </w:rPr>
        <w:t>聘请内部控制审计会计师事务所、财务顾问或保荐人情况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17" w:name="bookmark217"/>
      <w:bookmarkStart w:id="218" w:name="bookmark218"/>
      <w:bookmarkStart w:id="219" w:name="bookmark219"/>
      <w:r>
        <w:rPr>
          <w:color w:val="000000"/>
          <w:spacing w:val="0"/>
          <w:w w:val="100"/>
          <w:position w:val="0"/>
          <w:sz w:val="24"/>
          <w:szCs w:val="24"/>
        </w:rPr>
        <w:t>十一、监事会、独立董事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如适用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17"/>
      <w:bookmarkEnd w:id="218"/>
      <w:bookmarkEnd w:id="219"/>
    </w:p>
    <w:p>
      <w:pPr>
        <w:pStyle w:val="Style35"/>
        <w:keepNext w:val="0"/>
        <w:keepLines w:val="0"/>
        <w:widowControl w:val="0"/>
        <w:shd w:val="clear" w:color="auto" w:fill="auto"/>
        <w:bidi w:val="0"/>
        <w:spacing w:before="0" w:after="340" w:line="240" w:lineRule="auto"/>
        <w:ind w:left="0" w:right="480" w:firstLine="0"/>
        <w:jc w:val="right"/>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199" w:right="1032" w:bottom="1149" w:left="107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68"/>
        <w:keepNext w:val="0"/>
        <w:keepLines w:val="0"/>
        <w:widowControl w:val="0"/>
        <w:shd w:val="clear" w:color="auto" w:fill="auto"/>
        <w:bidi w:val="0"/>
        <w:spacing w:before="0" w:line="240" w:lineRule="auto"/>
        <w:ind w:left="0" w:right="0" w:firstLine="0"/>
        <w:jc w:val="left"/>
      </w:pPr>
      <w:r>
        <mc:AlternateContent>
          <mc:Choice Requires="wps">
            <w:drawing>
              <wp:anchor distT="0" distB="770890" distL="114300" distR="114300" simplePos="0" relativeHeight="125829384" behindDoc="0" locked="0" layoutInCell="1" allowOverlap="1">
                <wp:simplePos x="0" y="0"/>
                <wp:positionH relativeFrom="page">
                  <wp:posOffset>5499100</wp:posOffset>
                </wp:positionH>
                <wp:positionV relativeFrom="paragraph">
                  <wp:posOffset>12700</wp:posOffset>
                </wp:positionV>
                <wp:extent cx="1054735" cy="966470"/>
                <wp:wrapSquare wrapText="left"/>
                <wp:docPr id="137" name="Shape 137"/>
                <a:graphic xmlns:a="http://schemas.openxmlformats.org/drawingml/2006/main">
                  <a:graphicData uri="http://schemas.microsoft.com/office/word/2010/wordprocessingShape">
                    <wps:wsp>
                      <wps:cNvSpPr txBox="1"/>
                      <wps:spPr>
                        <a:xfrm>
                          <a:ext cx="1054735" cy="966470"/>
                        </a:xfrm>
                        <a:prstGeom prst="rect"/>
                        <a:noFill/>
                      </wps:spPr>
                      <wps:txbx>
                        <w:txbxContent>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wps:txbx>
                      <wps:bodyPr lIns="0" tIns="0" rIns="0" bIns="0">
                        <a:noAutoFit/>
                      </wps:bodyPr>
                    </wps:wsp>
                  </a:graphicData>
                </a:graphic>
              </wp:anchor>
            </w:drawing>
          </mc:Choice>
          <mc:Fallback>
            <w:pict>
              <v:shape id="_x0000_s1163" type="#_x0000_t202" style="position:absolute;margin-left:433.pt;margin-top:1.pt;width:83.049999999999997pt;height:76.100000000000009pt;z-index:-125829369;mso-wrap-distance-left:9.pt;mso-wrap-distance-right:9.pt;mso-wrap-distance-bottom:60.700000000000003pt;mso-position-horizontal-relative:page" filled="f" stroked="f">
                <v:textbox inset="0,0,0,0">
                  <w:txbxContent>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v:textbox>
                <w10:wrap type="square" side="left" anchorx="page"/>
              </v:shape>
            </w:pict>
          </mc:Fallback>
        </mc:AlternateContent>
      </w:r>
      <w:r>
        <mc:AlternateContent>
          <mc:Choice Requires="wps">
            <w:drawing>
              <wp:anchor distT="1167130" distB="0" distL="123190" distR="114935" simplePos="0" relativeHeight="125829386" behindDoc="0" locked="0" layoutInCell="1" allowOverlap="1">
                <wp:simplePos x="0" y="0"/>
                <wp:positionH relativeFrom="page">
                  <wp:posOffset>5507990</wp:posOffset>
                </wp:positionH>
                <wp:positionV relativeFrom="paragraph">
                  <wp:posOffset>1179830</wp:posOffset>
                </wp:positionV>
                <wp:extent cx="1045210" cy="570230"/>
                <wp:wrapSquare wrapText="left"/>
                <wp:docPr id="139" name="Shape 139"/>
                <a:graphic xmlns:a="http://schemas.openxmlformats.org/drawingml/2006/main">
                  <a:graphicData uri="http://schemas.microsoft.com/office/word/2010/wordprocessingShape">
                    <wps:wsp>
                      <wps:cNvSpPr txBox="1"/>
                      <wps:spPr>
                        <a:xfrm>
                          <a:ext cx="1045210" cy="570230"/>
                        </a:xfrm>
                        <a:prstGeom prst="rect"/>
                        <a:noFill/>
                      </wps:spPr>
                      <wps:txbx>
                        <w:txbxContent>
                          <w:p>
                            <w:pPr>
                              <w:pStyle w:val="Style35"/>
                              <w:keepNext w:val="0"/>
                              <w:keepLines w:val="0"/>
                              <w:widowControl w:val="0"/>
                              <w:numPr>
                                <w:ilvl w:val="0"/>
                                <w:numId w:val="5"/>
                              </w:numPr>
                              <w:shd w:val="clear" w:color="auto" w:fill="auto"/>
                              <w:tabs>
                                <w:tab w:pos="230" w:val="left"/>
                                <w:tab w:pos="734" w:val="left"/>
                              </w:tabs>
                              <w:bidi w:val="0"/>
                              <w:spacing w:before="0" w:after="360" w:line="240" w:lineRule="auto"/>
                              <w:ind w:left="0" w:right="0" w:firstLine="0"/>
                              <w:jc w:val="left"/>
                            </w:pPr>
                            <w:bookmarkStart w:id="139" w:name="bookmark139"/>
                            <w:bookmarkEnd w:id="139"/>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35"/>
                              <w:keepNext w:val="0"/>
                              <w:keepLines w:val="0"/>
                              <w:widowControl w:val="0"/>
                              <w:numPr>
                                <w:ilvl w:val="0"/>
                                <w:numId w:val="5"/>
                              </w:numPr>
                              <w:shd w:val="clear" w:color="auto" w:fill="auto"/>
                              <w:tabs>
                                <w:tab w:pos="230" w:val="left"/>
                                <w:tab w:pos="734" w:val="left"/>
                              </w:tabs>
                              <w:bidi w:val="0"/>
                              <w:spacing w:before="0" w:after="0" w:line="240" w:lineRule="auto"/>
                              <w:ind w:left="0" w:right="0" w:firstLine="0"/>
                              <w:jc w:val="left"/>
                            </w:pPr>
                            <w:bookmarkStart w:id="140" w:name="bookmark140"/>
                            <w:bookmarkEnd w:id="140"/>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txbxContent>
                      </wps:txbx>
                      <wps:bodyPr lIns="0" tIns="0" rIns="0" bIns="0">
                        <a:noAutoFit/>
                      </wps:bodyPr>
                    </wps:wsp>
                  </a:graphicData>
                </a:graphic>
              </wp:anchor>
            </w:drawing>
          </mc:Choice>
          <mc:Fallback>
            <w:pict>
              <v:shape id="_x0000_s1165" type="#_x0000_t202" style="position:absolute;margin-left:433.69999999999999pt;margin-top:92.900000000000006pt;width:82.299999999999997pt;height:44.899999999999999pt;z-index:-125829367;mso-wrap-distance-left:9.7000000000000011pt;mso-wrap-distance-top:91.900000000000006pt;mso-wrap-distance-right:9.0500000000000007pt;mso-position-horizontal-relative:page" filled="f" stroked="f">
                <v:textbox inset="0,0,0,0">
                  <w:txbxContent>
                    <w:p>
                      <w:pPr>
                        <w:pStyle w:val="Style35"/>
                        <w:keepNext w:val="0"/>
                        <w:keepLines w:val="0"/>
                        <w:widowControl w:val="0"/>
                        <w:numPr>
                          <w:ilvl w:val="0"/>
                          <w:numId w:val="5"/>
                        </w:numPr>
                        <w:shd w:val="clear" w:color="auto" w:fill="auto"/>
                        <w:tabs>
                          <w:tab w:pos="230" w:val="left"/>
                          <w:tab w:pos="734" w:val="left"/>
                        </w:tabs>
                        <w:bidi w:val="0"/>
                        <w:spacing w:before="0" w:after="360" w:line="240" w:lineRule="auto"/>
                        <w:ind w:left="0" w:right="0" w:firstLine="0"/>
                        <w:jc w:val="left"/>
                      </w:pPr>
                      <w:bookmarkStart w:id="139" w:name="bookmark139"/>
                      <w:bookmarkEnd w:id="139"/>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35"/>
                        <w:keepNext w:val="0"/>
                        <w:keepLines w:val="0"/>
                        <w:widowControl w:val="0"/>
                        <w:numPr>
                          <w:ilvl w:val="0"/>
                          <w:numId w:val="5"/>
                        </w:numPr>
                        <w:shd w:val="clear" w:color="auto" w:fill="auto"/>
                        <w:tabs>
                          <w:tab w:pos="230" w:val="left"/>
                          <w:tab w:pos="734" w:val="left"/>
                        </w:tabs>
                        <w:bidi w:val="0"/>
                        <w:spacing w:before="0" w:after="0" w:line="240" w:lineRule="auto"/>
                        <w:ind w:left="0" w:right="0" w:firstLine="0"/>
                        <w:jc w:val="left"/>
                      </w:pPr>
                      <w:bookmarkStart w:id="140" w:name="bookmark140"/>
                      <w:bookmarkEnd w:id="140"/>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txbxContent>
                </v:textbox>
                <w10:wrap type="square" side="left" anchorx="page"/>
              </v:shape>
            </w:pict>
          </mc:Fallback>
        </mc:AlternateContent>
      </w:r>
      <w:r>
        <w:rPr>
          <w:color w:val="000000"/>
          <w:spacing w:val="0"/>
          <w:w w:val="100"/>
          <w:position w:val="0"/>
          <w:sz w:val="24"/>
          <w:szCs w:val="24"/>
        </w:rPr>
        <w:t>十二、处罚及整改情况</w:t>
      </w:r>
    </w:p>
    <w:p>
      <w:pPr>
        <w:pStyle w:val="Style6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十三、年度报告披露后面临暂停上市和终止上市情况</w:t>
      </w:r>
    </w:p>
    <w:p>
      <w:pPr>
        <w:pStyle w:val="Style6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 xml:space="preserve">十四、其他重大事项的说明 </w:t>
      </w:r>
      <w:r>
        <w:rPr>
          <w:color w:val="000000"/>
          <w:spacing w:val="0"/>
          <w:w w:val="100"/>
          <w:position w:val="0"/>
          <w:sz w:val="24"/>
          <w:szCs w:val="24"/>
        </w:rPr>
        <w:t>十五、公司子公司重要事项</w:t>
      </w:r>
    </w:p>
    <w:p>
      <w:pPr>
        <w:pStyle w:val="Style68"/>
        <w:keepNext w:val="0"/>
        <w:keepLines w:val="0"/>
        <w:widowControl w:val="0"/>
        <w:shd w:val="clear" w:color="auto" w:fill="auto"/>
        <w:bidi w:val="0"/>
        <w:spacing w:before="0" w:after="1160" w:line="240" w:lineRule="auto"/>
        <w:ind w:left="0" w:right="0" w:firstLine="0"/>
        <w:jc w:val="left"/>
      </w:pPr>
      <w:r>
        <w:rPr>
          <w:color w:val="000000"/>
          <w:spacing w:val="0"/>
          <w:w w:val="100"/>
          <w:position w:val="0"/>
          <w:sz w:val="24"/>
          <w:szCs w:val="24"/>
        </w:rPr>
        <w:t>十六、公司发行公司债券的情况</w:t>
      </w:r>
    </w:p>
    <w:p>
      <w:pPr>
        <w:pStyle w:val="Style14"/>
        <w:keepNext/>
        <w:keepLines/>
        <w:widowControl w:val="0"/>
        <w:shd w:val="clear" w:color="auto" w:fill="auto"/>
        <w:bidi w:val="0"/>
        <w:spacing w:before="0" w:after="540" w:line="240" w:lineRule="auto"/>
        <w:ind w:left="0" w:right="0" w:firstLine="0"/>
        <w:jc w:val="center"/>
      </w:pPr>
      <w:bookmarkStart w:id="220" w:name="bookmark220"/>
      <w:bookmarkStart w:id="221" w:name="bookmark221"/>
      <w:bookmarkStart w:id="222" w:name="bookmark222"/>
      <w:r>
        <w:rPr>
          <w:color w:val="000000"/>
          <w:spacing w:val="0"/>
          <w:w w:val="100"/>
          <w:position w:val="0"/>
        </w:rPr>
        <w:t>第六节股份变动及股东情况</w:t>
      </w:r>
      <w:bookmarkEnd w:id="220"/>
      <w:bookmarkEnd w:id="221"/>
      <w:bookmarkEnd w:id="222"/>
    </w:p>
    <w:p>
      <w:pPr>
        <w:pStyle w:val="Style68"/>
        <w:keepNext w:val="0"/>
        <w:keepLines w:val="0"/>
        <w:widowControl w:val="0"/>
        <w:shd w:val="clear" w:color="auto" w:fill="auto"/>
        <w:bidi w:val="0"/>
        <w:spacing w:before="0" w:line="240" w:lineRule="auto"/>
        <w:ind w:left="0" w:right="0" w:firstLine="0"/>
        <w:jc w:val="both"/>
      </w:pPr>
      <w:bookmarkStart w:id="223" w:name="bookmark223"/>
      <w:r>
        <w:rPr>
          <w:color w:val="000000"/>
          <w:spacing w:val="0"/>
          <w:w w:val="100"/>
          <w:position w:val="0"/>
          <w:sz w:val="24"/>
          <w:szCs w:val="24"/>
        </w:rPr>
        <w:t>一</w:t>
      </w:r>
      <w:bookmarkEnd w:id="223"/>
      <w:r>
        <w:rPr>
          <w:color w:val="000000"/>
          <w:spacing w:val="0"/>
          <w:w w:val="100"/>
          <w:position w:val="0"/>
          <w:sz w:val="24"/>
          <w:szCs w:val="24"/>
        </w:rPr>
        <w:t>、股份变动情况</w:t>
      </w:r>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单位：股</w:t>
      </w:r>
    </w:p>
    <w:tbl>
      <w:tblPr>
        <w:tblOverlap w:val="never"/>
        <w:jc w:val="center"/>
        <w:tblLayout w:type="fixed"/>
      </w:tblPr>
      <w:tblGrid>
        <w:gridCol w:w="1627"/>
        <w:gridCol w:w="1262"/>
        <w:gridCol w:w="840"/>
        <w:gridCol w:w="600"/>
        <w:gridCol w:w="360"/>
        <w:gridCol w:w="720"/>
        <w:gridCol w:w="1080"/>
        <w:gridCol w:w="1080"/>
        <w:gridCol w:w="1258"/>
        <w:gridCol w:w="754"/>
      </w:tblGrid>
      <w:tr>
        <w:trPr>
          <w:trHeight w:val="37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7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一、有限售条件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-32,377,332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-32,377,332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117,622,668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109,841,277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-29,877,328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-29,877,328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79,963,949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其中：境内法人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109,841,277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-29,877,328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-29,877,328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79,963,949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40,158,723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37,658,719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其中：境外法人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40,158,723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37,658,719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w:t>
            </w:r>
          </w:p>
        </w:tc>
      </w:tr>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二、无限售条件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82,377,332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32,377,332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82,377,332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48"/>
        <w:keepNext/>
        <w:keepLines/>
        <w:widowControl w:val="0"/>
        <w:shd w:val="clear" w:color="auto" w:fill="auto"/>
        <w:bidi w:val="0"/>
        <w:spacing w:before="0" w:after="0" w:line="316" w:lineRule="exact"/>
        <w:ind w:left="0" w:right="0" w:firstLine="0"/>
        <w:jc w:val="both"/>
      </w:pPr>
      <w:bookmarkStart w:id="224" w:name="bookmark224"/>
      <w:bookmarkStart w:id="225" w:name="bookmark225"/>
      <w:bookmarkStart w:id="226" w:name="bookmark226"/>
      <w:r>
        <w:rPr>
          <w:color w:val="000000"/>
          <w:spacing w:val="0"/>
          <w:w w:val="100"/>
          <w:position w:val="0"/>
        </w:rPr>
        <w:t>股份变动的原因</w:t>
      </w:r>
      <w:bookmarkEnd w:id="224"/>
      <w:bookmarkEnd w:id="225"/>
      <w:bookmarkEnd w:id="226"/>
    </w:p>
    <w:p>
      <w:pPr>
        <w:pStyle w:val="Style35"/>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日首次公开发行</w:t>
      </w:r>
      <w:r>
        <w:rPr>
          <w:rFonts w:ascii="Times New Roman" w:eastAsia="Times New Roman" w:hAnsi="Times New Roman" w:cs="Times New Roman"/>
          <w:color w:val="000000"/>
          <w:spacing w:val="0"/>
          <w:w w:val="100"/>
          <w:position w:val="0"/>
        </w:rPr>
        <w:t>5,000</w:t>
      </w:r>
      <w:r>
        <w:rPr>
          <w:color w:val="000000"/>
          <w:spacing w:val="0"/>
          <w:w w:val="100"/>
          <w:position w:val="0"/>
        </w:rPr>
        <w:t>万股人民币普通股并上市。</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日，发起人股东佛山市顺 德区诚众投资管理中心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、佛山市顺德区正信投资发展中心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、广发信德投资管理有限公 司、北京世纪天富创业投资中心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、长利佳塑料机械有限公司所持公司股份限售期满，解除限售, 上市流通。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日，发起人股东光大资本投资有限公司所持公司股份限售期满，解除限售，上市 流通。</w:t>
      </w:r>
    </w:p>
    <w:p>
      <w:pPr>
        <w:pStyle w:val="Style35"/>
        <w:keepNext w:val="0"/>
        <w:keepLines w:val="0"/>
        <w:widowControl w:val="0"/>
        <w:shd w:val="clear" w:color="auto" w:fill="auto"/>
        <w:tabs>
          <w:tab w:pos="7574" w:val="left"/>
        </w:tabs>
        <w:bidi w:val="0"/>
        <w:spacing w:before="0" w:after="0" w:line="316" w:lineRule="exact"/>
        <w:ind w:left="0" w:right="0" w:firstLine="0"/>
        <w:jc w:val="left"/>
      </w:pPr>
      <w:r>
        <w:rPr>
          <w:b/>
          <w:bCs/>
          <w:color w:val="000000"/>
          <w:spacing w:val="0"/>
          <w:w w:val="100"/>
          <w:position w:val="0"/>
        </w:rPr>
        <w:t>股份变动的批准情况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tabs>
          <w:tab w:pos="7574" w:val="left"/>
        </w:tabs>
        <w:bidi w:val="0"/>
        <w:spacing w:before="0" w:after="0" w:line="316" w:lineRule="exact"/>
        <w:ind w:left="0" w:right="0" w:firstLine="0"/>
        <w:jc w:val="left"/>
      </w:pPr>
      <w:r>
        <w:rPr>
          <w:b/>
          <w:bCs/>
          <w:color w:val="000000"/>
          <w:spacing w:val="0"/>
          <w:w w:val="100"/>
          <w:position w:val="0"/>
        </w:rPr>
        <w:t>股份变动的过户情况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320" w:line="316" w:lineRule="exact"/>
        <w:ind w:left="0" w:right="0" w:firstLine="0"/>
        <w:jc w:val="left"/>
      </w:pPr>
      <w:r>
        <w:rPr>
          <w:b/>
          <w:bCs/>
          <w:color w:val="000000"/>
          <w:spacing w:val="0"/>
          <w:w w:val="100"/>
          <w:position w:val="0"/>
        </w:rPr>
        <w:t>股份变动对最近一年和最近一期基本每股收益和稀释每股收益、归属于公司普通股股东的笛盼净咨产等於</w:t>
      </w:r>
      <w:r>
        <w:br w:type="page"/>
      </w:r>
    </w:p>
    <w:p>
      <w:pPr>
        <w:pStyle w:val="Style35"/>
        <w:keepNext w:val="0"/>
        <w:keepLines w:val="0"/>
        <w:widowControl w:val="0"/>
        <w:shd w:val="clear" w:color="auto" w:fill="auto"/>
        <w:tabs>
          <w:tab w:pos="7525" w:val="left"/>
        </w:tabs>
        <w:bidi w:val="0"/>
        <w:spacing w:before="0" w:after="80" w:line="240" w:lineRule="auto"/>
        <w:ind w:left="0" w:right="0" w:firstLine="0"/>
        <w:jc w:val="both"/>
      </w:pPr>
      <w:r>
        <w:rPr>
          <w:b/>
          <w:bCs/>
          <w:color w:val="000000"/>
          <w:spacing w:val="0"/>
          <w:w w:val="100"/>
          <w:position w:val="0"/>
        </w:rPr>
        <w:t>务指标的影响</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tabs>
          <w:tab w:pos="7525" w:val="left"/>
        </w:tabs>
        <w:bidi w:val="0"/>
        <w:spacing w:before="0" w:after="340" w:line="240" w:lineRule="auto"/>
        <w:ind w:left="0" w:right="0" w:firstLine="0"/>
        <w:jc w:val="both"/>
      </w:pPr>
      <w:r>
        <w:rPr>
          <w:b/>
          <w:bCs/>
          <w:color w:val="000000"/>
          <w:spacing w:val="0"/>
          <w:w w:val="100"/>
          <w:position w:val="0"/>
        </w:rPr>
        <w:t>公司认为必要或证券监管机构要求披露的其他内容</w:t>
        <w:tab/>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both"/>
      </w:pPr>
      <w:bookmarkStart w:id="227" w:name="bookmark227"/>
      <w:bookmarkStart w:id="228" w:name="bookmark228"/>
      <w:bookmarkStart w:id="229" w:name="bookmark229"/>
      <w:bookmarkStart w:id="230" w:name="bookmark230"/>
      <w:r>
        <w:rPr>
          <w:color w:val="000000"/>
          <w:spacing w:val="0"/>
          <w:w w:val="100"/>
          <w:position w:val="0"/>
          <w:sz w:val="24"/>
          <w:szCs w:val="24"/>
        </w:rPr>
        <w:t>二</w:t>
      </w:r>
      <w:bookmarkEnd w:id="229"/>
      <w:r>
        <w:rPr>
          <w:color w:val="000000"/>
          <w:spacing w:val="0"/>
          <w:w w:val="100"/>
          <w:position w:val="0"/>
          <w:sz w:val="24"/>
          <w:szCs w:val="24"/>
        </w:rPr>
        <w:t>、证券发行与上市情况</w:t>
      </w:r>
      <w:bookmarkEnd w:id="227"/>
      <w:bookmarkEnd w:id="228"/>
      <w:bookmarkEnd w:id="230"/>
    </w:p>
    <w:p>
      <w:pPr>
        <w:pStyle w:val="Style35"/>
        <w:keepNext w:val="0"/>
        <w:keepLines w:val="0"/>
        <w:widowControl w:val="0"/>
        <w:shd w:val="clear" w:color="auto" w:fill="auto"/>
        <w:bidi w:val="0"/>
        <w:spacing w:before="0" w:after="300" w:line="240" w:lineRule="auto"/>
        <w:ind w:left="0" w:right="0" w:firstLine="0"/>
        <w:jc w:val="both"/>
      </w:pPr>
      <w:bookmarkStart w:id="231" w:name="bookmark231"/>
      <w:r>
        <w:rPr>
          <w:rFonts w:ascii="Times New Roman" w:eastAsia="Times New Roman" w:hAnsi="Times New Roman" w:cs="Times New Roman"/>
          <w:b/>
          <w:bCs/>
          <w:color w:val="000000"/>
          <w:spacing w:val="0"/>
          <w:w w:val="100"/>
          <w:position w:val="0"/>
        </w:rPr>
        <w:t>1</w:t>
      </w:r>
      <w:bookmarkEnd w:id="231"/>
      <w:r>
        <w:rPr>
          <w:b/>
          <w:bCs/>
          <w:color w:val="000000"/>
          <w:spacing w:val="0"/>
          <w:w w:val="100"/>
          <w:position w:val="0"/>
        </w:rPr>
        <w:t>、报告期末近三年历次证券发行情况</w:t>
      </w:r>
    </w:p>
    <w:tbl>
      <w:tblPr>
        <w:tblOverlap w:val="never"/>
        <w:jc w:val="center"/>
        <w:tblLayout w:type="fixed"/>
      </w:tblPr>
      <w:tblGrid>
        <w:gridCol w:w="1267"/>
        <w:gridCol w:w="1800"/>
        <w:gridCol w:w="1042"/>
        <w:gridCol w:w="1118"/>
        <w:gridCol w:w="1800"/>
        <w:gridCol w:w="1186"/>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 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发行价格 </w:t>
            </w:r>
            <w:r>
              <w:rPr>
                <w:rFonts w:ascii="Times New Roman" w:eastAsia="Times New Roman" w:hAnsi="Times New Roman" w:cs="Times New Roman"/>
                <w:color w:val="000000"/>
                <w:spacing w:val="0"/>
                <w:w w:val="100"/>
                <w:position w:val="0"/>
              </w:rPr>
              <w:t>（</w:t>
            </w:r>
            <w:r>
              <w:rPr>
                <w:color w:val="000000"/>
                <w:spacing w:val="0"/>
                <w:w w:val="100"/>
                <w:position w:val="0"/>
              </w:rPr>
              <w:t>或利率</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交易终止日期</w:t>
            </w:r>
          </w:p>
        </w:tc>
      </w:tr>
      <w:tr>
        <w:trPr>
          <w:trHeight w:val="370"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379"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48"/>
        <w:keepNext/>
        <w:keepLines/>
        <w:widowControl w:val="0"/>
        <w:shd w:val="clear" w:color="auto" w:fill="auto"/>
        <w:bidi w:val="0"/>
        <w:spacing w:before="0" w:after="40" w:line="312" w:lineRule="exact"/>
        <w:ind w:left="0" w:right="0" w:firstLine="0"/>
        <w:jc w:val="both"/>
      </w:pPr>
      <w:bookmarkStart w:id="232" w:name="bookmark232"/>
      <w:bookmarkStart w:id="233" w:name="bookmark233"/>
      <w:bookmarkStart w:id="234" w:name="bookmark234"/>
      <w:r>
        <w:rPr>
          <w:color w:val="000000"/>
          <w:spacing w:val="0"/>
          <w:w w:val="100"/>
          <w:position w:val="0"/>
        </w:rPr>
        <w:t>前三年历次证券发行情况的说明</w:t>
      </w:r>
      <w:bookmarkEnd w:id="232"/>
      <w:bookmarkEnd w:id="233"/>
      <w:bookmarkEnd w:id="234"/>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363</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核准，公司于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日首次公开发行</w:t>
      </w:r>
      <w:r>
        <w:rPr>
          <w:rFonts w:ascii="Times New Roman" w:eastAsia="Times New Roman" w:hAnsi="Times New Roman" w:cs="Times New Roman"/>
          <w:color w:val="000000"/>
          <w:spacing w:val="0"/>
          <w:w w:val="100"/>
          <w:position w:val="0"/>
        </w:rPr>
        <w:t>5,000</w:t>
      </w:r>
      <w:r>
        <w:rPr>
          <w:color w:val="000000"/>
          <w:spacing w:val="0"/>
          <w:w w:val="100"/>
          <w:position w:val="0"/>
        </w:rPr>
        <w:t>万股人民币普通股。 其中：网下配售</w:t>
      </w:r>
      <w:r>
        <w:rPr>
          <w:rFonts w:ascii="Times New Roman" w:eastAsia="Times New Roman" w:hAnsi="Times New Roman" w:cs="Times New Roman"/>
          <w:color w:val="000000"/>
          <w:spacing w:val="0"/>
          <w:w w:val="100"/>
          <w:position w:val="0"/>
        </w:rPr>
        <w:t>1,000</w:t>
      </w:r>
      <w:r>
        <w:rPr>
          <w:color w:val="000000"/>
          <w:spacing w:val="0"/>
          <w:w w:val="100"/>
          <w:position w:val="0"/>
        </w:rPr>
        <w:t>万股，网上发行</w:t>
      </w:r>
      <w:r>
        <w:rPr>
          <w:rFonts w:ascii="Times New Roman" w:eastAsia="Times New Roman" w:hAnsi="Times New Roman" w:cs="Times New Roman"/>
          <w:color w:val="000000"/>
          <w:spacing w:val="0"/>
          <w:w w:val="100"/>
          <w:position w:val="0"/>
        </w:rPr>
        <w:t>4,000</w:t>
      </w:r>
      <w:r>
        <w:rPr>
          <w:color w:val="000000"/>
          <w:spacing w:val="0"/>
          <w:w w:val="100"/>
          <w:position w:val="0"/>
        </w:rPr>
        <w:t>万股，发行价格为</w:t>
      </w:r>
      <w:r>
        <w:rPr>
          <w:rFonts w:ascii="Times New Roman" w:eastAsia="Times New Roman" w:hAnsi="Times New Roman" w:cs="Times New Roman"/>
          <w:color w:val="000000"/>
          <w:spacing w:val="0"/>
          <w:w w:val="100"/>
          <w:position w:val="0"/>
        </w:rPr>
        <w:t>7.30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股，发行后总股本为</w:t>
      </w:r>
      <w:r>
        <w:rPr>
          <w:rFonts w:ascii="Times New Roman" w:eastAsia="Times New Roman" w:hAnsi="Times New Roman" w:cs="Times New Roman"/>
          <w:color w:val="000000"/>
          <w:spacing w:val="0"/>
          <w:w w:val="100"/>
          <w:position w:val="0"/>
        </w:rPr>
        <w:t>20,000</w:t>
      </w:r>
      <w:r>
        <w:rPr>
          <w:color w:val="000000"/>
          <w:spacing w:val="0"/>
          <w:w w:val="100"/>
          <w:position w:val="0"/>
        </w:rPr>
        <w:t>万股。</w:t>
      </w:r>
    </w:p>
    <w:p>
      <w:pPr>
        <w:pStyle w:val="Style35"/>
        <w:keepNext w:val="0"/>
        <w:keepLines w:val="0"/>
        <w:widowControl w:val="0"/>
        <w:shd w:val="clear" w:color="auto" w:fill="auto"/>
        <w:bidi w:val="0"/>
        <w:spacing w:before="0" w:after="300" w:line="312" w:lineRule="exact"/>
        <w:ind w:left="0" w:right="0" w:firstLine="0"/>
        <w:jc w:val="both"/>
      </w:pPr>
      <w:r>
        <w:rPr>
          <w:color w:val="000000"/>
          <w:spacing w:val="0"/>
          <w:w w:val="100"/>
          <w:position w:val="0"/>
        </w:rPr>
        <w:t>经深交所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85</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审核同意，公司本次网上发行的</w:t>
      </w:r>
      <w:r>
        <w:rPr>
          <w:rFonts w:ascii="Times New Roman" w:eastAsia="Times New Roman" w:hAnsi="Times New Roman" w:cs="Times New Roman"/>
          <w:color w:val="000000"/>
          <w:spacing w:val="0"/>
          <w:w w:val="100"/>
          <w:position w:val="0"/>
        </w:rPr>
        <w:t>4,000</w:t>
      </w:r>
      <w:r>
        <w:rPr>
          <w:color w:val="000000"/>
          <w:spacing w:val="0"/>
          <w:w w:val="100"/>
          <w:position w:val="0"/>
        </w:rPr>
        <w:t>万股无限售条件股票已于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日上市交易，网下配售的</w:t>
      </w:r>
      <w:r>
        <w:rPr>
          <w:rFonts w:ascii="Times New Roman" w:eastAsia="Times New Roman" w:hAnsi="Times New Roman" w:cs="Times New Roman"/>
          <w:color w:val="000000"/>
          <w:spacing w:val="0"/>
          <w:w w:val="100"/>
          <w:position w:val="0"/>
        </w:rPr>
        <w:t>1,000</w:t>
      </w:r>
      <w:r>
        <w:rPr>
          <w:color w:val="000000"/>
          <w:spacing w:val="0"/>
          <w:w w:val="100"/>
          <w:position w:val="0"/>
        </w:rPr>
        <w:t>万股有限售条件股票已于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日起开始上市流通。</w:t>
      </w:r>
    </w:p>
    <w:p>
      <w:pPr>
        <w:pStyle w:val="Style35"/>
        <w:keepNext w:val="0"/>
        <w:keepLines w:val="0"/>
        <w:widowControl w:val="0"/>
        <w:shd w:val="clear" w:color="auto" w:fill="auto"/>
        <w:tabs>
          <w:tab w:pos="7525" w:val="left"/>
        </w:tabs>
        <w:bidi w:val="0"/>
        <w:spacing w:before="0" w:after="300" w:line="312" w:lineRule="exact"/>
        <w:ind w:left="0" w:right="0" w:firstLine="0"/>
        <w:jc w:val="both"/>
      </w:pPr>
      <w:bookmarkStart w:id="235" w:name="bookmark235"/>
      <w:r>
        <w:rPr>
          <w:rFonts w:ascii="Times New Roman" w:eastAsia="Times New Roman" w:hAnsi="Times New Roman" w:cs="Times New Roman"/>
          <w:b/>
          <w:bCs/>
          <w:color w:val="000000"/>
          <w:spacing w:val="0"/>
          <w:w w:val="100"/>
          <w:position w:val="0"/>
        </w:rPr>
        <w:t>2</w:t>
      </w:r>
      <w:bookmarkEnd w:id="235"/>
      <w:r>
        <w:rPr>
          <w:b/>
          <w:bCs/>
          <w:color w:val="000000"/>
          <w:spacing w:val="0"/>
          <w:w w:val="100"/>
          <w:position w:val="0"/>
        </w:rPr>
        <w:t>、 公司股份总数及股东结构的变动、公司资产和负债结构的变动情况说明</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tabs>
          <w:tab w:pos="378" w:val="left"/>
          <w:tab w:pos="7525" w:val="left"/>
        </w:tabs>
        <w:bidi w:val="0"/>
        <w:spacing w:before="0" w:after="340" w:line="312" w:lineRule="exact"/>
        <w:ind w:left="0" w:right="0" w:firstLine="0"/>
        <w:jc w:val="both"/>
      </w:pPr>
      <w:bookmarkStart w:id="236" w:name="bookmark236"/>
      <w:r>
        <w:rPr>
          <w:rFonts w:ascii="Times New Roman" w:eastAsia="Times New Roman" w:hAnsi="Times New Roman" w:cs="Times New Roman"/>
          <w:b/>
          <w:bCs/>
          <w:color w:val="000000"/>
          <w:spacing w:val="0"/>
          <w:w w:val="100"/>
          <w:position w:val="0"/>
        </w:rPr>
        <w:t>3</w:t>
      </w:r>
      <w:bookmarkEnd w:id="236"/>
      <w:r>
        <w:rPr>
          <w:b/>
          <w:bCs/>
          <w:color w:val="000000"/>
          <w:spacing w:val="0"/>
          <w:w w:val="100"/>
          <w:position w:val="0"/>
        </w:rPr>
        <w:t>、</w:t>
        <w:tab/>
        <w:t>现存的内部职工股情况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both"/>
      </w:pPr>
      <w:bookmarkStart w:id="237" w:name="bookmark237"/>
      <w:bookmarkStart w:id="238" w:name="bookmark238"/>
      <w:bookmarkStart w:id="239" w:name="bookmark239"/>
      <w:bookmarkStart w:id="240" w:name="bookmark240"/>
      <w:r>
        <w:rPr>
          <w:color w:val="000000"/>
          <w:spacing w:val="0"/>
          <w:w w:val="100"/>
          <w:position w:val="0"/>
          <w:sz w:val="24"/>
          <w:szCs w:val="24"/>
        </w:rPr>
        <w:t>三</w:t>
      </w:r>
      <w:bookmarkEnd w:id="239"/>
      <w:r>
        <w:rPr>
          <w:color w:val="000000"/>
          <w:spacing w:val="0"/>
          <w:w w:val="100"/>
          <w:position w:val="0"/>
          <w:sz w:val="24"/>
          <w:szCs w:val="24"/>
        </w:rPr>
        <w:t>、股东和实际控制人情况</w:t>
      </w:r>
      <w:bookmarkEnd w:id="237"/>
      <w:bookmarkEnd w:id="238"/>
      <w:bookmarkEnd w:id="240"/>
    </w:p>
    <w:p>
      <w:pPr>
        <w:pStyle w:val="Style48"/>
        <w:keepNext/>
        <w:keepLines/>
        <w:widowControl w:val="0"/>
        <w:shd w:val="clear" w:color="auto" w:fill="auto"/>
        <w:bidi w:val="0"/>
        <w:spacing w:before="0" w:after="300" w:line="326" w:lineRule="auto"/>
        <w:ind w:left="0" w:right="0" w:firstLine="0"/>
        <w:jc w:val="both"/>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、公司股东数量及持股情况</w:t>
      </w:r>
      <w:bookmarkEnd w:id="241"/>
      <w:bookmarkEnd w:id="242"/>
      <w:bookmarkEnd w:id="244"/>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单位：股</w:t>
      </w:r>
    </w:p>
    <w:tbl>
      <w:tblPr>
        <w:tblOverlap w:val="never"/>
        <w:jc w:val="center"/>
        <w:tblLayout w:type="fixed"/>
      </w:tblPr>
      <w:tblGrid>
        <w:gridCol w:w="1987"/>
        <w:gridCol w:w="1080"/>
        <w:gridCol w:w="720"/>
        <w:gridCol w:w="1080"/>
        <w:gridCol w:w="1080"/>
        <w:gridCol w:w="1080"/>
        <w:gridCol w:w="902"/>
        <w:gridCol w:w="538"/>
        <w:gridCol w:w="1128"/>
      </w:tblGrid>
      <w:tr>
        <w:trPr>
          <w:trHeight w:val="374" w:hRule="exact"/>
        </w:trPr>
        <w:tc>
          <w:tcPr>
            <w:gridSpan w:val="8"/>
            <w:tcBorders>
              <w:top w:val="single" w:sz="4"/>
              <w:left w:val="single" w:sz="4"/>
            </w:tcBorders>
            <w:shd w:val="clear" w:color="auto" w:fill="D3D3D3"/>
            <w:vAlign w:val="center"/>
          </w:tcPr>
          <w:p>
            <w:pPr>
              <w:pStyle w:val="Style2"/>
              <w:keepNext w:val="0"/>
              <w:keepLines w:val="0"/>
              <w:widowControl w:val="0"/>
              <w:shd w:val="clear" w:color="auto" w:fill="auto"/>
              <w:tabs>
                <w:tab w:pos="3763" w:val="left"/>
              </w:tabs>
              <w:bidi w:val="0"/>
              <w:spacing w:before="0" w:after="0" w:line="240" w:lineRule="auto"/>
              <w:ind w:left="0" w:right="0" w:firstLine="0"/>
              <w:jc w:val="left"/>
            </w:pPr>
            <w:r>
              <w:rPr>
                <w:color w:val="000000"/>
                <w:spacing w:val="0"/>
                <w:w w:val="100"/>
                <w:position w:val="0"/>
              </w:rPr>
              <w:t>报告期末股东总数</w:t>
              <w:tab/>
            </w:r>
            <w:r>
              <w:rPr>
                <w:rFonts w:ascii="Times New Roman" w:eastAsia="Times New Roman" w:hAnsi="Times New Roman" w:cs="Times New Roman"/>
                <w:color w:val="000000"/>
                <w:spacing w:val="0"/>
                <w:w w:val="100"/>
                <w:position w:val="0"/>
              </w:rPr>
              <w:t>17,406</w:t>
            </w: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16,390</w:t>
            </w:r>
          </w:p>
        </w:tc>
      </w:tr>
      <w:tr>
        <w:trPr>
          <w:trHeight w:val="370"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质押或冻结情况</w:t>
            </w:r>
          </w:p>
        </w:tc>
      </w:tr>
      <w:tr>
        <w:trPr>
          <w:trHeight w:val="6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 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63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佛山市顺德区远茂化 工实业有限公司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40,813,951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40,813,951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2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佛山锐达投资发展有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39,149,998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39,149,998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39,149,998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37,658,719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37,658,719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36,765,000</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佛山市顺德区诚众投 资管理中心</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-8,327,325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87"/>
        <w:gridCol w:w="1080"/>
        <w:gridCol w:w="720"/>
        <w:gridCol w:w="1080"/>
        <w:gridCol w:w="898"/>
        <w:gridCol w:w="182"/>
        <w:gridCol w:w="1080"/>
        <w:gridCol w:w="720"/>
        <w:gridCol w:w="182"/>
        <w:gridCol w:w="538"/>
        <w:gridCol w:w="1128"/>
      </w:tblGrid>
      <w:tr>
        <w:trPr>
          <w:trHeight w:val="7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光大证券股份有限公 司约定购回专用账户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1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光大资本投资有限公 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萧桂好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556,330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556,330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王月升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499,000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385,400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施荣海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301,000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r>
              <w:rPr>
                <w:rFonts w:ascii="Times New Roman" w:eastAsia="Times New Roman" w:hAnsi="Times New Roman" w:cs="Times New Roman"/>
                <w:color w:val="000000"/>
                <w:spacing w:val="0"/>
                <w:w w:val="100"/>
                <w:position w:val="0"/>
              </w:rPr>
              <w:t>（</w:t>
            </w:r>
            <w:r>
              <w:rPr>
                <w:color w:val="000000"/>
                <w:spacing w:val="0"/>
                <w:w w:val="100"/>
                <w:position w:val="0"/>
              </w:rPr>
              <w:t>如 有</w:t>
            </w:r>
            <w:r>
              <w:rPr>
                <w:rFonts w:ascii="Times New Roman" w:eastAsia="Times New Roman" w:hAnsi="Times New Roman" w:cs="Times New Roman"/>
                <w:color w:val="000000"/>
                <w:spacing w:val="0"/>
                <w:w w:val="100"/>
                <w:position w:val="0"/>
              </w:rPr>
              <w:t>）（</w:t>
            </w:r>
            <w:r>
              <w:rPr>
                <w:color w:val="000000"/>
                <w:spacing w:val="0"/>
                <w:w w:val="100"/>
                <w:position w:val="0"/>
              </w:rPr>
              <w:t>参见注</w:t>
            </w:r>
            <w:r>
              <w:rPr>
                <w:rFonts w:ascii="Times New Roman" w:eastAsia="Times New Roman" w:hAnsi="Times New Roman" w:cs="Times New Roman"/>
                <w:color w:val="000000"/>
                <w:spacing w:val="0"/>
                <w:w w:val="100"/>
                <w:position w:val="0"/>
              </w:rPr>
              <w:t>3）</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4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公司前十名股东中，远茂化工、锐达投资、华声香港、诚众投资、光大 资本为公司发起人股东，其中香港华声与锐达投资为公司控股股东，两 者均为公司实际控制人罗桥胜、冯倩红夫妇全资拥有，光大资本为光大 证券全资子公司。公司未知其他股东间是否存在关联关系，也未知其他 股东是否属于《上市公司收购管理办法》中规定的一致行动人。</w:t>
            </w:r>
          </w:p>
        </w:tc>
      </w:tr>
      <w:tr>
        <w:trPr>
          <w:trHeight w:val="374"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殳情况</w:t>
            </w:r>
          </w:p>
        </w:tc>
      </w:tr>
      <w:tr>
        <w:trPr>
          <w:trHeight w:val="365"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报告期末持有无限售条件股 份数量</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65" w:hRule="exact"/>
        </w:trPr>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619"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佛山市顺德区诚众投资管理中心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9,050,000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9,050,000</w:t>
            </w:r>
          </w:p>
        </w:tc>
      </w:tr>
      <w:tr>
        <w:trPr>
          <w:trHeight w:val="629"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光大证券股份有限公司约定购回 专用账户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6,900,000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6,900,000</w:t>
            </w:r>
          </w:p>
        </w:tc>
      </w:tr>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光大资本投资有限公司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2,600,000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w:t>
            </w:r>
          </w:p>
        </w:tc>
      </w:tr>
      <w:tr>
        <w:trPr>
          <w:trHeight w:val="3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萧桂好</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556,330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556,330</w:t>
            </w:r>
          </w:p>
        </w:tc>
      </w:tr>
      <w:tr>
        <w:trPr>
          <w:trHeight w:val="3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王月升</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499,000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499,000</w:t>
            </w:r>
          </w:p>
        </w:tc>
      </w:tr>
      <w:tr>
        <w:trPr>
          <w:trHeight w:val="3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付艳华</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385,400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385,400</w:t>
            </w:r>
          </w:p>
        </w:tc>
      </w:tr>
      <w:tr>
        <w:trPr>
          <w:trHeight w:val="3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施荣海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301,000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301,000</w:t>
            </w:r>
          </w:p>
        </w:tc>
      </w:tr>
      <w:tr>
        <w:trPr>
          <w:trHeight w:val="3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许上峰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292,198</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292,198</w:t>
            </w:r>
          </w:p>
        </w:tc>
      </w:tr>
      <w:tr>
        <w:trPr>
          <w:trHeight w:val="3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侯维国</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280,000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280,000</w:t>
            </w:r>
          </w:p>
        </w:tc>
      </w:tr>
      <w:tr>
        <w:trPr>
          <w:trHeight w:val="3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王春树</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259,500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259,500</w:t>
            </w: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公司前十名无限售股东中，诚众投资、光大资本为公司发起人股东，光 大资本为光大证券全资子公司。公司未知其他股东间是否存在关联关 系，也未知其他股东是否属于《上市公司收购管理办法》中规定的一致 行动人。</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前十大股东参与融资融券业务股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东情况说明</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参见注</w:t>
            </w:r>
            <w:r>
              <w:rPr>
                <w:rFonts w:ascii="Times New Roman" w:eastAsia="Times New Roman" w:hAnsi="Times New Roman" w:cs="Times New Roman"/>
                <w:color w:val="000000"/>
                <w:spacing w:val="0"/>
                <w:w w:val="100"/>
                <w:position w:val="0"/>
              </w:rPr>
              <w:t>4）</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38"/>
        <w:keepNext w:val="0"/>
        <w:keepLines w:val="0"/>
        <w:widowControl w:val="0"/>
        <w:shd w:val="clear" w:color="auto" w:fill="auto"/>
        <w:tabs>
          <w:tab w:pos="8078" w:val="left"/>
        </w:tabs>
        <w:bidi w:val="0"/>
        <w:spacing w:before="0" w:after="0" w:line="312" w:lineRule="exact"/>
        <w:ind w:left="0" w:right="0" w:firstLine="0"/>
        <w:jc w:val="left"/>
      </w:pPr>
      <w:r>
        <w:rPr>
          <w:b/>
          <w:bCs/>
          <w:color w:val="000000"/>
          <w:spacing w:val="0"/>
          <w:w w:val="100"/>
          <w:position w:val="0"/>
        </w:rPr>
        <w:t>公司股东在报告期内是否进行约定购回交易</w:t>
        <w:tab/>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8"/>
        <w:keepNext w:val="0"/>
        <w:keepLines w:val="0"/>
        <w:widowControl w:val="0"/>
        <w:shd w:val="clear" w:color="auto" w:fill="auto"/>
        <w:bidi w:val="0"/>
        <w:spacing w:before="0" w:after="0" w:line="312" w:lineRule="exact"/>
        <w:ind w:left="0" w:right="0" w:firstLine="0"/>
        <w:jc w:val="left"/>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199" w:right="1032" w:bottom="1149" w:left="107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日，公司股东诚众投资通过</w:t>
      </w:r>
      <w:r>
        <w:rPr>
          <w:rFonts w:ascii="Times New Roman" w:eastAsia="Times New Roman" w:hAnsi="Times New Roman" w:cs="Times New Roman"/>
          <w:color w:val="000000"/>
          <w:spacing w:val="0"/>
          <w:w w:val="100"/>
          <w:position w:val="0"/>
        </w:rPr>
        <w:t>“</w:t>
      </w:r>
      <w:r>
        <w:rPr>
          <w:color w:val="000000"/>
          <w:spacing w:val="0"/>
          <w:w w:val="100"/>
          <w:position w:val="0"/>
        </w:rPr>
        <w:t>约定购回式证券交易''方式，减少公司股份</w:t>
      </w:r>
      <w:r>
        <w:rPr>
          <w:rFonts w:ascii="Times New Roman" w:eastAsia="Times New Roman" w:hAnsi="Times New Roman" w:cs="Times New Roman"/>
          <w:color w:val="000000"/>
          <w:spacing w:val="0"/>
          <w:w w:val="100"/>
          <w:position w:val="0"/>
        </w:rPr>
        <w:t>200</w:t>
      </w:r>
      <w:r>
        <w:rPr>
          <w:color w:val="000000"/>
          <w:spacing w:val="0"/>
          <w:w w:val="100"/>
          <w:position w:val="0"/>
        </w:rPr>
        <w:t>万股，占总股本比 例</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日，诚众投资再次通过</w:t>
      </w:r>
      <w:r>
        <w:rPr>
          <w:rFonts w:ascii="Times New Roman" w:eastAsia="Times New Roman" w:hAnsi="Times New Roman" w:cs="Times New Roman"/>
          <w:color w:val="000000"/>
          <w:spacing w:val="0"/>
          <w:w w:val="100"/>
          <w:position w:val="0"/>
        </w:rPr>
        <w:t>“</w:t>
      </w:r>
      <w:r>
        <w:rPr>
          <w:color w:val="000000"/>
          <w:spacing w:val="0"/>
          <w:w w:val="100"/>
          <w:position w:val="0"/>
        </w:rPr>
        <w:t>约定购回式证券交易</w:t>
      </w:r>
      <w:r>
        <w:rPr>
          <w:rFonts w:ascii="Times New Roman" w:eastAsia="Times New Roman" w:hAnsi="Times New Roman" w:cs="Times New Roman"/>
          <w:color w:val="000000"/>
          <w:spacing w:val="0"/>
          <w:w w:val="100"/>
          <w:position w:val="0"/>
        </w:rPr>
        <w:t>”</w:t>
      </w:r>
      <w:r>
        <w:rPr>
          <w:color w:val="000000"/>
          <w:spacing w:val="0"/>
          <w:w w:val="100"/>
          <w:position w:val="0"/>
        </w:rPr>
        <w:t>方式减少公司股份</w:t>
      </w:r>
      <w:r>
        <w:rPr>
          <w:rFonts w:ascii="Times New Roman" w:eastAsia="Times New Roman" w:hAnsi="Times New Roman" w:cs="Times New Roman"/>
          <w:color w:val="000000"/>
          <w:spacing w:val="0"/>
          <w:w w:val="100"/>
          <w:position w:val="0"/>
        </w:rPr>
        <w:t>490</w:t>
      </w:r>
      <w:r>
        <w:rPr>
          <w:color w:val="000000"/>
          <w:spacing w:val="0"/>
          <w:w w:val="100"/>
          <w:position w:val="0"/>
        </w:rPr>
        <w:t>万股，占总股本的</w:t>
      </w:r>
    </w:p>
    <w:p>
      <w:pPr>
        <w:pStyle w:val="Style35"/>
        <w:keepNext w:val="0"/>
        <w:keepLines w:val="0"/>
        <w:widowControl w:val="0"/>
        <w:shd w:val="clear" w:color="auto" w:fill="auto"/>
        <w:bidi w:val="0"/>
        <w:spacing w:before="0" w:after="260" w:line="317" w:lineRule="exact"/>
        <w:ind w:left="0" w:right="0" w:firstLine="0"/>
        <w:jc w:val="left"/>
      </w:pPr>
      <w:r>
        <w:rPr>
          <w:rFonts w:ascii="Times New Roman" w:eastAsia="Times New Roman" w:hAnsi="Times New Roman" w:cs="Times New Roman"/>
          <w:color w:val="000000"/>
          <w:spacing w:val="0"/>
          <w:w w:val="100"/>
          <w:position w:val="0"/>
        </w:rPr>
        <w:t>2.45%</w:t>
      </w:r>
      <w:r>
        <w:rPr>
          <w:color w:val="000000"/>
          <w:spacing w:val="0"/>
          <w:w w:val="100"/>
          <w:position w:val="0"/>
        </w:rPr>
        <w:t>。上述交易的约定购回期限均为一年，报告期内未发生购回交易。截止报告期末，诚众投资持有公 司股份</w:t>
      </w:r>
      <w:r>
        <w:rPr>
          <w:rFonts w:ascii="Times New Roman" w:eastAsia="Times New Roman" w:hAnsi="Times New Roman" w:cs="Times New Roman"/>
          <w:color w:val="000000"/>
          <w:spacing w:val="0"/>
          <w:w w:val="100"/>
          <w:position w:val="0"/>
        </w:rPr>
        <w:t>905</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4.53%</w:t>
      </w:r>
      <w:r>
        <w:rPr>
          <w:color w:val="000000"/>
          <w:spacing w:val="0"/>
          <w:w w:val="100"/>
          <w:position w:val="0"/>
        </w:rPr>
        <w:t>。光大证券股份有限公司因上述约定购回交易而持有本公司股份, 持股账户为</w:t>
      </w:r>
      <w:r>
        <w:rPr>
          <w:rFonts w:ascii="Times New Roman" w:eastAsia="Times New Roman" w:hAnsi="Times New Roman" w:cs="Times New Roman"/>
          <w:color w:val="000000"/>
          <w:spacing w:val="0"/>
          <w:w w:val="100"/>
          <w:position w:val="0"/>
        </w:rPr>
        <w:t>“</w:t>
      </w:r>
      <w:r>
        <w:rPr>
          <w:color w:val="000000"/>
          <w:spacing w:val="0"/>
          <w:w w:val="100"/>
          <w:position w:val="0"/>
        </w:rPr>
        <w:t>光大证券股份有限公司约定购回专用账户</w:t>
      </w:r>
      <w:r>
        <w:rPr>
          <w:color w:val="000000"/>
          <w:spacing w:val="0"/>
          <w:w w:val="100"/>
          <w:position w:val="0"/>
        </w:rPr>
        <w:t>''，</w:t>
      </w:r>
      <w:r>
        <w:rPr>
          <w:color w:val="000000"/>
          <w:spacing w:val="0"/>
          <w:w w:val="100"/>
          <w:position w:val="0"/>
        </w:rPr>
        <w:t>持股数量</w:t>
      </w:r>
      <w:r>
        <w:rPr>
          <w:rFonts w:ascii="Times New Roman" w:eastAsia="Times New Roman" w:hAnsi="Times New Roman" w:cs="Times New Roman"/>
          <w:color w:val="000000"/>
          <w:spacing w:val="0"/>
          <w:w w:val="100"/>
          <w:position w:val="0"/>
        </w:rPr>
        <w:t>690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3.45%</w:t>
      </w:r>
      <w:r>
        <w:rPr>
          <w:color w:val="000000"/>
          <w:spacing w:val="0"/>
          <w:w w:val="100"/>
          <w:position w:val="0"/>
        </w:rPr>
        <w:t>。</w:t>
      </w:r>
    </w:p>
    <w:p>
      <w:pPr>
        <w:pStyle w:val="Style48"/>
        <w:keepNext/>
        <w:keepLines/>
        <w:widowControl w:val="0"/>
        <w:shd w:val="clear" w:color="auto" w:fill="auto"/>
        <w:bidi w:val="0"/>
        <w:spacing w:before="0" w:after="380" w:line="317" w:lineRule="exact"/>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2</w:t>
      </w:r>
      <w:bookmarkEnd w:id="247"/>
      <w:r>
        <w:rPr>
          <w:color w:val="000000"/>
          <w:spacing w:val="0"/>
          <w:w w:val="100"/>
          <w:position w:val="0"/>
        </w:rPr>
        <w:t>、公司控股股东情况</w:t>
      </w:r>
      <w:bookmarkEnd w:id="245"/>
      <w:bookmarkEnd w:id="246"/>
      <w:bookmarkEnd w:id="248"/>
    </w:p>
    <w:p>
      <w:pPr>
        <w:pStyle w:val="Style38"/>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法人</w:t>
      </w:r>
    </w:p>
    <w:tbl>
      <w:tblPr>
        <w:tblOverlap w:val="never"/>
        <w:jc w:val="center"/>
        <w:tblLayout w:type="fixed"/>
      </w:tblPr>
      <w:tblGrid>
        <w:gridCol w:w="2189"/>
        <w:gridCol w:w="1421"/>
        <w:gridCol w:w="178"/>
        <w:gridCol w:w="1800"/>
        <w:gridCol w:w="1440"/>
        <w:gridCol w:w="1080"/>
        <w:gridCol w:w="14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 位负责人</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锐达投资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55915065-9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人民币</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对工业、商业企 业进行投资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香港华声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16796792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港币</w:t>
            </w: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投资管理等</w:t>
            </w:r>
          </w:p>
        </w:tc>
      </w:tr>
      <w:tr>
        <w:trPr>
          <w:trHeight w:val="1334"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经营成果、财务状况、现金流和未来发展 战略等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日，锐达投资总资产为</w:t>
            </w:r>
            <w:r>
              <w:rPr>
                <w:rFonts w:ascii="Times New Roman" w:eastAsia="Times New Roman" w:hAnsi="Times New Roman" w:cs="Times New Roman"/>
                <w:color w:val="000000"/>
                <w:spacing w:val="0"/>
                <w:w w:val="100"/>
                <w:position w:val="0"/>
              </w:rPr>
              <w:t>19,899.49</w:t>
            </w:r>
            <w:r>
              <w:rPr>
                <w:color w:val="000000"/>
                <w:spacing w:val="0"/>
                <w:w w:val="100"/>
                <w:position w:val="0"/>
              </w:rPr>
              <w:t>万元， 净资产为</w:t>
            </w:r>
            <w:r>
              <w:rPr>
                <w:rFonts w:ascii="Times New Roman" w:eastAsia="Times New Roman" w:hAnsi="Times New Roman" w:cs="Times New Roman"/>
                <w:color w:val="000000"/>
                <w:spacing w:val="0"/>
                <w:w w:val="100"/>
                <w:position w:val="0"/>
              </w:rPr>
              <w:t>2,584.63</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年度净利润为</w:t>
            </w:r>
            <w:r>
              <w:rPr>
                <w:rFonts w:ascii="Times New Roman" w:eastAsia="Times New Roman" w:hAnsi="Times New Roman" w:cs="Times New Roman"/>
                <w:color w:val="000000"/>
                <w:spacing w:val="0"/>
                <w:w w:val="100"/>
                <w:position w:val="0"/>
              </w:rPr>
              <w:t>492.42</w:t>
            </w:r>
            <w:r>
              <w:rPr>
                <w:color w:val="000000"/>
                <w:spacing w:val="0"/>
                <w:w w:val="100"/>
                <w:position w:val="0"/>
              </w:rPr>
              <w:t>万元；香港 华声总资产为</w:t>
            </w:r>
            <w:r>
              <w:rPr>
                <w:rFonts w:ascii="Times New Roman" w:eastAsia="Times New Roman" w:hAnsi="Times New Roman" w:cs="Times New Roman"/>
                <w:color w:val="000000"/>
                <w:spacing w:val="0"/>
                <w:w w:val="100"/>
                <w:position w:val="0"/>
              </w:rPr>
              <w:t>16,483.79</w:t>
            </w:r>
            <w:r>
              <w:rPr>
                <w:color w:val="000000"/>
                <w:spacing w:val="0"/>
                <w:w w:val="100"/>
                <w:position w:val="0"/>
              </w:rPr>
              <w:t>万港元，净资产为</w:t>
            </w:r>
            <w:r>
              <w:rPr>
                <w:rFonts w:ascii="Times New Roman" w:eastAsia="Times New Roman" w:hAnsi="Times New Roman" w:cs="Times New Roman"/>
                <w:color w:val="000000"/>
                <w:spacing w:val="0"/>
                <w:w w:val="100"/>
                <w:position w:val="0"/>
              </w:rPr>
              <w:t>16,473.79</w:t>
            </w:r>
            <w:r>
              <w:rPr>
                <w:color w:val="000000"/>
                <w:spacing w:val="0"/>
                <w:w w:val="100"/>
                <w:position w:val="0"/>
              </w:rPr>
              <w:t xml:space="preserve">万港元， </w:t>
            </w:r>
            <w:r>
              <w:rPr>
                <w:rFonts w:ascii="Times New Roman" w:eastAsia="Times New Roman" w:hAnsi="Times New Roman" w:cs="Times New Roman"/>
                <w:color w:val="000000"/>
                <w:spacing w:val="0"/>
                <w:w w:val="100"/>
                <w:position w:val="0"/>
              </w:rPr>
              <w:t>2013</w:t>
            </w:r>
            <w:r>
              <w:rPr>
                <w:color w:val="000000"/>
                <w:spacing w:val="0"/>
                <w:w w:val="100"/>
                <w:position w:val="0"/>
              </w:rPr>
              <w:t>年度净利润为</w:t>
            </w:r>
            <w:r>
              <w:rPr>
                <w:rFonts w:ascii="Times New Roman" w:eastAsia="Times New Roman" w:hAnsi="Times New Roman" w:cs="Times New Roman"/>
                <w:color w:val="000000"/>
                <w:spacing w:val="0"/>
                <w:w w:val="100"/>
                <w:position w:val="0"/>
              </w:rPr>
              <w:t>1,150.86</w:t>
            </w:r>
            <w:r>
              <w:rPr>
                <w:color w:val="000000"/>
                <w:spacing w:val="0"/>
                <w:w w:val="100"/>
                <w:position w:val="0"/>
              </w:rPr>
              <w:t>万港元</w:t>
            </w:r>
            <w:r>
              <w:rPr>
                <w:rFonts w:ascii="Times New Roman" w:eastAsia="Times New Roman" w:hAnsi="Times New Roman" w:cs="Times New Roman"/>
                <w:color w:val="000000"/>
                <w:spacing w:val="0"/>
                <w:w w:val="100"/>
                <w:position w:val="0"/>
              </w:rPr>
              <w:t>（</w:t>
            </w:r>
            <w:r>
              <w:rPr>
                <w:color w:val="000000"/>
                <w:spacing w:val="0"/>
                <w:w w:val="100"/>
                <w:position w:val="0"/>
              </w:rPr>
              <w:t>以上财务数据未经审计</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691"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控股股东报告期内控股和参股的其他境 内外上市公司的股权情况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8"/>
        <w:keepNext w:val="0"/>
        <w:keepLines w:val="0"/>
        <w:widowControl w:val="0"/>
        <w:shd w:val="clear" w:color="auto" w:fill="auto"/>
        <w:tabs>
          <w:tab w:pos="7574" w:val="left"/>
        </w:tabs>
        <w:bidi w:val="0"/>
        <w:spacing w:before="0" w:after="0" w:line="240" w:lineRule="auto"/>
        <w:ind w:left="0" w:right="0" w:firstLine="0"/>
        <w:jc w:val="center"/>
      </w:pPr>
      <w:r>
        <w:rPr>
          <w:b/>
          <w:bCs/>
          <w:color w:val="000000"/>
          <w:spacing w:val="0"/>
          <w:w w:val="100"/>
          <w:position w:val="0"/>
        </w:rPr>
        <w:t>控股股东报告期内变更</w:t>
        <w:tab/>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V</w:t>
      </w:r>
      <w:r>
        <w:rPr>
          <w:color w:val="000000"/>
          <w:spacing w:val="0"/>
          <w:w w:val="100"/>
          <w:position w:val="0"/>
        </w:rPr>
        <w:t>不适用</w:t>
      </w:r>
    </w:p>
    <w:p>
      <w:pPr>
        <w:widowControl w:val="0"/>
        <w:spacing w:after="379" w:line="1" w:lineRule="exact"/>
      </w:pPr>
    </w:p>
    <w:p>
      <w:pPr>
        <w:pStyle w:val="Style48"/>
        <w:keepNext/>
        <w:keepLines/>
        <w:widowControl w:val="0"/>
        <w:shd w:val="clear" w:color="auto" w:fill="auto"/>
        <w:bidi w:val="0"/>
        <w:spacing w:before="0" w:after="38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3</w:t>
      </w:r>
      <w:bookmarkEnd w:id="251"/>
      <w:r>
        <w:rPr>
          <w:color w:val="000000"/>
          <w:spacing w:val="0"/>
          <w:w w:val="100"/>
          <w:position w:val="0"/>
        </w:rPr>
        <w:t>、公司实际控制人情况</w:t>
      </w:r>
      <w:bookmarkEnd w:id="249"/>
      <w:bookmarkEnd w:id="250"/>
      <w:bookmarkEnd w:id="252"/>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bl>
      <w:tblPr>
        <w:tblOverlap w:val="never"/>
        <w:jc w:val="center"/>
        <w:tblLayout w:type="fixed"/>
      </w:tblPr>
      <w:tblGrid>
        <w:gridCol w:w="3787"/>
        <w:gridCol w:w="2342"/>
        <w:gridCol w:w="345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是否取得其他国家或地区居留权</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冯倩红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详情请参阅</w:t>
            </w:r>
            <w:r>
              <w:rPr>
                <w:rFonts w:ascii="Times New Roman" w:eastAsia="Times New Roman" w:hAnsi="Times New Roman" w:cs="Times New Roman"/>
                <w:color w:val="000000"/>
                <w:spacing w:val="0"/>
                <w:w w:val="100"/>
                <w:position w:val="0"/>
              </w:rPr>
              <w:t>“</w:t>
            </w:r>
            <w:r>
              <w:rPr>
                <w:color w:val="000000"/>
                <w:spacing w:val="0"/>
                <w:w w:val="100"/>
                <w:position w:val="0"/>
              </w:rPr>
              <w:t>第七节董事、监事、高级管理人员离职和员工情 况</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二、任职情况</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8"/>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实际控制人报告期内变更</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pStyle w:val="Style3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259" w:line="1" w:lineRule="exact"/>
      </w:pPr>
    </w:p>
    <w:p>
      <w:pPr>
        <w:framePr w:w="5405" w:h="2702" w:wrap="notBeside" w:vAnchor="text" w:hAnchor="text" w:x="2161" w:y="1"/>
        <w:widowControl w:val="0"/>
        <w:rPr>
          <w:sz w:val="2"/>
          <w:szCs w:val="2"/>
        </w:rPr>
      </w:pPr>
      <w:r>
        <w:drawing>
          <wp:inline>
            <wp:extent cx="3432175" cy="1718945"/>
            <wp:docPr id="160" name="Picutre 160"/>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65"/>
                    <a:stretch/>
                  </pic:blipFill>
                  <pic:spPr>
                    <a:xfrm>
                      <a:ext cx="3432175" cy="1718945"/>
                    </a:xfrm>
                    <a:prstGeom prst="rect"/>
                  </pic:spPr>
                </pic:pic>
              </a:graphicData>
            </a:graphic>
          </wp:inline>
        </w:drawing>
      </w:r>
    </w:p>
    <w:p>
      <w:pPr>
        <w:widowControl w:val="0"/>
        <w:spacing w:line="1" w:lineRule="exact"/>
      </w:pPr>
      <w:r>
        <mc:AlternateContent>
          <mc:Choice Requires="wps">
            <w:drawing>
              <wp:anchor distT="0" distB="0" distL="1371600" distR="4441190" simplePos="0" relativeHeight="125829388" behindDoc="0" locked="0" layoutInCell="1" allowOverlap="1">
                <wp:simplePos x="0" y="0"/>
                <wp:positionH relativeFrom="column">
                  <wp:posOffset>2633345</wp:posOffset>
                </wp:positionH>
                <wp:positionV relativeFrom="paragraph">
                  <wp:posOffset>524510</wp:posOffset>
                </wp:positionV>
                <wp:extent cx="362585" cy="118745"/>
                <wp:wrapTopAndBottom/>
                <wp:docPr id="161" name="Shape 161"/>
                <a:graphic xmlns:a="http://schemas.openxmlformats.org/drawingml/2006/main">
                  <a:graphicData uri="http://schemas.microsoft.com/office/word/2010/wordprocessingShape">
                    <wps:wsp>
                      <wps:cNvSpPr txBox="1"/>
                      <wps:spPr>
                        <a:xfrm>
                          <a:ext cx="362585" cy="11874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6C6B6B"/>
                                <w:spacing w:val="0"/>
                                <w:w w:val="100"/>
                                <w:position w:val="0"/>
                                <w:sz w:val="14"/>
                                <w:szCs w:val="14"/>
                                <w:u w:val="none"/>
                              </w:rPr>
                              <w:t>66.67%</w:t>
                            </w:r>
                          </w:p>
                        </w:txbxContent>
                      </wps:txbx>
                      <wps:bodyPr lIns="0" tIns="0" rIns="0" bIns="0">
                        <a:noAutoFit/>
                      </wps:bodyPr>
                    </wps:wsp>
                  </a:graphicData>
                </a:graphic>
              </wp:anchor>
            </w:drawing>
          </mc:Choice>
          <mc:Fallback>
            <w:pict>
              <v:shape id="_x0000_s1187" type="#_x0000_t202" style="position:absolute;margin-left:207.34999999999999pt;margin-top:41.300000000000004pt;width:28.550000000000001pt;height:9.3499999999999996pt;z-index:-125829365;mso-wrap-distance-left:108.pt;mso-wrap-distance-right:349.69999999999999pt" filled="f" stroked="f">
                <v:textbox inset="0,0,0,0">
                  <w:txbxContent>
                    <w:p>
                      <w:pPr>
                        <w:pStyle w:val="Style7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6C6B6B"/>
                          <w:spacing w:val="0"/>
                          <w:w w:val="100"/>
                          <w:position w:val="0"/>
                          <w:sz w:val="14"/>
                          <w:szCs w:val="14"/>
                          <w:u w:val="none"/>
                        </w:rPr>
                        <w:t>66.67%</w:t>
                      </w:r>
                    </w:p>
                  </w:txbxContent>
                </v:textbox>
                <w10:wrap type="topAndBottom"/>
              </v:shape>
            </w:pict>
          </mc:Fallback>
        </mc:AlternateContent>
      </w:r>
      <w:r>
        <mc:AlternateContent>
          <mc:Choice Requires="wps">
            <w:drawing>
              <wp:anchor distT="0" distB="0" distL="1371600" distR="4450080" simplePos="0" relativeHeight="125829390" behindDoc="0" locked="0" layoutInCell="1" allowOverlap="1">
                <wp:simplePos x="0" y="0"/>
                <wp:positionH relativeFrom="column">
                  <wp:posOffset>2216150</wp:posOffset>
                </wp:positionH>
                <wp:positionV relativeFrom="paragraph">
                  <wp:posOffset>1085215</wp:posOffset>
                </wp:positionV>
                <wp:extent cx="353695" cy="113030"/>
                <wp:wrapTopAndBottom/>
                <wp:docPr id="163" name="Shape 163"/>
                <a:graphic xmlns:a="http://schemas.openxmlformats.org/drawingml/2006/main">
                  <a:graphicData uri="http://schemas.microsoft.com/office/word/2010/wordprocessingShape">
                    <wps:wsp>
                      <wps:cNvSpPr txBox="1"/>
                      <wps:spPr>
                        <a:xfrm>
                          <a:ext cx="353695" cy="11303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7D7D7D"/>
                                <w:spacing w:val="0"/>
                                <w:w w:val="100"/>
                                <w:position w:val="0"/>
                                <w:sz w:val="14"/>
                                <w:szCs w:val="14"/>
                                <w:u w:val="none"/>
                              </w:rPr>
                              <w:t>19.57%</w:t>
                            </w:r>
                          </w:p>
                        </w:txbxContent>
                      </wps:txbx>
                      <wps:bodyPr lIns="0" tIns="0" rIns="0" bIns="0">
                        <a:noAutoFit/>
                      </wps:bodyPr>
                    </wps:wsp>
                  </a:graphicData>
                </a:graphic>
              </wp:anchor>
            </w:drawing>
          </mc:Choice>
          <mc:Fallback>
            <w:pict>
              <v:shape id="_x0000_s1189" type="#_x0000_t202" style="position:absolute;margin-left:174.5pt;margin-top:85.450000000000003pt;width:27.850000000000001pt;height:8.9000000000000004pt;z-index:-125829363;mso-wrap-distance-left:108.pt;mso-wrap-distance-right:350.40000000000003pt" filled="f" stroked="f">
                <v:textbox inset="0,0,0,0">
                  <w:txbxContent>
                    <w:p>
                      <w:pPr>
                        <w:pStyle w:val="Style7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7D7D7D"/>
                          <w:spacing w:val="0"/>
                          <w:w w:val="100"/>
                          <w:position w:val="0"/>
                          <w:sz w:val="14"/>
                          <w:szCs w:val="14"/>
                          <w:u w:val="none"/>
                        </w:rPr>
                        <w:t>19.57%</w:t>
                      </w:r>
                    </w:p>
                  </w:txbxContent>
                </v:textbox>
                <w10:wrap type="topAndBottom"/>
              </v:shape>
            </w:pict>
          </mc:Fallback>
        </mc:AlternateContent>
      </w:r>
      <w:r>
        <mc:AlternateContent>
          <mc:Choice Requires="wps">
            <w:drawing>
              <wp:anchor distT="0" distB="0" distL="1371600" distR="4450080" simplePos="0" relativeHeight="125829392" behindDoc="0" locked="0" layoutInCell="1" allowOverlap="1">
                <wp:simplePos x="0" y="0"/>
                <wp:positionH relativeFrom="column">
                  <wp:posOffset>3544570</wp:posOffset>
                </wp:positionH>
                <wp:positionV relativeFrom="paragraph">
                  <wp:posOffset>1085215</wp:posOffset>
                </wp:positionV>
                <wp:extent cx="353695" cy="113030"/>
                <wp:wrapTopAndBottom/>
                <wp:docPr id="165" name="Shape 165"/>
                <a:graphic xmlns:a="http://schemas.openxmlformats.org/drawingml/2006/main">
                  <a:graphicData uri="http://schemas.microsoft.com/office/word/2010/wordprocessingShape">
                    <wps:wsp>
                      <wps:cNvSpPr txBox="1"/>
                      <wps:spPr>
                        <a:xfrm>
                          <a:ext cx="353695" cy="11303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6C6B6B"/>
                                <w:spacing w:val="0"/>
                                <w:w w:val="100"/>
                                <w:position w:val="0"/>
                                <w:sz w:val="14"/>
                                <w:szCs w:val="14"/>
                                <w:u w:val="none"/>
                              </w:rPr>
                              <w:t>18.83%</w:t>
                            </w:r>
                          </w:p>
                        </w:txbxContent>
                      </wps:txbx>
                      <wps:bodyPr lIns="0" tIns="0" rIns="0" bIns="0">
                        <a:noAutoFit/>
                      </wps:bodyPr>
                    </wps:wsp>
                  </a:graphicData>
                </a:graphic>
              </wp:anchor>
            </w:drawing>
          </mc:Choice>
          <mc:Fallback>
            <w:pict>
              <v:shape id="_x0000_s1191" type="#_x0000_t202" style="position:absolute;margin-left:279.10000000000002pt;margin-top:85.450000000000003pt;width:27.850000000000001pt;height:8.9000000000000004pt;z-index:-125829361;mso-wrap-distance-left:108.pt;mso-wrap-distance-right:350.40000000000003pt" filled="f" stroked="f">
                <v:textbox inset="0,0,0,0">
                  <w:txbxContent>
                    <w:p>
                      <w:pPr>
                        <w:pStyle w:val="Style7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6C6B6B"/>
                          <w:spacing w:val="0"/>
                          <w:w w:val="100"/>
                          <w:position w:val="0"/>
                          <w:sz w:val="14"/>
                          <w:szCs w:val="14"/>
                          <w:u w:val="none"/>
                        </w:rPr>
                        <w:t>18.83%</w:t>
                      </w:r>
                    </w:p>
                  </w:txbxContent>
                </v:textbox>
                <w10:wrap type="topAndBottom"/>
              </v:shape>
            </w:pict>
          </mc:Fallback>
        </mc:AlternateContent>
      </w:r>
      <w:r>
        <mc:AlternateContent>
          <mc:Choice Requires="wps">
            <w:drawing>
              <wp:anchor distT="0" distB="0" distL="1371600" distR="3508375" simplePos="0" relativeHeight="125829394" behindDoc="0" locked="0" layoutInCell="1" allowOverlap="1">
                <wp:simplePos x="0" y="0"/>
                <wp:positionH relativeFrom="column">
                  <wp:posOffset>2389505</wp:posOffset>
                </wp:positionH>
                <wp:positionV relativeFrom="paragraph">
                  <wp:posOffset>1283335</wp:posOffset>
                </wp:positionV>
                <wp:extent cx="1295400" cy="137160"/>
                <wp:wrapTopAndBottom/>
                <wp:docPr id="167" name="Shape 167"/>
                <a:graphic xmlns:a="http://schemas.openxmlformats.org/drawingml/2006/main">
                  <a:graphicData uri="http://schemas.microsoft.com/office/word/2010/wordprocessingShape">
                    <wps:wsp>
                      <wps:cNvSpPr txBox="1"/>
                      <wps:spPr>
                        <a:xfrm>
                          <a:ext cx="1295400" cy="13716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u w:val="none"/>
                              </w:rPr>
                              <w:t>广东华</w:t>
                            </w:r>
                            <w:r>
                              <w:rPr>
                                <w:spacing w:val="0"/>
                                <w:w w:val="100"/>
                                <w:position w:val="0"/>
                                <w:sz w:val="16"/>
                                <w:szCs w:val="16"/>
                                <w:u w:val="none"/>
                              </w:rPr>
                              <w:t>声电器</w:t>
                            </w:r>
                            <w:r>
                              <w:rPr>
                                <w:spacing w:val="0"/>
                                <w:w w:val="100"/>
                                <w:position w:val="0"/>
                                <w:sz w:val="15"/>
                                <w:szCs w:val="15"/>
                                <w:u w:val="none"/>
                              </w:rPr>
                              <w:t>股份有限公司</w:t>
                            </w:r>
                          </w:p>
                        </w:txbxContent>
                      </wps:txbx>
                      <wps:bodyPr lIns="0" tIns="0" rIns="0" bIns="0">
                        <a:noAutoFit/>
                      </wps:bodyPr>
                    </wps:wsp>
                  </a:graphicData>
                </a:graphic>
              </wp:anchor>
            </w:drawing>
          </mc:Choice>
          <mc:Fallback>
            <w:pict>
              <v:shape id="_x0000_s1193" type="#_x0000_t202" style="position:absolute;margin-left:188.15000000000001pt;margin-top:101.05pt;width:102.pt;height:10.800000000000001pt;z-index:-125829359;mso-wrap-distance-left:108.pt;mso-wrap-distance-right:276.25pt" filled="f" stroked="f">
                <v:textbox inset="0,0,0,0">
                  <w:txbxContent>
                    <w:p>
                      <w:pPr>
                        <w:pStyle w:val="Style7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u w:val="none"/>
                        </w:rPr>
                        <w:t>广东华</w:t>
                      </w:r>
                      <w:r>
                        <w:rPr>
                          <w:spacing w:val="0"/>
                          <w:w w:val="100"/>
                          <w:position w:val="0"/>
                          <w:sz w:val="16"/>
                          <w:szCs w:val="16"/>
                          <w:u w:val="none"/>
                        </w:rPr>
                        <w:t>声电器</w:t>
                      </w:r>
                      <w:r>
                        <w:rPr>
                          <w:spacing w:val="0"/>
                          <w:w w:val="100"/>
                          <w:position w:val="0"/>
                          <w:sz w:val="15"/>
                          <w:szCs w:val="15"/>
                          <w:u w:val="none"/>
                        </w:rPr>
                        <w:t>股份有限公司</w:t>
                      </w:r>
                    </w:p>
                  </w:txbxContent>
                </v:textbox>
                <w10:wrap type="topAndBottom"/>
              </v:shape>
            </w:pict>
          </mc:Fallback>
        </mc:AlternateContent>
      </w:r>
      <w:r>
        <mc:AlternateContent>
          <mc:Choice Requires="wps">
            <w:drawing>
              <wp:anchor distT="0" distB="0" distL="1371600" distR="1886585" simplePos="0" relativeHeight="125829396" behindDoc="0" locked="0" layoutInCell="1" allowOverlap="1">
                <wp:simplePos x="0" y="0"/>
                <wp:positionH relativeFrom="column">
                  <wp:posOffset>1578610</wp:posOffset>
                </wp:positionH>
                <wp:positionV relativeFrom="paragraph">
                  <wp:posOffset>835025</wp:posOffset>
                </wp:positionV>
                <wp:extent cx="2917190" cy="250190"/>
                <wp:wrapTopAndBottom/>
                <wp:docPr id="169" name="Shape 169"/>
                <a:graphic xmlns:a="http://schemas.openxmlformats.org/drawingml/2006/main">
                  <a:graphicData uri="http://schemas.microsoft.com/office/word/2010/wordprocessingShape">
                    <wps:wsp>
                      <wps:cNvSpPr txBox="1"/>
                      <wps:spPr>
                        <a:xfrm>
                          <a:ext cx="2917190" cy="2501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spacing w:val="0"/>
                                <w:w w:val="100"/>
                                <w:position w:val="0"/>
                              </w:rPr>
                              <w:t>佛山锐达投资发展有</w:t>
                            </w:r>
                            <w:r>
                              <w:rPr>
                                <w:color w:val="6C6B6B"/>
                                <w:spacing w:val="0"/>
                                <w:w w:val="100"/>
                                <w:position w:val="0"/>
                              </w:rPr>
                              <w:t>限公司</w:t>
                            </w:r>
                            <w:r>
                              <w:rPr>
                                <w:spacing w:val="0"/>
                                <w:w w:val="100"/>
                                <w:position w:val="0"/>
                              </w:rPr>
                              <w:t>]</w:t>
                            </w:r>
                            <w:r>
                              <w:rPr>
                                <w:color w:val="6C6B6B"/>
                                <w:spacing w:val="0"/>
                                <w:w w:val="100"/>
                                <w:position w:val="0"/>
                              </w:rPr>
                              <w:t>[</w:t>
                            </w:r>
                            <w:r>
                              <w:rPr>
                                <w:spacing w:val="0"/>
                                <w:w w:val="100"/>
                                <w:position w:val="0"/>
                              </w:rPr>
                              <w:t>■'华</w:t>
                            </w:r>
                            <w:r>
                              <w:rPr>
                                <w:color w:val="6C6B6B"/>
                                <w:spacing w:val="0"/>
                                <w:w w:val="100"/>
                                <w:position w:val="0"/>
                              </w:rPr>
                              <w:t>声（杳</w:t>
                            </w:r>
                            <w:r>
                              <w:rPr>
                                <w:spacing w:val="0"/>
                                <w:w w:val="100"/>
                                <w:position w:val="0"/>
                              </w:rPr>
                              <w:t>濯）有</w:t>
                            </w:r>
                            <w:r>
                              <w:rPr>
                                <w:color w:val="6C6B6B"/>
                                <w:spacing w:val="0"/>
                                <w:w w:val="100"/>
                                <w:position w:val="0"/>
                              </w:rPr>
                              <w:t>限公司</w:t>
                            </w:r>
                          </w:p>
                        </w:txbxContent>
                      </wps:txbx>
                      <wps:bodyPr lIns="0" tIns="0" rIns="0" bIns="0">
                        <a:noAutoFit/>
                      </wps:bodyPr>
                    </wps:wsp>
                  </a:graphicData>
                </a:graphic>
              </wp:anchor>
            </w:drawing>
          </mc:Choice>
          <mc:Fallback>
            <w:pict>
              <v:shape id="_x0000_s1195" type="#_x0000_t202" style="position:absolute;margin-left:124.3pt;margin-top:65.75pt;width:229.70000000000002pt;height:19.699999999999999pt;z-index:-125829357;mso-wrap-distance-left:108.pt;mso-wrap-distance-right:148.55000000000001pt"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spacing w:val="0"/>
                          <w:w w:val="100"/>
                          <w:position w:val="0"/>
                        </w:rPr>
                        <w:t>佛山锐达投资发展有</w:t>
                      </w:r>
                      <w:r>
                        <w:rPr>
                          <w:color w:val="6C6B6B"/>
                          <w:spacing w:val="0"/>
                          <w:w w:val="100"/>
                          <w:position w:val="0"/>
                        </w:rPr>
                        <w:t>限公司</w:t>
                      </w:r>
                      <w:r>
                        <w:rPr>
                          <w:spacing w:val="0"/>
                          <w:w w:val="100"/>
                          <w:position w:val="0"/>
                        </w:rPr>
                        <w:t>]</w:t>
                      </w:r>
                      <w:r>
                        <w:rPr>
                          <w:color w:val="6C6B6B"/>
                          <w:spacing w:val="0"/>
                          <w:w w:val="100"/>
                          <w:position w:val="0"/>
                        </w:rPr>
                        <w:t>[</w:t>
                      </w:r>
                      <w:r>
                        <w:rPr>
                          <w:spacing w:val="0"/>
                          <w:w w:val="100"/>
                          <w:position w:val="0"/>
                        </w:rPr>
                        <w:t>■'华</w:t>
                      </w:r>
                      <w:r>
                        <w:rPr>
                          <w:color w:val="6C6B6B"/>
                          <w:spacing w:val="0"/>
                          <w:w w:val="100"/>
                          <w:position w:val="0"/>
                        </w:rPr>
                        <w:t>声（杳</w:t>
                      </w:r>
                      <w:r>
                        <w:rPr>
                          <w:spacing w:val="0"/>
                          <w:w w:val="100"/>
                          <w:position w:val="0"/>
                        </w:rPr>
                        <w:t>濯）有</w:t>
                      </w:r>
                      <w:r>
                        <w:rPr>
                          <w:color w:val="6C6B6B"/>
                          <w:spacing w:val="0"/>
                          <w:w w:val="100"/>
                          <w:position w:val="0"/>
                        </w:rPr>
                        <w:t>限公司</w:t>
                      </w:r>
                    </w:p>
                  </w:txbxContent>
                </v:textbox>
                <w10:wrap type="topAndBottom"/>
              </v:shape>
            </w:pict>
          </mc:Fallback>
        </mc:AlternateContent>
      </w:r>
      <w:r>
        <mc:AlternateContent>
          <mc:Choice Requires="wps">
            <w:drawing>
              <wp:anchor distT="0" distB="0" distL="1371600" distR="4450080" simplePos="0" relativeHeight="125829398" behindDoc="0" locked="0" layoutInCell="1" allowOverlap="1">
                <wp:simplePos x="0" y="0"/>
                <wp:positionH relativeFrom="column">
                  <wp:posOffset>3315970</wp:posOffset>
                </wp:positionH>
                <wp:positionV relativeFrom="paragraph">
                  <wp:posOffset>289560</wp:posOffset>
                </wp:positionV>
                <wp:extent cx="353695" cy="143510"/>
                <wp:wrapTopAndBottom/>
                <wp:docPr id="171" name="Shape 171"/>
                <a:graphic xmlns:a="http://schemas.openxmlformats.org/drawingml/2006/main">
                  <a:graphicData uri="http://schemas.microsoft.com/office/word/2010/wordprocessingShape">
                    <wps:wsp>
                      <wps:cNvSpPr txBox="1"/>
                      <wps:spPr>
                        <a:xfrm>
                          <a:ext cx="353695" cy="14351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6C6B6B"/>
                                <w:spacing w:val="0"/>
                                <w:w w:val="100"/>
                                <w:position w:val="0"/>
                                <w:u w:val="none"/>
                              </w:rPr>
                              <w:t>当倩红</w:t>
                            </w:r>
                          </w:p>
                        </w:txbxContent>
                      </wps:txbx>
                      <wps:bodyPr lIns="0" tIns="0" rIns="0" bIns="0">
                        <a:noAutoFit/>
                      </wps:bodyPr>
                    </wps:wsp>
                  </a:graphicData>
                </a:graphic>
              </wp:anchor>
            </w:drawing>
          </mc:Choice>
          <mc:Fallback>
            <w:pict>
              <v:shape id="_x0000_s1197" type="#_x0000_t202" style="position:absolute;margin-left:261.10000000000002pt;margin-top:22.800000000000001pt;width:27.850000000000001pt;height:11.300000000000001pt;z-index:-125829355;mso-wrap-distance-left:108.pt;mso-wrap-distance-right:350.40000000000003pt"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6C6B6B"/>
                          <w:spacing w:val="0"/>
                          <w:w w:val="100"/>
                          <w:position w:val="0"/>
                          <w:u w:val="none"/>
                        </w:rPr>
                        <w:t>当倩红</w:t>
                      </w:r>
                    </w:p>
                  </w:txbxContent>
                </v:textbox>
                <w10:wrap type="topAndBottom"/>
              </v:shape>
            </w:pict>
          </mc:Fallback>
        </mc:AlternateContent>
      </w:r>
      <w:r>
        <mc:AlternateContent>
          <mc:Choice Requires="wps">
            <w:drawing>
              <wp:anchor distT="0" distB="0" distL="1371600" distR="4422775" simplePos="0" relativeHeight="125829400" behindDoc="0" locked="0" layoutInCell="1" allowOverlap="1">
                <wp:simplePos x="0" y="0"/>
                <wp:positionH relativeFrom="column">
                  <wp:posOffset>2392680</wp:posOffset>
                </wp:positionH>
                <wp:positionV relativeFrom="paragraph">
                  <wp:posOffset>262255</wp:posOffset>
                </wp:positionV>
                <wp:extent cx="381000" cy="201295"/>
                <wp:wrapTopAndBottom/>
                <wp:docPr id="173" name="Shape 173"/>
                <a:graphic xmlns:a="http://schemas.openxmlformats.org/drawingml/2006/main">
                  <a:graphicData uri="http://schemas.microsoft.com/office/word/2010/wordprocessingShape">
                    <wps:wsp>
                      <wps:cNvSpPr txBox="1"/>
                      <wps:spPr>
                        <a:xfrm>
                          <a:ext cx="381000" cy="20129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spacing w:val="0"/>
                                <w:w w:val="100"/>
                                <w:position w:val="0"/>
                                <w:u w:val="none"/>
                              </w:rPr>
                              <w:t>罗桥胜</w:t>
                            </w:r>
                          </w:p>
                        </w:txbxContent>
                      </wps:txbx>
                      <wps:bodyPr lIns="0" tIns="0" rIns="0" bIns="0">
                        <a:noAutoFit/>
                      </wps:bodyPr>
                    </wps:wsp>
                  </a:graphicData>
                </a:graphic>
              </wp:anchor>
            </w:drawing>
          </mc:Choice>
          <mc:Fallback>
            <w:pict>
              <v:shape id="_x0000_s1199" type="#_x0000_t202" style="position:absolute;margin-left:188.40000000000001pt;margin-top:20.650000000000002pt;width:30.pt;height:15.85pt;z-index:-125829353;mso-wrap-distance-left:108.pt;mso-wrap-distance-right:348.25pt"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spacing w:val="0"/>
                          <w:w w:val="100"/>
                          <w:position w:val="0"/>
                          <w:u w:val="none"/>
                        </w:rPr>
                        <w:t>罗桥胜</w:t>
                      </w:r>
                    </w:p>
                  </w:txbxContent>
                </v:textbox>
                <w10:wrap type="topAndBottom"/>
              </v:shape>
            </w:pict>
          </mc:Fallback>
        </mc:AlternateContent>
      </w:r>
    </w:p>
    <w:p>
      <w:pPr>
        <w:widowControl w:val="0"/>
        <w:jc w:val="center"/>
        <w:rPr>
          <w:sz w:val="2"/>
          <w:szCs w:val="2"/>
        </w:rPr>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402" w:right="1070" w:bottom="125" w:left="1104" w:header="0" w:footer="3" w:gutter="0"/>
          <w:cols w:space="720"/>
          <w:noEndnote/>
          <w:rtlGutter w:val="0"/>
          <w:docGrid w:linePitch="360"/>
        </w:sectPr>
      </w:pPr>
      <w:r>
        <w:drawing>
          <wp:inline>
            <wp:extent cx="1718945" cy="981710"/>
            <wp:docPr id="185" name="Picutre 185"/>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71"/>
                    <a:stretch/>
                  </pic:blipFill>
                  <pic:spPr>
                    <a:xfrm>
                      <a:ext cx="1718945" cy="981710"/>
                    </a:xfrm>
                    <a:prstGeom prst="rect"/>
                  </pic:spPr>
                </pic:pic>
              </a:graphicData>
            </a:graphic>
          </wp:inline>
        </w:drawing>
      </w:r>
    </w:p>
    <w:p>
      <w:pPr>
        <w:pStyle w:val="Style35"/>
        <w:keepNext w:val="0"/>
        <w:keepLines w:val="0"/>
        <w:widowControl w:val="0"/>
        <w:shd w:val="clear" w:color="auto" w:fill="auto"/>
        <w:tabs>
          <w:tab w:pos="7349" w:val="left"/>
        </w:tabs>
        <w:bidi w:val="0"/>
        <w:spacing w:before="340" w:after="360" w:line="240" w:lineRule="auto"/>
        <w:ind w:left="0" w:right="0" w:firstLine="0"/>
        <w:jc w:val="left"/>
      </w:pPr>
      <w:r>
        <w:rPr>
          <w:color w:val="000000"/>
          <w:spacing w:val="0"/>
          <w:w w:val="100"/>
          <w:position w:val="0"/>
        </w:rPr>
        <w:t>实际控制人通过信托或其他资产管理方式控制公司</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320" w:line="240" w:lineRule="auto"/>
        <w:ind w:left="0" w:right="0" w:firstLine="0"/>
        <w:jc w:val="left"/>
      </w:pPr>
      <w:bookmarkStart w:id="253" w:name="bookmark253"/>
      <w:r>
        <w:rPr>
          <w:rFonts w:ascii="Times New Roman" w:eastAsia="Times New Roman" w:hAnsi="Times New Roman" w:cs="Times New Roman"/>
          <w:b/>
          <w:bCs/>
          <w:color w:val="000000"/>
          <w:spacing w:val="0"/>
          <w:w w:val="100"/>
          <w:position w:val="0"/>
        </w:rPr>
        <w:t>4</w:t>
      </w:r>
      <w:bookmarkEnd w:id="253"/>
      <w:r>
        <w:rPr>
          <w:b/>
          <w:bCs/>
          <w:color w:val="000000"/>
          <w:spacing w:val="0"/>
          <w:w w:val="100"/>
          <w:position w:val="0"/>
        </w:rPr>
        <w:t>、其他持股在</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以上的法人股东</w:t>
      </w:r>
    </w:p>
    <w:tbl>
      <w:tblPr>
        <w:tblOverlap w:val="never"/>
        <w:jc w:val="center"/>
        <w:tblLayout w:type="fixed"/>
      </w:tblPr>
      <w:tblGrid>
        <w:gridCol w:w="907"/>
        <w:gridCol w:w="1262"/>
        <w:gridCol w:w="1258"/>
        <w:gridCol w:w="1262"/>
        <w:gridCol w:w="1080"/>
        <w:gridCol w:w="381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法人股东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组织机构代 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远茂化工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卢锡球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23195732-8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从事对华声实业的投资及生产乳化油，有 机防火堵料、无机防火堵料</w:t>
            </w:r>
            <w:r>
              <w:rPr>
                <w:rFonts w:ascii="Times New Roman" w:eastAsia="Times New Roman" w:hAnsi="Times New Roman" w:cs="Times New Roman"/>
                <w:color w:val="000000"/>
                <w:spacing w:val="0"/>
                <w:w w:val="100"/>
                <w:position w:val="0"/>
              </w:rPr>
              <w:t>（</w:t>
            </w:r>
            <w:r>
              <w:rPr>
                <w:color w:val="000000"/>
                <w:spacing w:val="0"/>
                <w:w w:val="100"/>
                <w:position w:val="0"/>
              </w:rPr>
              <w:t>不含危险化学 品</w:t>
            </w:r>
            <w:r>
              <w:rPr>
                <w:rFonts w:ascii="Times New Roman" w:eastAsia="Times New Roman" w:hAnsi="Times New Roman" w:cs="Times New Roman"/>
                <w:color w:val="000000"/>
                <w:spacing w:val="0"/>
                <w:w w:val="100"/>
                <w:position w:val="0"/>
              </w:rPr>
              <w:t>）</w:t>
            </w:r>
            <w:r>
              <w:rPr>
                <w:color w:val="000000"/>
                <w:spacing w:val="0"/>
                <w:w w:val="100"/>
                <w:position w:val="0"/>
              </w:rPr>
              <w:t>，专业防火封堵工程。</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四</w:t>
      </w:r>
      <w:bookmarkEnd w:id="256"/>
      <w:r>
        <w:rPr>
          <w:color w:val="000000"/>
          <w:spacing w:val="0"/>
          <w:w w:val="100"/>
          <w:position w:val="0"/>
          <w:sz w:val="24"/>
          <w:szCs w:val="24"/>
        </w:rPr>
        <w:t>、公司股东及其一致行动人在报告期提出或实施股份增持计划的情况</w:t>
      </w:r>
      <w:bookmarkEnd w:id="254"/>
      <w:bookmarkEnd w:id="255"/>
      <w:bookmarkEnd w:id="257"/>
    </w:p>
    <w:p>
      <w:pPr>
        <w:pStyle w:val="Style35"/>
        <w:keepNext w:val="0"/>
        <w:keepLines w:val="0"/>
        <w:widowControl w:val="0"/>
        <w:shd w:val="clear" w:color="auto" w:fill="auto"/>
        <w:bidi w:val="0"/>
        <w:spacing w:before="0" w:after="920" w:line="240" w:lineRule="auto"/>
        <w:ind w:left="0" w:right="0" w:firstLine="420"/>
        <w:jc w:val="left"/>
      </w:pPr>
      <w:r>
        <w:rPr>
          <w:color w:val="000000"/>
          <w:spacing w:val="0"/>
          <w:w w:val="100"/>
          <w:position w:val="0"/>
        </w:rPr>
        <w:t>报告期内，公司股东及其一致行动人未提出或实施股份增持计划。</w:t>
      </w:r>
    </w:p>
    <w:p>
      <w:pPr>
        <w:pStyle w:val="Style14"/>
        <w:keepNext/>
        <w:keepLines/>
        <w:widowControl w:val="0"/>
        <w:shd w:val="clear" w:color="auto" w:fill="auto"/>
        <w:bidi w:val="0"/>
        <w:spacing w:before="0" w:after="520" w:line="240" w:lineRule="auto"/>
        <w:ind w:left="0" w:right="0" w:firstLine="0"/>
        <w:jc w:val="center"/>
      </w:pPr>
      <w:bookmarkStart w:id="258" w:name="bookmark258"/>
      <w:bookmarkStart w:id="259" w:name="bookmark259"/>
      <w:bookmarkStart w:id="260" w:name="bookmark260"/>
      <w:r>
        <w:rPr>
          <w:color w:val="000000"/>
          <w:spacing w:val="0"/>
          <w:w w:val="100"/>
          <w:position w:val="0"/>
        </w:rPr>
        <w:t>第七节 董事、监事、高级管理人员和员工情况</w:t>
      </w:r>
      <w:bookmarkEnd w:id="258"/>
      <w:bookmarkEnd w:id="259"/>
      <w:bookmarkEnd w:id="260"/>
    </w:p>
    <w:p>
      <w:pPr>
        <w:pStyle w:val="Style30"/>
        <w:keepNext/>
        <w:keepLines/>
        <w:widowControl w:val="0"/>
        <w:shd w:val="clear" w:color="auto" w:fill="auto"/>
        <w:bidi w:val="0"/>
        <w:spacing w:before="0" w:after="320" w:line="240" w:lineRule="auto"/>
        <w:ind w:left="0" w:right="0" w:firstLine="240"/>
        <w:jc w:val="left"/>
      </w:pPr>
      <w:bookmarkStart w:id="261" w:name="bookmark261"/>
      <w:bookmarkStart w:id="262" w:name="bookmark262"/>
      <w:bookmarkStart w:id="263" w:name="bookmark263"/>
      <w:r>
        <w:rPr>
          <w:color w:val="000000"/>
          <w:spacing w:val="0"/>
          <w:w w:val="100"/>
          <w:position w:val="0"/>
          <w:sz w:val="24"/>
          <w:szCs w:val="24"/>
        </w:rPr>
        <w:t>、董事、监事和高级管理人员持股变动</w:t>
      </w:r>
      <w:bookmarkEnd w:id="261"/>
      <w:bookmarkEnd w:id="262"/>
      <w:bookmarkEnd w:id="263"/>
    </w:p>
    <w:tbl>
      <w:tblPr>
        <w:tblOverlap w:val="never"/>
        <w:jc w:val="center"/>
        <w:tblLayout w:type="fixed"/>
      </w:tblPr>
      <w:tblGrid>
        <w:gridCol w:w="730"/>
        <w:gridCol w:w="1440"/>
        <w:gridCol w:w="538"/>
        <w:gridCol w:w="542"/>
        <w:gridCol w:w="538"/>
        <w:gridCol w:w="1080"/>
        <w:gridCol w:w="1080"/>
        <w:gridCol w:w="902"/>
        <w:gridCol w:w="1080"/>
        <w:gridCol w:w="898"/>
        <w:gridCol w:w="75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right"/>
            </w:pPr>
            <w:r>
              <w:rPr>
                <w:color w:val="000000"/>
                <w:spacing w:val="0"/>
                <w:w w:val="100"/>
                <w:position w:val="0"/>
              </w:rPr>
              <w:t>本期减持 股份数量</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期末持 股数 </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罗桥胜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卢锡球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黄喜强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董事、总经理、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冯倩红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谢基柱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吴东昕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覃东宜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孙颖楷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730"/>
        <w:gridCol w:w="1440"/>
        <w:gridCol w:w="538"/>
        <w:gridCol w:w="542"/>
        <w:gridCol w:w="538"/>
        <w:gridCol w:w="1080"/>
        <w:gridCol w:w="1080"/>
        <w:gridCol w:w="902"/>
        <w:gridCol w:w="1080"/>
        <w:gridCol w:w="898"/>
        <w:gridCol w:w="754"/>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卢惠全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30"/>
        <w:keepNext/>
        <w:keepLines/>
        <w:widowControl w:val="0"/>
        <w:shd w:val="clear" w:color="auto" w:fill="auto"/>
        <w:bidi w:val="0"/>
        <w:spacing w:before="0" w:after="24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sz w:val="24"/>
          <w:szCs w:val="24"/>
        </w:rPr>
        <w:t>二</w:t>
      </w:r>
      <w:bookmarkEnd w:id="266"/>
      <w:r>
        <w:rPr>
          <w:color w:val="000000"/>
          <w:spacing w:val="0"/>
          <w:w w:val="100"/>
          <w:position w:val="0"/>
          <w:sz w:val="24"/>
          <w:szCs w:val="24"/>
        </w:rPr>
        <w:t>、任职情况</w:t>
      </w:r>
      <w:bookmarkEnd w:id="264"/>
      <w:bookmarkEnd w:id="265"/>
      <w:bookmarkEnd w:id="267"/>
    </w:p>
    <w:p>
      <w:pPr>
        <w:pStyle w:val="Style48"/>
        <w:keepNext/>
        <w:keepLines/>
        <w:widowControl w:val="0"/>
        <w:shd w:val="clear" w:color="auto" w:fill="auto"/>
        <w:bidi w:val="0"/>
        <w:spacing w:before="0" w:after="0" w:line="314" w:lineRule="exact"/>
        <w:ind w:left="0" w:right="0" w:firstLine="0"/>
        <w:jc w:val="both"/>
      </w:pPr>
      <w:bookmarkStart w:id="268" w:name="bookmark268"/>
      <w:bookmarkStart w:id="269" w:name="bookmark269"/>
      <w:bookmarkStart w:id="270" w:name="bookmark270"/>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bookmarkEnd w:id="268"/>
      <w:bookmarkEnd w:id="269"/>
      <w:bookmarkEnd w:id="270"/>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罗桥胜先生，</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月出生，中国国籍，拥有香港临时身份证，无永久境外居留权，中山大学</w:t>
      </w:r>
      <w:r>
        <w:rPr>
          <w:rFonts w:ascii="Times New Roman" w:eastAsia="Times New Roman" w:hAnsi="Times New Roman" w:cs="Times New Roman"/>
          <w:color w:val="000000"/>
          <w:spacing w:val="0"/>
          <w:w w:val="100"/>
          <w:position w:val="0"/>
        </w:rPr>
        <w:t xml:space="preserve">EMBA </w:t>
      </w:r>
      <w:r>
        <w:rPr>
          <w:color w:val="000000"/>
          <w:spacing w:val="0"/>
          <w:w w:val="100"/>
          <w:position w:val="0"/>
        </w:rPr>
        <w:t>精选课程高级培训班结业，现任广东经济学会非公有制经济专业委员会副会长、顺德区容桂商会理事。罗 桥胜先生是公司创始人，现任公司董事长、香港华声董事、锐达投资执行董事。</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卢锡球先生，</w:t>
      </w:r>
      <w:r>
        <w:rPr>
          <w:rFonts w:ascii="Times New Roman" w:eastAsia="Times New Roman" w:hAnsi="Times New Roman" w:cs="Times New Roman"/>
          <w:color w:val="000000"/>
          <w:spacing w:val="0"/>
          <w:w w:val="100"/>
          <w:position w:val="0"/>
        </w:rPr>
        <w:t>1948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月出生，中国国籍，无永久境外居留权，中山大学</w:t>
      </w:r>
      <w:r>
        <w:rPr>
          <w:rFonts w:ascii="Times New Roman" w:eastAsia="Times New Roman" w:hAnsi="Times New Roman" w:cs="Times New Roman"/>
          <w:color w:val="000000"/>
          <w:spacing w:val="0"/>
          <w:w w:val="100"/>
          <w:position w:val="0"/>
        </w:rPr>
        <w:t>EMBA</w:t>
      </w:r>
      <w:r>
        <w:rPr>
          <w:color w:val="000000"/>
          <w:spacing w:val="0"/>
          <w:w w:val="100"/>
          <w:position w:val="0"/>
        </w:rPr>
        <w:t>精选课程高级培训班 结业，现任公司副董事长、远茂化工董事长。</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黄喜强先生，</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月出生，中国国籍，无永久境外居留权，本科学历，注册会计师。曾任广东省 建筑科学研究院主办会计，广东正中珠江会计师事务所审计经理，广东证监局主任科员，自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月加 入公司，历任财务总监、董事会秘书等职，现任公司董事、总经理兼董事会秘书。黄喜强先生长期从事财 务、审计、上市公司监管及检查工作，在财务管理、公司规范运作方面拥有丰富的经验。</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冯倩红女士，</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月出生，中国国籍，拥有香港临时身份证，无永久境外居留权，中山大学</w:t>
      </w:r>
      <w:r>
        <w:rPr>
          <w:rFonts w:ascii="Times New Roman" w:eastAsia="Times New Roman" w:hAnsi="Times New Roman" w:cs="Times New Roman"/>
          <w:color w:val="000000"/>
          <w:spacing w:val="0"/>
          <w:w w:val="100"/>
          <w:position w:val="0"/>
        </w:rPr>
        <w:t xml:space="preserve">EMBA </w:t>
      </w:r>
      <w:r>
        <w:rPr>
          <w:color w:val="000000"/>
          <w:spacing w:val="0"/>
          <w:w w:val="100"/>
          <w:position w:val="0"/>
        </w:rPr>
        <w:t>精选课程高级培训班结业。冯倩红女士</w:t>
      </w:r>
      <w:r>
        <w:rPr>
          <w:rFonts w:ascii="Times New Roman" w:eastAsia="Times New Roman" w:hAnsi="Times New Roman" w:cs="Times New Roman"/>
          <w:color w:val="000000"/>
          <w:spacing w:val="0"/>
          <w:w w:val="100"/>
          <w:position w:val="0"/>
        </w:rPr>
        <w:t>2009</w:t>
      </w:r>
      <w:r>
        <w:rPr>
          <w:color w:val="000000"/>
          <w:spacing w:val="0"/>
          <w:w w:val="100"/>
          <w:position w:val="0"/>
        </w:rPr>
        <w:t>年当选佛山市顺德容桂商会副会长。冯倩红女士是罗桥胜先生 的夫人，现任公司董事兼副总经理、香港华声董事、锐达投资监事、扬州华声董事长。</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谢基柱先生，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月出生，中国国籍，无永久境外居留权，硕士研究生学历，工程师。</w:t>
      </w:r>
      <w:r>
        <w:rPr>
          <w:rFonts w:ascii="Times New Roman" w:eastAsia="Times New Roman" w:hAnsi="Times New Roman" w:cs="Times New Roman"/>
          <w:color w:val="000000"/>
          <w:spacing w:val="0"/>
          <w:w w:val="100"/>
          <w:position w:val="0"/>
        </w:rPr>
        <w:t>1991</w:t>
      </w:r>
      <w:r>
        <w:rPr>
          <w:color w:val="000000"/>
          <w:spacing w:val="0"/>
          <w:w w:val="100"/>
          <w:position w:val="0"/>
        </w:rPr>
        <w:t>年毕 业于哈尔滨理工大学。曾任南平电缆厂技术工程师、福州新通福有限公司副总经理、周氏电业有限公司技 术部经理。自</w:t>
      </w:r>
      <w:r>
        <w:rPr>
          <w:rFonts w:ascii="Times New Roman" w:eastAsia="Times New Roman" w:hAnsi="Times New Roman" w:cs="Times New Roman"/>
          <w:color w:val="000000"/>
          <w:spacing w:val="0"/>
          <w:w w:val="100"/>
          <w:position w:val="0"/>
        </w:rPr>
        <w:t>2005</w:t>
      </w:r>
      <w:r>
        <w:rPr>
          <w:color w:val="000000"/>
          <w:spacing w:val="0"/>
          <w:w w:val="100"/>
          <w:position w:val="0"/>
        </w:rPr>
        <w:t>年入职公司至今，历任总经理助理、生产副总经理、扬州华声总经理等职，现任公司董 事、副总经理兼扬州华声总经理。谢基柱先生长期从事空调连接组件、家用电器电源输入组件的技术研究 及生产管理工作，具备相当丰富的行业经验。</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吴东昕先生，</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年出生，中国国籍，无永久境外居留权，大专学历，经济师。</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月，任职于中国建设银行佛山顺德支行；</w:t>
      </w:r>
      <w:r>
        <w:rPr>
          <w:rFonts w:ascii="Times New Roman" w:eastAsia="Times New Roman" w:hAnsi="Times New Roman" w:cs="Times New Roman"/>
          <w:color w:val="000000"/>
          <w:spacing w:val="0"/>
          <w:w w:val="100"/>
          <w:position w:val="0"/>
        </w:rPr>
        <w:t>2005</w:t>
      </w:r>
      <w:r>
        <w:rPr>
          <w:color w:val="000000"/>
          <w:spacing w:val="0"/>
          <w:w w:val="100"/>
          <w:position w:val="0"/>
        </w:rPr>
        <w:t>年至今，从事房地产业务，现任佛山市顺德区瑞域房产有 限公司总经理，公司董事。</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马德军先生，</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年出生，中国国籍，无永久境外居留权，硕士研究生学历，享受国务院特殊津贴专 家，教授级高级工程师。本科毕业于内蒙古工业大学材料工艺系铸造及设备专业，研究生毕业于北京第二 外国语学院工商管理专业。曾先后任职中国家用电器研究院标准事业部主任、副总工程师、院长助理。现 任中国家用电器研究院副院长、全国家用电器标准化技术委员会秘书长、国际电工委员会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IEC)</w:t>
      </w:r>
      <w:r>
        <w:rPr>
          <w:color w:val="000000"/>
          <w:spacing w:val="0"/>
          <w:w w:val="100"/>
          <w:position w:val="0"/>
        </w:rPr>
        <w:t>环境咨询委 员会委员、</w:t>
      </w:r>
      <w:r>
        <w:rPr>
          <w:rFonts w:ascii="Times New Roman" w:eastAsia="Times New Roman" w:hAnsi="Times New Roman" w:cs="Times New Roman"/>
          <w:color w:val="000000"/>
          <w:spacing w:val="0"/>
          <w:w w:val="100"/>
          <w:position w:val="0"/>
        </w:rPr>
        <w:t>IEC TC59</w:t>
      </w:r>
      <w:r>
        <w:rPr>
          <w:color w:val="000000"/>
          <w:spacing w:val="0"/>
          <w:w w:val="100"/>
          <w:position w:val="0"/>
        </w:rPr>
        <w:t>、</w:t>
      </w:r>
      <w:r>
        <w:rPr>
          <w:rFonts w:ascii="Times New Roman" w:eastAsia="Times New Roman" w:hAnsi="Times New Roman" w:cs="Times New Roman"/>
          <w:color w:val="000000"/>
          <w:spacing w:val="0"/>
          <w:w w:val="100"/>
          <w:position w:val="0"/>
        </w:rPr>
        <w:t>TC61</w:t>
      </w:r>
      <w:r>
        <w:rPr>
          <w:color w:val="000000"/>
          <w:spacing w:val="0"/>
          <w:w w:val="100"/>
          <w:position w:val="0"/>
        </w:rPr>
        <w:t>、</w:t>
      </w:r>
      <w:r>
        <w:rPr>
          <w:rFonts w:ascii="Times New Roman" w:eastAsia="Times New Roman" w:hAnsi="Times New Roman" w:cs="Times New Roman"/>
          <w:color w:val="000000"/>
          <w:spacing w:val="0"/>
          <w:w w:val="100"/>
          <w:position w:val="0"/>
        </w:rPr>
        <w:t>ISO/TC86/SC3/SC5</w:t>
      </w:r>
      <w:r>
        <w:rPr>
          <w:color w:val="000000"/>
          <w:spacing w:val="0"/>
          <w:w w:val="100"/>
          <w:position w:val="0"/>
        </w:rPr>
        <w:t>中国首席代表，国际电工委员会家用和类似用途电器的 安全委员会</w:t>
      </w:r>
      <w:r>
        <w:rPr>
          <w:color w:val="000000"/>
          <w:spacing w:val="0"/>
          <w:w w:val="100"/>
          <w:position w:val="0"/>
        </w:rPr>
        <w:t>(</w:t>
      </w:r>
      <w:r>
        <w:rPr>
          <w:rFonts w:ascii="Times New Roman" w:eastAsia="Times New Roman" w:hAnsi="Times New Roman" w:cs="Times New Roman"/>
          <w:color w:val="000000"/>
          <w:spacing w:val="0"/>
          <w:w w:val="100"/>
          <w:position w:val="0"/>
        </w:rPr>
        <w:t>IEC/TC61</w:t>
      </w:r>
      <w:r>
        <w:rPr>
          <w:color w:val="000000"/>
          <w:spacing w:val="0"/>
          <w:w w:val="100"/>
          <w:position w:val="0"/>
        </w:rPr>
        <w:t>)</w:t>
      </w:r>
      <w:r>
        <w:rPr>
          <w:color w:val="000000"/>
          <w:spacing w:val="0"/>
          <w:w w:val="100"/>
          <w:position w:val="0"/>
        </w:rPr>
        <w:t>副主席，公司独立董事。</w:t>
      </w:r>
    </w:p>
    <w:p>
      <w:pPr>
        <w:pStyle w:val="Style35"/>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孙颖楷先生，</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月出生，中国国籍，无境外永久居留权，研究生学历。</w:t>
      </w:r>
      <w:r>
        <w:rPr>
          <w:rFonts w:ascii="Times New Roman" w:eastAsia="Times New Roman" w:hAnsi="Times New Roman" w:cs="Times New Roman"/>
          <w:color w:val="000000"/>
          <w:spacing w:val="0"/>
          <w:w w:val="100"/>
          <w:position w:val="0"/>
        </w:rPr>
        <w:t>2001</w:t>
      </w:r>
      <w:r>
        <w:rPr>
          <w:color w:val="000000"/>
          <w:spacing w:val="0"/>
          <w:w w:val="100"/>
          <w:position w:val="0"/>
        </w:rPr>
        <w:t>年毕业于重庆大学 控制理论与控制工程专业，获工学博士学位，于</w:t>
      </w:r>
      <w:r>
        <w:rPr>
          <w:rFonts w:ascii="Times New Roman" w:eastAsia="Times New Roman" w:hAnsi="Times New Roman" w:cs="Times New Roman"/>
          <w:color w:val="000000"/>
          <w:spacing w:val="0"/>
          <w:w w:val="100"/>
          <w:position w:val="0"/>
        </w:rPr>
        <w:t>2004</w:t>
      </w:r>
      <w:r>
        <w:rPr>
          <w:color w:val="000000"/>
          <w:spacing w:val="0"/>
          <w:w w:val="100"/>
          <w:position w:val="0"/>
        </w:rPr>
        <w:t>年被聘为北京师范大学副教授。现任广东华南家电研 究院院长，兼任广东白色家电产学研创新联盟秘书长、广东环葆嘉节能服务有限公司董事/，'洞混廿蒂重</w:t>
      </w:r>
    </w:p>
    <w:p>
      <w:pPr>
        <w:pStyle w:val="Style2"/>
        <w:keepNext w:val="0"/>
        <w:keepLines w:val="0"/>
        <w:widowControl w:val="0"/>
        <w:shd w:val="clear" w:color="auto" w:fill="auto"/>
        <w:bidi w:val="0"/>
        <w:spacing w:before="0" w:after="0" w:line="240" w:lineRule="auto"/>
        <w:ind w:left="0" w:right="0" w:firstLine="0"/>
        <w:jc w:val="left"/>
        <w:rPr>
          <w:sz w:val="18"/>
          <w:szCs w:val="18"/>
        </w:rPr>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Restart w:val="continuous"/>
          </w:footnotePr>
          <w:pgSz w:w="11900" w:h="16840"/>
          <w:pgMar w:top="1180" w:right="1059" w:bottom="1197" w:left="1049" w:header="0" w:footer="3" w:gutter="0"/>
          <w:cols w:space="720"/>
          <w:noEndnote/>
          <w:titlePg/>
          <w:rtlGutter w:val="0"/>
          <w:docGrid w:linePitch="360"/>
        </w:sectPr>
      </w:pPr>
      <w:r>
        <w:rPr>
          <w:rFonts w:ascii="Times New Roman" w:eastAsia="Times New Roman" w:hAnsi="Times New Roman" w:cs="Times New Roman"/>
          <w:color w:val="6C6B6B"/>
          <w:spacing w:val="0"/>
          <w:w w:val="100"/>
          <w:position w:val="0"/>
          <w:sz w:val="18"/>
          <w:szCs w:val="18"/>
        </w:rPr>
        <w:t xml:space="preserve">29 </w:t>
      </w:r>
    </w:p>
    <w:p>
      <w:pPr>
        <w:pStyle w:val="Style2"/>
        <w:keepNext w:val="0"/>
        <w:keepLines w:val="0"/>
        <w:widowControl w:val="0"/>
        <w:shd w:val="clear" w:color="auto" w:fill="auto"/>
        <w:bidi w:val="0"/>
        <w:spacing w:before="0" w:after="0" w:line="240" w:lineRule="auto"/>
        <w:ind w:left="0" w:right="0" w:firstLine="0"/>
        <w:jc w:val="left"/>
      </w:pPr>
      <w:r>
        <w:rPr>
          <w:rStyle w:val="CharStyle36"/>
        </w:rPr>
        <w:t>等职，为全国家用自动控制器标准化技术委员会变频控制器分技术委员会委员及广东省电器电子产品绿色 制造标准化技术委员会委员。承担或参与三十多项国家级、省、市区各级科研项目，在国内外学术刊物及 国际会议上发表四十多篇专业学术论文。</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韩振平先生，</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月出生，中国国籍，无境外永久居留权，大学本科学历，中共党员，中国注册 会计师、中国注册资产评估师。历任黑龙江省佳木斯富民生产资料公司财务部总经理、北京天华会计师事 务所项目经理、中审会计师事务所有限公司高级经理、广东分公司总经理。现任中审亚太会计师事务所</w:t>
      </w:r>
      <w:r>
        <w:rPr>
          <w:rFonts w:ascii="Times New Roman" w:eastAsia="Times New Roman" w:hAnsi="Times New Roman" w:cs="Times New Roman"/>
          <w:color w:val="000000"/>
          <w:spacing w:val="0"/>
          <w:w w:val="100"/>
          <w:position w:val="0"/>
        </w:rPr>
        <w:t>（</w:t>
      </w:r>
      <w:r>
        <w:rPr>
          <w:color w:val="000000"/>
          <w:spacing w:val="0"/>
          <w:w w:val="100"/>
          <w:position w:val="0"/>
        </w:rPr>
        <w:t>特 殊普通合伙</w:t>
      </w:r>
      <w:r>
        <w:rPr>
          <w:rFonts w:ascii="Times New Roman" w:eastAsia="Times New Roman" w:hAnsi="Times New Roman" w:cs="Times New Roman"/>
          <w:color w:val="000000"/>
          <w:spacing w:val="0"/>
          <w:w w:val="100"/>
          <w:position w:val="0"/>
        </w:rPr>
        <w:t>）</w:t>
      </w:r>
      <w:r>
        <w:rPr>
          <w:color w:val="000000"/>
          <w:spacing w:val="0"/>
          <w:w w:val="100"/>
          <w:position w:val="0"/>
        </w:rPr>
        <w:t>执行合伙人、广东分所所长、广东精艺金属股份有限公司独立董事，公司独立董事。</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何国英先生，</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月出生，中国国籍，无永久境外居留权，清华大学</w:t>
      </w:r>
      <w:r>
        <w:rPr>
          <w:rFonts w:ascii="Times New Roman" w:eastAsia="Times New Roman" w:hAnsi="Times New Roman" w:cs="Times New Roman"/>
          <w:color w:val="000000"/>
          <w:spacing w:val="0"/>
          <w:w w:val="100"/>
          <w:position w:val="0"/>
        </w:rPr>
        <w:t>MBA</w:t>
      </w:r>
      <w:r>
        <w:rPr>
          <w:color w:val="000000"/>
          <w:spacing w:val="0"/>
          <w:w w:val="100"/>
          <w:position w:val="0"/>
        </w:rPr>
        <w:t>课程结业。历任广东德 美精细化工股份有限公司执行董事、监事、董事、总经理助理、营销负责人等职务。现任广东德美精细化 工股份有限公司董事兼副总经理、佛山市顺德区德美投资有限公司执行董事、青岛德美化工有限公司执行 董事、武汉德美化工有限公司执行董事、福建省晋江新德美化工有限公司董事长、无锡惠山德美化工有限 公司董事长、无锡市德美化工技术有限公司董事长、石家庄德美化工有限公司执行董事、佛山市顺德区德 美油墨有限公司董事、山东德美化工有限公司执行董事、佛山市顺德区德美高进出口有限公司执行董事、 汕头市德美实业有限公司执行董事、上海德美化工有限公司执行董事、绍兴县德美化工有限公司执行董事、 绍兴县滨海德美精细化工有限公司执行董事、佛山市顺德区德和恒信投资管理有限公司董事、公司监事会 主席。</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卢惠全先生，</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月出生，中国国籍，无永久境外居留权，大学学历，现任佛山市顺德区远茂化 工实业有限公司经理，佛山市顺德区极创防火材料有限公司执行董事，公司监事。</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刘琛女士，</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月出生，中国国籍，无境外永久居留权，大学本科学历，曾任湖北红旗电缆厂技 术部技术科长。现任公司品质管理部副经理、监事。</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刘世明先生，</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月出生，中国国籍，无境外永久居留权，本科学历。曾任鹤山市第二中学团委 书记、香港信诚化工公司业务经理、华星精细化工厂业务经理等职，</w:t>
      </w:r>
      <w:r>
        <w:rPr>
          <w:rFonts w:ascii="Times New Roman" w:eastAsia="Times New Roman" w:hAnsi="Times New Roman" w:cs="Times New Roman"/>
          <w:color w:val="000000"/>
          <w:spacing w:val="0"/>
          <w:w w:val="100"/>
          <w:position w:val="0"/>
        </w:rPr>
        <w:t>1997</w:t>
      </w:r>
      <w:r>
        <w:rPr>
          <w:color w:val="000000"/>
          <w:spacing w:val="0"/>
          <w:w w:val="100"/>
          <w:position w:val="0"/>
        </w:rPr>
        <w:t>年加入公司至今，历任行政部经 理、企管部经理、品质副总经理、生产技术副总经理等职，现任公司副总经理。</w:t>
      </w:r>
    </w:p>
    <w:p>
      <w:pPr>
        <w:pStyle w:val="Style35"/>
        <w:keepNext w:val="0"/>
        <w:keepLines w:val="0"/>
        <w:widowControl w:val="0"/>
        <w:shd w:val="clear" w:color="auto" w:fill="auto"/>
        <w:bidi w:val="0"/>
        <w:spacing w:before="0" w:line="314" w:lineRule="exact"/>
        <w:ind w:left="0" w:right="0" w:firstLine="440"/>
        <w:jc w:val="both"/>
      </w:pPr>
      <w:r>
        <w:rPr>
          <w:color w:val="000000"/>
          <w:spacing w:val="0"/>
          <w:w w:val="100"/>
          <w:position w:val="0"/>
        </w:rPr>
        <w:t>黄志坚女士，</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年出生，中国国籍，无永久境外居留权，大学本科学历，会计师。</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月参加 工作，曾任广州劲马锅炉实业有限公司成本会计，卡夫食品公司广州办事处会计主管，高夫食品有限公司 财务经理，广州壳牌石油化工有限公司财务主管，广州百事可乐饮料有限公司助理财务总监，</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年担任华润涂料集团财务总监，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月加入本公司，曾任总经理助理，现任财务总监。</w:t>
      </w:r>
    </w:p>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在股东单位任职情况</w:t>
      </w:r>
    </w:p>
    <w:tbl>
      <w:tblPr>
        <w:tblOverlap w:val="never"/>
        <w:jc w:val="center"/>
        <w:tblLayout w:type="fixed"/>
      </w:tblPr>
      <w:tblGrid>
        <w:gridCol w:w="907"/>
        <w:gridCol w:w="3490"/>
        <w:gridCol w:w="1373"/>
        <w:gridCol w:w="1080"/>
        <w:gridCol w:w="1080"/>
        <w:gridCol w:w="1656"/>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在股东单位是否 领取报酬津贴</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佛山锐达投资发展有限公司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1998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冯倩红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佛山锐达投资发展有限公司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冯倩红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华声</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卢锡球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佛山市顺德区远茂化工实业有限公司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卢惠全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佛山市顺德区远茂化工实业有限公司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在其他单位任职情况</w:t>
      </w:r>
      <w:r>
        <w:br w:type="page"/>
      </w:r>
    </w:p>
    <w:tbl>
      <w:tblPr>
        <w:tblOverlap w:val="never"/>
        <w:jc w:val="center"/>
        <w:tblLayout w:type="fixed"/>
      </w:tblPr>
      <w:tblGrid>
        <w:gridCol w:w="907"/>
        <w:gridCol w:w="3494"/>
        <w:gridCol w:w="1368"/>
        <w:gridCol w:w="1080"/>
        <w:gridCol w:w="1133"/>
        <w:gridCol w:w="1603"/>
      </w:tblGrid>
      <w:tr>
        <w:trPr>
          <w:trHeight w:val="62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60" w:lineRule="exact"/>
              <w:ind w:left="160" w:right="0" w:hanging="160"/>
              <w:jc w:val="left"/>
            </w:pPr>
            <w:r>
              <w:rPr>
                <w:color w:val="000000"/>
                <w:spacing w:val="0"/>
                <w:w w:val="100"/>
                <w:position w:val="0"/>
              </w:rPr>
              <w:t>在其他单位是否 领取报酬津贴</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冯倩红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扬州华声电子实业有限公司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谢基柱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扬州华声电子实业有限公司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吴东昕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佛山市顺德区瑞域房产有限公司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中国家用电器研究院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孙颖楷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广东华南家电研究院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中审亚太会计师事务所有限公司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副主任会计师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广东精艺金属股份有限公司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广东德美精细化工股份有限公司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佛山市顺德区德美投资有限公司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武汉德美化工有限公司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福建省晋江新德美化工有限公司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无锡惠山德美化工有限公司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无锡市德美化工技术有限公司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石家庄德美化工有限公司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佛山市顺德区德美油墨有限公司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山东德美化工有限公司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佛山市顺德区德美高进出口有限公司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汕头市德美实业有限公司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上海德美化工有限公司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绍兴县德美化工有限公司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何国英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绍兴县滨海德美精细化工有限公司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Restart w:val="continuous"/>
          </w:footnotePr>
          <w:pgSz w:w="11900" w:h="16840"/>
          <w:pgMar w:top="1180" w:right="1059" w:bottom="1197" w:left="1049" w:header="0" w:footer="3" w:gutter="0"/>
          <w:cols w:space="720"/>
          <w:noEndnote/>
          <w:titlePg/>
          <w:rtlGutter w:val="0"/>
          <w:docGrid w:linePitch="360"/>
        </w:sectPr>
      </w:pPr>
    </w:p>
    <w:tbl>
      <w:tblPr>
        <w:tblOverlap w:val="never"/>
        <w:jc w:val="center"/>
        <w:tblLayout w:type="fixed"/>
      </w:tblPr>
      <w:tblGrid>
        <w:gridCol w:w="907"/>
        <w:gridCol w:w="3494"/>
        <w:gridCol w:w="1368"/>
        <w:gridCol w:w="1080"/>
        <w:gridCol w:w="1133"/>
        <w:gridCol w:w="1603"/>
      </w:tblGrid>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佛山市顺德区德和恒信投资管理有限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卢惠全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佛山市顺德区极创防火材料有限公司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三</w:t>
      </w:r>
      <w:bookmarkEnd w:id="273"/>
      <w:r>
        <w:rPr>
          <w:color w:val="000000"/>
          <w:spacing w:val="0"/>
          <w:w w:val="100"/>
          <w:position w:val="0"/>
          <w:sz w:val="24"/>
          <w:szCs w:val="24"/>
        </w:rPr>
        <w:t>、董事、监事、高级管理人员报酬情况</w:t>
      </w:r>
      <w:bookmarkEnd w:id="271"/>
      <w:bookmarkEnd w:id="272"/>
      <w:bookmarkEnd w:id="274"/>
    </w:p>
    <w:p>
      <w:pPr>
        <w:pStyle w:val="Style48"/>
        <w:keepNext/>
        <w:keepLines/>
        <w:widowControl w:val="0"/>
        <w:shd w:val="clear" w:color="auto" w:fill="auto"/>
        <w:bidi w:val="0"/>
        <w:spacing w:before="0" w:after="0" w:line="318" w:lineRule="exact"/>
        <w:ind w:left="0" w:right="0" w:firstLine="0"/>
        <w:jc w:val="left"/>
      </w:pPr>
      <w:bookmarkStart w:id="275" w:name="bookmark275"/>
      <w:bookmarkStart w:id="276" w:name="bookmark276"/>
      <w:bookmarkStart w:id="277" w:name="bookmark277"/>
      <w:r>
        <w:rPr>
          <w:color w:val="000000"/>
          <w:spacing w:val="0"/>
          <w:w w:val="100"/>
          <w:position w:val="0"/>
        </w:rPr>
        <w:t>董事、监事、高级管理人员报酬的决策程序、确定依据、实际支付情况</w:t>
      </w:r>
      <w:bookmarkEnd w:id="275"/>
      <w:bookmarkEnd w:id="276"/>
      <w:bookmarkEnd w:id="277"/>
    </w:p>
    <w:p>
      <w:pPr>
        <w:pStyle w:val="Style35"/>
        <w:keepNext w:val="0"/>
        <w:keepLines w:val="0"/>
        <w:widowControl w:val="0"/>
        <w:shd w:val="clear" w:color="auto" w:fill="auto"/>
        <w:tabs>
          <w:tab w:pos="781" w:val="left"/>
        </w:tabs>
        <w:bidi w:val="0"/>
        <w:spacing w:before="0" w:after="0" w:line="318" w:lineRule="exact"/>
        <w:ind w:left="0" w:right="0" w:firstLine="440"/>
        <w:jc w:val="left"/>
      </w:pPr>
      <w:bookmarkStart w:id="278" w:name="bookmark278"/>
      <w:r>
        <w:rPr>
          <w:rFonts w:ascii="Times New Roman" w:eastAsia="Times New Roman" w:hAnsi="Times New Roman" w:cs="Times New Roman"/>
          <w:color w:val="000000"/>
          <w:spacing w:val="0"/>
          <w:w w:val="100"/>
          <w:position w:val="0"/>
        </w:rPr>
        <w:t>1</w:t>
      </w:r>
      <w:bookmarkEnd w:id="278"/>
      <w:r>
        <w:rPr>
          <w:color w:val="000000"/>
          <w:spacing w:val="0"/>
          <w:w w:val="100"/>
          <w:position w:val="0"/>
        </w:rPr>
        <w:t>、</w:t>
        <w:tab/>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日公司创立大会审议通过的《关于公司第一届董事会董事薪酬的议案》、《关于公 司独立董事津贴标准的议案》、《关于公司第一届监事会薪酬的议案》等。</w:t>
      </w:r>
    </w:p>
    <w:p>
      <w:pPr>
        <w:pStyle w:val="Style35"/>
        <w:keepNext w:val="0"/>
        <w:keepLines w:val="0"/>
        <w:widowControl w:val="0"/>
        <w:shd w:val="clear" w:color="auto" w:fill="auto"/>
        <w:tabs>
          <w:tab w:pos="790" w:val="left"/>
        </w:tabs>
        <w:bidi w:val="0"/>
        <w:spacing w:before="0" w:after="0" w:line="318" w:lineRule="exact"/>
        <w:ind w:left="0" w:right="0" w:firstLine="440"/>
        <w:jc w:val="left"/>
      </w:pPr>
      <w:bookmarkStart w:id="279" w:name="bookmark279"/>
      <w:r>
        <w:rPr>
          <w:rFonts w:ascii="Times New Roman" w:eastAsia="Times New Roman" w:hAnsi="Times New Roman" w:cs="Times New Roman"/>
          <w:color w:val="000000"/>
          <w:spacing w:val="0"/>
          <w:w w:val="100"/>
          <w:position w:val="0"/>
        </w:rPr>
        <w:t>2</w:t>
      </w:r>
      <w:bookmarkEnd w:id="279"/>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年第一次临时股东大会审议通过的《关于推选公司第二届董事会董事及审 议董事薪酬方案的议案》、《关于推选公司第二届监事会非职工监事及审议监事薪酬方案的议案》，</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日公司第二届董事会第一次会议审议通过的《关于聘任公司其他高级管理人员及确定高级管理人 员薪酬的议案》等。</w:t>
      </w:r>
    </w:p>
    <w:p>
      <w:pPr>
        <w:pStyle w:val="Style35"/>
        <w:keepNext w:val="0"/>
        <w:keepLines w:val="0"/>
        <w:widowControl w:val="0"/>
        <w:shd w:val="clear" w:color="auto" w:fill="auto"/>
        <w:bidi w:val="0"/>
        <w:spacing w:before="0" w:after="100" w:line="318" w:lineRule="exact"/>
        <w:ind w:left="0" w:right="0" w:firstLine="0"/>
        <w:jc w:val="left"/>
      </w:pPr>
      <w:r>
        <w:rPr>
          <w:b/>
          <w:bCs/>
          <w:color w:val="000000"/>
          <w:spacing w:val="0"/>
          <w:w w:val="100"/>
          <w:position w:val="0"/>
        </w:rPr>
        <w:t>公司报告期内董事、监事和高级管理人员报酬情况</w:t>
      </w:r>
    </w:p>
    <w:p>
      <w:pPr>
        <w:pStyle w:val="Style38"/>
        <w:keepNext w:val="0"/>
        <w:keepLines w:val="0"/>
        <w:widowControl w:val="0"/>
        <w:shd w:val="clear" w:color="auto" w:fill="auto"/>
        <w:bidi w:val="0"/>
        <w:spacing w:before="0" w:after="0" w:line="240" w:lineRule="auto"/>
        <w:ind w:left="8270" w:right="0" w:firstLine="0"/>
        <w:jc w:val="left"/>
      </w:pPr>
      <w:r>
        <w:rPr>
          <w:color w:val="000000"/>
          <w:spacing w:val="0"/>
          <w:w w:val="100"/>
          <w:position w:val="0"/>
        </w:rPr>
        <w:t>单位：万元</w:t>
      </w:r>
    </w:p>
    <w:tbl>
      <w:tblPr>
        <w:tblOverlap w:val="never"/>
        <w:jc w:val="center"/>
        <w:tblLayout w:type="fixed"/>
      </w:tblPr>
      <w:tblGrid>
        <w:gridCol w:w="907"/>
        <w:gridCol w:w="2520"/>
        <w:gridCol w:w="720"/>
        <w:gridCol w:w="643"/>
        <w:gridCol w:w="979"/>
        <w:gridCol w:w="1258"/>
        <w:gridCol w:w="1354"/>
        <w:gridCol w:w="1205"/>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 的报酬总额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从股东单位获 得的报酬总额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报告期末实 际所得报酬</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卢锡球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董事、总经理、董事会秘书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冯倩红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谢基柱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24.96</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吴东昕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覃东宜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马德军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孙颖楷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卢惠全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w:t>
            </w:r>
          </w:p>
        </w:tc>
      </w:tr>
    </w:tbl>
    <w:p>
      <w:pPr>
        <w:pStyle w:val="Style38"/>
        <w:keepNext w:val="0"/>
        <w:keepLines w:val="0"/>
        <w:widowControl w:val="0"/>
        <w:shd w:val="clear" w:color="auto" w:fill="auto"/>
        <w:tabs>
          <w:tab w:pos="7555" w:val="left"/>
        </w:tabs>
        <w:bidi w:val="0"/>
        <w:spacing w:before="0" w:after="0" w:line="240" w:lineRule="auto"/>
        <w:ind w:left="0" w:right="0" w:firstLine="0"/>
        <w:jc w:val="center"/>
      </w:pPr>
      <w:r>
        <w:rPr>
          <w:b/>
          <w:bCs/>
          <w:color w:val="000000"/>
          <w:spacing w:val="0"/>
          <w:w w:val="100"/>
          <w:position w:val="0"/>
        </w:rPr>
        <w:t>公司董事、监事、高级管理人员报告期内被授予的股权激励情况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四</w:t>
      </w:r>
      <w:bookmarkEnd w:id="282"/>
      <w:r>
        <w:rPr>
          <w:color w:val="000000"/>
          <w:spacing w:val="0"/>
          <w:w w:val="100"/>
          <w:position w:val="0"/>
          <w:sz w:val="24"/>
          <w:szCs w:val="24"/>
        </w:rPr>
        <w:t>、公司董事、监事、高级管理人员变动情况</w:t>
      </w:r>
      <w:bookmarkEnd w:id="280"/>
      <w:bookmarkEnd w:id="281"/>
      <w:bookmarkEnd w:id="283"/>
    </w:p>
    <w:tbl>
      <w:tblPr>
        <w:tblOverlap w:val="never"/>
        <w:jc w:val="center"/>
        <w:tblLayout w:type="fixed"/>
      </w:tblPr>
      <w:tblGrid>
        <w:gridCol w:w="1339"/>
        <w:gridCol w:w="1330"/>
        <w:gridCol w:w="1330"/>
        <w:gridCol w:w="2131"/>
        <w:gridCol w:w="3456"/>
      </w:tblGrid>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姓名</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类型</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覃东宜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吴东昕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180" w:right="1059" w:bottom="1197" w:left="1049" w:header="0" w:footer="3" w:gutter="0"/>
          <w:cols w:space="720"/>
          <w:noEndnote/>
          <w:rtlGutter w:val="0"/>
          <w:docGrid w:linePitch="360"/>
        </w:sectPr>
      </w:pPr>
    </w:p>
    <w:tbl>
      <w:tblPr>
        <w:tblOverlap w:val="never"/>
        <w:jc w:val="center"/>
        <w:tblLayout w:type="fixed"/>
      </w:tblPr>
      <w:tblGrid>
        <w:gridCol w:w="1339"/>
        <w:gridCol w:w="1330"/>
        <w:gridCol w:w="1330"/>
        <w:gridCol w:w="2131"/>
        <w:gridCol w:w="3456"/>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工作调整，不再担任财务总监一职</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黄志坚</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bl>
    <w:p>
      <w:pPr>
        <w:widowControl w:val="0"/>
        <w:spacing w:after="319" w:line="1" w:lineRule="exact"/>
      </w:pPr>
    </w:p>
    <w:p>
      <w:pPr>
        <w:pStyle w:val="Style30"/>
        <w:keepNext/>
        <w:keepLines/>
        <w:widowControl w:val="0"/>
        <w:shd w:val="clear" w:color="auto" w:fill="auto"/>
        <w:tabs>
          <w:tab w:pos="517" w:val="left"/>
        </w:tabs>
        <w:bidi w:val="0"/>
        <w:spacing w:before="0" w:after="32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五</w:t>
      </w:r>
      <w:bookmarkEnd w:id="286"/>
      <w:r>
        <w:rPr>
          <w:color w:val="000000"/>
          <w:spacing w:val="0"/>
          <w:w w:val="100"/>
          <w:position w:val="0"/>
          <w:sz w:val="24"/>
          <w:szCs w:val="24"/>
        </w:rPr>
        <w:t>、</w:t>
        <w:tab/>
        <w:t>报告期核心技术团队或关键技术人员变动情况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非董事、监事、高级管理人员</w:t>
      </w:r>
      <w:r>
        <w:rPr>
          <w:rFonts w:ascii="Times New Roman" w:eastAsia="Times New Roman" w:hAnsi="Times New Roman" w:cs="Times New Roman"/>
          <w:color w:val="000000"/>
          <w:spacing w:val="0"/>
          <w:w w:val="100"/>
          <w:position w:val="0"/>
          <w:sz w:val="24"/>
          <w:szCs w:val="24"/>
        </w:rPr>
        <w:t>）</w:t>
      </w:r>
      <w:bookmarkEnd w:id="284"/>
      <w:bookmarkEnd w:id="285"/>
      <w:bookmarkEnd w:id="287"/>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无变动。</w:t>
      </w:r>
    </w:p>
    <w:p>
      <w:pPr>
        <w:pStyle w:val="Style30"/>
        <w:keepNext/>
        <w:keepLines/>
        <w:widowControl w:val="0"/>
        <w:shd w:val="clear" w:color="auto" w:fill="auto"/>
        <w:tabs>
          <w:tab w:pos="522" w:val="left"/>
        </w:tabs>
        <w:bidi w:val="0"/>
        <w:spacing w:before="0" w:after="3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六</w:t>
      </w:r>
      <w:bookmarkEnd w:id="290"/>
      <w:r>
        <w:rPr>
          <w:color w:val="000000"/>
          <w:spacing w:val="0"/>
          <w:w w:val="100"/>
          <w:position w:val="0"/>
          <w:sz w:val="24"/>
          <w:szCs w:val="24"/>
        </w:rPr>
        <w:t>、</w:t>
        <w:tab/>
        <w:t>公司员工情况</w:t>
      </w:r>
      <w:bookmarkEnd w:id="288"/>
      <w:bookmarkEnd w:id="289"/>
      <w:bookmarkEnd w:id="291"/>
    </w:p>
    <w:p>
      <w:pPr>
        <w:pStyle w:val="Style35"/>
        <w:keepNext w:val="0"/>
        <w:keepLines w:val="0"/>
        <w:widowControl w:val="0"/>
        <w:shd w:val="clear" w:color="auto" w:fill="auto"/>
        <w:bidi w:val="0"/>
        <w:spacing w:before="0" w:after="40" w:line="240" w:lineRule="auto"/>
        <w:ind w:left="0" w:right="0" w:firstLine="0"/>
        <w:jc w:val="both"/>
      </w:pPr>
      <w:bookmarkStart w:id="292" w:name="bookmark292"/>
      <w:r>
        <w:rPr>
          <w:rFonts w:ascii="Times New Roman" w:eastAsia="Times New Roman" w:hAnsi="Times New Roman" w:cs="Times New Roman"/>
          <w:color w:val="000000"/>
          <w:spacing w:val="0"/>
          <w:w w:val="100"/>
          <w:position w:val="0"/>
        </w:rPr>
        <w:t>（</w:t>
      </w:r>
      <w:bookmarkEnd w:id="292"/>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员工情况</w:t>
      </w:r>
    </w:p>
    <w:p>
      <w:pPr>
        <w:pStyle w:val="Style3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w:t>
      </w:r>
      <w:r>
        <w:rPr>
          <w:rFonts w:ascii="Times New Roman" w:eastAsia="Times New Roman" w:hAnsi="Times New Roman" w:cs="Times New Roman"/>
          <w:color w:val="000000"/>
          <w:spacing w:val="0"/>
          <w:w w:val="100"/>
          <w:position w:val="0"/>
        </w:rPr>
        <w:t>（</w:t>
      </w:r>
      <w:r>
        <w:rPr>
          <w:color w:val="000000"/>
          <w:spacing w:val="0"/>
          <w:w w:val="100"/>
          <w:position w:val="0"/>
        </w:rPr>
        <w:t>包含子公司</w:t>
      </w:r>
      <w:r>
        <w:rPr>
          <w:rFonts w:ascii="Times New Roman" w:eastAsia="Times New Roman" w:hAnsi="Times New Roman" w:cs="Times New Roman"/>
          <w:color w:val="000000"/>
          <w:spacing w:val="0"/>
          <w:w w:val="100"/>
          <w:position w:val="0"/>
        </w:rPr>
        <w:t>）</w:t>
      </w:r>
      <w:r>
        <w:rPr>
          <w:color w:val="000000"/>
          <w:spacing w:val="0"/>
          <w:w w:val="100"/>
          <w:position w:val="0"/>
        </w:rPr>
        <w:t>在册员工共计</w:t>
      </w:r>
      <w:r>
        <w:rPr>
          <w:rFonts w:ascii="Times New Roman" w:eastAsia="Times New Roman" w:hAnsi="Times New Roman" w:cs="Times New Roman"/>
          <w:color w:val="000000"/>
          <w:spacing w:val="0"/>
          <w:w w:val="100"/>
          <w:position w:val="0"/>
        </w:rPr>
        <w:t>877</w:t>
      </w:r>
      <w:r>
        <w:rPr>
          <w:color w:val="000000"/>
          <w:spacing w:val="0"/>
          <w:w w:val="100"/>
          <w:position w:val="0"/>
        </w:rPr>
        <w:t>人。专业与教育程度构成具体如下图:</w:t>
      </w:r>
    </w:p>
    <w:p>
      <w:pPr>
        <w:widowControl w:val="0"/>
        <w:jc w:val="left"/>
        <w:rPr>
          <w:sz w:val="2"/>
          <w:szCs w:val="2"/>
        </w:rPr>
      </w:pPr>
      <w:r>
        <w:drawing>
          <wp:inline>
            <wp:extent cx="5669280" cy="3383280"/>
            <wp:docPr id="238" name="Picutre 238"/>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89"/>
                    <a:stretch/>
                  </pic:blipFill>
                  <pic:spPr>
                    <a:xfrm>
                      <a:ext cx="5669280" cy="3383280"/>
                    </a:xfrm>
                    <a:prstGeom prst="rect"/>
                  </pic:spPr>
                </pic:pic>
              </a:graphicData>
            </a:graphic>
          </wp:inline>
        </w:drawing>
      </w:r>
    </w:p>
    <w:p>
      <w:pPr>
        <w:widowControl w:val="0"/>
        <w:spacing w:after="119" w:line="1" w:lineRule="exact"/>
      </w:pPr>
    </w:p>
    <w:p>
      <w:pPr>
        <w:pStyle w:val="Style35"/>
        <w:keepNext w:val="0"/>
        <w:keepLines w:val="0"/>
        <w:widowControl w:val="0"/>
        <w:shd w:val="clear" w:color="auto" w:fill="auto"/>
        <w:tabs>
          <w:tab w:pos="536" w:val="left"/>
        </w:tabs>
        <w:bidi w:val="0"/>
        <w:spacing w:before="0" w:after="40" w:line="313" w:lineRule="exact"/>
        <w:ind w:left="0" w:right="0" w:firstLine="0"/>
        <w:jc w:val="both"/>
      </w:pPr>
      <w:bookmarkStart w:id="293" w:name="bookmark293"/>
      <w:r>
        <w:rPr>
          <w:rFonts w:ascii="Times New Roman" w:eastAsia="Times New Roman" w:hAnsi="Times New Roman" w:cs="Times New Roman"/>
          <w:color w:val="000000"/>
          <w:spacing w:val="0"/>
          <w:w w:val="100"/>
          <w:position w:val="0"/>
        </w:rPr>
        <w:t>（</w:t>
      </w:r>
      <w:bookmarkEnd w:id="293"/>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员工薪酬政策</w:t>
      </w:r>
    </w:p>
    <w:p>
      <w:pPr>
        <w:pStyle w:val="Style35"/>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为提升企业竞争力及员工积极性，公司建立公正、竞争、激励的薪酬管理体系，员工工资主要由基本 工资、绩效奖金、福利津贴、年终奖等构成。公司根据年度经营目标的制定和分解，建立效益目标考核体 系，制定各部门效益指标，其中绩效工资根据效益指标、管理指标、优化指标等相关指标确定。年终奖根 据公司全年经营效益及各部门指标完成情况确定。此外，公司每年年终对员工进行综合考评，根据考评结 果对下一年度的员工薪酬进行调整。</w:t>
      </w:r>
    </w:p>
    <w:p>
      <w:pPr>
        <w:pStyle w:val="Style35"/>
        <w:keepNext w:val="0"/>
        <w:keepLines w:val="0"/>
        <w:widowControl w:val="0"/>
        <w:shd w:val="clear" w:color="auto" w:fill="auto"/>
        <w:tabs>
          <w:tab w:pos="536" w:val="left"/>
        </w:tabs>
        <w:bidi w:val="0"/>
        <w:spacing w:before="0" w:after="0" w:line="310" w:lineRule="exact"/>
        <w:ind w:left="0" w:right="0" w:firstLine="0"/>
        <w:jc w:val="both"/>
      </w:pPr>
      <w:bookmarkStart w:id="294" w:name="bookmark294"/>
      <w:r>
        <w:rPr>
          <w:rFonts w:ascii="Times New Roman" w:eastAsia="Times New Roman" w:hAnsi="Times New Roman" w:cs="Times New Roman"/>
          <w:color w:val="000000"/>
          <w:spacing w:val="0"/>
          <w:w w:val="100"/>
          <w:position w:val="0"/>
        </w:rPr>
        <w:t>（</w:t>
      </w:r>
      <w:bookmarkEnd w:id="294"/>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员工培训计划</w:t>
      </w:r>
    </w:p>
    <w:p>
      <w:pPr>
        <w:pStyle w:val="Style35"/>
        <w:keepNext w:val="0"/>
        <w:keepLines w:val="0"/>
        <w:widowControl w:val="0"/>
        <w:shd w:val="clear" w:color="auto" w:fill="auto"/>
        <w:bidi w:val="0"/>
        <w:spacing w:before="0" w:after="1280" w:line="310" w:lineRule="exact"/>
        <w:ind w:left="0" w:right="0" w:firstLine="440"/>
        <w:jc w:val="both"/>
      </w:pPr>
      <w:r>
        <w:rPr>
          <w:color w:val="000000"/>
          <w:spacing w:val="0"/>
          <w:w w:val="100"/>
          <w:position w:val="0"/>
        </w:rPr>
        <w:t>为提高员工整体素质和工作效率，公司每年年末由人力资源部制定下一年的培训计划，具体包括培训 的项目、内容、时间、方式、参加人员。主要培训内容包括员工素质、岗位操作技能、生产安全管理、沟 通管理、执行力提升等各个方面，培训形式有管理人员授课、外聘讲师授课、外部交流学习等。</w:t>
      </w:r>
    </w:p>
    <w:p>
      <w:pPr>
        <w:widowControl w:val="0"/>
        <w:jc w:val="center"/>
        <w:rPr>
          <w:sz w:val="2"/>
          <w:szCs w:val="2"/>
        </w:rPr>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245" name="Picutre 245"/>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95"/>
                    <a:stretch/>
                  </pic:blipFill>
                  <pic:spPr>
                    <a:xfrm>
                      <a:ext cx="1718945" cy="981710"/>
                    </a:xfrm>
                    <a:prstGeom prst="rect"/>
                  </pic:spPr>
                </pic:pic>
              </a:graphicData>
            </a:graphic>
          </wp:inline>
        </w:drawing>
      </w:r>
    </w:p>
    <w:p>
      <w:pPr>
        <w:pStyle w:val="Style14"/>
        <w:keepNext/>
        <w:keepLines/>
        <w:widowControl w:val="0"/>
        <w:shd w:val="clear" w:color="auto" w:fill="auto"/>
        <w:bidi w:val="0"/>
        <w:spacing w:before="0" w:after="540" w:line="240" w:lineRule="auto"/>
        <w:ind w:left="0" w:right="0" w:firstLine="0"/>
        <w:jc w:val="center"/>
      </w:pPr>
      <w:bookmarkStart w:id="295" w:name="bookmark295"/>
      <w:bookmarkStart w:id="296" w:name="bookmark296"/>
      <w:bookmarkStart w:id="297" w:name="bookmark297"/>
      <w:r>
        <w:rPr>
          <w:color w:val="000000"/>
          <w:spacing w:val="0"/>
          <w:w w:val="100"/>
          <w:position w:val="0"/>
        </w:rPr>
        <w:t>第八节公司治理</w:t>
      </w:r>
      <w:bookmarkEnd w:id="295"/>
      <w:bookmarkEnd w:id="296"/>
      <w:bookmarkEnd w:id="297"/>
    </w:p>
    <w:p>
      <w:pPr>
        <w:pStyle w:val="Style30"/>
        <w:keepNext/>
        <w:keepLines/>
        <w:widowControl w:val="0"/>
        <w:shd w:val="clear" w:color="auto" w:fill="auto"/>
        <w:bidi w:val="0"/>
        <w:spacing w:before="0" w:after="3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一</w:t>
      </w:r>
      <w:bookmarkEnd w:id="300"/>
      <w:r>
        <w:rPr>
          <w:color w:val="000000"/>
          <w:spacing w:val="0"/>
          <w:w w:val="100"/>
          <w:position w:val="0"/>
          <w:sz w:val="24"/>
          <w:szCs w:val="24"/>
        </w:rPr>
        <w:t>、公司治理的基本状况</w:t>
      </w:r>
      <w:bookmarkEnd w:id="298"/>
      <w:bookmarkEnd w:id="299"/>
      <w:bookmarkEnd w:id="301"/>
    </w:p>
    <w:p>
      <w:pPr>
        <w:pStyle w:val="Style35"/>
        <w:keepNext w:val="0"/>
        <w:keepLines w:val="0"/>
        <w:widowControl w:val="0"/>
        <w:shd w:val="clear" w:color="auto" w:fill="auto"/>
        <w:tabs>
          <w:tab w:pos="794" w:val="left"/>
        </w:tabs>
        <w:bidi w:val="0"/>
        <w:spacing w:before="0" w:after="0" w:line="331" w:lineRule="auto"/>
        <w:ind w:left="0" w:right="0" w:firstLine="440"/>
        <w:jc w:val="both"/>
      </w:pPr>
      <w:bookmarkStart w:id="302" w:name="bookmark302"/>
      <w:r>
        <w:rPr>
          <w:rFonts w:ascii="Times New Roman" w:eastAsia="Times New Roman" w:hAnsi="Times New Roman" w:cs="Times New Roman"/>
          <w:color w:val="000000"/>
          <w:spacing w:val="0"/>
          <w:w w:val="100"/>
          <w:position w:val="0"/>
        </w:rPr>
        <w:t>1</w:t>
      </w:r>
      <w:bookmarkEnd w:id="302"/>
      <w:r>
        <w:rPr>
          <w:color w:val="000000"/>
          <w:spacing w:val="0"/>
          <w:w w:val="100"/>
          <w:position w:val="0"/>
        </w:rPr>
        <w:t>、</w:t>
        <w:tab/>
        <w:t>股东大会运作情况</w:t>
      </w:r>
    </w:p>
    <w:p>
      <w:pPr>
        <w:pStyle w:val="Style35"/>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报告期内共召开股东大会</w:t>
      </w:r>
      <w:r>
        <w:rPr>
          <w:rFonts w:ascii="Times New Roman" w:eastAsia="Times New Roman" w:hAnsi="Times New Roman" w:cs="Times New Roman"/>
          <w:color w:val="000000"/>
          <w:spacing w:val="0"/>
          <w:w w:val="100"/>
          <w:position w:val="0"/>
        </w:rPr>
        <w:t>2</w:t>
      </w:r>
      <w:r>
        <w:rPr>
          <w:color w:val="000000"/>
          <w:spacing w:val="0"/>
          <w:w w:val="100"/>
          <w:position w:val="0"/>
        </w:rPr>
        <w:t>次，审议议案</w:t>
      </w:r>
      <w:r>
        <w:rPr>
          <w:rFonts w:ascii="Times New Roman" w:eastAsia="Times New Roman" w:hAnsi="Times New Roman" w:cs="Times New Roman"/>
          <w:color w:val="000000"/>
          <w:spacing w:val="0"/>
          <w:w w:val="100"/>
          <w:position w:val="0"/>
        </w:rPr>
        <w:t>10</w:t>
      </w:r>
      <w:r>
        <w:rPr>
          <w:color w:val="000000"/>
          <w:spacing w:val="0"/>
          <w:w w:val="100"/>
          <w:position w:val="0"/>
        </w:rPr>
        <w:t>项。两次股东大会均按照《公司法》、《公司章程》的规 定发布召开股东大会的通知，并有见证律师现场见证。</w:t>
      </w:r>
    </w:p>
    <w:p>
      <w:pPr>
        <w:pStyle w:val="Style35"/>
        <w:keepNext w:val="0"/>
        <w:keepLines w:val="0"/>
        <w:widowControl w:val="0"/>
        <w:shd w:val="clear" w:color="auto" w:fill="auto"/>
        <w:tabs>
          <w:tab w:pos="813" w:val="left"/>
        </w:tabs>
        <w:bidi w:val="0"/>
        <w:spacing w:before="0" w:after="0" w:line="331" w:lineRule="auto"/>
        <w:ind w:left="0" w:right="0" w:firstLine="440"/>
        <w:jc w:val="both"/>
      </w:pPr>
      <w:bookmarkStart w:id="303" w:name="bookmark303"/>
      <w:r>
        <w:rPr>
          <w:rFonts w:ascii="Times New Roman" w:eastAsia="Times New Roman" w:hAnsi="Times New Roman" w:cs="Times New Roman"/>
          <w:color w:val="000000"/>
          <w:spacing w:val="0"/>
          <w:w w:val="100"/>
          <w:position w:val="0"/>
        </w:rPr>
        <w:t>2</w:t>
      </w:r>
      <w:bookmarkEnd w:id="303"/>
      <w:r>
        <w:rPr>
          <w:color w:val="000000"/>
          <w:spacing w:val="0"/>
          <w:w w:val="100"/>
          <w:position w:val="0"/>
        </w:rPr>
        <w:t>、</w:t>
        <w:tab/>
        <w:t>董事会运作情况</w:t>
      </w:r>
    </w:p>
    <w:p>
      <w:pPr>
        <w:pStyle w:val="Style35"/>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公司现有董事</w:t>
      </w:r>
      <w:r>
        <w:rPr>
          <w:rFonts w:ascii="Times New Roman" w:eastAsia="Times New Roman" w:hAnsi="Times New Roman" w:cs="Times New Roman"/>
          <w:color w:val="000000"/>
          <w:spacing w:val="0"/>
          <w:w w:val="100"/>
          <w:position w:val="0"/>
        </w:rPr>
        <w:t>9</w:t>
      </w:r>
      <w:r>
        <w:rPr>
          <w:color w:val="000000"/>
          <w:spacing w:val="0"/>
          <w:w w:val="100"/>
          <w:position w:val="0"/>
        </w:rPr>
        <w:t>名，独立董事</w:t>
      </w:r>
      <w:r>
        <w:rPr>
          <w:rFonts w:ascii="Times New Roman" w:eastAsia="Times New Roman" w:hAnsi="Times New Roman" w:cs="Times New Roman"/>
          <w:color w:val="000000"/>
          <w:spacing w:val="0"/>
          <w:w w:val="100"/>
          <w:position w:val="0"/>
        </w:rPr>
        <w:t>3</w:t>
      </w:r>
      <w:r>
        <w:rPr>
          <w:color w:val="000000"/>
          <w:spacing w:val="0"/>
          <w:w w:val="100"/>
          <w:position w:val="0"/>
        </w:rPr>
        <w:t>名。报告期内，董事会共召开会议</w:t>
      </w:r>
      <w:r>
        <w:rPr>
          <w:rFonts w:ascii="Times New Roman" w:eastAsia="Times New Roman" w:hAnsi="Times New Roman" w:cs="Times New Roman"/>
          <w:color w:val="000000"/>
          <w:spacing w:val="0"/>
          <w:w w:val="100"/>
          <w:position w:val="0"/>
        </w:rPr>
        <w:t>4</w:t>
      </w:r>
      <w:r>
        <w:rPr>
          <w:color w:val="000000"/>
          <w:spacing w:val="0"/>
          <w:w w:val="100"/>
          <w:position w:val="0"/>
        </w:rPr>
        <w:t>次，审议议案</w:t>
      </w:r>
      <w:r>
        <w:rPr>
          <w:rFonts w:ascii="Times New Roman" w:eastAsia="Times New Roman" w:hAnsi="Times New Roman" w:cs="Times New Roman"/>
          <w:color w:val="000000"/>
          <w:spacing w:val="0"/>
          <w:w w:val="100"/>
          <w:position w:val="0"/>
        </w:rPr>
        <w:t>24</w:t>
      </w:r>
      <w:r>
        <w:rPr>
          <w:color w:val="000000"/>
          <w:spacing w:val="0"/>
          <w:w w:val="100"/>
          <w:position w:val="0"/>
        </w:rPr>
        <w:t>项。公司全体董事 能够依据《公司章程》、《董事会议事规则》勤勉尽职开展各项工作，不存在连续</w:t>
      </w:r>
      <w:r>
        <w:rPr>
          <w:rFonts w:ascii="Times New Roman" w:eastAsia="Times New Roman" w:hAnsi="Times New Roman" w:cs="Times New Roman"/>
          <w:color w:val="000000"/>
          <w:spacing w:val="0"/>
          <w:w w:val="100"/>
          <w:position w:val="0"/>
        </w:rPr>
        <w:t>2</w:t>
      </w:r>
      <w:r>
        <w:rPr>
          <w:color w:val="000000"/>
          <w:spacing w:val="0"/>
          <w:w w:val="100"/>
          <w:position w:val="0"/>
        </w:rPr>
        <w:t>次不参加董事会会议 的情形。独立董事对利润分配预案、聘任高级管理人员、董事会换届等重大事项发表了明确的独立意见。</w:t>
      </w:r>
    </w:p>
    <w:p>
      <w:pPr>
        <w:pStyle w:val="Style35"/>
        <w:keepNext w:val="0"/>
        <w:keepLines w:val="0"/>
        <w:widowControl w:val="0"/>
        <w:shd w:val="clear" w:color="auto" w:fill="auto"/>
        <w:tabs>
          <w:tab w:pos="813" w:val="left"/>
        </w:tabs>
        <w:bidi w:val="0"/>
        <w:spacing w:before="0" w:after="0" w:line="331" w:lineRule="auto"/>
        <w:ind w:left="0" w:right="0" w:firstLine="440"/>
        <w:jc w:val="both"/>
      </w:pPr>
      <w:bookmarkStart w:id="304" w:name="bookmark304"/>
      <w:r>
        <w:rPr>
          <w:rFonts w:ascii="Times New Roman" w:eastAsia="Times New Roman" w:hAnsi="Times New Roman" w:cs="Times New Roman"/>
          <w:color w:val="000000"/>
          <w:spacing w:val="0"/>
          <w:w w:val="100"/>
          <w:position w:val="0"/>
        </w:rPr>
        <w:t>3</w:t>
      </w:r>
      <w:bookmarkEnd w:id="304"/>
      <w:r>
        <w:rPr>
          <w:color w:val="000000"/>
          <w:spacing w:val="0"/>
          <w:w w:val="100"/>
          <w:position w:val="0"/>
        </w:rPr>
        <w:t>、</w:t>
        <w:tab/>
        <w:t>监事会运作情况</w:t>
      </w:r>
    </w:p>
    <w:p>
      <w:pPr>
        <w:pStyle w:val="Style35"/>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公司现有监事</w:t>
      </w:r>
      <w:r>
        <w:rPr>
          <w:rFonts w:ascii="Times New Roman" w:eastAsia="Times New Roman" w:hAnsi="Times New Roman" w:cs="Times New Roman"/>
          <w:color w:val="000000"/>
          <w:spacing w:val="0"/>
          <w:w w:val="100"/>
          <w:position w:val="0"/>
        </w:rPr>
        <w:t>3</w:t>
      </w:r>
      <w:r>
        <w:rPr>
          <w:color w:val="000000"/>
          <w:spacing w:val="0"/>
          <w:w w:val="100"/>
          <w:position w:val="0"/>
        </w:rPr>
        <w:t>名，职工监事</w:t>
      </w:r>
      <w:r>
        <w:rPr>
          <w:rFonts w:ascii="Times New Roman" w:eastAsia="Times New Roman" w:hAnsi="Times New Roman" w:cs="Times New Roman"/>
          <w:color w:val="000000"/>
          <w:spacing w:val="0"/>
          <w:w w:val="100"/>
          <w:position w:val="0"/>
        </w:rPr>
        <w:t>1</w:t>
      </w:r>
      <w:r>
        <w:rPr>
          <w:color w:val="000000"/>
          <w:spacing w:val="0"/>
          <w:w w:val="100"/>
          <w:position w:val="0"/>
        </w:rPr>
        <w:t>名。公司监事能够按照《监事会议事规则》等的要求，本着对股东负责 的态度，认真履行职责。报告期内，监事会共召开会议</w:t>
      </w:r>
      <w:r>
        <w:rPr>
          <w:rFonts w:ascii="Times New Roman" w:eastAsia="Times New Roman" w:hAnsi="Times New Roman" w:cs="Times New Roman"/>
          <w:color w:val="000000"/>
          <w:spacing w:val="0"/>
          <w:w w:val="100"/>
          <w:position w:val="0"/>
        </w:rPr>
        <w:t>4</w:t>
      </w:r>
      <w:r>
        <w:rPr>
          <w:color w:val="000000"/>
          <w:spacing w:val="0"/>
          <w:w w:val="100"/>
          <w:position w:val="0"/>
        </w:rPr>
        <w:t>次，审议议案</w:t>
      </w:r>
      <w:r>
        <w:rPr>
          <w:rFonts w:ascii="Times New Roman" w:eastAsia="Times New Roman" w:hAnsi="Times New Roman" w:cs="Times New Roman"/>
          <w:color w:val="000000"/>
          <w:spacing w:val="0"/>
          <w:w w:val="100"/>
          <w:position w:val="0"/>
        </w:rPr>
        <w:t>10</w:t>
      </w:r>
      <w:r>
        <w:rPr>
          <w:color w:val="000000"/>
          <w:spacing w:val="0"/>
          <w:w w:val="100"/>
          <w:position w:val="0"/>
        </w:rPr>
        <w:t>项。对定期报告、募集资金使用 等进行审议和监督，切实维护中小股东利益；期内亦顺利完成监事会换届选举，选举过程规范、有效。</w:t>
      </w:r>
    </w:p>
    <w:p>
      <w:pPr>
        <w:pStyle w:val="Style35"/>
        <w:keepNext w:val="0"/>
        <w:keepLines w:val="0"/>
        <w:widowControl w:val="0"/>
        <w:shd w:val="clear" w:color="auto" w:fill="auto"/>
        <w:tabs>
          <w:tab w:pos="813" w:val="left"/>
        </w:tabs>
        <w:bidi w:val="0"/>
        <w:spacing w:before="0" w:after="0" w:line="331" w:lineRule="auto"/>
        <w:ind w:left="0" w:right="0" w:firstLine="440"/>
        <w:jc w:val="left"/>
      </w:pPr>
      <w:bookmarkStart w:id="305" w:name="bookmark305"/>
      <w:r>
        <w:rPr>
          <w:rFonts w:ascii="Times New Roman" w:eastAsia="Times New Roman" w:hAnsi="Times New Roman" w:cs="Times New Roman"/>
          <w:color w:val="000000"/>
          <w:spacing w:val="0"/>
          <w:w w:val="100"/>
          <w:position w:val="0"/>
        </w:rPr>
        <w:t>4</w:t>
      </w:r>
      <w:bookmarkEnd w:id="305"/>
      <w:r>
        <w:rPr>
          <w:color w:val="000000"/>
          <w:spacing w:val="0"/>
          <w:w w:val="100"/>
          <w:position w:val="0"/>
        </w:rPr>
        <w:t>、</w:t>
        <w:tab/>
        <w:t>内审部门运作情况</w:t>
      </w:r>
    </w:p>
    <w:p>
      <w:pPr>
        <w:pStyle w:val="Style3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公司成立了专门的审计部门并配备了专职人员。内审部门定期对公司募集资金存储和使用、财务报告、 内控情况、子公司的经营情况等进行审计与监督，提交工作报告由审计委员会审议，有力加强了公司的规 范运作。</w:t>
      </w:r>
    </w:p>
    <w:p>
      <w:pPr>
        <w:pStyle w:val="Style35"/>
        <w:keepNext w:val="0"/>
        <w:keepLines w:val="0"/>
        <w:widowControl w:val="0"/>
        <w:shd w:val="clear" w:color="auto" w:fill="auto"/>
        <w:tabs>
          <w:tab w:pos="813" w:val="left"/>
        </w:tabs>
        <w:bidi w:val="0"/>
        <w:spacing w:before="0" w:after="0" w:line="317" w:lineRule="exact"/>
        <w:ind w:left="0" w:right="0" w:firstLine="440"/>
        <w:jc w:val="left"/>
      </w:pPr>
      <w:bookmarkStart w:id="306" w:name="bookmark306"/>
      <w:r>
        <w:rPr>
          <w:rFonts w:ascii="Times New Roman" w:eastAsia="Times New Roman" w:hAnsi="Times New Roman" w:cs="Times New Roman"/>
          <w:color w:val="000000"/>
          <w:spacing w:val="0"/>
          <w:w w:val="100"/>
          <w:position w:val="0"/>
        </w:rPr>
        <w:t>5</w:t>
      </w:r>
      <w:bookmarkEnd w:id="306"/>
      <w:r>
        <w:rPr>
          <w:color w:val="000000"/>
          <w:spacing w:val="0"/>
          <w:w w:val="100"/>
          <w:position w:val="0"/>
        </w:rPr>
        <w:t>、</w:t>
        <w:tab/>
        <w:t>信息披露与投资者关系管理</w:t>
      </w:r>
    </w:p>
    <w:p>
      <w:pPr>
        <w:pStyle w:val="Style35"/>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报告期内，公司按照《深圳证券交易所股票上市规则》及有关法律法规执行信息披露工作。《证券时 报》、《中国证券报》、和《巨潮资讯网》为公司选定的信息披露报纸和网站，披露相关信息真实、准确、 完整、及时。同时，公司建立了畅通的沟通渠道，通过投资者专线电话、投资者关系网络互动平台等方式 与投资者进行沟通交流。</w:t>
      </w:r>
    </w:p>
    <w:p>
      <w:pPr>
        <w:pStyle w:val="Style35"/>
        <w:keepNext w:val="0"/>
        <w:keepLines w:val="0"/>
        <w:widowControl w:val="0"/>
        <w:shd w:val="clear" w:color="auto" w:fill="auto"/>
        <w:tabs>
          <w:tab w:pos="813" w:val="left"/>
        </w:tabs>
        <w:bidi w:val="0"/>
        <w:spacing w:before="0" w:after="0" w:line="331" w:lineRule="auto"/>
        <w:ind w:left="0" w:right="0" w:firstLine="440"/>
        <w:jc w:val="left"/>
      </w:pPr>
      <w:bookmarkStart w:id="307" w:name="bookmark307"/>
      <w:r>
        <w:rPr>
          <w:rFonts w:ascii="Times New Roman" w:eastAsia="Times New Roman" w:hAnsi="Times New Roman" w:cs="Times New Roman"/>
          <w:color w:val="000000"/>
          <w:spacing w:val="0"/>
          <w:w w:val="100"/>
          <w:position w:val="0"/>
        </w:rPr>
        <w:t>6</w:t>
      </w:r>
      <w:bookmarkEnd w:id="307"/>
      <w:r>
        <w:rPr>
          <w:color w:val="000000"/>
          <w:spacing w:val="0"/>
          <w:w w:val="100"/>
          <w:position w:val="0"/>
        </w:rPr>
        <w:t>、</w:t>
        <w:tab/>
        <w:t>内部控制制度情况</w:t>
      </w:r>
    </w:p>
    <w:p>
      <w:pPr>
        <w:pStyle w:val="Style3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报告期内，公司修订了《公司章程》及《信息披露管理制度》等</w:t>
      </w:r>
      <w:r>
        <w:rPr>
          <w:rFonts w:ascii="Times New Roman" w:eastAsia="Times New Roman" w:hAnsi="Times New Roman" w:cs="Times New Roman"/>
          <w:color w:val="000000"/>
          <w:spacing w:val="0"/>
          <w:w w:val="100"/>
          <w:position w:val="0"/>
        </w:rPr>
        <w:t>2</w:t>
      </w:r>
      <w:r>
        <w:rPr>
          <w:color w:val="000000"/>
          <w:spacing w:val="0"/>
          <w:w w:val="100"/>
          <w:position w:val="0"/>
        </w:rPr>
        <w:t>项主要制度。</w:t>
      </w:r>
    </w:p>
    <w:p>
      <w:pPr>
        <w:pStyle w:val="Style35"/>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公司治理与《公司法》和中国证监会相关规定的要求是否存在差异</w:t>
      </w:r>
    </w:p>
    <w:p>
      <w:pPr>
        <w:pStyle w:val="Style3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公司治理与《公司法》和中国证监会相关规定的要求不存在差异。</w:t>
      </w:r>
    </w:p>
    <w:p>
      <w:pPr>
        <w:pStyle w:val="Style35"/>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公司治理专项活动开展情况以及内幕信息知情人登记管理制度的制定、实施情况</w:t>
      </w:r>
    </w:p>
    <w:p>
      <w:pPr>
        <w:pStyle w:val="Style35"/>
        <w:keepNext w:val="0"/>
        <w:keepLines w:val="0"/>
        <w:widowControl w:val="0"/>
        <w:shd w:val="clear" w:color="auto" w:fill="auto"/>
        <w:bidi w:val="0"/>
        <w:spacing w:before="0" w:after="80" w:line="312" w:lineRule="exact"/>
        <w:ind w:left="0" w:right="0" w:firstLine="440"/>
        <w:jc w:val="both"/>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959" w:right="1005" w:bottom="1959" w:left="1109" w:header="0" w:footer="3" w:gutter="0"/>
          <w:cols w:space="720"/>
          <w:noEndnote/>
          <w:rtlGutter w:val="0"/>
          <w:docGrid w:linePitch="360"/>
        </w:sectPr>
      </w:pPr>
      <w:r>
        <w:rPr>
          <w:color w:val="000000"/>
          <w:spacing w:val="0"/>
          <w:w w:val="100"/>
          <w:position w:val="0"/>
        </w:rPr>
        <w:t>为规范公司内幕信息管理，加强内幕信息保密，维护信息披露的公平原则，依据相关法律法规及《公 司章程》等有关规定，并结合实际情况，公司制定了《内幕信息知情人员报备制度》，明确了公司内幕信 息及内幕信息知情人的范围，完善了内幕信息知情人的登记备案。公司在日常工作中严格按照《内幕信息 知情人报备制度》的有关规定对内幕信息知情人进行登记备案，并按照证监会、深交所的相关要求针对定 期报告、重大事项等建立内幕信息知情人档案，按规定报送，有效防止内幕信息泄露，保证信息披露公平。 报告期内，公司未发生内幕信息泄露的情况，不存在公司董事、监事、高级管理人员利用内幕消息违规买 卖公司股票的情况。</w:t>
      </w:r>
    </w:p>
    <w:p>
      <w:pPr>
        <w:pStyle w:val="Style30"/>
        <w:keepNext/>
        <w:keepLines/>
        <w:widowControl w:val="0"/>
        <w:shd w:val="clear" w:color="auto" w:fill="auto"/>
        <w:bidi w:val="0"/>
        <w:spacing w:before="0" w:after="34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二</w:t>
      </w:r>
      <w:bookmarkEnd w:id="310"/>
      <w:r>
        <w:rPr>
          <w:color w:val="000000"/>
          <w:spacing w:val="0"/>
          <w:w w:val="100"/>
          <w:position w:val="0"/>
          <w:sz w:val="24"/>
          <w:szCs w:val="24"/>
        </w:rPr>
        <w:t>、报告期内召开的年度股东大会和临时股东大会的有关情况</w:t>
      </w:r>
      <w:bookmarkEnd w:id="308"/>
      <w:bookmarkEnd w:id="309"/>
      <w:bookmarkEnd w:id="311"/>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、本报告期年度股东大会情况</w:t>
      </w:r>
    </w:p>
    <w:tbl>
      <w:tblPr>
        <w:tblOverlap w:val="never"/>
        <w:jc w:val="center"/>
        <w:tblLayout w:type="fixed"/>
      </w:tblPr>
      <w:tblGrid>
        <w:gridCol w:w="907"/>
        <w:gridCol w:w="902"/>
        <w:gridCol w:w="3960"/>
        <w:gridCol w:w="898"/>
        <w:gridCol w:w="902"/>
        <w:gridCol w:w="201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 年度股东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年度董事会工作报告》；</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年度监事会工作报告》；</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年度财务 决算报告》；</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年度报告全文及摘 要》；</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w:t>
            </w:r>
            <w:r>
              <w:rPr>
                <w:rFonts w:ascii="Times New Roman" w:eastAsia="Times New Roman" w:hAnsi="Times New Roman" w:cs="Times New Roman"/>
                <w:color w:val="000000"/>
                <w:spacing w:val="0"/>
                <w:w w:val="100"/>
                <w:position w:val="0"/>
              </w:rPr>
              <w:t>6.</w:t>
            </w:r>
            <w:r>
              <w:rPr>
                <w:color w:val="000000"/>
                <w:spacing w:val="0"/>
                <w:w w:val="100"/>
                <w:position w:val="0"/>
              </w:rPr>
              <w:t>《关 于续聘</w:t>
            </w:r>
            <w:r>
              <w:rPr>
                <w:rFonts w:ascii="Times New Roman" w:eastAsia="Times New Roman" w:hAnsi="Times New Roman" w:cs="Times New Roman"/>
                <w:color w:val="000000"/>
                <w:spacing w:val="0"/>
                <w:w w:val="100"/>
                <w:position w:val="0"/>
              </w:rPr>
              <w:t>2013</w:t>
            </w:r>
            <w:r>
              <w:rPr>
                <w:color w:val="000000"/>
                <w:spacing w:val="0"/>
                <w:w w:val="100"/>
                <w:position w:val="0"/>
              </w:rPr>
              <w:t>年度财务审计机构的议案》；</w:t>
            </w: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《关于修改 </w:t>
            </w:r>
            <w:r>
              <w:rPr>
                <w:rFonts w:ascii="Times New Roman" w:eastAsia="Times New Roman" w:hAnsi="Times New Roman" w:cs="Times New Roman"/>
                <w:color w:val="000000"/>
                <w:spacing w:val="0"/>
                <w:w w:val="100"/>
                <w:position w:val="0"/>
              </w:rPr>
              <w:t xml:space="preserve">&lt; </w:t>
            </w:r>
            <w:r>
              <w:rPr>
                <w:color w:val="000000"/>
                <w:spacing w:val="0"/>
                <w:w w:val="100"/>
                <w:position w:val="0"/>
              </w:rPr>
              <w:t>信息披露管理制度</w:t>
            </w:r>
            <w:r>
              <w:rPr>
                <w:color w:val="000000"/>
                <w:spacing w:val="0"/>
                <w:w w:val="100"/>
                <w:position w:val="0"/>
              </w:rPr>
              <w:t>〉</w:t>
            </w:r>
            <w:r>
              <w:rPr>
                <w:color w:val="000000"/>
                <w:spacing w:val="0"/>
                <w:w w:val="100"/>
                <w:position w:val="0"/>
              </w:rPr>
              <w:t xml:space="preserve">的议案》； </w:t>
            </w:r>
            <w:r>
              <w:rPr>
                <w:rFonts w:ascii="Times New Roman" w:eastAsia="Times New Roman" w:hAnsi="Times New Roman" w:cs="Times New Roman"/>
                <w:color w:val="000000"/>
                <w:spacing w:val="0"/>
                <w:w w:val="100"/>
                <w:position w:val="0"/>
              </w:rPr>
              <w:t>8.</w:t>
            </w:r>
            <w:r>
              <w:rPr>
                <w:color w:val="000000"/>
                <w:spacing w:val="0"/>
                <w:w w:val="100"/>
                <w:position w:val="0"/>
              </w:rPr>
              <w:t>《关于修改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登载在《中国证券 报》、《证券时报》及 巨潮资讯网</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 xml:space="preserve"> .cn</w:t>
            </w:r>
            <w:r>
              <w:rPr>
                <w:color w:val="000000"/>
                <w:spacing w:val="0"/>
                <w:w w:val="100"/>
                <w:position w:val="0"/>
              </w:rPr>
              <w:t>上的《</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年年度 股东大会决议公告》 </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2013-012）</w:t>
            </w:r>
          </w:p>
        </w:tc>
      </w:tr>
    </w:tbl>
    <w:p>
      <w:pPr>
        <w:widowControl w:val="0"/>
        <w:spacing w:after="339" w:line="1" w:lineRule="exact"/>
      </w:pP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、本报告期临时股东大会情况</w:t>
      </w:r>
    </w:p>
    <w:tbl>
      <w:tblPr>
        <w:tblOverlap w:val="never"/>
        <w:jc w:val="center"/>
        <w:tblLayout w:type="fixed"/>
      </w:tblPr>
      <w:tblGrid>
        <w:gridCol w:w="907"/>
        <w:gridCol w:w="902"/>
        <w:gridCol w:w="3058"/>
        <w:gridCol w:w="902"/>
        <w:gridCol w:w="898"/>
        <w:gridCol w:w="291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 第一次临 时股东大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《关于推选公司第二届董事会 董事及审议董事薪酬方案的议 案》；</w:t>
            </w:r>
            <w:r>
              <w:rPr>
                <w:rFonts w:ascii="Times New Roman" w:eastAsia="Times New Roman" w:hAnsi="Times New Roman" w:cs="Times New Roman"/>
                <w:color w:val="000000"/>
                <w:spacing w:val="0"/>
                <w:w w:val="100"/>
                <w:position w:val="0"/>
              </w:rPr>
              <w:t>2.</w:t>
            </w:r>
            <w:r>
              <w:rPr>
                <w:color w:val="000000"/>
                <w:spacing w:val="0"/>
                <w:w w:val="100"/>
                <w:position w:val="0"/>
              </w:rPr>
              <w:t>《关于推选公司第二届监 事会非职工监事及审议监事薪酬 方案的议案》。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登载在《中国证券报》、《证券时 报》及巨潮资讯网</w:t>
            </w:r>
          </w:p>
          <w:p>
            <w:pPr>
              <w:pStyle w:val="Style2"/>
              <w:keepNext w:val="0"/>
              <w:keepLines w:val="0"/>
              <w:widowControl w:val="0"/>
              <w:shd w:val="clear" w:color="auto" w:fill="auto"/>
              <w:bidi w:val="0"/>
              <w:spacing w:before="0" w:after="0" w:line="312" w:lineRule="exact"/>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上的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 决议公告》</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2013-031）</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三</w:t>
      </w:r>
      <w:bookmarkEnd w:id="314"/>
      <w:r>
        <w:rPr>
          <w:color w:val="000000"/>
          <w:spacing w:val="0"/>
          <w:w w:val="100"/>
          <w:position w:val="0"/>
          <w:sz w:val="24"/>
          <w:szCs w:val="24"/>
        </w:rPr>
        <w:t>、报告期内独立董事履行职责的情况</w:t>
      </w:r>
      <w:bookmarkEnd w:id="312"/>
      <w:bookmarkEnd w:id="313"/>
      <w:bookmarkEnd w:id="315"/>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、独立董事出席董事会及股东大会的情况</w:t>
      </w:r>
    </w:p>
    <w:tbl>
      <w:tblPr>
        <w:tblOverlap w:val="never"/>
        <w:jc w:val="center"/>
        <w:tblLayout w:type="fixed"/>
      </w:tblPr>
      <w:tblGrid>
        <w:gridCol w:w="1632"/>
        <w:gridCol w:w="1325"/>
        <w:gridCol w:w="1325"/>
        <w:gridCol w:w="1325"/>
        <w:gridCol w:w="1421"/>
        <w:gridCol w:w="902"/>
        <w:gridCol w:w="1656"/>
      </w:tblGrid>
      <w:tr>
        <w:trPr>
          <w:trHeight w:val="37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right"/>
            </w:pPr>
            <w:r>
              <w:rPr>
                <w:color w:val="000000"/>
                <w:spacing w:val="0"/>
                <w:w w:val="100"/>
                <w:position w:val="0"/>
              </w:rPr>
              <w:t>本报告期应参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是否连续两次未 亲自参加会议</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孙颖楷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7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3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连续两次未亲自出席董事会的说明</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报告期内，公司独立董事无连续两次未亲自出席董事会的情况。</w:t>
      </w:r>
    </w:p>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2</w:t>
      </w:r>
      <w:r>
        <w:rPr>
          <w:color w:val="000000"/>
          <w:spacing w:val="0"/>
          <w:w w:val="100"/>
          <w:position w:val="0"/>
        </w:rPr>
        <w:t>、独立董事对公司有关事项提出异议的情况</w:t>
      </w:r>
      <w:bookmarkEnd w:id="316"/>
      <w:bookmarkEnd w:id="317"/>
      <w:bookmarkEnd w:id="318"/>
    </w:p>
    <w:p>
      <w:pPr>
        <w:pStyle w:val="Style35"/>
        <w:keepNext w:val="0"/>
        <w:keepLines w:val="0"/>
        <w:widowControl w:val="0"/>
        <w:shd w:val="clear" w:color="auto" w:fill="auto"/>
        <w:bidi w:val="0"/>
        <w:spacing w:before="0" w:after="2200" w:line="240" w:lineRule="auto"/>
        <w:ind w:left="0" w:right="0" w:firstLine="0"/>
        <w:jc w:val="left"/>
      </w:pPr>
      <w:r>
        <w:rPr>
          <w:color w:val="000000"/>
          <w:spacing w:val="0"/>
          <w:w w:val="100"/>
          <w:position w:val="0"/>
        </w:rPr>
        <w:t>报告期内独立董事对公司有关事项未提出异议。</w:t>
      </w:r>
    </w:p>
    <w:p>
      <w:pPr>
        <w:widowControl w:val="0"/>
        <w:jc w:val="center"/>
        <w:rPr>
          <w:sz w:val="2"/>
          <w:szCs w:val="2"/>
        </w:rPr>
        <w:sectPr>
          <w:footnotePr>
            <w:pos w:val="pageBottom"/>
            <w:numFmt w:val="decimal"/>
            <w:numRestart w:val="continuous"/>
          </w:footnotePr>
          <w:pgSz w:w="11900" w:h="16840"/>
          <w:pgMar w:top="1455" w:right="1195" w:bottom="193" w:left="1104" w:header="0" w:footer="3" w:gutter="0"/>
          <w:cols w:space="720"/>
          <w:noEndnote/>
          <w:rtlGutter w:val="0"/>
          <w:docGrid w:linePitch="360"/>
        </w:sectPr>
      </w:pPr>
      <w:r>
        <w:drawing>
          <wp:inline>
            <wp:extent cx="402590" cy="146050"/>
            <wp:docPr id="258" name="Picutre 258"/>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01"/>
                    <a:stretch/>
                  </pic:blipFill>
                  <pic:spPr>
                    <a:xfrm>
                      <a:ext cx="402590" cy="146050"/>
                    </a:xfrm>
                    <a:prstGeom prst="rect"/>
                  </pic:spPr>
                </pic:pic>
              </a:graphicData>
            </a:graphic>
          </wp:inline>
        </w:drawing>
      </w:r>
    </w:p>
    <w:p>
      <w:pPr>
        <w:pStyle w:val="Style48"/>
        <w:keepNext/>
        <w:keepLines/>
        <w:widowControl w:val="0"/>
        <w:shd w:val="clear" w:color="auto" w:fill="auto"/>
        <w:bidi w:val="0"/>
        <w:spacing w:before="0" w:after="260" w:line="316" w:lineRule="exact"/>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3</w:t>
      </w:r>
      <w:bookmarkEnd w:id="321"/>
      <w:r>
        <w:rPr>
          <w:color w:val="000000"/>
          <w:spacing w:val="0"/>
          <w:w w:val="100"/>
          <w:position w:val="0"/>
        </w:rPr>
        <w:t>、独立董事履行职责的其他说明</w:t>
      </w:r>
      <w:bookmarkEnd w:id="319"/>
      <w:bookmarkEnd w:id="320"/>
      <w:bookmarkEnd w:id="322"/>
    </w:p>
    <w:p>
      <w:pPr>
        <w:pStyle w:val="Style35"/>
        <w:keepNext w:val="0"/>
        <w:keepLines w:val="0"/>
        <w:widowControl w:val="0"/>
        <w:shd w:val="clear" w:color="auto" w:fill="auto"/>
        <w:tabs>
          <w:tab w:pos="7992" w:val="left"/>
        </w:tabs>
        <w:bidi w:val="0"/>
        <w:spacing w:before="0" w:after="0" w:line="316" w:lineRule="exact"/>
        <w:ind w:left="0" w:right="0" w:firstLine="0"/>
        <w:jc w:val="left"/>
      </w:pPr>
      <w:r>
        <w:rPr>
          <w:color w:val="000000"/>
          <w:spacing w:val="0"/>
          <w:w w:val="100"/>
          <w:position w:val="0"/>
        </w:rPr>
        <w:t>独立董事对公司有关建议是否被采纳</w:t>
        <w:tab/>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5"/>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340" w:line="314" w:lineRule="exact"/>
        <w:ind w:left="0" w:right="0"/>
        <w:jc w:val="both"/>
      </w:pPr>
      <w:r>
        <w:rPr>
          <w:color w:val="000000"/>
          <w:spacing w:val="0"/>
          <w:w w:val="100"/>
          <w:position w:val="0"/>
        </w:rPr>
        <w:t>报告期内，公司独立董事度勤勉尽责，充分发挥专业知识，在董事会上发表意见，对公司信息披露情 况等进行监督和核查，提出了众多有效的建议，对重大事项出具了独立、公正的独立董事意见，积极有效 地履行了独立董事的职责，维护了公司和中小股东的合法权益。</w:t>
      </w:r>
    </w:p>
    <w:p>
      <w:pPr>
        <w:pStyle w:val="Style30"/>
        <w:keepNext/>
        <w:keepLines/>
        <w:widowControl w:val="0"/>
        <w:shd w:val="clear" w:color="auto" w:fill="auto"/>
        <w:tabs>
          <w:tab w:pos="477" w:val="left"/>
        </w:tabs>
        <w:bidi w:val="0"/>
        <w:spacing w:before="0" w:after="26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四</w:t>
      </w:r>
      <w:bookmarkEnd w:id="325"/>
      <w:r>
        <w:rPr>
          <w:color w:val="000000"/>
          <w:spacing w:val="0"/>
          <w:w w:val="100"/>
          <w:position w:val="0"/>
          <w:sz w:val="24"/>
          <w:szCs w:val="24"/>
        </w:rPr>
        <w:t>、</w:t>
        <w:tab/>
        <w:t>董事会下设专门委员会在报告期内履行职责情况</w:t>
      </w:r>
      <w:bookmarkEnd w:id="323"/>
      <w:bookmarkEnd w:id="324"/>
      <w:bookmarkEnd w:id="326"/>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公司董事会下设战略委员会、审计委员会、提名委员会、薪酬与考核委员会四个专门委员会，期内均 完成换届选举。各专门委员会依据公司董事会所制定《董事会专门委员会议事规则》的职权范围运作，就 专业性事项进行研究，提出意见及建议，供董事会决策参考。根据《公司章程》，专门委员会成员全部由 董事组成。</w:t>
      </w:r>
    </w:p>
    <w:p>
      <w:pPr>
        <w:pStyle w:val="Style35"/>
        <w:keepNext w:val="0"/>
        <w:keepLines w:val="0"/>
        <w:widowControl w:val="0"/>
        <w:shd w:val="clear" w:color="auto" w:fill="auto"/>
        <w:tabs>
          <w:tab w:pos="859" w:val="left"/>
        </w:tabs>
        <w:bidi w:val="0"/>
        <w:spacing w:before="0" w:after="0" w:line="317" w:lineRule="exact"/>
        <w:ind w:left="0" w:right="0"/>
        <w:jc w:val="both"/>
      </w:pPr>
      <w:bookmarkStart w:id="327" w:name="bookmark327"/>
      <w:r>
        <w:rPr>
          <w:rFonts w:ascii="Times New Roman" w:eastAsia="Times New Roman" w:hAnsi="Times New Roman" w:cs="Times New Roman"/>
          <w:color w:val="000000"/>
          <w:spacing w:val="0"/>
          <w:w w:val="100"/>
          <w:position w:val="0"/>
        </w:rPr>
        <w:t>（</w:t>
      </w:r>
      <w:bookmarkEnd w:id="327"/>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战略委员会：报告期内，公司战略与风险管理委员会勤勉尽责地履行职责，及时对公司战略规划等 事项进行了研究，并提出了合理建议。</w:t>
      </w:r>
    </w:p>
    <w:p>
      <w:pPr>
        <w:pStyle w:val="Style35"/>
        <w:keepNext w:val="0"/>
        <w:keepLines w:val="0"/>
        <w:widowControl w:val="0"/>
        <w:shd w:val="clear" w:color="auto" w:fill="auto"/>
        <w:tabs>
          <w:tab w:pos="859" w:val="left"/>
        </w:tabs>
        <w:bidi w:val="0"/>
        <w:spacing w:before="0" w:after="0" w:line="317" w:lineRule="exact"/>
        <w:ind w:left="0" w:right="0"/>
        <w:jc w:val="both"/>
      </w:pPr>
      <w:bookmarkStart w:id="328" w:name="bookmark328"/>
      <w:r>
        <w:rPr>
          <w:rFonts w:ascii="Times New Roman" w:eastAsia="Times New Roman" w:hAnsi="Times New Roman" w:cs="Times New Roman"/>
          <w:color w:val="000000"/>
          <w:spacing w:val="0"/>
          <w:w w:val="100"/>
          <w:position w:val="0"/>
        </w:rPr>
        <w:t>（</w:t>
      </w:r>
      <w:bookmarkEnd w:id="328"/>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审计委员会：报告期内，审计委员会审核了公司</w:t>
      </w:r>
      <w:r>
        <w:rPr>
          <w:rFonts w:ascii="Times New Roman" w:eastAsia="Times New Roman" w:hAnsi="Times New Roman" w:cs="Times New Roman"/>
          <w:color w:val="000000"/>
          <w:spacing w:val="0"/>
          <w:w w:val="100"/>
          <w:position w:val="0"/>
        </w:rPr>
        <w:t>2012</w:t>
      </w:r>
      <w:r>
        <w:rPr>
          <w:color w:val="000000"/>
          <w:spacing w:val="0"/>
          <w:w w:val="100"/>
          <w:position w:val="0"/>
        </w:rPr>
        <w:t>年全年的相关财务报告；对公司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 工作计划进行了审核，听取了公司内审部门的季度工作汇报；审查督促了公司内控制度的建设；对立信会 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）2012</w:t>
      </w:r>
      <w:r>
        <w:rPr>
          <w:color w:val="000000"/>
          <w:spacing w:val="0"/>
          <w:w w:val="100"/>
          <w:position w:val="0"/>
        </w:rPr>
        <w:t>年度报告审计情况进行了讨论，就审计过程中发现的问题进行了沟通和交 流。</w:t>
      </w:r>
    </w:p>
    <w:p>
      <w:pPr>
        <w:pStyle w:val="Style35"/>
        <w:keepNext w:val="0"/>
        <w:keepLines w:val="0"/>
        <w:widowControl w:val="0"/>
        <w:shd w:val="clear" w:color="auto" w:fill="auto"/>
        <w:tabs>
          <w:tab w:pos="859" w:val="left"/>
        </w:tabs>
        <w:bidi w:val="0"/>
        <w:spacing w:before="0" w:after="0" w:line="317" w:lineRule="exact"/>
        <w:ind w:left="0" w:right="0"/>
        <w:jc w:val="both"/>
      </w:pPr>
      <w:bookmarkStart w:id="329" w:name="bookmark329"/>
      <w:r>
        <w:rPr>
          <w:rFonts w:ascii="Times New Roman" w:eastAsia="Times New Roman" w:hAnsi="Times New Roman" w:cs="Times New Roman"/>
          <w:color w:val="000000"/>
          <w:spacing w:val="0"/>
          <w:w w:val="100"/>
          <w:position w:val="0"/>
        </w:rPr>
        <w:t>（</w:t>
      </w:r>
      <w:bookmarkEnd w:id="329"/>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提名委员会：报告期内，提名委员会对拟聘任财务总监黄志坚女士及第二届董事候选人的任职资格 进行了认真审查。</w:t>
      </w:r>
    </w:p>
    <w:p>
      <w:pPr>
        <w:pStyle w:val="Style35"/>
        <w:keepNext w:val="0"/>
        <w:keepLines w:val="0"/>
        <w:widowControl w:val="0"/>
        <w:shd w:val="clear" w:color="auto" w:fill="auto"/>
        <w:tabs>
          <w:tab w:pos="854" w:val="left"/>
        </w:tabs>
        <w:bidi w:val="0"/>
        <w:spacing w:before="0" w:after="340" w:line="317" w:lineRule="exact"/>
        <w:ind w:left="0" w:right="0"/>
        <w:jc w:val="both"/>
      </w:pPr>
      <w:bookmarkStart w:id="330" w:name="bookmark330"/>
      <w:r>
        <w:rPr>
          <w:rFonts w:ascii="Times New Roman" w:eastAsia="Times New Roman" w:hAnsi="Times New Roman" w:cs="Times New Roman"/>
          <w:color w:val="000000"/>
          <w:spacing w:val="0"/>
          <w:w w:val="100"/>
          <w:position w:val="0"/>
        </w:rPr>
        <w:t>（</w:t>
      </w:r>
      <w:bookmarkEnd w:id="330"/>
      <w:r>
        <w:rPr>
          <w:color w:val="000000"/>
          <w:spacing w:val="0"/>
          <w:w w:val="100"/>
          <w:position w:val="0"/>
        </w:rPr>
        <w:t>四</w:t>
      </w:r>
      <w:r>
        <w:rPr>
          <w:rFonts w:ascii="Times New Roman" w:eastAsia="Times New Roman" w:hAnsi="Times New Roman" w:cs="Times New Roman"/>
          <w:color w:val="000000"/>
          <w:spacing w:val="0"/>
          <w:w w:val="100"/>
          <w:position w:val="0"/>
        </w:rPr>
        <w:t>）</w:t>
        <w:tab/>
      </w:r>
      <w:r>
        <w:rPr>
          <w:color w:val="000000"/>
          <w:spacing w:val="0"/>
          <w:w w:val="100"/>
          <w:position w:val="0"/>
        </w:rPr>
        <w:t>薪酬与考核委员会：报告期内，薪酬与考核委员会根据相关规定对公司高级管理人员薪酬进行了审 查并提出了建议。</w:t>
      </w:r>
    </w:p>
    <w:p>
      <w:pPr>
        <w:pStyle w:val="Style30"/>
        <w:keepNext/>
        <w:keepLines/>
        <w:widowControl w:val="0"/>
        <w:shd w:val="clear" w:color="auto" w:fill="auto"/>
        <w:tabs>
          <w:tab w:pos="480" w:val="left"/>
        </w:tabs>
        <w:bidi w:val="0"/>
        <w:spacing w:before="0" w:after="26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五</w:t>
      </w:r>
      <w:bookmarkEnd w:id="333"/>
      <w:r>
        <w:rPr>
          <w:color w:val="000000"/>
          <w:spacing w:val="0"/>
          <w:w w:val="100"/>
          <w:position w:val="0"/>
          <w:sz w:val="24"/>
          <w:szCs w:val="24"/>
        </w:rPr>
        <w:t>、</w:t>
        <w:tab/>
        <w:t>监事会工作情况</w:t>
      </w:r>
      <w:bookmarkEnd w:id="331"/>
      <w:bookmarkEnd w:id="332"/>
      <w:bookmarkEnd w:id="334"/>
    </w:p>
    <w:p>
      <w:pPr>
        <w:pStyle w:val="Style35"/>
        <w:keepNext w:val="0"/>
        <w:keepLines w:val="0"/>
        <w:widowControl w:val="0"/>
        <w:shd w:val="clear" w:color="auto" w:fill="auto"/>
        <w:tabs>
          <w:tab w:pos="7992" w:val="left"/>
        </w:tabs>
        <w:bidi w:val="0"/>
        <w:spacing w:before="0" w:after="0" w:line="316" w:lineRule="exact"/>
        <w:ind w:left="0" w:right="0" w:firstLine="0"/>
        <w:jc w:val="left"/>
      </w:pPr>
      <w:r>
        <w:rPr>
          <w:color w:val="000000"/>
          <w:spacing w:val="0"/>
          <w:w w:val="100"/>
          <w:position w:val="0"/>
        </w:rPr>
        <w:t>监事会在报告期内的监督活动中发现公司是否存在风险</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5"/>
        <w:keepNext w:val="0"/>
        <w:keepLines w:val="0"/>
        <w:widowControl w:val="0"/>
        <w:shd w:val="clear" w:color="auto" w:fill="auto"/>
        <w:bidi w:val="0"/>
        <w:spacing w:before="0" w:after="340" w:line="316" w:lineRule="exact"/>
        <w:ind w:left="0" w:right="0" w:firstLine="0"/>
        <w:jc w:val="left"/>
      </w:pPr>
      <w:r>
        <w:rPr>
          <w:color w:val="000000"/>
          <w:spacing w:val="0"/>
          <w:w w:val="100"/>
          <w:position w:val="0"/>
        </w:rPr>
        <w:t>监事会对报告期内的监督事项无异议。</w:t>
      </w:r>
    </w:p>
    <w:p>
      <w:pPr>
        <w:pStyle w:val="Style30"/>
        <w:keepNext/>
        <w:keepLines/>
        <w:widowControl w:val="0"/>
        <w:shd w:val="clear" w:color="auto" w:fill="auto"/>
        <w:tabs>
          <w:tab w:pos="484" w:val="left"/>
        </w:tabs>
        <w:bidi w:val="0"/>
        <w:spacing w:before="0" w:after="26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六</w:t>
      </w:r>
      <w:bookmarkEnd w:id="337"/>
      <w:r>
        <w:rPr>
          <w:color w:val="000000"/>
          <w:spacing w:val="0"/>
          <w:w w:val="100"/>
          <w:position w:val="0"/>
          <w:sz w:val="24"/>
          <w:szCs w:val="24"/>
        </w:rPr>
        <w:t>、</w:t>
        <w:tab/>
        <w:t>公司相对于控股股东在业务、人员、资产、机构、财务等方面的独立完整情况</w:t>
      </w:r>
      <w:bookmarkEnd w:id="335"/>
      <w:bookmarkEnd w:id="336"/>
      <w:bookmarkEnd w:id="338"/>
    </w:p>
    <w:p>
      <w:pPr>
        <w:pStyle w:val="Style35"/>
        <w:keepNext w:val="0"/>
        <w:keepLines w:val="0"/>
        <w:widowControl w:val="0"/>
        <w:shd w:val="clear" w:color="auto" w:fill="auto"/>
        <w:bidi w:val="0"/>
        <w:spacing w:before="0" w:after="340" w:line="312" w:lineRule="exact"/>
        <w:ind w:left="0" w:right="0"/>
        <w:jc w:val="both"/>
        <w:sectPr>
          <w:footnotePr>
            <w:pos w:val="pageBottom"/>
            <w:numFmt w:val="decimal"/>
            <w:numRestart w:val="continuous"/>
          </w:footnotePr>
          <w:pgSz w:w="11900" w:h="16840"/>
          <w:pgMar w:top="1398" w:right="1033" w:bottom="1662" w:left="1075" w:header="0" w:footer="3" w:gutter="0"/>
          <w:cols w:space="720"/>
          <w:noEndnote/>
          <w:rtlGutter w:val="0"/>
          <w:docGrid w:linePitch="360"/>
        </w:sectPr>
      </w:pPr>
      <w:r>
        <w:rPr>
          <w:color w:val="000000"/>
          <w:spacing w:val="0"/>
          <w:w w:val="100"/>
          <w:position w:val="0"/>
        </w:rPr>
        <w:t>报告期内，公司严格按照《公司法》、《公司章程》及其他法律法规、规章制度的要求规范运作。公司 在业务、人员、资产、机构、财务等方面与各股东及关联方完全分开，具有完整的业务体系和面向市场独 立经营的能力。</w:t>
      </w:r>
      <w:r>
        <w:rPr>
          <w:rFonts w:ascii="Times New Roman" w:eastAsia="Times New Roman" w:hAnsi="Times New Roman" w:cs="Times New Roman"/>
          <w:color w:val="000000"/>
          <w:spacing w:val="0"/>
          <w:w w:val="100"/>
          <w:position w:val="0"/>
        </w:rPr>
        <w:t>i.</w:t>
      </w:r>
      <w:r>
        <w:rPr>
          <w:color w:val="000000"/>
          <w:spacing w:val="0"/>
          <w:w w:val="100"/>
          <w:position w:val="0"/>
        </w:rPr>
        <w:t xml:space="preserve">业务独立情况公司拥有独立的研发、采购、生产和销售及管理系统，自主经营，不存在 依赖股东及其他关联方进行生产经营管理，业务完全独立于控股股东、实际控制人及其控制的其他企业。 </w:t>
      </w:r>
      <w:r>
        <w:rPr>
          <w:rFonts w:ascii="Times New Roman" w:eastAsia="Times New Roman" w:hAnsi="Times New Roman" w:cs="Times New Roman"/>
          <w:color w:val="000000"/>
          <w:spacing w:val="0"/>
          <w:w w:val="100"/>
          <w:position w:val="0"/>
        </w:rPr>
        <w:t>2.</w:t>
      </w:r>
      <w:r>
        <w:rPr>
          <w:color w:val="000000"/>
          <w:spacing w:val="0"/>
          <w:w w:val="100"/>
          <w:position w:val="0"/>
        </w:rPr>
        <w:t>人员独立情况公司董事、监事及高级管理人员按照《公司法》、《公司章程》及其他法律、法规和规范性 文件规定的程序推选和任免，不存在超越公司股东大会和董事会职权作出人事任免决定的情况。公司设立 人力资源部，建立了独立的劳动、人事和工资管理体系，人事及工资管理与股东单位完全独立。公司总经 理、副总经理、财务负责人、董事会秘书等高级管理人员均未在控股股东、实际控制人及其控制的其他企 业担任除董事、监事以外的其他职务，均专职在公司工作并领取薪酬，未在控股股东、实际控制人及其控 制的其他企业领薪。公司财务人员均专职在公司工作领取薪酬，未在控股股东、实际控制人及其控制的其 他企业中兼职。</w:t>
      </w:r>
      <w:r>
        <w:rPr>
          <w:rFonts w:ascii="Times New Roman" w:eastAsia="Times New Roman" w:hAnsi="Times New Roman" w:cs="Times New Roman"/>
          <w:color w:val="000000"/>
          <w:spacing w:val="0"/>
          <w:w w:val="100"/>
          <w:position w:val="0"/>
        </w:rPr>
        <w:t>3.</w:t>
      </w:r>
      <w:r>
        <w:rPr>
          <w:color w:val="000000"/>
          <w:spacing w:val="0"/>
          <w:w w:val="100"/>
          <w:position w:val="0"/>
        </w:rPr>
        <w:t xml:space="preserve">资产完整情况公司具有与生产经营有关的独立、完整的生产系统和配套设施，拥有与生 产经营相关的土地使用权、厂房、机器设备、商标以及专利等资产的所有权或使用权。公司资产权属清晰、 </w:t>
      </w:r>
    </w:p>
    <w:p>
      <w:pPr>
        <w:pStyle w:val="Style35"/>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完整，不存在对股东或其他机构依赖的情况。</w:t>
      </w:r>
      <w:r>
        <w:rPr>
          <w:rFonts w:ascii="Times New Roman" w:eastAsia="Times New Roman" w:hAnsi="Times New Roman" w:cs="Times New Roman"/>
          <w:color w:val="000000"/>
          <w:spacing w:val="0"/>
          <w:w w:val="100"/>
          <w:position w:val="0"/>
        </w:rPr>
        <w:t>4.</w:t>
      </w:r>
      <w:r>
        <w:rPr>
          <w:color w:val="000000"/>
          <w:spacing w:val="0"/>
          <w:w w:val="100"/>
          <w:position w:val="0"/>
        </w:rPr>
        <w:t>机构独立情况公司根据经营发展的需要，建立了符合公司 实际情况的独立、完整的组织机构，各机构依据公司章程和相关规章制度独立行使各自职权。公司的生产 经营、办公场所与控股股东、实际控制人及其控制的其他企业分开，不存在混合经营、合署办公的情形。 公司不存在股东和其他关联单位或个人干预公司机构设置的情况。</w:t>
      </w:r>
      <w:r>
        <w:rPr>
          <w:rFonts w:ascii="Times New Roman" w:eastAsia="Times New Roman" w:hAnsi="Times New Roman" w:cs="Times New Roman"/>
          <w:color w:val="000000"/>
          <w:spacing w:val="0"/>
          <w:w w:val="100"/>
          <w:position w:val="0"/>
        </w:rPr>
        <w:t>5.</w:t>
      </w:r>
      <w:r>
        <w:rPr>
          <w:color w:val="000000"/>
          <w:spacing w:val="0"/>
          <w:w w:val="100"/>
          <w:position w:val="0"/>
        </w:rPr>
        <w:t>财务独立情况公司设立了独立的财务 部门，建立了独立、完整的会计核算体系和财务管理制度，能够独立作出财务决策。公司及其子公司均独 立建账，并按公司制定的内部会计管理制度，对其发生的各类经济业务进行独立核算。公司开立了独立的 银行账户，对所发生的经济业务进行结算，没有与其他单位共用账户。报告期内，公司货币资金和其他资 产没有以任何形式被控股股东、实际控制人及其控制的其他企业、其他股东单位占用；公司没有为控股股 东、实际控制人及其控制的其他企业、其他股东单位提供任何形式的担保，或转借银行贷款。</w:t>
      </w:r>
    </w:p>
    <w:p>
      <w:pPr>
        <w:pStyle w:val="Style30"/>
        <w:keepNext/>
        <w:keepLines/>
        <w:widowControl w:val="0"/>
        <w:shd w:val="clear" w:color="auto" w:fill="auto"/>
        <w:tabs>
          <w:tab w:pos="496" w:val="left"/>
        </w:tabs>
        <w:bidi w:val="0"/>
        <w:spacing w:before="0" w:after="280" w:line="240" w:lineRule="auto"/>
        <w:ind w:left="0" w:right="0" w:firstLine="0"/>
        <w:jc w:val="both"/>
      </w:pPr>
      <w:bookmarkStart w:id="339" w:name="bookmark339"/>
      <w:bookmarkStart w:id="340" w:name="bookmark340"/>
      <w:bookmarkStart w:id="341" w:name="bookmark341"/>
      <w:bookmarkStart w:id="342" w:name="bookmark342"/>
      <w:r>
        <w:rPr>
          <w:color w:val="000000"/>
          <w:spacing w:val="0"/>
          <w:w w:val="100"/>
          <w:position w:val="0"/>
          <w:sz w:val="24"/>
          <w:szCs w:val="24"/>
        </w:rPr>
        <w:t>七</w:t>
      </w:r>
      <w:bookmarkEnd w:id="341"/>
      <w:r>
        <w:rPr>
          <w:color w:val="000000"/>
          <w:spacing w:val="0"/>
          <w:w w:val="100"/>
          <w:position w:val="0"/>
          <w:sz w:val="24"/>
          <w:szCs w:val="24"/>
        </w:rPr>
        <w:t>、</w:t>
        <w:tab/>
        <w:t>同业竞争情况</w:t>
      </w:r>
      <w:bookmarkEnd w:id="339"/>
      <w:bookmarkEnd w:id="340"/>
      <w:bookmarkEnd w:id="342"/>
    </w:p>
    <w:p>
      <w:pPr>
        <w:pStyle w:val="Style35"/>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报告期内，无同业竞争情况发生。</w:t>
      </w:r>
    </w:p>
    <w:p>
      <w:pPr>
        <w:pStyle w:val="Style30"/>
        <w:keepNext/>
        <w:keepLines/>
        <w:widowControl w:val="0"/>
        <w:shd w:val="clear" w:color="auto" w:fill="auto"/>
        <w:tabs>
          <w:tab w:pos="496" w:val="left"/>
        </w:tabs>
        <w:bidi w:val="0"/>
        <w:spacing w:before="0" w:after="280" w:line="240" w:lineRule="auto"/>
        <w:ind w:left="0" w:right="0" w:firstLine="0"/>
        <w:jc w:val="both"/>
      </w:pPr>
      <w:bookmarkStart w:id="343" w:name="bookmark343"/>
      <w:bookmarkStart w:id="344" w:name="bookmark344"/>
      <w:bookmarkStart w:id="345" w:name="bookmark345"/>
      <w:bookmarkStart w:id="346" w:name="bookmark346"/>
      <w:r>
        <w:rPr>
          <w:color w:val="000000"/>
          <w:spacing w:val="0"/>
          <w:w w:val="100"/>
          <w:position w:val="0"/>
          <w:sz w:val="24"/>
          <w:szCs w:val="24"/>
        </w:rPr>
        <w:t>八</w:t>
      </w:r>
      <w:bookmarkEnd w:id="345"/>
      <w:r>
        <w:rPr>
          <w:color w:val="000000"/>
          <w:spacing w:val="0"/>
          <w:w w:val="100"/>
          <w:position w:val="0"/>
          <w:sz w:val="24"/>
          <w:szCs w:val="24"/>
        </w:rPr>
        <w:t>、</w:t>
        <w:tab/>
        <w:t>高级管理人员的考评及激励情况</w:t>
      </w:r>
      <w:bookmarkEnd w:id="343"/>
      <w:bookmarkEnd w:id="344"/>
      <w:bookmarkEnd w:id="346"/>
    </w:p>
    <w:p>
      <w:pPr>
        <w:pStyle w:val="Style35"/>
        <w:keepNext w:val="0"/>
        <w:keepLines w:val="0"/>
        <w:widowControl w:val="0"/>
        <w:shd w:val="clear" w:color="auto" w:fill="auto"/>
        <w:bidi w:val="0"/>
        <w:spacing w:before="0" w:after="900" w:line="311" w:lineRule="exact"/>
        <w:ind w:left="0" w:right="0" w:firstLine="440"/>
        <w:jc w:val="both"/>
      </w:pPr>
      <w:r>
        <w:rPr>
          <w:color w:val="000000"/>
          <w:spacing w:val="0"/>
          <w:w w:val="100"/>
          <w:position w:val="0"/>
        </w:rPr>
        <w:t>公司董事会下设薪酬与考核委员会，高级管理人员直接对董事会负责，接受董事会的考核，实行责权 利统一的激励机制。高级管理人员实行年薪制，薪资标准依据行业薪酬水平、企业经营效益、高管岗位职 级等因素确定。年终对高管人员的履职情况和年度业绩情况予以考核，根据考核结果发放绩效薪酬。为进 一步提高经营管理者的积极性、创造性，促进公司业绩持续增长，在提升公司价值的同时实现员工与公司 共同发展，公司对高级管理人员的业绩考核在公司中长期发展战略目标的基础上，根据年度目标达成情况 确定，既包括对公司当期业绩的考核，也兼顾公司可持续发展能力。</w:t>
      </w:r>
    </w:p>
    <w:p>
      <w:pPr>
        <w:pStyle w:val="Style14"/>
        <w:keepNext/>
        <w:keepLines/>
        <w:widowControl w:val="0"/>
        <w:shd w:val="clear" w:color="auto" w:fill="auto"/>
        <w:bidi w:val="0"/>
        <w:spacing w:before="0" w:after="540" w:line="240" w:lineRule="auto"/>
        <w:ind w:left="0" w:right="0" w:firstLine="0"/>
        <w:jc w:val="center"/>
      </w:pPr>
      <w:bookmarkStart w:id="347" w:name="bookmark347"/>
      <w:bookmarkStart w:id="348" w:name="bookmark348"/>
      <w:bookmarkStart w:id="349" w:name="bookmark349"/>
      <w:r>
        <w:rPr>
          <w:color w:val="000000"/>
          <w:spacing w:val="0"/>
          <w:w w:val="100"/>
          <w:position w:val="0"/>
        </w:rPr>
        <w:t>第九节内部控制</w:t>
      </w:r>
      <w:bookmarkEnd w:id="347"/>
      <w:bookmarkEnd w:id="348"/>
      <w:bookmarkEnd w:id="349"/>
    </w:p>
    <w:p>
      <w:pPr>
        <w:pStyle w:val="Style30"/>
        <w:keepNext/>
        <w:keepLines/>
        <w:widowControl w:val="0"/>
        <w:shd w:val="clear" w:color="auto" w:fill="auto"/>
        <w:tabs>
          <w:tab w:pos="496" w:val="left"/>
        </w:tabs>
        <w:bidi w:val="0"/>
        <w:spacing w:before="0" w:after="28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sz w:val="24"/>
          <w:szCs w:val="24"/>
        </w:rPr>
        <w:t>一</w:t>
      </w:r>
      <w:bookmarkEnd w:id="352"/>
      <w:r>
        <w:rPr>
          <w:color w:val="000000"/>
          <w:spacing w:val="0"/>
          <w:w w:val="100"/>
          <w:position w:val="0"/>
          <w:sz w:val="24"/>
          <w:szCs w:val="24"/>
        </w:rPr>
        <w:t>、</w:t>
        <w:tab/>
        <w:t>内部控制建设情况</w:t>
      </w:r>
      <w:bookmarkEnd w:id="350"/>
      <w:bookmarkEnd w:id="351"/>
      <w:bookmarkEnd w:id="353"/>
    </w:p>
    <w:p>
      <w:pPr>
        <w:pStyle w:val="Style35"/>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公司按照《公司法》、《证券法》、《企业内部控制基本规范》、《深圳证券交易所中小板上市公司规范运 作指引》等规定，不断健全公司法人治理结构，积极完善各项内部控制制度，建立了规范的治理结构和相 关议事规则，明确了决策、执行、监督等方面的职权，形成科学有效的职责分工和制衡机制，确保公司内 部控制制度得以贯彻执行，保证公司资产安全、经营管理合法合规，财务报告及相关信息真实完整，提高 经营效率和效果。</w:t>
      </w:r>
    </w:p>
    <w:p>
      <w:pPr>
        <w:pStyle w:val="Style30"/>
        <w:keepNext/>
        <w:keepLines/>
        <w:widowControl w:val="0"/>
        <w:shd w:val="clear" w:color="auto" w:fill="auto"/>
        <w:tabs>
          <w:tab w:pos="496" w:val="left"/>
        </w:tabs>
        <w:bidi w:val="0"/>
        <w:spacing w:before="0" w:after="28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sz w:val="24"/>
          <w:szCs w:val="24"/>
        </w:rPr>
        <w:t>二</w:t>
      </w:r>
      <w:bookmarkEnd w:id="356"/>
      <w:r>
        <w:rPr>
          <w:color w:val="000000"/>
          <w:spacing w:val="0"/>
          <w:w w:val="100"/>
          <w:position w:val="0"/>
          <w:sz w:val="24"/>
          <w:szCs w:val="24"/>
        </w:rPr>
        <w:t>、</w:t>
        <w:tab/>
        <w:t>董事会关于内部控制责任的声明</w:t>
      </w:r>
      <w:bookmarkEnd w:id="354"/>
      <w:bookmarkEnd w:id="355"/>
      <w:bookmarkEnd w:id="357"/>
    </w:p>
    <w:p>
      <w:pPr>
        <w:pStyle w:val="Style35"/>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公司董事会已审议通过了公司《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年度内部控制自我评价报告》，董事会及全体董事保证公司的内 部控制自我评价报告内容真实、准确、完整，不存在虚假记载、误导性陈述或者重大遗漏，并对报告内容 的真实性、准确性和完整性承担个别及连带责任。建立健全并有效实施内部控制是本公司董事会的责任； 监事会对董事会建立与实施内部控制进行监督；经理层负责组织领导公司内部控制的日常运行。</w:t>
      </w:r>
    </w:p>
    <w:p>
      <w:pPr>
        <w:pStyle w:val="Style30"/>
        <w:keepNext/>
        <w:keepLines/>
        <w:widowControl w:val="0"/>
        <w:shd w:val="clear" w:color="auto" w:fill="auto"/>
        <w:bidi w:val="0"/>
        <w:spacing w:before="0" w:after="28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sz w:val="24"/>
          <w:szCs w:val="24"/>
        </w:rPr>
        <w:t>三</w:t>
      </w:r>
      <w:bookmarkEnd w:id="360"/>
      <w:r>
        <w:rPr>
          <w:color w:val="000000"/>
          <w:spacing w:val="0"/>
          <w:w w:val="100"/>
          <w:position w:val="0"/>
          <w:sz w:val="24"/>
          <w:szCs w:val="24"/>
        </w:rPr>
        <w:t>、建立财务报告内部控制的依据</w:t>
      </w:r>
      <w:bookmarkEnd w:id="358"/>
      <w:bookmarkEnd w:id="359"/>
      <w:bookmarkEnd w:id="361"/>
    </w:p>
    <w:p>
      <w:pPr>
        <w:pStyle w:val="Style35"/>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公司以《公司法》、《公司章程》、财政部及证监会等五部委联合发布的《企业内部控制基本规范》及 其配套指引、财政部发布的《内部会计控制规范》、深圳证券交易所关于《中小企业板上市公司规范运作 指引》，以及广东证监局发布的关于做好上市公司内部控制规范的相关通知与要求，建立了财务报告相关 内部控制。</w:t>
      </w:r>
    </w:p>
    <w:p>
      <w:pPr>
        <w:pStyle w:val="Style30"/>
        <w:keepNext/>
        <w:keepLines/>
        <w:widowControl w:val="0"/>
        <w:shd w:val="clear" w:color="auto" w:fill="auto"/>
        <w:bidi w:val="0"/>
        <w:spacing w:before="0" w:after="34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四</w:t>
      </w:r>
      <w:bookmarkEnd w:id="364"/>
      <w:r>
        <w:rPr>
          <w:color w:val="000000"/>
          <w:spacing w:val="0"/>
          <w:w w:val="100"/>
          <w:position w:val="0"/>
          <w:sz w:val="24"/>
          <w:szCs w:val="24"/>
        </w:rPr>
        <w:t>、内部控制自我评价报告</w:t>
      </w:r>
      <w:bookmarkEnd w:id="362"/>
      <w:bookmarkEnd w:id="363"/>
      <w:bookmarkEnd w:id="365"/>
    </w:p>
    <w:tbl>
      <w:tblPr>
        <w:tblOverlap w:val="never"/>
        <w:jc w:val="center"/>
        <w:tblLayout w:type="fixed"/>
      </w:tblPr>
      <w:tblGrid>
        <w:gridCol w:w="4507"/>
        <w:gridCol w:w="5078"/>
      </w:tblGrid>
      <w:tr>
        <w:trPr>
          <w:trHeight w:val="37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677"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报告期内，公司对纳入评价范围的业务与事项均已建立了内部控制，并得以有效执行，达到了公司内部 控制要求，不存在重大缺陷。</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xml:space="preserve"> .cn)</w:t>
            </w:r>
          </w:p>
        </w:tc>
      </w:tr>
      <w:tr>
        <w:trPr>
          <w:trHeight w:val="61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五、内部控制审计报告</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c>
      </w:tr>
    </w:tbl>
    <w:p>
      <w:pPr>
        <w:widowControl w:val="0"/>
        <w:spacing w:after="339" w:line="1" w:lineRule="exact"/>
      </w:pPr>
    </w:p>
    <w:p>
      <w:pPr>
        <w:pStyle w:val="Style30"/>
        <w:keepNext/>
        <w:keepLines/>
        <w:widowControl w:val="0"/>
        <w:shd w:val="clear" w:color="auto" w:fill="auto"/>
        <w:bidi w:val="0"/>
        <w:spacing w:before="0" w:after="28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六、年度报告重大差错责任追究制度的建立与执行情况</w:t>
      </w:r>
      <w:bookmarkEnd w:id="366"/>
      <w:bookmarkEnd w:id="367"/>
      <w:bookmarkEnd w:id="368"/>
    </w:p>
    <w:p>
      <w:pPr>
        <w:pStyle w:val="Style35"/>
        <w:keepNext w:val="0"/>
        <w:keepLines w:val="0"/>
        <w:widowControl w:val="0"/>
        <w:shd w:val="clear" w:color="auto" w:fill="auto"/>
        <w:bidi w:val="0"/>
        <w:spacing w:before="0" w:after="920" w:line="314" w:lineRule="exact"/>
        <w:ind w:left="0" w:right="0" w:firstLine="440"/>
        <w:jc w:val="both"/>
      </w:pPr>
      <w:r>
        <w:rPr>
          <w:color w:val="000000"/>
          <w:spacing w:val="0"/>
          <w:w w:val="100"/>
          <w:position w:val="0"/>
        </w:rPr>
        <w:t>公司已经制定《信息披露管理制度》，明确规定公司及相关信息披露义务人在包含年度报告在内的定 期报告及临时公告等工作中的信息披露义务，明确规定公司、子公司及有关人员的信息披露职责范围、保 密责任和报告义务。报告期内公司未发生重大会计差错更正、重大遗漏信息补充等情况。</w:t>
      </w:r>
    </w:p>
    <w:p>
      <w:pPr>
        <w:pStyle w:val="Style14"/>
        <w:keepNext/>
        <w:keepLines/>
        <w:widowControl w:val="0"/>
        <w:shd w:val="clear" w:color="auto" w:fill="auto"/>
        <w:bidi w:val="0"/>
        <w:spacing w:before="0" w:after="540" w:line="240" w:lineRule="auto"/>
        <w:ind w:left="0" w:right="0" w:firstLine="0"/>
        <w:jc w:val="center"/>
      </w:pPr>
      <w:bookmarkStart w:id="369" w:name="bookmark369"/>
      <w:bookmarkStart w:id="370" w:name="bookmark370"/>
      <w:bookmarkStart w:id="371" w:name="bookmark371"/>
      <w:r>
        <w:rPr>
          <w:color w:val="000000"/>
          <w:spacing w:val="0"/>
          <w:w w:val="100"/>
          <w:position w:val="0"/>
        </w:rPr>
        <w:t>第十节财务报告</w:t>
      </w:r>
      <w:bookmarkEnd w:id="369"/>
      <w:bookmarkEnd w:id="370"/>
      <w:bookmarkEnd w:id="371"/>
    </w:p>
    <w:p>
      <w:pPr>
        <w:pStyle w:val="Style30"/>
        <w:keepNext/>
        <w:keepLines/>
        <w:widowControl w:val="0"/>
        <w:shd w:val="clear" w:color="auto" w:fill="auto"/>
        <w:bidi w:val="0"/>
        <w:spacing w:before="0" w:after="280" w:line="240" w:lineRule="auto"/>
        <w:ind w:left="0" w:right="0" w:firstLine="260"/>
        <w:jc w:val="left"/>
      </w:pPr>
      <w:bookmarkStart w:id="372" w:name="bookmark372"/>
      <w:bookmarkStart w:id="373" w:name="bookmark373"/>
      <w:bookmarkStart w:id="374" w:name="bookmark374"/>
      <w:r>
        <w:rPr>
          <w:color w:val="000000"/>
          <w:spacing w:val="0"/>
          <w:w w:val="100"/>
          <w:position w:val="0"/>
          <w:sz w:val="24"/>
          <w:szCs w:val="24"/>
        </w:rPr>
        <w:t>、审计报告</w:t>
      </w:r>
      <w:bookmarkEnd w:id="372"/>
      <w:bookmarkEnd w:id="373"/>
      <w:bookmarkEnd w:id="374"/>
    </w:p>
    <w:tbl>
      <w:tblPr>
        <w:tblOverlap w:val="never"/>
        <w:jc w:val="center"/>
        <w:tblLayout w:type="fixed"/>
      </w:tblPr>
      <w:tblGrid>
        <w:gridCol w:w="4790"/>
        <w:gridCol w:w="4795"/>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410184</w:t>
            </w:r>
            <w:r>
              <w:rPr>
                <w:color w:val="000000"/>
                <w:spacing w:val="0"/>
                <w:w w:val="100"/>
                <w:position w:val="0"/>
              </w:rPr>
              <w:t>号</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张锦坤、漆江燕</w:t>
            </w:r>
          </w:p>
        </w:tc>
      </w:tr>
    </w:tbl>
    <w:p>
      <w:pPr>
        <w:widowControl w:val="0"/>
        <w:spacing w:after="279" w:line="1" w:lineRule="exact"/>
      </w:pPr>
    </w:p>
    <w:p>
      <w:pPr>
        <w:pStyle w:val="Style48"/>
        <w:keepNext/>
        <w:keepLines/>
        <w:widowControl w:val="0"/>
        <w:shd w:val="clear" w:color="auto" w:fill="auto"/>
        <w:bidi w:val="0"/>
        <w:spacing w:before="0" w:after="0" w:line="307" w:lineRule="exact"/>
        <w:ind w:left="0" w:right="0" w:firstLine="0"/>
        <w:jc w:val="both"/>
      </w:pPr>
      <w:bookmarkStart w:id="375" w:name="bookmark375"/>
      <w:bookmarkStart w:id="376" w:name="bookmark376"/>
      <w:bookmarkStart w:id="377" w:name="bookmark377"/>
      <w:r>
        <w:rPr>
          <w:color w:val="000000"/>
          <w:spacing w:val="0"/>
          <w:w w:val="100"/>
          <w:position w:val="0"/>
        </w:rPr>
        <w:t>广东华声电器股份有限公司全体股东：</w:t>
      </w:r>
      <w:bookmarkEnd w:id="375"/>
      <w:bookmarkEnd w:id="376"/>
      <w:bookmarkEnd w:id="377"/>
    </w:p>
    <w:p>
      <w:pPr>
        <w:pStyle w:val="Style35"/>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我们审计了后附的广东华声电器股份有限公司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以下简称贵公司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 产负债表和合并资产负债表、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年度的利润表和合并利润表、</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年度的现金流量表和合并现金流量表、 </w:t>
      </w:r>
      <w:r>
        <w:rPr>
          <w:rFonts w:ascii="Times New Roman" w:eastAsia="Times New Roman" w:hAnsi="Times New Roman" w:cs="Times New Roman"/>
          <w:color w:val="000000"/>
          <w:spacing w:val="0"/>
          <w:w w:val="100"/>
          <w:position w:val="0"/>
        </w:rPr>
        <w:t>2013</w:t>
      </w:r>
      <w:r>
        <w:rPr>
          <w:color w:val="000000"/>
          <w:spacing w:val="0"/>
          <w:w w:val="100"/>
          <w:position w:val="0"/>
        </w:rPr>
        <w:t>年度的所有者权益变动表和合并所有者权益变动表以及财务报表附注。</w:t>
      </w:r>
    </w:p>
    <w:p>
      <w:pPr>
        <w:pStyle w:val="Style48"/>
        <w:keepNext/>
        <w:keepLines/>
        <w:widowControl w:val="0"/>
        <w:shd w:val="clear" w:color="auto" w:fill="auto"/>
        <w:bidi w:val="0"/>
        <w:spacing w:before="0" w:after="0" w:line="322" w:lineRule="auto"/>
        <w:ind w:left="0" w:right="0" w:firstLine="44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、管理层对财务报表的责任</w:t>
      </w:r>
      <w:bookmarkEnd w:id="378"/>
      <w:bookmarkEnd w:id="379"/>
      <w:bookmarkEnd w:id="381"/>
    </w:p>
    <w:p>
      <w:pPr>
        <w:pStyle w:val="Style35"/>
        <w:keepNext w:val="0"/>
        <w:keepLines w:val="0"/>
        <w:widowControl w:val="0"/>
        <w:shd w:val="clear" w:color="auto" w:fill="auto"/>
        <w:bidi w:val="0"/>
        <w:spacing w:before="0" w:after="380" w:line="307" w:lineRule="exact"/>
        <w:ind w:left="0" w:right="0" w:firstLine="440"/>
        <w:jc w:val="both"/>
        <w:sectPr>
          <w:headerReference w:type="default" r:id="rId103"/>
          <w:footerReference w:type="default" r:id="rId104"/>
          <w:headerReference w:type="even" r:id="rId105"/>
          <w:footerReference w:type="even" r:id="rId106"/>
          <w:footnotePr>
            <w:pos w:val="pageBottom"/>
            <w:numFmt w:val="decimal"/>
            <w:numRestart w:val="continuous"/>
          </w:footnotePr>
          <w:type w:val="continuous"/>
          <w:pgSz w:w="11900" w:h="16840"/>
          <w:pgMar w:top="1398" w:right="1033" w:bottom="1662" w:left="1075" w:header="0" w:footer="3" w:gutter="0"/>
          <w:cols w:space="720"/>
          <w:noEndnote/>
          <w:rtlGutter w:val="0"/>
          <w:docGrid w:linePitch="360"/>
        </w:sectPr>
      </w:pPr>
      <w:r>
        <w:rPr>
          <w:color w:val="000000"/>
          <w:spacing w:val="0"/>
          <w:w w:val="100"/>
          <w:position w:val="0"/>
        </w:rPr>
        <w:t>编制和公允列报财务报表是贵公司管理层的责任。这种责任包括：</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按照企业会计准则的规定编制财 </w:t>
      </w:r>
    </w:p>
    <w:p>
      <w:pPr>
        <w:pStyle w:val="Style35"/>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务报表，并使其实现公允反映；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 误导致的重大错报。</w:t>
      </w:r>
    </w:p>
    <w:p>
      <w:pPr>
        <w:pStyle w:val="Style48"/>
        <w:keepNext/>
        <w:keepLines/>
        <w:widowControl w:val="0"/>
        <w:shd w:val="clear" w:color="auto" w:fill="auto"/>
        <w:tabs>
          <w:tab w:pos="798" w:val="left"/>
        </w:tabs>
        <w:bidi w:val="0"/>
        <w:spacing w:before="0" w:after="0" w:line="326" w:lineRule="auto"/>
        <w:ind w:left="0" w:right="0" w:firstLine="420"/>
        <w:jc w:val="both"/>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注册会计师的责任</w:t>
      </w:r>
      <w:bookmarkEnd w:id="382"/>
      <w:bookmarkEnd w:id="383"/>
      <w:bookmarkEnd w:id="385"/>
    </w:p>
    <w:p>
      <w:pPr>
        <w:pStyle w:val="Style3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5"/>
        <w:keepNext w:val="0"/>
        <w:keepLines w:val="0"/>
        <w:widowControl w:val="0"/>
        <w:shd w:val="clear" w:color="auto" w:fill="auto"/>
        <w:bidi w:val="0"/>
        <w:spacing w:before="0" w:after="380" w:line="314" w:lineRule="exact"/>
        <w:ind w:left="0" w:right="0" w:firstLine="420"/>
        <w:jc w:val="left"/>
      </w:pPr>
      <w:r>
        <w:rPr>
          <w:color w:val="000000"/>
          <w:spacing w:val="0"/>
          <w:w w:val="100"/>
          <w:position w:val="0"/>
        </w:rPr>
        <w:t>我们相信，我们获取的审计证据是充分、适当的，为发表审计意见提供了基础。</w:t>
      </w:r>
    </w:p>
    <w:p>
      <w:pPr>
        <w:pStyle w:val="Style48"/>
        <w:keepNext/>
        <w:keepLines/>
        <w:widowControl w:val="0"/>
        <w:shd w:val="clear" w:color="auto" w:fill="auto"/>
        <w:tabs>
          <w:tab w:pos="798" w:val="left"/>
        </w:tabs>
        <w:bidi w:val="0"/>
        <w:spacing w:before="0" w:after="0" w:line="317" w:lineRule="auto"/>
        <w:ind w:left="0" w:right="0" w:firstLine="42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w:t>
        <w:tab/>
        <w:t>审计意见</w:t>
      </w:r>
      <w:bookmarkEnd w:id="386"/>
      <w:bookmarkEnd w:id="387"/>
      <w:bookmarkEnd w:id="389"/>
    </w:p>
    <w:p>
      <w:pPr>
        <w:pStyle w:val="Style35"/>
        <w:keepNext w:val="0"/>
        <w:keepLines w:val="0"/>
        <w:widowControl w:val="0"/>
        <w:shd w:val="clear" w:color="auto" w:fill="auto"/>
        <w:bidi w:val="0"/>
        <w:spacing w:before="0" w:after="380" w:line="302" w:lineRule="exact"/>
        <w:ind w:left="0" w:right="0" w:firstLine="42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w:t>
      </w:r>
    </w:p>
    <w:p>
      <w:pPr>
        <w:pStyle w:val="Style30"/>
        <w:keepNext/>
        <w:keepLines/>
        <w:widowControl w:val="0"/>
        <w:shd w:val="clear" w:color="auto" w:fill="auto"/>
        <w:bidi w:val="0"/>
        <w:spacing w:before="0" w:after="26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二、财务报表</w:t>
      </w:r>
      <w:bookmarkEnd w:id="390"/>
      <w:bookmarkEnd w:id="391"/>
      <w:bookmarkEnd w:id="392"/>
    </w:p>
    <w:p>
      <w:pPr>
        <w:pStyle w:val="Style3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财务附注中报表的单位为：人民币元</w:t>
      </w:r>
    </w:p>
    <w:p>
      <w:pPr>
        <w:pStyle w:val="Style48"/>
        <w:keepNext/>
        <w:keepLines/>
        <w:widowControl w:val="0"/>
        <w:shd w:val="clear" w:color="auto" w:fill="auto"/>
        <w:bidi w:val="0"/>
        <w:spacing w:before="0" w:after="180" w:line="326"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、合并资产负债表</w:t>
      </w:r>
      <w:bookmarkEnd w:id="393"/>
      <w:bookmarkEnd w:id="394"/>
      <w:bookmarkEnd w:id="396"/>
    </w:p>
    <w:p>
      <w:pPr>
        <w:pStyle w:val="Style35"/>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编制单位：广东华声电器股份有限公司</w:t>
      </w:r>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单位：元</w:t>
      </w:r>
    </w:p>
    <w:tbl>
      <w:tblPr>
        <w:tblOverlap w:val="never"/>
        <w:jc w:val="center"/>
        <w:tblLayout w:type="fixed"/>
      </w:tblPr>
      <w:tblGrid>
        <w:gridCol w:w="5947"/>
        <w:gridCol w:w="1800"/>
        <w:gridCol w:w="18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141,167,731.22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188,270,481.54</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329,352,067.96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201,156,586.88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333,108,382.37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237,428,720.32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12,354,906.44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9,275,345.03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503,365.15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778,559.62</w:t>
            </w:r>
          </w:p>
        </w:tc>
      </w:tr>
    </w:tbl>
    <w:p>
      <w:pPr>
        <w:spacing w:lineRule="exact" w:line="1"/>
        <w:rPr>
          <w:sz w:val="2"/>
          <w:szCs w:val="2"/>
        </w:rPr>
      </w:pPr>
      <w:r>
        <w:br w:type="page"/>
      </w:r>
    </w:p>
    <w:tbl>
      <w:tblPr>
        <w:tblOverlap w:val="never"/>
        <w:jc w:val="center"/>
        <w:tblLayout w:type="fixed"/>
      </w:tblPr>
      <w:tblGrid>
        <w:gridCol w:w="5947"/>
        <w:gridCol w:w="1800"/>
        <w:gridCol w:w="18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214,045,413.17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168,945,534.90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3,945,522.96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1,030,531,866.31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809,800,751.25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231,754,095.98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205,556,763.97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58,027,099.27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22,806,124.34</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33,415,250.26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34,714,372.77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546,898.35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436,321.07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107,197.03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240,849.55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12,698,481.36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23,408,938.89</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336,549,022.25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287,163,370.59</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1,367,080,888.56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1,096,964,121.84</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207,425,218.42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163,497,851.65</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99,568,124.87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63,099,326.19</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3,555,901.69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7,828,359.55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07"/>
          <w:footerReference w:type="default" r:id="rId108"/>
          <w:headerReference w:type="even" r:id="rId109"/>
          <w:footerReference w:type="even" r:id="rId110"/>
          <w:footnotePr>
            <w:pos w:val="pageBottom"/>
            <w:numFmt w:val="decimal"/>
            <w:numRestart w:val="continuous"/>
          </w:footnotePr>
          <w:type w:val="continuous"/>
          <w:pgSz w:w="11900" w:h="16840"/>
          <w:pgMar w:top="1398" w:right="1033" w:bottom="1662" w:left="1075" w:header="0" w:footer="3" w:gutter="0"/>
          <w:cols w:space="720"/>
          <w:noEndnote/>
          <w:rtlGutter w:val="0"/>
          <w:docGrid w:linePitch="360"/>
        </w:sectPr>
      </w:pPr>
    </w:p>
    <w:tbl>
      <w:tblPr>
        <w:tblOverlap w:val="never"/>
        <w:jc w:val="left"/>
        <w:tblLayout w:type="fixed"/>
      </w:tblPr>
      <w:tblGrid>
        <w:gridCol w:w="5947"/>
        <w:gridCol w:w="1800"/>
        <w:gridCol w:w="1838"/>
      </w:tblGrid>
      <w:tr>
        <w:trPr>
          <w:trHeight w:val="374"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4,684,233.54</w:t>
            </w:r>
          </w:p>
        </w:tc>
        <w:tc>
          <w:tcPr>
            <w:tcBorders>
              <w:top w:val="single" w:sz="4"/>
              <w:left w:val="single" w:sz="4"/>
              <w:righ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3,520,711.77</w:t>
            </w:r>
          </w:p>
        </w:tc>
      </w:tr>
      <w:tr>
        <w:trPr>
          <w:trHeight w:val="365"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7,353,920.21</w:t>
            </w:r>
          </w:p>
        </w:tc>
        <w:tc>
          <w:tcPr>
            <w:tcBorders>
              <w:top w:val="single" w:sz="4"/>
              <w:left w:val="single" w:sz="4"/>
              <w:righ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406,249.04</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6,427,958.24</w:t>
            </w:r>
          </w:p>
        </w:tc>
        <w:tc>
          <w:tcPr>
            <w:tcBorders>
              <w:top w:val="single" w:sz="4"/>
              <w:left w:val="single" w:sz="4"/>
              <w:righ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6,171,134.08</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499,015,356.97</w:t>
            </w:r>
          </w:p>
        </w:tc>
        <w:tc>
          <w:tcPr>
            <w:tcBorders>
              <w:top w:val="single" w:sz="4"/>
              <w:left w:val="single" w:sz="4"/>
              <w:righ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344,523,632.28</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D3D3D3"/>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75,000,000.00</w:t>
            </w: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75,000,000.00</w:t>
            </w: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574,015,356.97</w:t>
            </w:r>
          </w:p>
        </w:tc>
        <w:tc>
          <w:tcPr>
            <w:tcBorders>
              <w:top w:val="single" w:sz="4"/>
              <w:left w:val="single" w:sz="4"/>
              <w:righ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344,523,632.28</w:t>
            </w:r>
          </w:p>
        </w:tc>
      </w:tr>
      <w:tr>
        <w:trPr>
          <w:trHeight w:val="370" w:hRule="exact"/>
        </w:trPr>
        <w:tc>
          <w:tcPr>
            <w:tcBorders>
              <w:top w:val="single" w:sz="4"/>
              <w:left w:val="single" w:sz="4"/>
            </w:tcBorders>
            <w:shd w:val="clear" w:color="auto" w:fill="D3D3D3"/>
            <w:vAlign w:val="bottom"/>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所有者权益</w:t>
            </w:r>
            <w:r>
              <w:rPr>
                <w:rFonts w:ascii="Times New Roman" w:eastAsia="Times New Roman" w:hAnsi="Times New Roman" w:cs="Times New Roman"/>
                <w:color w:val="000000"/>
                <w:spacing w:val="0"/>
                <w:w w:val="100"/>
                <w:position w:val="0"/>
              </w:rPr>
              <w:t>（</w:t>
            </w:r>
            <w:r>
              <w:rPr>
                <w:color w:val="000000"/>
                <w:spacing w:val="0"/>
                <w:w w:val="100"/>
                <w:position w:val="0"/>
              </w:rPr>
              <w:t>或股东权益</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D3D3D3"/>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实收资本</w:t>
            </w:r>
            <w:r>
              <w:rPr>
                <w:rFonts w:ascii="Times New Roman" w:eastAsia="Times New Roman" w:hAnsi="Times New Roman" w:cs="Times New Roman"/>
                <w:color w:val="000000"/>
                <w:spacing w:val="0"/>
                <w:w w:val="100"/>
                <w:position w:val="0"/>
              </w:rPr>
              <w:t>（</w:t>
            </w:r>
            <w:r>
              <w:rPr>
                <w:color w:val="000000"/>
                <w:spacing w:val="0"/>
                <w:w w:val="100"/>
                <w:position w:val="0"/>
              </w:rPr>
              <w:t>或股本</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200,000,000.00</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429,089,779.67</w:t>
            </w:r>
          </w:p>
        </w:tc>
        <w:tc>
          <w:tcPr>
            <w:tcBorders>
              <w:top w:val="single" w:sz="4"/>
              <w:left w:val="single" w:sz="4"/>
              <w:righ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429,089,779.67</w:t>
            </w:r>
          </w:p>
        </w:tc>
      </w:tr>
      <w:tr>
        <w:trPr>
          <w:trHeight w:val="365"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22,386,945.56</w:t>
            </w:r>
          </w:p>
        </w:tc>
        <w:tc>
          <w:tcPr>
            <w:tcBorders>
              <w:top w:val="single" w:sz="4"/>
              <w:left w:val="single" w:sz="4"/>
              <w:righ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14,761,921.44</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141,588,806.36</w:t>
            </w:r>
          </w:p>
        </w:tc>
        <w:tc>
          <w:tcPr>
            <w:tcBorders>
              <w:top w:val="single" w:sz="4"/>
              <w:left w:val="single" w:sz="4"/>
              <w:righ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108,588,788.45</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外币报表折算差额</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793,065,531.59</w:t>
            </w:r>
          </w:p>
        </w:tc>
        <w:tc>
          <w:tcPr>
            <w:tcBorders>
              <w:top w:val="single" w:sz="4"/>
              <w:left w:val="single" w:sz="4"/>
              <w:righ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752,440,489.56</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9586" w:h="12926"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926" w:hSpace="10" w:vSpace="600"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所有者权益</w:t>
            </w:r>
            <w:r>
              <w:rPr>
                <w:rFonts w:ascii="Times New Roman" w:eastAsia="Times New Roman" w:hAnsi="Times New Roman" w:cs="Times New Roman"/>
                <w:color w:val="000000"/>
                <w:spacing w:val="0"/>
                <w:w w:val="100"/>
                <w:position w:val="0"/>
              </w:rPr>
              <w:t>（</w:t>
            </w:r>
            <w:r>
              <w:rPr>
                <w:color w:val="000000"/>
                <w:spacing w:val="0"/>
                <w:w w:val="100"/>
                <w:position w:val="0"/>
              </w:rPr>
              <w:t>或股东权益</w:t>
            </w:r>
            <w:r>
              <w:rPr>
                <w:rFonts w:ascii="Times New Roman" w:eastAsia="Times New Roman" w:hAnsi="Times New Roman" w:cs="Times New Roman"/>
                <w:color w:val="000000"/>
                <w:spacing w:val="0"/>
                <w:w w:val="100"/>
                <w:position w:val="0"/>
              </w:rPr>
              <w:t>）</w:t>
            </w: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793,065,531.59</w:t>
            </w:r>
          </w:p>
        </w:tc>
        <w:tc>
          <w:tcPr>
            <w:tcBorders>
              <w:top w:val="single" w:sz="4"/>
              <w:left w:val="single" w:sz="4"/>
              <w:right w:val="single" w:sz="4"/>
            </w:tcBorders>
            <w:shd w:val="clear" w:color="auto" w:fill="FFFFFF"/>
            <w:vAlign w:val="bottom"/>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752,440,489.56</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负债和所有者权益</w:t>
            </w:r>
            <w:r>
              <w:rPr>
                <w:rFonts w:ascii="Times New Roman" w:eastAsia="Times New Roman" w:hAnsi="Times New Roman" w:cs="Times New Roman"/>
                <w:color w:val="000000"/>
                <w:spacing w:val="0"/>
                <w:w w:val="100"/>
                <w:position w:val="0"/>
              </w:rPr>
              <w:t>（</w:t>
            </w:r>
            <w:r>
              <w:rPr>
                <w:color w:val="000000"/>
                <w:spacing w:val="0"/>
                <w:w w:val="100"/>
                <w:position w:val="0"/>
              </w:rPr>
              <w:t>或股东权益</w:t>
            </w:r>
            <w:r>
              <w:rPr>
                <w:rFonts w:ascii="Times New Roman" w:eastAsia="Times New Roman" w:hAnsi="Times New Roman" w:cs="Times New Roman"/>
                <w:color w:val="000000"/>
                <w:spacing w:val="0"/>
                <w:w w:val="100"/>
                <w:position w:val="0"/>
              </w:rPr>
              <w:t>）</w:t>
            </w:r>
            <w:r>
              <w:rPr>
                <w:color w:val="000000"/>
                <w:spacing w:val="0"/>
                <w:w w:val="100"/>
                <w:position w:val="0"/>
              </w:rPr>
              <w:t>总计</w:t>
            </w:r>
          </w:p>
        </w:tc>
        <w:tc>
          <w:tcPr>
            <w:tcBorders>
              <w:top w:val="single" w:sz="4"/>
              <w:left w:val="single" w:sz="4"/>
              <w:bottom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1,367,080,888.56</w:t>
            </w:r>
          </w:p>
        </w:tc>
        <w:tc>
          <w:tcPr>
            <w:tcBorders>
              <w:top w:val="single" w:sz="4"/>
              <w:left w:val="single" w:sz="4"/>
              <w:bottom w:val="single" w:sz="4"/>
              <w:right w:val="single" w:sz="4"/>
            </w:tcBorders>
            <w:shd w:val="clear" w:color="auto" w:fill="FFFFFF"/>
            <w:vAlign w:val="center"/>
          </w:tcPr>
          <w:p>
            <w:pPr>
              <w:pStyle w:val="Style2"/>
              <w:keepNext w:val="0"/>
              <w:keepLines w:val="0"/>
              <w:framePr w:w="9586" w:h="12926" w:hSpace="10" w:vSpace="600"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1,096,964,121.84</w:t>
            </w:r>
          </w:p>
        </w:tc>
      </w:tr>
    </w:tbl>
    <w:p>
      <w:pPr>
        <w:pStyle w:val="Style38"/>
        <w:keepNext w:val="0"/>
        <w:keepLines w:val="0"/>
        <w:framePr w:w="1934" w:h="264" w:hSpace="7661" w:wrap="notBeside" w:vAnchor="text" w:hAnchor="text" w:y="13259"/>
        <w:widowControl w:val="0"/>
        <w:shd w:val="clear" w:color="auto" w:fill="auto"/>
        <w:bidi w:val="0"/>
        <w:spacing w:before="0" w:after="0" w:line="240" w:lineRule="auto"/>
        <w:ind w:left="0" w:right="0" w:firstLine="0"/>
        <w:jc w:val="left"/>
      </w:pPr>
      <w:r>
        <w:rPr>
          <w:color w:val="000000"/>
          <w:spacing w:val="0"/>
          <w:w w:val="100"/>
          <w:position w:val="0"/>
        </w:rPr>
        <w:t>法定代表人：罗桥胜</w:t>
      </w:r>
    </w:p>
    <w:p>
      <w:pPr>
        <w:pStyle w:val="Style38"/>
        <w:keepNext w:val="0"/>
        <w:keepLines w:val="0"/>
        <w:framePr w:w="2765" w:h="264" w:hSpace="6830" w:wrap="notBeside" w:vAnchor="text" w:hAnchor="text" w:x="2949" w:y="13259"/>
        <w:widowControl w:val="0"/>
        <w:shd w:val="clear" w:color="auto" w:fill="auto"/>
        <w:bidi w:val="0"/>
        <w:spacing w:before="0" w:after="0" w:line="240" w:lineRule="auto"/>
        <w:ind w:left="0" w:right="0" w:firstLine="0"/>
        <w:jc w:val="center"/>
      </w:pPr>
      <w:r>
        <w:rPr>
          <w:color w:val="000000"/>
          <w:spacing w:val="0"/>
          <w:w w:val="100"/>
          <w:position w:val="0"/>
        </w:rPr>
        <w:t>主管会计工作负责人：黄志坚</w:t>
      </w:r>
    </w:p>
    <w:p>
      <w:pPr>
        <w:pStyle w:val="Style38"/>
        <w:keepNext w:val="0"/>
        <w:keepLines w:val="0"/>
        <w:framePr w:w="2352" w:h="269" w:hSpace="7243" w:wrap="notBeside" w:vAnchor="text" w:hAnchor="text" w:x="6721" w:y="13259"/>
        <w:widowControl w:val="0"/>
        <w:shd w:val="clear" w:color="auto" w:fill="auto"/>
        <w:bidi w:val="0"/>
        <w:spacing w:before="0" w:after="0" w:line="240" w:lineRule="auto"/>
        <w:ind w:left="0" w:right="0" w:firstLine="0"/>
        <w:jc w:val="center"/>
      </w:pPr>
      <w:r>
        <w:rPr>
          <w:color w:val="000000"/>
          <w:spacing w:val="0"/>
          <w:w w:val="100"/>
          <w:position w:val="0"/>
        </w:rPr>
        <w:t>会计机构负责人：冯云霞</w:t>
      </w:r>
    </w:p>
    <w:p>
      <w:pPr>
        <w:widowControl w:val="0"/>
        <w:spacing w:line="1" w:lineRule="exact"/>
      </w:pPr>
    </w:p>
    <w:p>
      <w:pPr>
        <w:widowControl w:val="0"/>
        <w:jc w:val="center"/>
        <w:rPr>
          <w:sz w:val="2"/>
          <w:szCs w:val="2"/>
        </w:rPr>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441" w:right="1195" w:bottom="193" w:left="1109" w:header="0" w:footer="3" w:gutter="0"/>
          <w:cols w:space="720"/>
          <w:noEndnote/>
          <w:rtlGutter w:val="0"/>
          <w:docGrid w:linePitch="360"/>
        </w:sectPr>
      </w:pPr>
      <w:r>
        <w:drawing>
          <wp:inline>
            <wp:extent cx="402590" cy="146050"/>
            <wp:docPr id="299" name="Picutre 299"/>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15"/>
                    <a:stretch/>
                  </pic:blipFill>
                  <pic:spPr>
                    <a:xfrm>
                      <a:ext cx="402590" cy="146050"/>
                    </a:xfrm>
                    <a:prstGeom prst="rect"/>
                  </pic:spPr>
                </pic:pic>
              </a:graphicData>
            </a:graphic>
          </wp:inline>
        </w:drawing>
      </w:r>
    </w:p>
    <w:p>
      <w:pPr>
        <w:pStyle w:val="Style48"/>
        <w:keepNext/>
        <w:keepLines/>
        <w:widowControl w:val="0"/>
        <w:shd w:val="clear" w:color="auto" w:fill="auto"/>
        <w:bidi w:val="0"/>
        <w:spacing w:before="0" w:after="36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、母公司资产负债表</w:t>
      </w:r>
      <w:bookmarkEnd w:id="397"/>
      <w:bookmarkEnd w:id="398"/>
      <w:bookmarkEnd w:id="400"/>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编制单位：广东华声电器股份有限公司</w:t>
      </w:r>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单位：元</w:t>
      </w:r>
    </w:p>
    <w:tbl>
      <w:tblPr>
        <w:tblOverlap w:val="never"/>
        <w:jc w:val="center"/>
        <w:tblLayout w:type="fixed"/>
      </w:tblPr>
      <w:tblGrid>
        <w:gridCol w:w="5947"/>
        <w:gridCol w:w="1800"/>
        <w:gridCol w:w="1838"/>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136,615,125.52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175,427,736.13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313,201,938.92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199,260,764.85</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323,035,266.69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232,715,493.06</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10,536,012.46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7,148,432.83</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411,673.73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632,888.21</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168,895,890.52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143,152,523.62</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3,663,413.98</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952,695,907.84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762,001,252.68</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119,012,700.00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119,012,700.00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140,400,229.53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113,993,298.50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55,085,757.39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20,100,408.03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8,915,250.35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9,654,372.82</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391,070.24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119,855.20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43,839.55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32,119.12</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10,887,091.84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23,344,754.89</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334,735,938.90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286,257,508.56</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1,287,431,846.74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1,048,258,761.24</w:t>
            </w:r>
          </w:p>
        </w:tc>
      </w:tr>
    </w:tbl>
    <w:p>
      <w:pPr>
        <w:sectPr>
          <w:footnotePr>
            <w:pos w:val="pageBottom"/>
            <w:numFmt w:val="decimal"/>
            <w:numRestart w:val="continuous"/>
          </w:footnotePr>
          <w:pgSz w:w="11900" w:h="16840"/>
          <w:pgMar w:top="1465" w:right="1196" w:bottom="1465" w:left="1118" w:header="0" w:footer="3" w:gutter="0"/>
          <w:cols w:space="720"/>
          <w:noEndnote/>
          <w:rtlGutter w:val="0"/>
          <w:docGrid w:linePitch="360"/>
        </w:sectPr>
      </w:pPr>
    </w:p>
    <w:tbl>
      <w:tblPr>
        <w:tblOverlap w:val="never"/>
        <w:jc w:val="left"/>
        <w:tblLayout w:type="fixed"/>
      </w:tblPr>
      <w:tblGrid>
        <w:gridCol w:w="5947"/>
        <w:gridCol w:w="1800"/>
        <w:gridCol w:w="1838"/>
      </w:tblGrid>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D3D3D3"/>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140,000,000.00</w:t>
            </w:r>
          </w:p>
        </w:tc>
        <w:tc>
          <w:tcPr>
            <w:tcBorders>
              <w:top w:val="single" w:sz="4"/>
              <w:left w:val="single" w:sz="4"/>
              <w:righ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100,000,000.00</w:t>
            </w: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207,425,218.42</w:t>
            </w:r>
          </w:p>
        </w:tc>
        <w:tc>
          <w:tcPr>
            <w:tcBorders>
              <w:top w:val="single" w:sz="4"/>
              <w:left w:val="single" w:sz="4"/>
              <w:righ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104,935,079.50</w:t>
            </w: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114,408,299.97</w:t>
            </w:r>
          </w:p>
        </w:tc>
        <w:tc>
          <w:tcPr>
            <w:tcBorders>
              <w:top w:val="single" w:sz="4"/>
              <w:left w:val="single" w:sz="4"/>
              <w:righ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107,421,507.85</w:t>
            </w:r>
          </w:p>
        </w:tc>
      </w:tr>
      <w:tr>
        <w:trPr>
          <w:trHeight w:val="360" w:hRule="exact"/>
        </w:trPr>
        <w:tc>
          <w:tcPr>
            <w:tcBorders>
              <w:top w:val="single" w:sz="4"/>
              <w:left w:val="single" w:sz="4"/>
            </w:tcBorders>
            <w:shd w:val="clear" w:color="auto" w:fill="D3D3D3"/>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3,522,919.09</w:t>
            </w:r>
          </w:p>
        </w:tc>
        <w:tc>
          <w:tcPr>
            <w:tcBorders>
              <w:top w:val="single" w:sz="4"/>
              <w:left w:val="single" w:sz="4"/>
              <w:righ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7,651,640.45</w:t>
            </w:r>
          </w:p>
        </w:tc>
      </w:tr>
      <w:tr>
        <w:trPr>
          <w:trHeight w:val="365" w:hRule="exact"/>
        </w:trPr>
        <w:tc>
          <w:tcPr>
            <w:tcBorders>
              <w:top w:val="single" w:sz="4"/>
              <w:left w:val="single" w:sz="4"/>
            </w:tcBorders>
            <w:shd w:val="clear" w:color="auto" w:fill="D3D3D3"/>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3,089,838.14</w:t>
            </w:r>
          </w:p>
        </w:tc>
        <w:tc>
          <w:tcPr>
            <w:tcBorders>
              <w:top w:val="single" w:sz="4"/>
              <w:left w:val="single" w:sz="4"/>
              <w:righ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2,923,311.61</w:t>
            </w: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6,601,047.77</w:t>
            </w:r>
          </w:p>
        </w:tc>
        <w:tc>
          <w:tcPr>
            <w:tcBorders>
              <w:top w:val="single" w:sz="4"/>
              <w:left w:val="single" w:sz="4"/>
              <w:righ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-1,030,631.15</w:t>
            </w:r>
          </w:p>
        </w:tc>
      </w:tr>
      <w:tr>
        <w:trPr>
          <w:trHeight w:val="360"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5,706,309.47</w:t>
            </w:r>
          </w:p>
        </w:tc>
        <w:tc>
          <w:tcPr>
            <w:tcBorders>
              <w:top w:val="single" w:sz="4"/>
              <w:left w:val="single" w:sz="4"/>
              <w:righ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5,929,880.30</w:t>
            </w:r>
          </w:p>
        </w:tc>
      </w:tr>
      <w:tr>
        <w:trPr>
          <w:trHeight w:val="360" w:hRule="exact"/>
        </w:trPr>
        <w:tc>
          <w:tcPr>
            <w:tcBorders>
              <w:top w:val="single" w:sz="4"/>
              <w:left w:val="single" w:sz="4"/>
            </w:tcBorders>
            <w:shd w:val="clear" w:color="auto" w:fill="D3D3D3"/>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500,753,632.86</w:t>
            </w:r>
          </w:p>
        </w:tc>
        <w:tc>
          <w:tcPr>
            <w:tcBorders>
              <w:top w:val="single" w:sz="4"/>
              <w:left w:val="single" w:sz="4"/>
              <w:righ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327,830,788.56</w:t>
            </w: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D3D3D3"/>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540,753,632.86</w:t>
            </w:r>
          </w:p>
        </w:tc>
        <w:tc>
          <w:tcPr>
            <w:tcBorders>
              <w:top w:val="single" w:sz="4"/>
              <w:left w:val="single" w:sz="4"/>
              <w:righ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327,830,788.56</w:t>
            </w:r>
          </w:p>
        </w:tc>
      </w:tr>
      <w:tr>
        <w:trPr>
          <w:trHeight w:val="360" w:hRule="exact"/>
        </w:trPr>
        <w:tc>
          <w:tcPr>
            <w:tcBorders>
              <w:top w:val="single" w:sz="4"/>
              <w:left w:val="single" w:sz="4"/>
            </w:tcBorders>
            <w:shd w:val="clear" w:color="auto" w:fill="D3D3D3"/>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所有者权益</w:t>
            </w:r>
            <w:r>
              <w:rPr>
                <w:rFonts w:ascii="Times New Roman" w:eastAsia="Times New Roman" w:hAnsi="Times New Roman" w:cs="Times New Roman"/>
                <w:color w:val="000000"/>
                <w:spacing w:val="0"/>
                <w:w w:val="100"/>
                <w:position w:val="0"/>
              </w:rPr>
              <w:t>（</w:t>
            </w:r>
            <w:r>
              <w:rPr>
                <w:color w:val="000000"/>
                <w:spacing w:val="0"/>
                <w:w w:val="100"/>
                <w:position w:val="0"/>
              </w:rPr>
              <w:t>或股东权益</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D3D3D3"/>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实收资本</w:t>
            </w:r>
            <w:r>
              <w:rPr>
                <w:rFonts w:ascii="Times New Roman" w:eastAsia="Times New Roman" w:hAnsi="Times New Roman" w:cs="Times New Roman"/>
                <w:color w:val="000000"/>
                <w:spacing w:val="0"/>
                <w:w w:val="100"/>
                <w:position w:val="0"/>
              </w:rPr>
              <w:t>（</w:t>
            </w:r>
            <w:r>
              <w:rPr>
                <w:color w:val="000000"/>
                <w:spacing w:val="0"/>
                <w:w w:val="100"/>
                <w:position w:val="0"/>
              </w:rPr>
              <w:t>或股本</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200,000,000.00</w:t>
            </w: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427,808,758.31</w:t>
            </w:r>
          </w:p>
        </w:tc>
        <w:tc>
          <w:tcPr>
            <w:tcBorders>
              <w:top w:val="single" w:sz="4"/>
              <w:left w:val="single" w:sz="4"/>
              <w:righ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427,808,758.31</w:t>
            </w:r>
          </w:p>
        </w:tc>
      </w:tr>
      <w:tr>
        <w:trPr>
          <w:trHeight w:val="360"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22,386,945.56</w:t>
            </w:r>
          </w:p>
        </w:tc>
        <w:tc>
          <w:tcPr>
            <w:tcBorders>
              <w:top w:val="single" w:sz="4"/>
              <w:left w:val="single" w:sz="4"/>
              <w:righ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14,761,921.44</w:t>
            </w: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96,482,510.01</w:t>
            </w:r>
          </w:p>
        </w:tc>
        <w:tc>
          <w:tcPr>
            <w:tcBorders>
              <w:top w:val="single" w:sz="4"/>
              <w:left w:val="single" w:sz="4"/>
              <w:righ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77,857,292.93</w:t>
            </w:r>
          </w:p>
        </w:tc>
      </w:tr>
      <w:tr>
        <w:trPr>
          <w:trHeight w:val="360" w:hRule="exact"/>
        </w:trPr>
        <w:tc>
          <w:tcPr>
            <w:tcBorders>
              <w:top w:val="single" w:sz="4"/>
              <w:left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外币报表折算差额</w:t>
            </w:r>
          </w:p>
        </w:tc>
        <w:tc>
          <w:tcPr>
            <w:tcBorders>
              <w:top w:val="single" w:sz="4"/>
              <w:left w:val="single" w:sz="4"/>
            </w:tcBorders>
            <w:shd w:val="clear" w:color="auto" w:fill="FFFFFF"/>
            <w:vAlign w:val="top"/>
          </w:tcPr>
          <w:p>
            <w:pPr>
              <w:framePr w:w="9586" w:h="12720"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2720"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所有者权益</w:t>
            </w:r>
            <w:r>
              <w:rPr>
                <w:rFonts w:ascii="Times New Roman" w:eastAsia="Times New Roman" w:hAnsi="Times New Roman" w:cs="Times New Roman"/>
                <w:color w:val="000000"/>
                <w:spacing w:val="0"/>
                <w:w w:val="100"/>
                <w:position w:val="0"/>
              </w:rPr>
              <w:t>（</w:t>
            </w:r>
            <w:r>
              <w:rPr>
                <w:color w:val="000000"/>
                <w:spacing w:val="0"/>
                <w:w w:val="100"/>
                <w:position w:val="0"/>
              </w:rPr>
              <w:t>或股东权益</w:t>
            </w:r>
            <w:r>
              <w:rPr>
                <w:rFonts w:ascii="Times New Roman" w:eastAsia="Times New Roman" w:hAnsi="Times New Roman" w:cs="Times New Roman"/>
                <w:color w:val="000000"/>
                <w:spacing w:val="0"/>
                <w:w w:val="100"/>
                <w:position w:val="0"/>
              </w:rPr>
              <w:t>）</w:t>
            </w: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746,678,213.88</w:t>
            </w:r>
          </w:p>
        </w:tc>
        <w:tc>
          <w:tcPr>
            <w:tcBorders>
              <w:top w:val="single" w:sz="4"/>
              <w:left w:val="single" w:sz="4"/>
              <w:right w:val="single" w:sz="4"/>
            </w:tcBorders>
            <w:shd w:val="clear" w:color="auto" w:fill="FFFFFF"/>
            <w:vAlign w:val="bottom"/>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720,427,972.68</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负债和所有者权益</w:t>
            </w:r>
            <w:r>
              <w:rPr>
                <w:rFonts w:ascii="Times New Roman" w:eastAsia="Times New Roman" w:hAnsi="Times New Roman" w:cs="Times New Roman"/>
                <w:color w:val="000000"/>
                <w:spacing w:val="0"/>
                <w:w w:val="100"/>
                <w:position w:val="0"/>
              </w:rPr>
              <w:t>（</w:t>
            </w:r>
            <w:r>
              <w:rPr>
                <w:color w:val="000000"/>
                <w:spacing w:val="0"/>
                <w:w w:val="100"/>
                <w:position w:val="0"/>
              </w:rPr>
              <w:t>或股东权益</w:t>
            </w:r>
            <w:r>
              <w:rPr>
                <w:rFonts w:ascii="Times New Roman" w:eastAsia="Times New Roman" w:hAnsi="Times New Roman" w:cs="Times New Roman"/>
                <w:color w:val="000000"/>
                <w:spacing w:val="0"/>
                <w:w w:val="100"/>
                <w:position w:val="0"/>
              </w:rPr>
              <w:t>）</w:t>
            </w:r>
            <w:r>
              <w:rPr>
                <w:color w:val="000000"/>
                <w:spacing w:val="0"/>
                <w:w w:val="100"/>
                <w:position w:val="0"/>
              </w:rPr>
              <w:t>总计</w:t>
            </w:r>
          </w:p>
        </w:tc>
        <w:tc>
          <w:tcPr>
            <w:tcBorders>
              <w:top w:val="single" w:sz="4"/>
              <w:left w:val="single" w:sz="4"/>
              <w:bottom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1,287,431,846.74</w:t>
            </w:r>
          </w:p>
        </w:tc>
        <w:tc>
          <w:tcPr>
            <w:tcBorders>
              <w:top w:val="single" w:sz="4"/>
              <w:left w:val="single" w:sz="4"/>
              <w:bottom w:val="single" w:sz="4"/>
              <w:right w:val="single" w:sz="4"/>
            </w:tcBorders>
            <w:shd w:val="clear" w:color="auto" w:fill="FFFFFF"/>
            <w:vAlign w:val="center"/>
          </w:tcPr>
          <w:p>
            <w:pPr>
              <w:pStyle w:val="Style2"/>
              <w:keepNext w:val="0"/>
              <w:keepLines w:val="0"/>
              <w:framePr w:w="9586" w:h="12720"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1,048,258,761.24</w:t>
            </w:r>
          </w:p>
        </w:tc>
      </w:tr>
    </w:tbl>
    <w:p>
      <w:pPr>
        <w:pStyle w:val="Style38"/>
        <w:keepNext w:val="0"/>
        <w:keepLines w:val="0"/>
        <w:framePr w:w="1934" w:h="264" w:hSpace="7661" w:wrap="notBeside" w:vAnchor="text" w:hAnchor="text" w:y="13047"/>
        <w:widowControl w:val="0"/>
        <w:shd w:val="clear" w:color="auto" w:fill="auto"/>
        <w:bidi w:val="0"/>
        <w:spacing w:before="0" w:after="0" w:line="240" w:lineRule="auto"/>
        <w:ind w:left="0" w:right="0" w:firstLine="0"/>
        <w:jc w:val="left"/>
      </w:pPr>
      <w:r>
        <w:rPr>
          <w:color w:val="000000"/>
          <w:spacing w:val="0"/>
          <w:w w:val="100"/>
          <w:position w:val="0"/>
        </w:rPr>
        <w:t>法定代表人：罗桥胜</w:t>
      </w:r>
    </w:p>
    <w:p>
      <w:pPr>
        <w:pStyle w:val="Style38"/>
        <w:keepNext w:val="0"/>
        <w:keepLines w:val="0"/>
        <w:framePr w:w="2765" w:h="264" w:hSpace="6830" w:wrap="notBeside" w:vAnchor="text" w:hAnchor="text" w:x="2949" w:y="13047"/>
        <w:widowControl w:val="0"/>
        <w:shd w:val="clear" w:color="auto" w:fill="auto"/>
        <w:bidi w:val="0"/>
        <w:spacing w:before="0" w:after="0" w:line="240" w:lineRule="auto"/>
        <w:ind w:left="0" w:right="0" w:firstLine="0"/>
        <w:jc w:val="center"/>
      </w:pPr>
      <w:r>
        <w:rPr>
          <w:color w:val="000000"/>
          <w:spacing w:val="0"/>
          <w:w w:val="100"/>
          <w:position w:val="0"/>
        </w:rPr>
        <w:t>主管会计工作负责人：黄志坚</w:t>
      </w:r>
    </w:p>
    <w:p>
      <w:pPr>
        <w:pStyle w:val="Style38"/>
        <w:keepNext w:val="0"/>
        <w:keepLines w:val="0"/>
        <w:framePr w:w="2352" w:h="269" w:hSpace="7243" w:wrap="notBeside" w:vAnchor="text" w:hAnchor="text" w:x="6721" w:y="13047"/>
        <w:widowControl w:val="0"/>
        <w:shd w:val="clear" w:color="auto" w:fill="auto"/>
        <w:bidi w:val="0"/>
        <w:spacing w:before="0" w:after="0" w:line="240" w:lineRule="auto"/>
        <w:ind w:left="0" w:right="0" w:firstLine="0"/>
        <w:jc w:val="center"/>
      </w:pPr>
      <w:r>
        <w:rPr>
          <w:color w:val="000000"/>
          <w:spacing w:val="0"/>
          <w:w w:val="100"/>
          <w:position w:val="0"/>
        </w:rPr>
        <w:t>会计机构负责人：冯云霞</w:t>
      </w:r>
    </w:p>
    <w:p>
      <w:pPr>
        <w:widowControl w:val="0"/>
        <w:spacing w:line="1" w:lineRule="exact"/>
      </w:pPr>
    </w:p>
    <w:p>
      <w:pPr>
        <w:widowControl w:val="0"/>
        <w:jc w:val="center"/>
        <w:rPr>
          <w:sz w:val="2"/>
          <w:szCs w:val="2"/>
        </w:rPr>
        <w:sectPr>
          <w:footnotePr>
            <w:pos w:val="pageBottom"/>
            <w:numFmt w:val="decimal"/>
            <w:numRestart w:val="continuous"/>
          </w:footnotePr>
          <w:pgSz w:w="11900" w:h="16840"/>
          <w:pgMar w:top="1441" w:right="1195" w:bottom="193" w:left="1109" w:header="0" w:footer="3" w:gutter="0"/>
          <w:cols w:space="720"/>
          <w:noEndnote/>
          <w:rtlGutter w:val="0"/>
          <w:docGrid w:linePitch="360"/>
        </w:sectPr>
      </w:pPr>
      <w:r>
        <w:drawing>
          <wp:inline>
            <wp:extent cx="402590" cy="146050"/>
            <wp:docPr id="300" name="Picutre 300"/>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17"/>
                    <a:stretch/>
                  </pic:blipFill>
                  <pic:spPr>
                    <a:xfrm>
                      <a:ext cx="402590" cy="146050"/>
                    </a:xfrm>
                    <a:prstGeom prst="rect"/>
                  </pic:spPr>
                </pic:pic>
              </a:graphicData>
            </a:graphic>
          </wp:inline>
        </w:drawing>
      </w:r>
    </w:p>
    <w:p>
      <w:pPr>
        <w:pStyle w:val="Style48"/>
        <w:keepNext/>
        <w:keepLines/>
        <w:widowControl w:val="0"/>
        <w:shd w:val="clear" w:color="auto" w:fill="auto"/>
        <w:bidi w:val="0"/>
        <w:spacing w:before="0" w:after="36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3</w:t>
      </w:r>
      <w:bookmarkEnd w:id="403"/>
      <w:r>
        <w:rPr>
          <w:color w:val="000000"/>
          <w:spacing w:val="0"/>
          <w:w w:val="100"/>
          <w:position w:val="0"/>
        </w:rPr>
        <w:t>、合并利润表</w:t>
      </w:r>
      <w:bookmarkEnd w:id="401"/>
      <w:bookmarkEnd w:id="402"/>
      <w:bookmarkEnd w:id="404"/>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编制单位：广东华声电器股份有限公司</w:t>
      </w:r>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单位：元</w:t>
      </w:r>
    </w:p>
    <w:tbl>
      <w:tblPr>
        <w:tblOverlap w:val="never"/>
        <w:jc w:val="center"/>
        <w:tblLayout w:type="fixed"/>
      </w:tblPr>
      <w:tblGrid>
        <w:gridCol w:w="5947"/>
        <w:gridCol w:w="1800"/>
        <w:gridCol w:w="1838"/>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1,486,881,930.29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1,274,355,668.78</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1,486,881,930.29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1,274,355,668.78</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1,380,815,567.92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1,202,401,852.04</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1,264,633,201.06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1,095,951,978.43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营业税金及附加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4,525,556.86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3,663,775.46</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30,372,096.29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26,630,731.99</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51,118,277.22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46,891,986.20</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30,088,300.31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29,352,667.88</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-89,287.92</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加：公允价值变动收益</w:t>
            </w:r>
            <w:r>
              <w:rPr>
                <w:rFonts w:ascii="Times New Roman" w:eastAsia="Times New Roman" w:hAnsi="Times New Roman" w:cs="Times New Roman"/>
                <w:color w:val="000000"/>
                <w:spacing w:val="0"/>
                <w:w w:val="100"/>
                <w:position w:val="0"/>
              </w:rPr>
              <w:t>（</w:t>
            </w:r>
            <w:r>
              <w:rPr>
                <w:color w:val="000000"/>
                <w:spacing w:val="0"/>
                <w:w w:val="100"/>
                <w:position w:val="0"/>
              </w:rPr>
              <w:t>损失以</w:t>
            </w:r>
            <w:r>
              <w:rPr>
                <w:i/>
                <w:iCs/>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投资收益</w:t>
            </w:r>
            <w:r>
              <w:rPr>
                <w:rFonts w:ascii="Times New Roman" w:eastAsia="Times New Roman" w:hAnsi="Times New Roman" w:cs="Times New Roman"/>
                <w:color w:val="000000"/>
                <w:spacing w:val="0"/>
                <w:w w:val="100"/>
                <w:position w:val="0"/>
              </w:rPr>
              <w:t>（</w:t>
            </w:r>
            <w:r>
              <w:rPr>
                <w:color w:val="000000"/>
                <w:spacing w:val="0"/>
                <w:w w:val="100"/>
                <w:position w:val="0"/>
              </w:rPr>
              <w:t>损失以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汇兑收益</w:t>
            </w:r>
            <w:r>
              <w:rPr>
                <w:rFonts w:ascii="Times New Roman" w:eastAsia="Times New Roman" w:hAnsi="Times New Roman" w:cs="Times New Roman"/>
                <w:color w:val="000000"/>
                <w:spacing w:val="0"/>
                <w:w w:val="100"/>
                <w:position w:val="0"/>
              </w:rPr>
              <w:t>（</w:t>
            </w:r>
            <w:r>
              <w:rPr>
                <w:color w:val="000000"/>
                <w:spacing w:val="0"/>
                <w:w w:val="100"/>
                <w:position w:val="0"/>
              </w:rPr>
              <w:t>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w:t>
            </w:r>
            <w:r>
              <w:rPr>
                <w:rFonts w:ascii="Times New Roman" w:eastAsia="Times New Roman" w:hAnsi="Times New Roman" w:cs="Times New Roman"/>
                <w:color w:val="000000"/>
                <w:spacing w:val="0"/>
                <w:w w:val="100"/>
                <w:position w:val="0"/>
              </w:rPr>
              <w:t>（</w:t>
            </w:r>
            <w:r>
              <w:rPr>
                <w:color w:val="000000"/>
                <w:spacing w:val="0"/>
                <w:w w:val="100"/>
                <w:position w:val="0"/>
              </w:rPr>
              <w:t>亏损以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106,066,362.37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71,953,816.74</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1,293,510.20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10,458,058.65</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2,099,011.20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5,203,443.63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1,476,092.21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5,148,443.63</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w:t>
            </w:r>
            <w:r>
              <w:rPr>
                <w:rFonts w:ascii="Times New Roman" w:eastAsia="Times New Roman" w:hAnsi="Times New Roman" w:cs="Times New Roman"/>
                <w:color w:val="000000"/>
                <w:spacing w:val="0"/>
                <w:w w:val="100"/>
                <w:position w:val="0"/>
              </w:rPr>
              <w:t>（</w:t>
            </w:r>
            <w:r>
              <w:rPr>
                <w:color w:val="000000"/>
                <w:spacing w:val="0"/>
                <w:w w:val="100"/>
                <w:position w:val="0"/>
              </w:rPr>
              <w:t>亏损总额以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105,260,861.37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77,208,431.76</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14,635,819.34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11,654,505.48</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w:t>
            </w:r>
            <w:r>
              <w:rPr>
                <w:rFonts w:ascii="Times New Roman" w:eastAsia="Times New Roman" w:hAnsi="Times New Roman" w:cs="Times New Roman"/>
                <w:color w:val="000000"/>
                <w:spacing w:val="0"/>
                <w:w w:val="100"/>
                <w:position w:val="0"/>
              </w:rPr>
              <w:t>（</w:t>
            </w:r>
            <w:r>
              <w:rPr>
                <w:color w:val="000000"/>
                <w:spacing w:val="0"/>
                <w:w w:val="100"/>
                <w:position w:val="0"/>
              </w:rPr>
              <w:t>净亏损以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90,625,042.03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65,553,926.28</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90,625,042.03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65,553,926.28</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5947"/>
        <w:gridCol w:w="1800"/>
        <w:gridCol w:w="1838"/>
      </w:tblGrid>
      <w:tr>
        <w:trPr>
          <w:trHeight w:val="365" w:hRule="exact"/>
        </w:trPr>
        <w:tc>
          <w:tcPr>
            <w:tcBorders>
              <w:top w:val="single" w:sz="4"/>
              <w:left w:val="single" w:sz="4"/>
            </w:tcBorders>
            <w:shd w:val="clear" w:color="auto" w:fill="D3D3D3"/>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r>
      <w:tr>
        <w:trPr>
          <w:trHeight w:val="365" w:hRule="exact"/>
        </w:trPr>
        <w:tc>
          <w:tcPr>
            <w:tcBorders>
              <w:top w:val="single" w:sz="4"/>
              <w:left w:val="single" w:sz="4"/>
            </w:tcBorders>
            <w:shd w:val="clear" w:color="auto" w:fill="D3D3D3"/>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基本每股收益</w:t>
            </w:r>
          </w:p>
        </w:tc>
        <w:tc>
          <w:tcPr>
            <w:tcBorders>
              <w:top w:val="single" w:sz="4"/>
              <w:left w:val="single" w:sz="4"/>
            </w:tcBorders>
            <w:shd w:val="clear" w:color="auto" w:fill="FFFFFF"/>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0.4531</w:t>
            </w:r>
          </w:p>
        </w:tc>
        <w:tc>
          <w:tcPr>
            <w:tcBorders>
              <w:top w:val="single" w:sz="4"/>
              <w:left w:val="single" w:sz="4"/>
              <w:right w:val="single" w:sz="4"/>
            </w:tcBorders>
            <w:shd w:val="clear" w:color="auto" w:fill="FFFFFF"/>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0.3576</w:t>
            </w:r>
          </w:p>
        </w:tc>
      </w:tr>
      <w:tr>
        <w:trPr>
          <w:trHeight w:val="365" w:hRule="exact"/>
        </w:trPr>
        <w:tc>
          <w:tcPr>
            <w:tcBorders>
              <w:top w:val="single" w:sz="4"/>
              <w:left w:val="single" w:sz="4"/>
            </w:tcBorders>
            <w:shd w:val="clear" w:color="auto" w:fill="D3D3D3"/>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稀释每股收益</w:t>
            </w:r>
          </w:p>
        </w:tc>
        <w:tc>
          <w:tcPr>
            <w:tcBorders>
              <w:top w:val="single" w:sz="4"/>
              <w:left w:val="single" w:sz="4"/>
            </w:tcBorders>
            <w:shd w:val="clear" w:color="auto" w:fill="FFFFFF"/>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0.4531</w:t>
            </w:r>
          </w:p>
        </w:tc>
        <w:tc>
          <w:tcPr>
            <w:tcBorders>
              <w:top w:val="single" w:sz="4"/>
              <w:left w:val="single" w:sz="4"/>
              <w:right w:val="single" w:sz="4"/>
            </w:tcBorders>
            <w:shd w:val="clear" w:color="auto" w:fill="FFFFFF"/>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0.3576</w:t>
            </w:r>
          </w:p>
        </w:tc>
      </w:tr>
      <w:tr>
        <w:trPr>
          <w:trHeight w:val="360" w:hRule="exact"/>
        </w:trPr>
        <w:tc>
          <w:tcPr>
            <w:tcBorders>
              <w:top w:val="single" w:sz="4"/>
              <w:left w:val="single" w:sz="4"/>
            </w:tcBorders>
            <w:shd w:val="clear" w:color="auto" w:fill="D3D3D3"/>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framePr w:w="9586" w:h="2554" w:hSpace="10" w:vSpace="600"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2554" w:hSpace="10" w:vSpace="600"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90,625,042.03</w:t>
            </w:r>
          </w:p>
        </w:tc>
        <w:tc>
          <w:tcPr>
            <w:tcBorders>
              <w:top w:val="single" w:sz="4"/>
              <w:left w:val="single" w:sz="4"/>
              <w:right w:val="single" w:sz="4"/>
            </w:tcBorders>
            <w:shd w:val="clear" w:color="auto" w:fill="FFFFFF"/>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65,553,926.28</w:t>
            </w:r>
          </w:p>
        </w:tc>
      </w:tr>
      <w:tr>
        <w:trPr>
          <w:trHeight w:val="360" w:hRule="exact"/>
        </w:trPr>
        <w:tc>
          <w:tcPr>
            <w:tcBorders>
              <w:top w:val="single" w:sz="4"/>
              <w:left w:val="single" w:sz="4"/>
            </w:tcBorders>
            <w:shd w:val="clear" w:color="auto" w:fill="D3D3D3"/>
            <w:vAlign w:val="bottom"/>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90,625,042.03</w:t>
            </w:r>
          </w:p>
        </w:tc>
        <w:tc>
          <w:tcPr>
            <w:tcBorders>
              <w:top w:val="single" w:sz="4"/>
              <w:left w:val="single" w:sz="4"/>
              <w:right w:val="single" w:sz="4"/>
            </w:tcBorders>
            <w:shd w:val="clear" w:color="auto" w:fill="FFFFFF"/>
            <w:vAlign w:val="bottom"/>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65,553,926.28</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framePr w:w="9586" w:h="2554" w:hSpace="10" w:vSpace="600"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framePr w:w="9586" w:h="2554" w:hSpace="10" w:vSpace="600" w:wrap="notBeside" w:vAnchor="text" w:hAnchor="text" w:x="11" w:y="1"/>
              <w:widowControl w:val="0"/>
              <w:rPr>
                <w:sz w:val="10"/>
                <w:szCs w:val="10"/>
              </w:rPr>
            </w:pPr>
          </w:p>
        </w:tc>
        <w:tc>
          <w:tcPr>
            <w:tcBorders>
              <w:top w:val="single" w:sz="4"/>
              <w:left w:val="single" w:sz="4"/>
              <w:bottom w:val="single" w:sz="4"/>
              <w:right w:val="single" w:sz="4"/>
            </w:tcBorders>
            <w:shd w:val="clear" w:color="auto" w:fill="FFFFFF"/>
            <w:vAlign w:val="top"/>
          </w:tcPr>
          <w:p>
            <w:pPr>
              <w:framePr w:w="9586" w:h="2554" w:hSpace="10" w:vSpace="600" w:wrap="notBeside" w:vAnchor="text" w:hAnchor="text" w:x="11" w:y="1"/>
              <w:widowControl w:val="0"/>
              <w:rPr>
                <w:sz w:val="10"/>
                <w:szCs w:val="10"/>
              </w:rPr>
            </w:pPr>
          </w:p>
        </w:tc>
      </w:tr>
    </w:tbl>
    <w:p>
      <w:pPr>
        <w:pStyle w:val="Style38"/>
        <w:keepNext w:val="0"/>
        <w:keepLines w:val="0"/>
        <w:framePr w:w="1934" w:h="264" w:hSpace="7661" w:wrap="notBeside" w:vAnchor="text" w:hAnchor="text" w:y="2886"/>
        <w:widowControl w:val="0"/>
        <w:shd w:val="clear" w:color="auto" w:fill="auto"/>
        <w:bidi w:val="0"/>
        <w:spacing w:before="0" w:after="0" w:line="240" w:lineRule="auto"/>
        <w:ind w:left="0" w:right="0" w:firstLine="0"/>
        <w:jc w:val="left"/>
      </w:pPr>
      <w:r>
        <w:rPr>
          <w:color w:val="000000"/>
          <w:spacing w:val="0"/>
          <w:w w:val="100"/>
          <w:position w:val="0"/>
        </w:rPr>
        <w:t>法定代表人：罗桥胜</w:t>
      </w:r>
    </w:p>
    <w:p>
      <w:pPr>
        <w:pStyle w:val="Style38"/>
        <w:keepNext w:val="0"/>
        <w:keepLines w:val="0"/>
        <w:framePr w:w="2765" w:h="264" w:hSpace="6830" w:wrap="notBeside" w:vAnchor="text" w:hAnchor="text" w:x="2949" w:y="2886"/>
        <w:widowControl w:val="0"/>
        <w:shd w:val="clear" w:color="auto" w:fill="auto"/>
        <w:bidi w:val="0"/>
        <w:spacing w:before="0" w:after="0" w:line="240" w:lineRule="auto"/>
        <w:ind w:left="0" w:right="0" w:firstLine="0"/>
        <w:jc w:val="center"/>
      </w:pPr>
      <w:r>
        <w:rPr>
          <w:color w:val="000000"/>
          <w:spacing w:val="0"/>
          <w:w w:val="100"/>
          <w:position w:val="0"/>
        </w:rPr>
        <w:t>主管会计工作负责人：黄志坚</w:t>
      </w:r>
    </w:p>
    <w:p>
      <w:pPr>
        <w:pStyle w:val="Style38"/>
        <w:keepNext w:val="0"/>
        <w:keepLines w:val="0"/>
        <w:framePr w:w="2352" w:h="269" w:hSpace="7243" w:wrap="notBeside" w:vAnchor="text" w:hAnchor="text" w:x="6721" w:y="2886"/>
        <w:widowControl w:val="0"/>
        <w:shd w:val="clear" w:color="auto" w:fill="auto"/>
        <w:bidi w:val="0"/>
        <w:spacing w:before="0" w:after="0" w:line="240" w:lineRule="auto"/>
        <w:ind w:left="0" w:right="0" w:firstLine="0"/>
        <w:jc w:val="center"/>
      </w:pPr>
      <w:r>
        <w:rPr>
          <w:color w:val="000000"/>
          <w:spacing w:val="0"/>
          <w:w w:val="100"/>
          <w:position w:val="0"/>
        </w:rPr>
        <w:t>会计机构负责人：冯云霞</w:t>
      </w:r>
    </w:p>
    <w:p>
      <w:pPr>
        <w:widowControl w:val="0"/>
        <w:spacing w:line="1" w:lineRule="exact"/>
      </w:pPr>
    </w:p>
    <w:p>
      <w:pPr>
        <w:pStyle w:val="Style48"/>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4</w:t>
      </w:r>
      <w:bookmarkEnd w:id="407"/>
      <w:r>
        <w:rPr>
          <w:color w:val="000000"/>
          <w:spacing w:val="0"/>
          <w:w w:val="100"/>
          <w:position w:val="0"/>
        </w:rPr>
        <w:t>、母公司利润表</w:t>
      </w:r>
      <w:bookmarkEnd w:id="405"/>
      <w:bookmarkEnd w:id="406"/>
      <w:bookmarkEnd w:id="408"/>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编制单位：广东华声电器股份有限公司</w:t>
      </w:r>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单位：元</w:t>
      </w:r>
    </w:p>
    <w:tbl>
      <w:tblPr>
        <w:tblOverlap w:val="never"/>
        <w:jc w:val="center"/>
        <w:tblLayout w:type="fixed"/>
      </w:tblPr>
      <w:tblGrid>
        <w:gridCol w:w="5947"/>
        <w:gridCol w:w="1800"/>
        <w:gridCol w:w="18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1,485,613,475.40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1,297,348,780.65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1,331,684,065.14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1,174,930,645.80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2,946,560.09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2,456,615.99</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21,207,431.75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18,918,295.86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35,979,129.78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35,307,638.23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26,295,101.66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27,821,570.12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-88,891.92</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加：公允价值变动收益</w:t>
            </w:r>
            <w:r>
              <w:rPr>
                <w:rFonts w:ascii="Times New Roman" w:eastAsia="Times New Roman" w:hAnsi="Times New Roman" w:cs="Times New Roman"/>
                <w:color w:val="000000"/>
                <w:spacing w:val="0"/>
                <w:w w:val="100"/>
                <w:position w:val="0"/>
              </w:rPr>
              <w:t>（</w:t>
            </w:r>
            <w:r>
              <w:rPr>
                <w:color w:val="000000"/>
                <w:spacing w:val="0"/>
                <w:w w:val="100"/>
                <w:position w:val="0"/>
              </w:rPr>
              <w:t>损失以</w:t>
            </w:r>
            <w:r>
              <w:rPr>
                <w:i/>
                <w:iCs/>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投资收益</w:t>
            </w:r>
            <w:r>
              <w:rPr>
                <w:rFonts w:ascii="Times New Roman" w:eastAsia="Times New Roman" w:hAnsi="Times New Roman" w:cs="Times New Roman"/>
                <w:color w:val="000000"/>
                <w:spacing w:val="0"/>
                <w:w w:val="100"/>
                <w:position w:val="0"/>
              </w:rPr>
              <w:t>（</w:t>
            </w:r>
            <w:r>
              <w:rPr>
                <w:color w:val="000000"/>
                <w:spacing w:val="0"/>
                <w:w w:val="100"/>
                <w:position w:val="0"/>
              </w:rPr>
              <w:t>损失以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w:t>
            </w:r>
            <w:r>
              <w:rPr>
                <w:rFonts w:ascii="Times New Roman" w:eastAsia="Times New Roman" w:hAnsi="Times New Roman" w:cs="Times New Roman"/>
                <w:color w:val="000000"/>
                <w:spacing w:val="0"/>
                <w:w w:val="100"/>
                <w:position w:val="0"/>
              </w:rPr>
              <w:t>（</w:t>
            </w:r>
            <w:r>
              <w:rPr>
                <w:color w:val="000000"/>
                <w:spacing w:val="0"/>
                <w:w w:val="100"/>
                <w:position w:val="0"/>
              </w:rPr>
              <w:t>亏损以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87,423,050.80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58,002,906.57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933,263.23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10,304,656.20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2,052,504.69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5,164,945.84</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1,459,585.70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5,139,945.84</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w:t>
            </w:r>
            <w:r>
              <w:rPr>
                <w:rFonts w:ascii="Times New Roman" w:eastAsia="Times New Roman" w:hAnsi="Times New Roman" w:cs="Times New Roman"/>
                <w:color w:val="000000"/>
                <w:spacing w:val="0"/>
                <w:w w:val="100"/>
                <w:position w:val="0"/>
              </w:rPr>
              <w:t>（</w:t>
            </w:r>
            <w:r>
              <w:rPr>
                <w:color w:val="000000"/>
                <w:spacing w:val="0"/>
                <w:w w:val="100"/>
                <w:position w:val="0"/>
              </w:rPr>
              <w:t>亏损总额以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86,303,809.34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63,142,616.93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10,053,568.14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6,507,294.31</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w:t>
            </w:r>
            <w:r>
              <w:rPr>
                <w:rFonts w:ascii="Times New Roman" w:eastAsia="Times New Roman" w:hAnsi="Times New Roman" w:cs="Times New Roman"/>
                <w:color w:val="000000"/>
                <w:spacing w:val="0"/>
                <w:w w:val="100"/>
                <w:position w:val="0"/>
              </w:rPr>
              <w:t>（</w:t>
            </w:r>
            <w:r>
              <w:rPr>
                <w:color w:val="000000"/>
                <w:spacing w:val="0"/>
                <w:w w:val="100"/>
                <w:position w:val="0"/>
              </w:rPr>
              <w:t>净亏损以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76,250,241.20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56,635,322.62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76,250,241.20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56,635,322.62</w:t>
            </w:r>
          </w:p>
        </w:tc>
      </w:tr>
    </w:tbl>
    <w:p>
      <w:pPr>
        <w:pStyle w:val="Style38"/>
        <w:keepNext w:val="0"/>
        <w:keepLines w:val="0"/>
        <w:widowControl w:val="0"/>
        <w:shd w:val="clear" w:color="auto" w:fill="auto"/>
        <w:tabs>
          <w:tab w:pos="2942" w:val="left"/>
          <w:tab w:pos="6715" w:val="left"/>
        </w:tabs>
        <w:bidi w:val="0"/>
        <w:spacing w:before="0" w:after="0" w:line="240" w:lineRule="auto"/>
        <w:ind w:left="0" w:right="0" w:firstLine="0"/>
        <w:jc w:val="left"/>
      </w:pPr>
      <w:r>
        <w:rPr>
          <w:color w:val="000000"/>
          <w:spacing w:val="0"/>
          <w:w w:val="100"/>
          <w:position w:val="0"/>
        </w:rPr>
        <w:t>法定代表人：罗桥胜</w:t>
        <w:tab/>
        <w:t>主管会计工作负责人：黄志坚</w:t>
        <w:tab/>
        <w:t>会计机构负责人：冯云霞</w:t>
      </w:r>
      <w:r>
        <w:br w:type="page"/>
      </w:r>
    </w:p>
    <w:p>
      <w:pPr>
        <w:pStyle w:val="Style48"/>
        <w:keepNext/>
        <w:keepLines/>
        <w:widowControl w:val="0"/>
        <w:shd w:val="clear" w:color="auto" w:fill="auto"/>
        <w:bidi w:val="0"/>
        <w:spacing w:before="0" w:after="34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5</w:t>
      </w:r>
      <w:bookmarkEnd w:id="411"/>
      <w:r>
        <w:rPr>
          <w:color w:val="000000"/>
          <w:spacing w:val="0"/>
          <w:w w:val="100"/>
          <w:position w:val="0"/>
        </w:rPr>
        <w:t>、合并现金流量表</w:t>
      </w:r>
      <w:bookmarkEnd w:id="409"/>
      <w:bookmarkEnd w:id="410"/>
      <w:bookmarkEnd w:id="412"/>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编制单位：广东华声电器股份有限公司</w:t>
      </w:r>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单位：元</w:t>
      </w:r>
    </w:p>
    <w:tbl>
      <w:tblPr>
        <w:tblOverlap w:val="never"/>
        <w:jc w:val="center"/>
        <w:tblLayout w:type="fixed"/>
      </w:tblPr>
      <w:tblGrid>
        <w:gridCol w:w="5947"/>
        <w:gridCol w:w="1800"/>
        <w:gridCol w:w="1838"/>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7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1,485,669,565.43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1,568,472,803.31</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2,200,983.58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956,350.71</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7,475,248.09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23,981,919.44</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1,495,345,797.10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1,593,411,073.46</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1,420,788,905.27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1,347,274,016.44</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57,981,554.21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47,520,556.11</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55,532,235.37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61,981,238.36</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16,846,430.91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15,612,820.73</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1,551,149,125.76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1,472,388,631.64</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-55,803,328.66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121,022,441.82</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90,154.00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441" w:right="1193" w:bottom="1484" w:left="1111" w:header="0" w:footer="3" w:gutter="0"/>
          <w:cols w:space="720"/>
          <w:noEndnote/>
          <w:rtlGutter w:val="0"/>
          <w:docGrid w:linePitch="360"/>
        </w:sectPr>
      </w:pPr>
    </w:p>
    <w:tbl>
      <w:tblPr>
        <w:tblOverlap w:val="never"/>
        <w:jc w:val="left"/>
        <w:tblLayout w:type="fixed"/>
      </w:tblPr>
      <w:tblGrid>
        <w:gridCol w:w="5947"/>
        <w:gridCol w:w="1800"/>
        <w:gridCol w:w="1838"/>
      </w:tblGrid>
      <w:tr>
        <w:trPr>
          <w:trHeight w:val="365" w:hRule="exact"/>
        </w:trPr>
        <w:tc>
          <w:tcPr>
            <w:tcBorders>
              <w:top w:val="single" w:sz="4"/>
              <w:left w:val="single" w:sz="4"/>
            </w:tcBorders>
            <w:shd w:val="clear" w:color="auto" w:fill="D3D3D3"/>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81,243,517.81</w:t>
            </w:r>
          </w:p>
        </w:tc>
        <w:tc>
          <w:tcPr>
            <w:tcBorders>
              <w:top w:val="single" w:sz="4"/>
              <w:left w:val="single" w:sz="4"/>
              <w:righ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80,641,075.33</w:t>
            </w:r>
          </w:p>
        </w:tc>
      </w:tr>
      <w:tr>
        <w:trPr>
          <w:trHeight w:val="365"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9586" w:h="8726"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8726"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framePr w:w="9586" w:h="8726"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8726" w:hSpace="10" w:vSpace="595" w:wrap="notBeside" w:vAnchor="text" w:hAnchor="text" w:x="11" w:y="1"/>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framePr w:w="9586" w:h="8726"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8726"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9586" w:h="8726"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8726" w:hSpace="10" w:vSpace="595" w:wrap="notBeside" w:vAnchor="text" w:hAnchor="text" w:x="11" w:y="1"/>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81,243,517.81</w:t>
            </w:r>
          </w:p>
        </w:tc>
        <w:tc>
          <w:tcPr>
            <w:tcBorders>
              <w:top w:val="single" w:sz="4"/>
              <w:left w:val="single" w:sz="4"/>
              <w:righ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80,641,075.33</w:t>
            </w:r>
          </w:p>
        </w:tc>
      </w:tr>
      <w:tr>
        <w:trPr>
          <w:trHeight w:val="365" w:hRule="exact"/>
        </w:trPr>
        <w:tc>
          <w:tcPr>
            <w:tcBorders>
              <w:top w:val="single" w:sz="4"/>
              <w:left w:val="single" w:sz="4"/>
            </w:tcBorders>
            <w:shd w:val="clear" w:color="auto" w:fill="D3D3D3"/>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-81,153,363.81</w:t>
            </w:r>
          </w:p>
        </w:tc>
        <w:tc>
          <w:tcPr>
            <w:tcBorders>
              <w:top w:val="single" w:sz="4"/>
              <w:left w:val="single" w:sz="4"/>
              <w:righ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-80,641,075.33</w:t>
            </w:r>
          </w:p>
        </w:tc>
      </w:tr>
      <w:tr>
        <w:trPr>
          <w:trHeight w:val="365"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framePr w:w="9586" w:h="8726" w:hSpace="10" w:vSpace="595" w:wrap="notBeside" w:vAnchor="text" w:hAnchor="text" w:x="11" w:y="1"/>
              <w:widowControl w:val="0"/>
              <w:rPr>
                <w:sz w:val="10"/>
                <w:szCs w:val="10"/>
              </w:rPr>
            </w:pPr>
          </w:p>
        </w:tc>
        <w:tc>
          <w:tcPr>
            <w:tcBorders>
              <w:top w:val="single" w:sz="4"/>
              <w:left w:val="single" w:sz="4"/>
              <w:right w:val="single" w:sz="4"/>
            </w:tcBorders>
            <w:shd w:val="clear" w:color="auto" w:fill="D3D3D3"/>
            <w:vAlign w:val="top"/>
          </w:tcPr>
          <w:p>
            <w:pPr>
              <w:framePr w:w="9586" w:h="8726" w:hSpace="10" w:vSpace="595" w:wrap="notBeside" w:vAnchor="text" w:hAnchor="text" w:x="11" w:y="1"/>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586" w:h="8726"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347,000,000.00</w:t>
            </w:r>
          </w:p>
        </w:tc>
      </w:tr>
      <w:tr>
        <w:trPr>
          <w:trHeight w:val="365"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framePr w:w="9586" w:h="8726"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8726"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499,532,008.29</w:t>
            </w:r>
          </w:p>
        </w:tc>
        <w:tc>
          <w:tcPr>
            <w:tcBorders>
              <w:top w:val="single" w:sz="4"/>
              <w:left w:val="single" w:sz="4"/>
              <w:right w:val="single" w:sz="4"/>
            </w:tcBorders>
            <w:shd w:val="clear" w:color="auto" w:fill="FFFFFF"/>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170,000,000.00</w:t>
            </w:r>
          </w:p>
        </w:tc>
      </w:tr>
      <w:tr>
        <w:trPr>
          <w:trHeight w:val="360"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framePr w:w="9586" w:h="8726"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8726"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586" w:h="8726"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8726" w:hSpace="10" w:vSpace="595" w:wrap="notBeside" w:vAnchor="text" w:hAnchor="text" w:x="11" w:y="1"/>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499,532,008.29</w:t>
            </w:r>
          </w:p>
        </w:tc>
        <w:tc>
          <w:tcPr>
            <w:tcBorders>
              <w:top w:val="single" w:sz="4"/>
              <w:left w:val="single" w:sz="4"/>
              <w:righ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517,000,000.00</w:t>
            </w:r>
          </w:p>
        </w:tc>
      </w:tr>
      <w:tr>
        <w:trPr>
          <w:trHeight w:val="365" w:hRule="exact"/>
        </w:trPr>
        <w:tc>
          <w:tcPr>
            <w:tcBorders>
              <w:top w:val="single" w:sz="4"/>
              <w:left w:val="single" w:sz="4"/>
            </w:tcBorders>
            <w:shd w:val="clear" w:color="auto" w:fill="D3D3D3"/>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354,532,008.29</w:t>
            </w:r>
          </w:p>
        </w:tc>
        <w:tc>
          <w:tcPr>
            <w:tcBorders>
              <w:top w:val="single" w:sz="4"/>
              <w:left w:val="single" w:sz="4"/>
              <w:righ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444,900,000.00</w:t>
            </w:r>
          </w:p>
        </w:tc>
      </w:tr>
      <w:tr>
        <w:trPr>
          <w:trHeight w:val="365"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61,334,325.52</w:t>
            </w:r>
          </w:p>
        </w:tc>
        <w:tc>
          <w:tcPr>
            <w:tcBorders>
              <w:top w:val="single" w:sz="4"/>
              <w:left w:val="single" w:sz="4"/>
              <w:right w:val="single" w:sz="4"/>
            </w:tcBorders>
            <w:shd w:val="clear" w:color="auto" w:fill="FFFFFF"/>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56,388,106.13</w:t>
            </w:r>
          </w:p>
        </w:tc>
      </w:tr>
      <w:tr>
        <w:trPr>
          <w:trHeight w:val="360"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framePr w:w="9586" w:h="8726"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8726"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586" w:h="8726"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5,782,757.13</w:t>
            </w:r>
          </w:p>
        </w:tc>
      </w:tr>
      <w:tr>
        <w:trPr>
          <w:trHeight w:val="365"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415,866,333.81</w:t>
            </w:r>
          </w:p>
        </w:tc>
        <w:tc>
          <w:tcPr>
            <w:tcBorders>
              <w:top w:val="single" w:sz="4"/>
              <w:left w:val="single" w:sz="4"/>
              <w:right w:val="single" w:sz="4"/>
            </w:tcBorders>
            <w:shd w:val="clear" w:color="auto" w:fill="FFFFFF"/>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507,070,863.26</w:t>
            </w:r>
          </w:p>
        </w:tc>
      </w:tr>
      <w:tr>
        <w:trPr>
          <w:trHeight w:val="360" w:hRule="exact"/>
        </w:trPr>
        <w:tc>
          <w:tcPr>
            <w:tcBorders>
              <w:top w:val="single" w:sz="4"/>
              <w:left w:val="single" w:sz="4"/>
            </w:tcBorders>
            <w:shd w:val="clear" w:color="auto" w:fill="D3D3D3"/>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83,665,674.48</w:t>
            </w:r>
          </w:p>
        </w:tc>
        <w:tc>
          <w:tcPr>
            <w:tcBorders>
              <w:top w:val="single" w:sz="4"/>
              <w:left w:val="single" w:sz="4"/>
              <w:righ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9,929,136.74</w:t>
            </w:r>
          </w:p>
        </w:tc>
      </w:tr>
      <w:tr>
        <w:trPr>
          <w:trHeight w:val="365" w:hRule="exact"/>
        </w:trPr>
        <w:tc>
          <w:tcPr>
            <w:tcBorders>
              <w:top w:val="single" w:sz="4"/>
              <w:left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586" w:h="8726"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8726" w:hSpace="10" w:vSpace="595" w:wrap="notBeside" w:vAnchor="text" w:hAnchor="text" w:x="11" w:y="1"/>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-53,291,017.99</w:t>
            </w:r>
          </w:p>
        </w:tc>
        <w:tc>
          <w:tcPr>
            <w:tcBorders>
              <w:top w:val="single" w:sz="4"/>
              <w:left w:val="single" w:sz="4"/>
              <w:righ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50,310,503.23</w:t>
            </w:r>
          </w:p>
        </w:tc>
      </w:tr>
      <w:tr>
        <w:trPr>
          <w:trHeight w:val="365" w:hRule="exact"/>
        </w:trPr>
        <w:tc>
          <w:tcPr>
            <w:tcBorders>
              <w:top w:val="single" w:sz="4"/>
              <w:left w:val="single" w:sz="4"/>
            </w:tcBorders>
            <w:shd w:val="clear" w:color="auto" w:fill="D3D3D3"/>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158,112,077.34</w:t>
            </w:r>
          </w:p>
        </w:tc>
        <w:tc>
          <w:tcPr>
            <w:tcBorders>
              <w:top w:val="single" w:sz="4"/>
              <w:left w:val="single" w:sz="4"/>
              <w:right w:val="single" w:sz="4"/>
            </w:tcBorders>
            <w:shd w:val="clear" w:color="auto" w:fill="FFFFFF"/>
            <w:vAlign w:val="bottom"/>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107,801,574.11</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104,821,059.35</w:t>
            </w:r>
          </w:p>
        </w:tc>
        <w:tc>
          <w:tcPr>
            <w:tcBorders>
              <w:top w:val="single" w:sz="4"/>
              <w:left w:val="single" w:sz="4"/>
              <w:bottom w:val="single" w:sz="4"/>
              <w:right w:val="single" w:sz="4"/>
            </w:tcBorders>
            <w:shd w:val="clear" w:color="auto" w:fill="FFFFFF"/>
            <w:vAlign w:val="center"/>
          </w:tcPr>
          <w:p>
            <w:pPr>
              <w:pStyle w:val="Style2"/>
              <w:keepNext w:val="0"/>
              <w:keepLines w:val="0"/>
              <w:framePr w:w="9586" w:h="8726"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158,112,077.34</w:t>
            </w:r>
          </w:p>
        </w:tc>
      </w:tr>
    </w:tbl>
    <w:p>
      <w:pPr>
        <w:pStyle w:val="Style38"/>
        <w:keepNext w:val="0"/>
        <w:keepLines w:val="0"/>
        <w:framePr w:w="1934" w:h="264" w:hSpace="7661" w:wrap="notBeside" w:vAnchor="text" w:hAnchor="text" w:y="9054"/>
        <w:widowControl w:val="0"/>
        <w:shd w:val="clear" w:color="auto" w:fill="auto"/>
        <w:bidi w:val="0"/>
        <w:spacing w:before="0" w:after="0" w:line="240" w:lineRule="auto"/>
        <w:ind w:left="0" w:right="0" w:firstLine="0"/>
        <w:jc w:val="left"/>
      </w:pPr>
      <w:r>
        <w:rPr>
          <w:color w:val="000000"/>
          <w:spacing w:val="0"/>
          <w:w w:val="100"/>
          <w:position w:val="0"/>
        </w:rPr>
        <w:t>法定代表人：罗桥胜</w:t>
      </w:r>
    </w:p>
    <w:p>
      <w:pPr>
        <w:pStyle w:val="Style38"/>
        <w:keepNext w:val="0"/>
        <w:keepLines w:val="0"/>
        <w:framePr w:w="2765" w:h="264" w:hSpace="6830" w:wrap="notBeside" w:vAnchor="text" w:hAnchor="text" w:x="2949" w:y="9054"/>
        <w:widowControl w:val="0"/>
        <w:shd w:val="clear" w:color="auto" w:fill="auto"/>
        <w:bidi w:val="0"/>
        <w:spacing w:before="0" w:after="0" w:line="240" w:lineRule="auto"/>
        <w:ind w:left="0" w:right="0" w:firstLine="0"/>
        <w:jc w:val="center"/>
      </w:pPr>
      <w:r>
        <w:rPr>
          <w:color w:val="000000"/>
          <w:spacing w:val="0"/>
          <w:w w:val="100"/>
          <w:position w:val="0"/>
        </w:rPr>
        <w:t>主管会计工作负责人：黄志坚</w:t>
      </w:r>
    </w:p>
    <w:p>
      <w:pPr>
        <w:pStyle w:val="Style38"/>
        <w:keepNext w:val="0"/>
        <w:keepLines w:val="0"/>
        <w:framePr w:w="2352" w:h="269" w:hSpace="7243" w:wrap="notBeside" w:vAnchor="text" w:hAnchor="text" w:x="6721" w:y="9054"/>
        <w:widowControl w:val="0"/>
        <w:shd w:val="clear" w:color="auto" w:fill="auto"/>
        <w:bidi w:val="0"/>
        <w:spacing w:before="0" w:after="0" w:line="240" w:lineRule="auto"/>
        <w:ind w:left="0" w:right="0" w:firstLine="0"/>
        <w:jc w:val="center"/>
      </w:pPr>
      <w:r>
        <w:rPr>
          <w:color w:val="000000"/>
          <w:spacing w:val="0"/>
          <w:w w:val="100"/>
          <w:position w:val="0"/>
        </w:rPr>
        <w:t>会计机构负责人：冯云霞</w:t>
      </w:r>
    </w:p>
    <w:p>
      <w:pPr>
        <w:widowControl w:val="0"/>
        <w:spacing w:line="1" w:lineRule="exact"/>
      </w:pPr>
    </w:p>
    <w:p>
      <w:pPr>
        <w:pStyle w:val="Style48"/>
        <w:keepNext/>
        <w:keepLines/>
        <w:widowControl w:val="0"/>
        <w:shd w:val="clear" w:color="auto" w:fill="auto"/>
        <w:bidi w:val="0"/>
        <w:spacing w:before="0" w:after="36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6</w:t>
      </w:r>
      <w:bookmarkEnd w:id="415"/>
      <w:r>
        <w:rPr>
          <w:color w:val="000000"/>
          <w:spacing w:val="0"/>
          <w:w w:val="100"/>
          <w:position w:val="0"/>
        </w:rPr>
        <w:t>、母公司现金流量表</w:t>
      </w:r>
      <w:bookmarkEnd w:id="413"/>
      <w:bookmarkEnd w:id="414"/>
      <w:bookmarkEnd w:id="416"/>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编制单位：广东华声电器股份有限公司</w:t>
      </w:r>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单位：元</w:t>
      </w:r>
    </w:p>
    <w:tbl>
      <w:tblPr>
        <w:tblOverlap w:val="never"/>
        <w:jc w:val="center"/>
        <w:tblLayout w:type="fixed"/>
      </w:tblPr>
      <w:tblGrid>
        <w:gridCol w:w="5947"/>
        <w:gridCol w:w="1800"/>
        <w:gridCol w:w="18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7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1,467,511,384.93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1,568,472,803.31</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2,200,983.58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675,540.03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6,770,989.10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22,729,784.48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1,476,483,357.61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1,591,878,127.82</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1,427,571,210.68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1,388,959,399.50</w:t>
            </w:r>
          </w:p>
        </w:tc>
      </w:tr>
      <w:tr>
        <w:trPr>
          <w:trHeight w:val="379"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41,423,377.25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35,560,139.56</w:t>
            </w:r>
          </w:p>
        </w:tc>
      </w:tr>
    </w:tbl>
    <w:p>
      <w:pPr>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441" w:right="1193" w:bottom="1484" w:left="1111" w:header="0" w:footer="3" w:gutter="0"/>
          <w:cols w:space="720"/>
          <w:noEndnote/>
          <w:rtlGutter w:val="0"/>
          <w:docGrid w:linePitch="360"/>
        </w:sectPr>
      </w:pPr>
    </w:p>
    <w:tbl>
      <w:tblPr>
        <w:tblOverlap w:val="never"/>
        <w:jc w:val="left"/>
        <w:tblLayout w:type="fixed"/>
      </w:tblPr>
      <w:tblGrid>
        <w:gridCol w:w="5947"/>
        <w:gridCol w:w="1800"/>
        <w:gridCol w:w="1838"/>
      </w:tblGrid>
      <w:tr>
        <w:trPr>
          <w:trHeight w:val="374"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34,995,951.72</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41,259,183.47</w:t>
            </w:r>
          </w:p>
        </w:tc>
      </w:tr>
      <w:tr>
        <w:trPr>
          <w:trHeight w:val="365"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14,785,055.90</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13,936,605.09</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1,518,775,595.55</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1,479,715,327.62</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-42,292,237.94</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112,162,800.20</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D3D3D3"/>
            <w:vAlign w:val="top"/>
          </w:tcPr>
          <w:p>
            <w:pPr>
              <w:framePr w:w="9586" w:h="11822" w:hSpace="10" w:vSpace="595"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1822" w:hSpace="10" w:vSpace="595"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framePr w:w="9586" w:h="11822" w:hSpace="10" w:vSpace="595"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35,154.00</w:t>
            </w:r>
          </w:p>
        </w:tc>
        <w:tc>
          <w:tcPr>
            <w:tcBorders>
              <w:top w:val="single" w:sz="4"/>
              <w:left w:val="single" w:sz="4"/>
              <w:right w:val="single" w:sz="4"/>
            </w:tcBorders>
            <w:shd w:val="clear" w:color="auto" w:fill="FFFFFF"/>
            <w:vAlign w:val="top"/>
          </w:tcPr>
          <w:p>
            <w:pPr>
              <w:framePr w:w="9586" w:h="11822" w:hSpace="10" w:vSpace="595"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1822" w:hSpace="10" w:vSpace="595" w:wrap="notBeside" w:vAnchor="text" w:hAnchor="text" w:x="11" w:y="1"/>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1822" w:hSpace="10" w:vSpace="595"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20,035,154.00</w:t>
            </w:r>
          </w:p>
        </w:tc>
        <w:tc>
          <w:tcPr>
            <w:tcBorders>
              <w:top w:val="single" w:sz="4"/>
              <w:left w:val="single" w:sz="4"/>
              <w:right w:val="single" w:sz="4"/>
            </w:tcBorders>
            <w:shd w:val="clear" w:color="auto" w:fill="FFFFFF"/>
            <w:vAlign w:val="top"/>
          </w:tcPr>
          <w:p>
            <w:pPr>
              <w:framePr w:w="9586" w:h="11822" w:hSpace="10" w:vSpace="595"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75,679,956.11</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74,167,415.15</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20,000,000.00</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1822" w:hSpace="10" w:vSpace="595"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1822" w:hSpace="10" w:vSpace="595"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75,679,956.11</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94,167,415.15</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-55,644,802.11</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-94,167,415.15</w:t>
            </w:r>
          </w:p>
        </w:tc>
      </w:tr>
      <w:tr>
        <w:trPr>
          <w:trHeight w:val="365"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D3D3D3"/>
            <w:vAlign w:val="top"/>
          </w:tcPr>
          <w:p>
            <w:pPr>
              <w:framePr w:w="9586" w:h="11822" w:hSpace="10" w:vSpace="595"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347,000,000.00</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449,532,008.29</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170,000,000.00</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1822" w:hSpace="10" w:vSpace="595"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1822" w:hSpace="10" w:vSpace="595"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449,532,008.29</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517,000,000.00</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349,532,008.29</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419,900,000.00</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58,893,544.27</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54,915,007.82</w:t>
            </w:r>
          </w:p>
        </w:tc>
      </w:tr>
      <w:tr>
        <w:trPr>
          <w:trHeight w:val="365"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5,782,757.13</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408,425,552.56</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480,597,764.95</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41,106,455.73</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36,402,235.05</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586" w:h="11822" w:hSpace="10" w:vSpace="59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9586" w:h="11822" w:hSpace="10" w:vSpace="595" w:wrap="notBeside" w:vAnchor="text" w:hAnchor="text" w:x="11" w:y="1"/>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-56,830,584.32</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54,397,620.10</w:t>
            </w:r>
          </w:p>
        </w:tc>
      </w:tr>
      <w:tr>
        <w:trPr>
          <w:trHeight w:val="370" w:hRule="exact"/>
        </w:trPr>
        <w:tc>
          <w:tcPr>
            <w:tcBorders>
              <w:top w:val="single" w:sz="4"/>
              <w:left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157,099,037.97</w:t>
            </w:r>
          </w:p>
        </w:tc>
        <w:tc>
          <w:tcPr>
            <w:tcBorders>
              <w:top w:val="single" w:sz="4"/>
              <w:left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102,701,417.87</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100,268,453.65</w:t>
            </w:r>
          </w:p>
        </w:tc>
        <w:tc>
          <w:tcPr>
            <w:tcBorders>
              <w:top w:val="single" w:sz="4"/>
              <w:left w:val="single" w:sz="4"/>
              <w:bottom w:val="single" w:sz="4"/>
              <w:right w:val="single" w:sz="4"/>
            </w:tcBorders>
            <w:shd w:val="clear" w:color="auto" w:fill="FFFFFF"/>
            <w:vAlign w:val="center"/>
          </w:tcPr>
          <w:p>
            <w:pPr>
              <w:pStyle w:val="Style2"/>
              <w:keepNext w:val="0"/>
              <w:keepLines w:val="0"/>
              <w:framePr w:w="9586" w:h="11822" w:hSpace="10" w:vSpace="595" w:wrap="notBeside" w:vAnchor="text" w:hAnchor="text" w:x="11"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157,099,037.97</w:t>
            </w:r>
          </w:p>
        </w:tc>
      </w:tr>
    </w:tbl>
    <w:p>
      <w:pPr>
        <w:pStyle w:val="Style38"/>
        <w:keepNext w:val="0"/>
        <w:keepLines w:val="0"/>
        <w:framePr w:w="1934" w:h="264" w:hSpace="7661" w:wrap="notBeside" w:vAnchor="text" w:hAnchor="text" w:y="12150"/>
        <w:widowControl w:val="0"/>
        <w:shd w:val="clear" w:color="auto" w:fill="auto"/>
        <w:bidi w:val="0"/>
        <w:spacing w:before="0" w:after="0" w:line="240" w:lineRule="auto"/>
        <w:ind w:left="0" w:right="0" w:firstLine="0"/>
        <w:jc w:val="left"/>
      </w:pPr>
      <w:r>
        <w:rPr>
          <w:color w:val="000000"/>
          <w:spacing w:val="0"/>
          <w:w w:val="100"/>
          <w:position w:val="0"/>
        </w:rPr>
        <w:t>法定代表人：罗桥胜</w:t>
      </w:r>
    </w:p>
    <w:p>
      <w:pPr>
        <w:pStyle w:val="Style38"/>
        <w:keepNext w:val="0"/>
        <w:keepLines w:val="0"/>
        <w:framePr w:w="2765" w:h="264" w:hSpace="6830" w:wrap="notBeside" w:vAnchor="text" w:hAnchor="text" w:x="2949" w:y="12150"/>
        <w:widowControl w:val="0"/>
        <w:shd w:val="clear" w:color="auto" w:fill="auto"/>
        <w:bidi w:val="0"/>
        <w:spacing w:before="0" w:after="0" w:line="240" w:lineRule="auto"/>
        <w:ind w:left="0" w:right="0" w:firstLine="0"/>
        <w:jc w:val="center"/>
      </w:pPr>
      <w:r>
        <w:rPr>
          <w:color w:val="000000"/>
          <w:spacing w:val="0"/>
          <w:w w:val="100"/>
          <w:position w:val="0"/>
        </w:rPr>
        <w:t>主管会计工作负责人：黄志坚</w:t>
      </w:r>
    </w:p>
    <w:p>
      <w:pPr>
        <w:pStyle w:val="Style38"/>
        <w:keepNext w:val="0"/>
        <w:keepLines w:val="0"/>
        <w:framePr w:w="2352" w:h="269" w:hSpace="7243" w:wrap="notBeside" w:vAnchor="text" w:hAnchor="text" w:x="6721" w:y="12150"/>
        <w:widowControl w:val="0"/>
        <w:shd w:val="clear" w:color="auto" w:fill="auto"/>
        <w:bidi w:val="0"/>
        <w:spacing w:before="0" w:after="0" w:line="240" w:lineRule="auto"/>
        <w:ind w:left="0" w:right="0" w:firstLine="0"/>
        <w:jc w:val="center"/>
      </w:pPr>
      <w:r>
        <w:rPr>
          <w:color w:val="000000"/>
          <w:spacing w:val="0"/>
          <w:w w:val="100"/>
          <w:position w:val="0"/>
        </w:rPr>
        <w:t>会计机构负责人：冯云霞</w:t>
      </w:r>
    </w:p>
    <w:p>
      <w:pPr>
        <w:widowControl w:val="0"/>
        <w:spacing w:line="1" w:lineRule="exact"/>
      </w:pPr>
    </w:p>
    <w:p>
      <w:pPr>
        <w:widowControl w:val="0"/>
        <w:jc w:val="center"/>
        <w:rPr>
          <w:sz w:val="2"/>
          <w:szCs w:val="2"/>
        </w:rPr>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441" w:right="1195" w:bottom="1" w:left="1109" w:header="0" w:footer="3" w:gutter="0"/>
          <w:cols w:space="720"/>
          <w:noEndnote/>
          <w:rtlGutter w:val="0"/>
          <w:docGrid w:linePitch="360"/>
        </w:sectPr>
      </w:pPr>
      <w:r>
        <w:drawing>
          <wp:inline>
            <wp:extent cx="1718945" cy="981710"/>
            <wp:docPr id="335" name="Picutre 335"/>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31"/>
                    <a:stretch/>
                  </pic:blipFill>
                  <pic:spPr>
                    <a:xfrm>
                      <a:ext cx="1718945" cy="981710"/>
                    </a:xfrm>
                    <a:prstGeom prst="rect"/>
                  </pic:spPr>
                </pic:pic>
              </a:graphicData>
            </a:graphic>
          </wp:inline>
        </w:drawing>
      </w:r>
    </w:p>
    <w:p>
      <w:pPr>
        <w:pStyle w:val="Style48"/>
        <w:keepNext/>
        <w:keepLines/>
        <w:widowControl w:val="0"/>
        <w:shd w:val="clear" w:color="auto" w:fill="auto"/>
        <w:bidi w:val="0"/>
        <w:spacing w:before="0" w:after="24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7</w:t>
      </w:r>
      <w:bookmarkEnd w:id="419"/>
      <w:r>
        <w:rPr>
          <w:color w:val="000000"/>
          <w:spacing w:val="0"/>
          <w:w w:val="100"/>
          <w:position w:val="0"/>
        </w:rPr>
        <w:t>、合并所有者权益变动表</w:t>
      </w:r>
      <w:bookmarkEnd w:id="417"/>
      <w:bookmarkEnd w:id="418"/>
      <w:bookmarkEnd w:id="420"/>
    </w:p>
    <w:p>
      <w:pPr>
        <w:pStyle w:val="Style35"/>
        <w:keepNext w:val="0"/>
        <w:keepLines w:val="0"/>
        <w:widowControl w:val="0"/>
        <w:shd w:val="clear" w:color="auto" w:fill="auto"/>
        <w:bidi w:val="0"/>
        <w:spacing w:before="0" w:after="80" w:line="350" w:lineRule="exact"/>
        <w:ind w:left="0" w:right="0" w:firstLine="0"/>
        <w:jc w:val="left"/>
      </w:pPr>
      <w:r>
        <w:rPr>
          <w:color w:val="000000"/>
          <w:spacing w:val="0"/>
          <w:w w:val="100"/>
          <w:position w:val="0"/>
        </w:rPr>
        <w:t>编制单位：广东华声电器股份有限公司 本期金额</w:t>
      </w:r>
    </w:p>
    <w:p>
      <w:pPr>
        <w:pStyle w:val="Style35"/>
        <w:keepNext w:val="0"/>
        <w:keepLines w:val="0"/>
        <w:widowControl w:val="0"/>
        <w:shd w:val="clear" w:color="auto" w:fill="auto"/>
        <w:bidi w:val="0"/>
        <w:spacing w:before="0" w:after="80" w:line="240" w:lineRule="auto"/>
        <w:ind w:left="0" w:right="480" w:firstLine="0"/>
        <w:jc w:val="right"/>
      </w:pPr>
      <w:r>
        <w:rPr>
          <w:color w:val="000000"/>
          <w:spacing w:val="0"/>
          <w:w w:val="100"/>
          <w:position w:val="0"/>
        </w:rPr>
        <w:t>单位：元</w:t>
      </w:r>
    </w:p>
    <w:tbl>
      <w:tblPr>
        <w:tblOverlap w:val="never"/>
        <w:jc w:val="center"/>
        <w:tblLayout w:type="fixed"/>
      </w:tblPr>
      <w:tblGrid>
        <w:gridCol w:w="3610"/>
        <w:gridCol w:w="1440"/>
        <w:gridCol w:w="1258"/>
        <w:gridCol w:w="902"/>
        <w:gridCol w:w="898"/>
        <w:gridCol w:w="1080"/>
        <w:gridCol w:w="902"/>
        <w:gridCol w:w="1258"/>
        <w:gridCol w:w="542"/>
        <w:gridCol w:w="720"/>
        <w:gridCol w:w="1450"/>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70"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3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一般风险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429,089,779.67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14,761,921.4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108,588,788.45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752,440,489.56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429,089,779.67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14,761,921.4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108,588,788.45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752,440,489.56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三、本期增减变动金额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7,625,024.12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33,000,017.91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40,625,042.03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90,625,042.03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90,625,042.03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90,625,042.03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90,625,042.03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7,625,024.12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-57,625,024.12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7,625,024.12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-7,625,024.12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33"/>
          <w:footerReference w:type="default" r:id="rId134"/>
          <w:headerReference w:type="even" r:id="rId135"/>
          <w:footerReference w:type="even" r:id="rId136"/>
          <w:footnotePr>
            <w:pos w:val="pageBottom"/>
            <w:numFmt w:val="decimal"/>
            <w:numRestart w:val="continuous"/>
          </w:footnotePr>
          <w:pgSz w:w="16840" w:h="11900" w:orient="landscape"/>
          <w:pgMar w:top="1158" w:right="1350" w:bottom="1158" w:left="1422" w:header="0" w:footer="3" w:gutter="0"/>
          <w:cols w:space="720"/>
          <w:noEndnote/>
          <w:rtlGutter w:val="0"/>
          <w:docGrid w:linePitch="360"/>
        </w:sectPr>
      </w:pPr>
    </w:p>
    <w:tbl>
      <w:tblPr>
        <w:tblOverlap w:val="never"/>
        <w:jc w:val="center"/>
        <w:tblLayout w:type="fixed"/>
      </w:tblPr>
      <w:tblGrid>
        <w:gridCol w:w="3610"/>
        <w:gridCol w:w="1440"/>
        <w:gridCol w:w="1258"/>
        <w:gridCol w:w="902"/>
        <w:gridCol w:w="898"/>
        <w:gridCol w:w="1080"/>
        <w:gridCol w:w="902"/>
        <w:gridCol w:w="1258"/>
        <w:gridCol w:w="542"/>
        <w:gridCol w:w="720"/>
        <w:gridCol w:w="1450"/>
      </w:tblGrid>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429,089,779.67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22,386,945.5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141,588,806.36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793,065,531.59</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上年金额</w:t>
      </w:r>
    </w:p>
    <w:p>
      <w:pPr>
        <w:pStyle w:val="Style35"/>
        <w:keepNext w:val="0"/>
        <w:keepLines w:val="0"/>
        <w:widowControl w:val="0"/>
        <w:shd w:val="clear" w:color="auto" w:fill="auto"/>
        <w:bidi w:val="0"/>
        <w:spacing w:before="0" w:after="80" w:line="240" w:lineRule="auto"/>
        <w:ind w:left="13040" w:right="0" w:firstLine="0"/>
        <w:jc w:val="left"/>
      </w:pPr>
      <w:r>
        <w:rPr>
          <w:color w:val="000000"/>
          <w:spacing w:val="0"/>
          <w:w w:val="100"/>
          <w:position w:val="0"/>
        </w:rPr>
        <w:t>单位：元</w:t>
      </w:r>
    </w:p>
    <w:tbl>
      <w:tblPr>
        <w:tblOverlap w:val="never"/>
        <w:jc w:val="center"/>
        <w:tblLayout w:type="fixed"/>
      </w:tblPr>
      <w:tblGrid>
        <w:gridCol w:w="3610"/>
        <w:gridCol w:w="1440"/>
        <w:gridCol w:w="1258"/>
        <w:gridCol w:w="902"/>
        <w:gridCol w:w="898"/>
        <w:gridCol w:w="1262"/>
        <w:gridCol w:w="720"/>
        <w:gridCol w:w="1258"/>
        <w:gridCol w:w="542"/>
        <w:gridCol w:w="720"/>
        <w:gridCol w:w="1450"/>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370"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3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一般风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144,422,236.16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9,098,389.18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88,698,394.43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392,219,019.77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加：同一控制下企业合并产生的追溯调整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144,422,236.16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9,098,389.18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88,698,394.43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392,219,019.77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三、本期增减变动金额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284,667,543.51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5,663,532.26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19,890,394.02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360,221,469.79</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65,553,926.28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65,553,926.28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65,553,926.28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65,553,926.28</w:t>
            </w:r>
          </w:p>
        </w:tc>
      </w:tr>
    </w:tbl>
    <w:p>
      <w:pPr>
        <w:widowControl w:val="0"/>
        <w:spacing w:line="1" w:lineRule="exact"/>
      </w:pPr>
    </w:p>
    <w:p>
      <w:pPr>
        <w:widowControl w:val="0"/>
        <w:jc w:val="center"/>
        <w:rPr>
          <w:sz w:val="2"/>
          <w:szCs w:val="2"/>
        </w:rPr>
      </w:pPr>
      <w:r>
        <w:drawing>
          <wp:inline>
            <wp:extent cx="1718945" cy="981710"/>
            <wp:docPr id="346" name="Picutre 346"/>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137"/>
                    <a:stretch/>
                  </pic:blipFill>
                  <pic:spPr>
                    <a:xfrm>
                      <a:ext cx="1718945" cy="981710"/>
                    </a:xfrm>
                    <a:prstGeom prst="rect"/>
                  </pic:spPr>
                </pic:pic>
              </a:graphicData>
            </a:graphic>
          </wp:inline>
        </w:drawing>
      </w:r>
    </w:p>
    <w:p>
      <w:pPr>
        <w:widowControl w:val="0"/>
        <w:spacing w:line="1" w:lineRule="exact"/>
      </w:pPr>
      <w:r>
        <w:br w:type="page"/>
      </w:r>
    </w:p>
    <w:tbl>
      <w:tblPr>
        <w:tblOverlap w:val="never"/>
        <w:jc w:val="center"/>
        <w:tblLayout w:type="fixed"/>
      </w:tblPr>
      <w:tblGrid>
        <w:gridCol w:w="3610"/>
        <w:gridCol w:w="1440"/>
        <w:gridCol w:w="1258"/>
        <w:gridCol w:w="902"/>
        <w:gridCol w:w="898"/>
        <w:gridCol w:w="1262"/>
        <w:gridCol w:w="720"/>
        <w:gridCol w:w="1258"/>
        <w:gridCol w:w="542"/>
        <w:gridCol w:w="720"/>
        <w:gridCol w:w="1450"/>
      </w:tblGrid>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所有者投入和减少资本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284,667,543.51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334,667,543.51</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284,667,543.51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334,667,543.51</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5,663,532.26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-45,663,532.26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5,663,532.26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-5,663,532.26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429,089,779.67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14,761,921.44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108,588,788.45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752,440,489.56</w:t>
            </w:r>
          </w:p>
        </w:tc>
      </w:tr>
    </w:tbl>
    <w:p>
      <w:pPr>
        <w:widowControl w:val="0"/>
        <w:spacing w:line="1" w:lineRule="exact"/>
        <w:sectPr>
          <w:headerReference w:type="default" r:id="rId139"/>
          <w:footerReference w:type="default" r:id="rId140"/>
          <w:headerReference w:type="even" r:id="rId141"/>
          <w:footerReference w:type="even" r:id="rId142"/>
          <w:footnotePr>
            <w:pos w:val="pageBottom"/>
            <w:numFmt w:val="decimal"/>
            <w:numRestart w:val="continuous"/>
          </w:footnotePr>
          <w:pgSz w:w="16840" w:h="11900" w:orient="landscape"/>
          <w:pgMar w:top="1095" w:right="1347" w:bottom="0" w:left="1424" w:header="0" w:footer="3" w:gutter="0"/>
          <w:cols w:space="720"/>
          <w:noEndnote/>
          <w:rtlGutter w:val="0"/>
          <w:docGrid w:linePitch="360"/>
        </w:sectPr>
      </w:pPr>
      <w:r>
        <mc:AlternateContent>
          <mc:Choice Requires="wps">
            <w:drawing>
              <wp:anchor distT="139700" distB="2005330" distL="114300" distR="8676640" simplePos="0" relativeHeight="125829402" behindDoc="0" locked="0" layoutInCell="1" allowOverlap="1">
                <wp:simplePos x="0" y="0"/>
                <wp:positionH relativeFrom="page">
                  <wp:posOffset>901065</wp:posOffset>
                </wp:positionH>
                <wp:positionV relativeFrom="margin">
                  <wp:posOffset>4687570</wp:posOffset>
                </wp:positionV>
                <wp:extent cx="1228090" cy="167640"/>
                <wp:wrapTopAndBottom/>
                <wp:docPr id="351" name="Shape 351"/>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法定代表人：罗桥胜</w:t>
                            </w:r>
                          </w:p>
                        </w:txbxContent>
                      </wps:txbx>
                      <wps:bodyPr wrap="none" lIns="0" tIns="0" rIns="0" bIns="0">
                        <a:noAutoFit/>
                      </wps:bodyPr>
                    </wps:wsp>
                  </a:graphicData>
                </a:graphic>
              </wp:anchor>
            </w:drawing>
          </mc:Choice>
          <mc:Fallback>
            <w:pict>
              <v:shape id="_x0000_s1377" type="#_x0000_t202" style="position:absolute;margin-left:70.950000000000003pt;margin-top:369.10000000000002pt;width:96.700000000000003pt;height:13.200000000000001pt;z-index:-125829351;mso-wrap-distance-left:9.pt;mso-wrap-distance-top:11.pt;mso-wrap-distance-right:683.20000000000005pt;mso-wrap-distance-bottom:157.9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法定代表人：罗桥胜</w:t>
                      </w:r>
                    </w:p>
                  </w:txbxContent>
                </v:textbox>
                <w10:wrap type="topAndBottom" anchorx="page" anchory="margin"/>
              </v:shape>
            </w:pict>
          </mc:Fallback>
        </mc:AlternateContent>
      </w:r>
      <w:r>
        <mc:AlternateContent>
          <mc:Choice Requires="wps">
            <w:drawing>
              <wp:anchor distT="139700" distB="2005330" distL="2653030" distR="5610225" simplePos="0" relativeHeight="125829404" behindDoc="0" locked="0" layoutInCell="1" allowOverlap="1">
                <wp:simplePos x="0" y="0"/>
                <wp:positionH relativeFrom="page">
                  <wp:posOffset>3439795</wp:posOffset>
                </wp:positionH>
                <wp:positionV relativeFrom="margin">
                  <wp:posOffset>4687570</wp:posOffset>
                </wp:positionV>
                <wp:extent cx="1755775" cy="167640"/>
                <wp:wrapTopAndBottom/>
                <wp:docPr id="353" name="Shape 353"/>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主管会计工作负责人：黄志坚</w:t>
                            </w:r>
                          </w:p>
                        </w:txbxContent>
                      </wps:txbx>
                      <wps:bodyPr wrap="none" lIns="0" tIns="0" rIns="0" bIns="0">
                        <a:noAutoFit/>
                      </wps:bodyPr>
                    </wps:wsp>
                  </a:graphicData>
                </a:graphic>
              </wp:anchor>
            </w:drawing>
          </mc:Choice>
          <mc:Fallback>
            <w:pict>
              <v:shape id="_x0000_s1379" type="#_x0000_t202" style="position:absolute;margin-left:270.85000000000002pt;margin-top:369.10000000000002pt;width:138.25pt;height:13.200000000000001pt;z-index:-125829349;mso-wrap-distance-left:208.90000000000001pt;mso-wrap-distance-top:11.pt;mso-wrap-distance-right:441.75pt;mso-wrap-distance-bottom:157.9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主管会计工作负责人：黄志坚</w:t>
                      </w:r>
                    </w:p>
                  </w:txbxContent>
                </v:textbox>
                <w10:wrap type="topAndBottom" anchorx="page" anchory="margin"/>
              </v:shape>
            </w:pict>
          </mc:Fallback>
        </mc:AlternateContent>
      </w:r>
      <w:r>
        <mc:AlternateContent>
          <mc:Choice Requires="wps">
            <w:drawing>
              <wp:anchor distT="139700" distB="2002155" distL="5716270" distR="2812415" simplePos="0" relativeHeight="125829406" behindDoc="0" locked="0" layoutInCell="1" allowOverlap="1">
                <wp:simplePos x="0" y="0"/>
                <wp:positionH relativeFrom="page">
                  <wp:posOffset>6503035</wp:posOffset>
                </wp:positionH>
                <wp:positionV relativeFrom="margin">
                  <wp:posOffset>4687570</wp:posOffset>
                </wp:positionV>
                <wp:extent cx="1490345" cy="170815"/>
                <wp:wrapTopAndBottom/>
                <wp:docPr id="355" name="Shape 355"/>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会计机构负责人：冯云霞</w:t>
                            </w:r>
                          </w:p>
                        </w:txbxContent>
                      </wps:txbx>
                      <wps:bodyPr wrap="none" lIns="0" tIns="0" rIns="0" bIns="0">
                        <a:noAutoFit/>
                      </wps:bodyPr>
                    </wps:wsp>
                  </a:graphicData>
                </a:graphic>
              </wp:anchor>
            </w:drawing>
          </mc:Choice>
          <mc:Fallback>
            <w:pict>
              <v:shape id="_x0000_s1381" type="#_x0000_t202" style="position:absolute;margin-left:512.04999999999995pt;margin-top:369.10000000000002pt;width:117.35000000000001pt;height:13.450000000000001pt;z-index:-125829347;mso-wrap-distance-left:450.10000000000002pt;mso-wrap-distance-top:11.pt;mso-wrap-distance-right:221.45000000000002pt;mso-wrap-distance-bottom:157.65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会计机构负责人：冯云霞</w:t>
                      </w:r>
                    </w:p>
                  </w:txbxContent>
                </v:textbox>
                <w10:wrap type="topAndBottom" anchorx="page" anchory="margin"/>
              </v:shape>
            </w:pict>
          </mc:Fallback>
        </mc:AlternateContent>
      </w:r>
      <w:r>
        <w:drawing>
          <wp:anchor distT="1334770" distB="0" distL="8188325" distR="114935" simplePos="0" relativeHeight="125829408" behindDoc="0" locked="0" layoutInCell="1" allowOverlap="1">
            <wp:simplePos x="0" y="0"/>
            <wp:positionH relativeFrom="page">
              <wp:posOffset>8975090</wp:posOffset>
            </wp:positionH>
            <wp:positionV relativeFrom="margin">
              <wp:posOffset>5882640</wp:posOffset>
            </wp:positionV>
            <wp:extent cx="1718945" cy="981710"/>
            <wp:wrapTopAndBottom/>
            <wp:docPr id="357" name="Shape 357"/>
            <a:graphic xmlns:a="http://schemas.openxmlformats.org/drawingml/2006/main">
              <a:graphicData uri="http://schemas.openxmlformats.org/drawingml/2006/picture">
                <pic:pic xmlns:pic="http://schemas.openxmlformats.org/drawingml/2006/picture">
                  <pic:nvPicPr>
                    <pic:cNvPr id="358" name="Picture box 358"/>
                    <pic:cNvPicPr/>
                  </pic:nvPicPr>
                  <pic:blipFill>
                    <a:blip r:embed="rId143"/>
                    <a:stretch/>
                  </pic:blipFill>
                  <pic:spPr>
                    <a:xfrm>
                      <a:ext cx="1718945" cy="981710"/>
                    </a:xfrm>
                    <a:prstGeom prst="rect"/>
                  </pic:spPr>
                </pic:pic>
              </a:graphicData>
            </a:graphic>
          </wp:anchor>
        </w:drawing>
      </w:r>
    </w:p>
    <w:p>
      <w:pPr>
        <w:pStyle w:val="Style48"/>
        <w:keepNext/>
        <w:keepLines/>
        <w:widowControl w:val="0"/>
        <w:shd w:val="clear" w:color="auto" w:fill="auto"/>
        <w:bidi w:val="0"/>
        <w:spacing w:before="0" w:after="26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8</w:t>
      </w:r>
      <w:bookmarkEnd w:id="423"/>
      <w:r>
        <w:rPr>
          <w:color w:val="000000"/>
          <w:spacing w:val="0"/>
          <w:w w:val="100"/>
          <w:position w:val="0"/>
        </w:rPr>
        <w:t>、母公司所有者权益变动表</w:t>
      </w:r>
      <w:bookmarkEnd w:id="421"/>
      <w:bookmarkEnd w:id="422"/>
      <w:bookmarkEnd w:id="424"/>
    </w:p>
    <w:p>
      <w:pPr>
        <w:pStyle w:val="Style35"/>
        <w:keepNext w:val="0"/>
        <w:keepLines w:val="0"/>
        <w:widowControl w:val="0"/>
        <w:shd w:val="clear" w:color="auto" w:fill="auto"/>
        <w:bidi w:val="0"/>
        <w:spacing w:before="0" w:after="80" w:line="350" w:lineRule="exact"/>
        <w:ind w:left="0" w:right="0" w:firstLine="0"/>
        <w:jc w:val="left"/>
      </w:pPr>
      <w:r>
        <w:rPr>
          <w:color w:val="000000"/>
          <w:spacing w:val="0"/>
          <w:w w:val="100"/>
          <w:position w:val="0"/>
        </w:rPr>
        <w:t>编制单位：广东华声电器股份有限公司 本期金额</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10"/>
        <w:gridCol w:w="1440"/>
        <w:gridCol w:w="1258"/>
        <w:gridCol w:w="902"/>
        <w:gridCol w:w="898"/>
        <w:gridCol w:w="1982"/>
        <w:gridCol w:w="1258"/>
        <w:gridCol w:w="1262"/>
        <w:gridCol w:w="1450"/>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427,808,758.31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14,761,921.44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77,857,292.93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720,427,972.68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427,808,758.31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14,761,921.44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77,857,292.93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720,427,972.68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三、本期增减变动金额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7,625,024.12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18,625,217.08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26,250,241.20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76,250,241.20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76,250,241.20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76,250,241.20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76,250,241.20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7,625,024.12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-57,625,024.12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7,625,024.12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-7,625,024.12</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45"/>
          <w:footerReference w:type="default" r:id="rId146"/>
          <w:headerReference w:type="even" r:id="rId147"/>
          <w:footerReference w:type="even" r:id="rId148"/>
          <w:footnotePr>
            <w:pos w:val="pageBottom"/>
            <w:numFmt w:val="decimal"/>
            <w:numRestart w:val="continuous"/>
          </w:footnotePr>
          <w:pgSz w:w="16840" w:h="11900" w:orient="landscape"/>
          <w:pgMar w:top="1158" w:right="1350" w:bottom="1158" w:left="1422" w:header="0" w:footer="3" w:gutter="0"/>
          <w:cols w:space="720"/>
          <w:noEndnote/>
          <w:rtlGutter w:val="0"/>
          <w:docGrid w:linePitch="360"/>
        </w:sectPr>
      </w:pPr>
    </w:p>
    <w:tbl>
      <w:tblPr>
        <w:tblOverlap w:val="never"/>
        <w:jc w:val="center"/>
        <w:tblLayout w:type="fixed"/>
      </w:tblPr>
      <w:tblGrid>
        <w:gridCol w:w="3610"/>
        <w:gridCol w:w="1440"/>
        <w:gridCol w:w="1258"/>
        <w:gridCol w:w="902"/>
        <w:gridCol w:w="898"/>
        <w:gridCol w:w="1982"/>
        <w:gridCol w:w="1258"/>
        <w:gridCol w:w="1262"/>
        <w:gridCol w:w="1450"/>
      </w:tblGrid>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427,808,758.31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22,386,945.56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96,482,510.01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746,678,213.88</w:t>
            </w:r>
          </w:p>
        </w:tc>
      </w:tr>
    </w:tbl>
    <w:p>
      <w:pPr>
        <w:widowControl w:val="0"/>
        <w:spacing w:after="5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上年金额</w:t>
      </w:r>
    </w:p>
    <w:p>
      <w:pPr>
        <w:pStyle w:val="Style35"/>
        <w:keepNext w:val="0"/>
        <w:keepLines w:val="0"/>
        <w:widowControl w:val="0"/>
        <w:shd w:val="clear" w:color="auto" w:fill="auto"/>
        <w:bidi w:val="0"/>
        <w:spacing w:before="0" w:after="60" w:line="240" w:lineRule="auto"/>
        <w:ind w:left="13120" w:right="0" w:firstLine="0"/>
        <w:jc w:val="left"/>
      </w:pPr>
      <w:r>
        <w:rPr>
          <w:color w:val="000000"/>
          <w:spacing w:val="0"/>
          <w:w w:val="100"/>
          <w:position w:val="0"/>
        </w:rPr>
        <w:t>单位：元</w:t>
      </w:r>
    </w:p>
    <w:tbl>
      <w:tblPr>
        <w:tblOverlap w:val="never"/>
        <w:jc w:val="center"/>
        <w:tblLayout w:type="fixed"/>
      </w:tblPr>
      <w:tblGrid>
        <w:gridCol w:w="3610"/>
        <w:gridCol w:w="1440"/>
        <w:gridCol w:w="1258"/>
        <w:gridCol w:w="902"/>
        <w:gridCol w:w="898"/>
        <w:gridCol w:w="2520"/>
        <w:gridCol w:w="720"/>
        <w:gridCol w:w="1262"/>
        <w:gridCol w:w="1450"/>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一般风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143,141,214.80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9,098,389.18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66,885,502.57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369,125,106.55</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143,141,214.80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9,098,389.18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66,885,502.57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369,125,106.55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三、本期增减变动金额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284,667,543.51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5,663,532.26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10,971,790.36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351,302,866.13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56,635,322.62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56,635,322.62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56,635,322.62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56,635,322.62</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284,667,543.51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334,667,543.51</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284,667,543.51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334,667,543.51</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.股份支付计入所有者权益的金额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jc w:val="center"/>
        <w:rPr>
          <w:sz w:val="2"/>
          <w:szCs w:val="2"/>
        </w:rPr>
      </w:pPr>
      <w:r>
        <w:drawing>
          <wp:inline>
            <wp:extent cx="1718945" cy="981710"/>
            <wp:docPr id="369" name="Picutre 369"/>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149"/>
                    <a:stretch/>
                  </pic:blipFill>
                  <pic:spPr>
                    <a:xfrm>
                      <a:ext cx="1718945" cy="981710"/>
                    </a:xfrm>
                    <a:prstGeom prst="rect"/>
                  </pic:spPr>
                </pic:pic>
              </a:graphicData>
            </a:graphic>
          </wp:inline>
        </w:drawing>
      </w:r>
      <w:r>
        <w:br w:type="page"/>
      </w:r>
    </w:p>
    <w:tbl>
      <w:tblPr>
        <w:tblOverlap w:val="never"/>
        <w:jc w:val="center"/>
        <w:tblLayout w:type="fixed"/>
      </w:tblPr>
      <w:tblGrid>
        <w:gridCol w:w="3610"/>
        <w:gridCol w:w="1440"/>
        <w:gridCol w:w="1258"/>
        <w:gridCol w:w="902"/>
        <w:gridCol w:w="898"/>
        <w:gridCol w:w="2520"/>
        <w:gridCol w:w="720"/>
        <w:gridCol w:w="1262"/>
        <w:gridCol w:w="14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5,663,532.26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-45,663,532.26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5,663,532.26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-5,663,532.26</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427,808,758.31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14,761,921.44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77,857,292.93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720,427,972.68</w:t>
            </w:r>
          </w:p>
        </w:tc>
      </w:tr>
    </w:tbl>
    <w:p>
      <w:pPr>
        <w:sectPr>
          <w:headerReference w:type="default" r:id="rId151"/>
          <w:footerReference w:type="default" r:id="rId152"/>
          <w:headerReference w:type="even" r:id="rId153"/>
          <w:footerReference w:type="even" r:id="rId154"/>
          <w:footnotePr>
            <w:pos w:val="pageBottom"/>
            <w:numFmt w:val="decimal"/>
            <w:numRestart w:val="continuous"/>
          </w:footnotePr>
          <w:pgSz w:w="16840" w:h="11900" w:orient="landscape"/>
          <w:pgMar w:top="1095" w:right="1347" w:bottom="0" w:left="1424"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2" w:right="0" w:bottom="0" w:left="0" w:header="0" w:footer="3" w:gutter="0"/>
          <w:cols w:space="720"/>
          <w:noEndnote/>
          <w:rtlGutter w:val="0"/>
          <w:docGrid w:linePitch="360"/>
        </w:sectPr>
      </w:pPr>
    </w:p>
    <w:p>
      <w:pPr>
        <w:pStyle w:val="Style35"/>
        <w:keepNext w:val="0"/>
        <w:keepLines w:val="0"/>
        <w:framePr w:w="1934" w:h="264" w:wrap="none" w:vAnchor="text" w:hAnchor="page" w:x="1420" w:y="21"/>
        <w:widowControl w:val="0"/>
        <w:shd w:val="clear" w:color="auto" w:fill="auto"/>
        <w:bidi w:val="0"/>
        <w:spacing w:before="0" w:after="0" w:line="240" w:lineRule="auto"/>
        <w:ind w:left="0" w:right="0" w:firstLine="0"/>
        <w:jc w:val="left"/>
      </w:pPr>
      <w:r>
        <w:rPr>
          <w:color w:val="000000"/>
          <w:spacing w:val="0"/>
          <w:w w:val="100"/>
          <w:position w:val="0"/>
        </w:rPr>
        <w:t>法定代表人：罗桥胜</w:t>
      </w:r>
    </w:p>
    <w:p>
      <w:pPr>
        <w:pStyle w:val="Style35"/>
        <w:keepNext w:val="0"/>
        <w:keepLines w:val="0"/>
        <w:framePr w:w="2765" w:h="264" w:wrap="none" w:vAnchor="text" w:hAnchor="page" w:x="5419" w:y="21"/>
        <w:widowControl w:val="0"/>
        <w:shd w:val="clear" w:color="auto" w:fill="auto"/>
        <w:bidi w:val="0"/>
        <w:spacing w:before="0" w:after="0" w:line="240" w:lineRule="auto"/>
        <w:ind w:left="0" w:right="0" w:firstLine="0"/>
        <w:jc w:val="left"/>
      </w:pPr>
      <w:r>
        <w:rPr>
          <w:color w:val="000000"/>
          <w:spacing w:val="0"/>
          <w:w w:val="100"/>
          <w:position w:val="0"/>
        </w:rPr>
        <w:t>主管会计工作负责人：黄志坚</w:t>
      </w:r>
    </w:p>
    <w:p>
      <w:pPr>
        <w:pStyle w:val="Style35"/>
        <w:keepNext w:val="0"/>
        <w:keepLines w:val="0"/>
        <w:framePr w:w="2347" w:h="269" w:wrap="none" w:vAnchor="text" w:hAnchor="page" w:x="10243" w:y="21"/>
        <w:widowControl w:val="0"/>
        <w:shd w:val="clear" w:color="auto" w:fill="auto"/>
        <w:bidi w:val="0"/>
        <w:spacing w:before="0" w:after="0" w:line="240" w:lineRule="auto"/>
        <w:ind w:left="0" w:right="0" w:firstLine="0"/>
        <w:jc w:val="center"/>
      </w:pPr>
      <w:r>
        <w:rPr>
          <w:color w:val="000000"/>
          <w:spacing w:val="0"/>
          <w:w w:val="100"/>
          <w:position w:val="0"/>
        </w:rPr>
        <w:t>会计机构负责人：冯云霞</w:t>
      </w:r>
    </w:p>
    <w:p>
      <w:pPr>
        <w:widowControl w:val="0"/>
        <w:spacing w:line="360" w:lineRule="exact"/>
      </w:pPr>
      <w:r>
        <w:drawing>
          <wp:anchor distT="0" distB="0" distL="0" distR="0" simplePos="0" relativeHeight="62914965" behindDoc="1" locked="0" layoutInCell="1" allowOverlap="1">
            <wp:simplePos x="0" y="0"/>
            <wp:positionH relativeFrom="page">
              <wp:posOffset>8975090</wp:posOffset>
            </wp:positionH>
            <wp:positionV relativeFrom="paragraph">
              <wp:posOffset>1896110</wp:posOffset>
            </wp:positionV>
            <wp:extent cx="1718945" cy="981710"/>
            <wp:wrapNone/>
            <wp:docPr id="374" name="Shape 374"/>
            <a:graphic xmlns:a="http://schemas.openxmlformats.org/drawingml/2006/main">
              <a:graphicData uri="http://schemas.openxmlformats.org/drawingml/2006/picture">
                <pic:pic xmlns:pic="http://schemas.openxmlformats.org/drawingml/2006/picture">
                  <pic:nvPicPr>
                    <pic:cNvPr id="375" name="Picture box 375"/>
                    <pic:cNvPicPr/>
                  </pic:nvPicPr>
                  <pic:blipFill>
                    <a:blip r:embed="rId155"/>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Restart w:val="continuous"/>
          </w:footnotePr>
          <w:type w:val="continuous"/>
          <w:pgSz w:w="16840" w:h="11900" w:orient="landscape"/>
          <w:pgMar w:top="1142" w:right="1" w:bottom="0" w:left="1422" w:header="0" w:footer="3" w:gutter="0"/>
          <w:cols w:space="720"/>
          <w:noEndnote/>
          <w:rtlGutter w:val="0"/>
          <w:docGrid w:linePitch="360"/>
        </w:sectPr>
      </w:pPr>
    </w:p>
    <w:p>
      <w:pPr>
        <w:pStyle w:val="Style30"/>
        <w:keepNext/>
        <w:keepLines/>
        <w:widowControl w:val="0"/>
        <w:shd w:val="clear" w:color="auto" w:fill="auto"/>
        <w:bidi w:val="0"/>
        <w:spacing w:before="0" w:after="240" w:line="240" w:lineRule="auto"/>
        <w:ind w:left="0" w:right="0" w:firstLine="0"/>
        <w:jc w:val="both"/>
      </w:pPr>
      <w:bookmarkStart w:id="425" w:name="bookmark425"/>
      <w:bookmarkStart w:id="426" w:name="bookmark426"/>
      <w:bookmarkStart w:id="427" w:name="bookmark427"/>
      <w:r>
        <w:rPr>
          <w:color w:val="000000"/>
          <w:spacing w:val="0"/>
          <w:w w:val="100"/>
          <w:position w:val="0"/>
          <w:sz w:val="24"/>
          <w:szCs w:val="24"/>
        </w:rPr>
        <w:t>三、公司基本情况</w:t>
      </w:r>
      <w:bookmarkEnd w:id="425"/>
      <w:bookmarkEnd w:id="426"/>
      <w:bookmarkEnd w:id="427"/>
    </w:p>
    <w:p>
      <w:pPr>
        <w:pStyle w:val="Style35"/>
        <w:keepNext w:val="0"/>
        <w:keepLines w:val="0"/>
        <w:widowControl w:val="0"/>
        <w:shd w:val="clear" w:color="auto" w:fill="auto"/>
        <w:bidi w:val="0"/>
        <w:spacing w:before="0" w:after="0" w:line="318" w:lineRule="exact"/>
        <w:ind w:left="0" w:right="0" w:firstLine="420"/>
        <w:jc w:val="both"/>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是由广东华声电器实业有限公司整体改制变 更设立的股份有限公司，注册资本</w:t>
      </w:r>
      <w:r>
        <w:rPr>
          <w:rFonts w:ascii="Times New Roman" w:eastAsia="Times New Roman" w:hAnsi="Times New Roman" w:cs="Times New Roman"/>
          <w:color w:val="000000"/>
          <w:spacing w:val="0"/>
          <w:w w:val="100"/>
          <w:position w:val="0"/>
        </w:rPr>
        <w:t>15000</w:t>
      </w:r>
      <w:r>
        <w:rPr>
          <w:color w:val="000000"/>
          <w:spacing w:val="0"/>
          <w:w w:val="100"/>
          <w:position w:val="0"/>
        </w:rPr>
        <w:t>万元。经中国证券监督管理委员会证监许可</w:t>
      </w:r>
      <w:r>
        <w:rPr>
          <w:rFonts w:ascii="Times New Roman" w:eastAsia="Times New Roman" w:hAnsi="Times New Roman" w:cs="Times New Roman"/>
          <w:color w:val="000000"/>
          <w:spacing w:val="0"/>
          <w:w w:val="100"/>
          <w:position w:val="0"/>
        </w:rPr>
        <w:t>[2012]363</w:t>
      </w:r>
      <w:r>
        <w:rPr>
          <w:color w:val="000000"/>
          <w:spacing w:val="0"/>
          <w:w w:val="100"/>
          <w:position w:val="0"/>
        </w:rPr>
        <w:t xml:space="preserve">号文核准，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月，本公司首次向社会公众公开发行人民币普通股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）5000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元，本次 发行后注册资本变更为人民币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日完成了工商变更登记手续，取得了佛山市顺 德区市场安全监管局换发的注册号为</w:t>
      </w:r>
      <w:r>
        <w:rPr>
          <w:rFonts w:ascii="Times New Roman" w:eastAsia="Times New Roman" w:hAnsi="Times New Roman" w:cs="Times New Roman"/>
          <w:color w:val="000000"/>
          <w:spacing w:val="0"/>
          <w:w w:val="100"/>
          <w:position w:val="0"/>
        </w:rPr>
        <w:t>440681400005369</w:t>
      </w:r>
      <w:r>
        <w:rPr>
          <w:color w:val="000000"/>
          <w:spacing w:val="0"/>
          <w:w w:val="100"/>
          <w:position w:val="0"/>
        </w:rPr>
        <w:t>的《企业法人营业执照》。</w:t>
      </w:r>
    </w:p>
    <w:p>
      <w:pPr>
        <w:pStyle w:val="Style35"/>
        <w:keepNext w:val="0"/>
        <w:keepLines w:val="0"/>
        <w:widowControl w:val="0"/>
        <w:shd w:val="clear" w:color="auto" w:fill="auto"/>
        <w:bidi w:val="0"/>
        <w:spacing w:before="0" w:after="0" w:line="318" w:lineRule="exact"/>
        <w:ind w:left="0" w:right="0" w:firstLine="420"/>
        <w:jc w:val="both"/>
      </w:pPr>
      <w:r>
        <w:rPr>
          <w:color w:val="000000"/>
          <w:spacing w:val="0"/>
          <w:w w:val="100"/>
          <w:position w:val="0"/>
        </w:rPr>
        <w:t>本公司主要产品为空调连接组件、电源输入组件，经营范围：生产经营电器连接线、电源线、电线电 缆及相关材料，法定代表人：罗桥胜，住所：佛山市顺德区容桂街道华口昌宝东路</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35"/>
        <w:keepNext w:val="0"/>
        <w:keepLines w:val="0"/>
        <w:widowControl w:val="0"/>
        <w:shd w:val="clear" w:color="auto" w:fill="auto"/>
        <w:bidi w:val="0"/>
        <w:spacing w:before="0" w:after="140" w:line="318" w:lineRule="exact"/>
        <w:ind w:left="0" w:right="0" w:firstLine="420"/>
        <w:jc w:val="both"/>
      </w:pPr>
      <w:r>
        <w:rPr>
          <w:color w:val="000000"/>
          <w:spacing w:val="0"/>
          <w:w w:val="100"/>
          <w:position w:val="0"/>
        </w:rPr>
        <w:t>公司的基本组织架构如下：</w:t>
      </w:r>
    </w:p>
    <w:p>
      <w:pPr>
        <w:widowControl w:val="0"/>
        <w:jc w:val="center"/>
        <w:rPr>
          <w:sz w:val="2"/>
          <w:szCs w:val="2"/>
        </w:rPr>
      </w:pPr>
      <w:r>
        <w:drawing>
          <wp:inline>
            <wp:extent cx="5638800" cy="2072640"/>
            <wp:docPr id="376" name="Picutre 376"/>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157"/>
                    <a:stretch/>
                  </pic:blipFill>
                  <pic:spPr>
                    <a:xfrm>
                      <a:ext cx="5638800" cy="2072640"/>
                    </a:xfrm>
                    <a:prstGeom prst="rect"/>
                  </pic:spPr>
                </pic:pic>
              </a:graphicData>
            </a:graphic>
          </wp:inline>
        </w:drawing>
      </w:r>
    </w:p>
    <w:p>
      <w:pPr>
        <w:widowControl w:val="0"/>
        <w:spacing w:after="1059" w:line="1" w:lineRule="exact"/>
      </w:pPr>
    </w:p>
    <w:p>
      <w:pPr>
        <w:widowControl w:val="0"/>
        <w:spacing w:line="1" w:lineRule="exact"/>
      </w:pPr>
    </w:p>
    <w:tbl>
      <w:tblPr>
        <w:tblOverlap w:val="never"/>
        <w:jc w:val="center"/>
        <w:tblLayout w:type="fixed"/>
      </w:tblPr>
      <w:tblGrid>
        <w:gridCol w:w="504"/>
        <w:gridCol w:w="542"/>
        <w:gridCol w:w="547"/>
        <w:gridCol w:w="542"/>
        <w:gridCol w:w="547"/>
        <w:gridCol w:w="562"/>
        <w:gridCol w:w="552"/>
        <w:gridCol w:w="557"/>
        <w:gridCol w:w="566"/>
        <w:gridCol w:w="562"/>
        <w:gridCol w:w="557"/>
        <w:gridCol w:w="557"/>
        <w:gridCol w:w="562"/>
        <w:gridCol w:w="566"/>
        <w:gridCol w:w="547"/>
        <w:gridCol w:w="504"/>
      </w:tblGrid>
      <w:tr>
        <w:trPr>
          <w:trHeight w:val="17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394" w:val="left"/>
              </w:tabs>
              <w:bidi w:val="0"/>
              <w:spacing w:before="0" w:after="0" w:line="240" w:lineRule="auto"/>
              <w:ind w:left="0" w:right="0" w:firstLine="0"/>
              <w:jc w:val="both"/>
              <w:rPr>
                <w:sz w:val="8"/>
                <w:szCs w:val="8"/>
              </w:rPr>
            </w:pPr>
            <w:r>
              <w:rPr>
                <w:rFonts w:ascii="Arial" w:eastAsia="Arial" w:hAnsi="Arial" w:cs="Arial"/>
                <w:color w:val="000000"/>
                <w:spacing w:val="0"/>
                <w:w w:val="100"/>
                <w:position w:val="0"/>
                <w:sz w:val="14"/>
                <w:szCs w:val="14"/>
              </w:rPr>
              <w:t>1</w:t>
              <w:tab/>
            </w:r>
            <w:r>
              <w:rPr>
                <w:color w:val="000000"/>
                <w:spacing w:val="0"/>
                <w:w w:val="100"/>
                <w:position w:val="0"/>
                <w:sz w:val="8"/>
                <w:szCs w:val="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rPr>
              <w:t>■- -</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220" w:line="235" w:lineRule="exact"/>
              <w:ind w:left="0" w:right="0" w:firstLine="0"/>
              <w:jc w:val="center"/>
            </w:pPr>
            <w:r>
              <w:rPr>
                <w:color w:val="000000"/>
                <w:spacing w:val="0"/>
                <w:w w:val="100"/>
                <w:position w:val="0"/>
              </w:rPr>
              <w:t>制 造</w:t>
            </w:r>
          </w:p>
          <w:p>
            <w:pPr>
              <w:pStyle w:val="Style2"/>
              <w:keepNext w:val="0"/>
              <w:keepLines w:val="0"/>
              <w:widowControl w:val="0"/>
              <w:shd w:val="clear" w:color="auto" w:fill="auto"/>
              <w:bidi w:val="0"/>
              <w:spacing w:before="0" w:after="0" w:line="235" w:lineRule="exact"/>
              <w:ind w:left="0" w:right="0" w:firstLine="140"/>
              <w:jc w:val="left"/>
            </w:pPr>
            <w:r>
              <w:rPr>
                <w:color w:val="000000"/>
                <w:spacing w:val="0"/>
                <w:w w:val="100"/>
                <w:position w:val="0"/>
              </w:rPr>
              <w:t>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380" w:line="240" w:lineRule="auto"/>
              <w:ind w:left="0" w:right="0" w:firstLine="0"/>
              <w:jc w:val="center"/>
            </w:pPr>
            <w:r>
              <w:rPr>
                <w:color w:val="000000"/>
                <w:spacing w:val="0"/>
                <w:w w:val="100"/>
                <w:position w:val="0"/>
              </w:rPr>
              <w:t>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羸</w:t>
            </w:r>
          </w:p>
          <w:p>
            <w:pPr>
              <w:pStyle w:val="Style2"/>
              <w:keepNext w:val="0"/>
              <w:keepLines w:val="0"/>
              <w:widowControl w:val="0"/>
              <w:shd w:val="clear" w:color="auto" w:fill="auto"/>
              <w:bidi w:val="0"/>
              <w:spacing w:before="0" w:after="0" w:line="240" w:lineRule="auto"/>
              <w:ind w:left="0" w:right="0" w:firstLine="0"/>
              <w:jc w:val="center"/>
            </w:pPr>
            <w:r>
              <w:rPr>
                <w:color w:val="7D7D7D"/>
                <w:spacing w:val="0"/>
                <w:w w:val="100"/>
                <w:position w:val="0"/>
              </w:rPr>
              <w:t>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pos="365" w:val="left"/>
              </w:tabs>
              <w:bidi w:val="0"/>
              <w:spacing w:before="0" w:after="0" w:line="240" w:lineRule="auto"/>
              <w:ind w:left="0" w:right="0" w:firstLine="0"/>
              <w:jc w:val="center"/>
              <w:rPr>
                <w:sz w:val="8"/>
                <w:szCs w:val="8"/>
              </w:rPr>
            </w:pPr>
            <w:r>
              <w:rPr>
                <w:color w:val="6C6B6B"/>
                <w:spacing w:val="0"/>
                <w:w w:val="100"/>
                <w:position w:val="0"/>
                <w:sz w:val="8"/>
                <w:szCs w:val="8"/>
              </w:rPr>
              <w:t>广</w:t>
              <w:tab/>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474747"/>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tabs>
                <w:tab w:leader="underscore" w:pos="374" w:val="left"/>
              </w:tabs>
              <w:bidi w:val="0"/>
              <w:spacing w:before="0" w:after="0" w:line="240" w:lineRule="auto"/>
              <w:ind w:left="0" w:right="0" w:firstLine="0"/>
              <w:jc w:val="right"/>
            </w:pPr>
            <w:r>
              <w:rPr>
                <w:rFonts w:ascii="Arial" w:eastAsia="Arial" w:hAnsi="Arial" w:cs="Arial"/>
                <w:color w:val="474747"/>
                <w:spacing w:val="0"/>
                <w:w w:val="100"/>
                <w:position w:val="0"/>
              </w:rPr>
              <w:tab/>
              <w:t>-</w:t>
            </w:r>
          </w:p>
        </w:tc>
      </w:tr>
    </w:tbl>
    <w:p>
      <w:pPr>
        <w:widowControl w:val="0"/>
        <w:spacing w:after="719" w:line="1" w:lineRule="exact"/>
      </w:pPr>
    </w:p>
    <w:p>
      <w:pPr>
        <w:pStyle w:val="Style30"/>
        <w:keepNext/>
        <w:keepLines/>
        <w:widowControl w:val="0"/>
        <w:shd w:val="clear" w:color="auto" w:fill="auto"/>
        <w:bidi w:val="0"/>
        <w:spacing w:before="0" w:after="36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sz w:val="24"/>
          <w:szCs w:val="24"/>
        </w:rPr>
        <w:t>四</w:t>
      </w:r>
      <w:bookmarkEnd w:id="430"/>
      <w:r>
        <w:rPr>
          <w:color w:val="000000"/>
          <w:spacing w:val="0"/>
          <w:w w:val="100"/>
          <w:position w:val="0"/>
          <w:sz w:val="24"/>
          <w:szCs w:val="24"/>
        </w:rPr>
        <w:t>、公司主要会计政策、会计估计和前期差错</w:t>
      </w:r>
      <w:bookmarkEnd w:id="428"/>
      <w:bookmarkEnd w:id="429"/>
      <w:bookmarkEnd w:id="431"/>
    </w:p>
    <w:p>
      <w:pPr>
        <w:pStyle w:val="Style48"/>
        <w:keepNext/>
        <w:keepLines/>
        <w:widowControl w:val="0"/>
        <w:shd w:val="clear" w:color="auto" w:fill="auto"/>
        <w:tabs>
          <w:tab w:pos="368" w:val="left"/>
        </w:tabs>
        <w:bidi w:val="0"/>
        <w:spacing w:before="0" w:after="200"/>
        <w:ind w:left="0" w:right="0" w:firstLine="0"/>
        <w:jc w:val="both"/>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w:t>
        <w:tab/>
        <w:t>财务报表的编制基础</w:t>
      </w:r>
      <w:bookmarkEnd w:id="432"/>
      <w:bookmarkEnd w:id="433"/>
      <w:bookmarkEnd w:id="435"/>
    </w:p>
    <w:p>
      <w:pPr>
        <w:pStyle w:val="Style35"/>
        <w:keepNext w:val="0"/>
        <w:keepLines w:val="0"/>
        <w:widowControl w:val="0"/>
        <w:shd w:val="clear" w:color="auto" w:fill="auto"/>
        <w:tabs>
          <w:tab w:leader="hyphen" w:pos="1781" w:val="left"/>
        </w:tabs>
        <w:bidi w:val="0"/>
        <w:spacing w:before="0" w:after="360" w:line="310" w:lineRule="exact"/>
        <w:ind w:left="0" w:right="0" w:firstLine="42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 计准则一基本准则》和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 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、以及中国证券监督管理委员会《公开发行证券的公司信息披露编 报规则第</w:t>
      </w:r>
      <w:r>
        <w:rPr>
          <w:rFonts w:ascii="Times New Roman" w:eastAsia="Times New Roman" w:hAnsi="Times New Roman" w:cs="Times New Roman"/>
          <w:color w:val="000000"/>
          <w:spacing w:val="0"/>
          <w:w w:val="100"/>
          <w:position w:val="0"/>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48"/>
        <w:keepNext/>
        <w:keepLines/>
        <w:widowControl w:val="0"/>
        <w:shd w:val="clear" w:color="auto" w:fill="auto"/>
        <w:tabs>
          <w:tab w:pos="378" w:val="left"/>
        </w:tabs>
        <w:bidi w:val="0"/>
        <w:spacing w:before="0" w:after="200"/>
        <w:ind w:left="0" w:right="0" w:firstLine="0"/>
        <w:jc w:val="both"/>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bookmarkEnd w:id="438"/>
      <w:r>
        <w:rPr>
          <w:color w:val="000000"/>
          <w:spacing w:val="0"/>
          <w:w w:val="100"/>
          <w:position w:val="0"/>
        </w:rPr>
        <w:t>、</w:t>
        <w:tab/>
        <w:t>遵循企业会计准则的声明</w:t>
      </w:r>
      <w:bookmarkEnd w:id="436"/>
      <w:bookmarkEnd w:id="437"/>
      <w:bookmarkEnd w:id="439"/>
    </w:p>
    <w:p>
      <w:pPr>
        <w:pStyle w:val="Style35"/>
        <w:keepNext w:val="0"/>
        <w:keepLines w:val="0"/>
        <w:widowControl w:val="0"/>
        <w:shd w:val="clear" w:color="auto" w:fill="auto"/>
        <w:bidi w:val="0"/>
        <w:spacing w:before="0" w:after="240" w:line="312" w:lineRule="exact"/>
        <w:ind w:left="0" w:right="0" w:firstLine="0"/>
        <w:jc w:val="both"/>
      </w:pPr>
      <w:r>
        <w:rPr>
          <w:color w:val="000000"/>
          <w:spacing w:val="0"/>
          <w:w w:val="100"/>
          <w:position w:val="0"/>
        </w:rPr>
        <w:t>公司所编制的财务报表符合企业会计准则的要求，真实、完整地反映了报告期公司的财务状况、经营成果、 现金流量等有关信息。</w:t>
      </w:r>
    </w:p>
    <w:p>
      <w:pPr>
        <w:pStyle w:val="Style91"/>
        <w:keepNext w:val="0"/>
        <w:keepLines w:val="0"/>
        <w:widowControl w:val="0"/>
        <w:shd w:val="clear" w:color="auto" w:fill="auto"/>
        <w:bidi w:val="0"/>
        <w:spacing w:before="0" w:line="240" w:lineRule="auto"/>
        <w:ind w:left="0" w:right="0" w:firstLine="0"/>
        <w:jc w:val="right"/>
      </w:pPr>
      <w:r>
        <w:rPr>
          <w:spacing w:val="0"/>
          <w:w w:val="100"/>
          <w:position w:val="0"/>
        </w:rPr>
        <w:t>55</w:t>
      </w:r>
    </w:p>
    <w:p>
      <w:pPr>
        <w:pStyle w:val="Style48"/>
        <w:keepNext/>
        <w:keepLines/>
        <w:widowControl w:val="0"/>
        <w:shd w:val="clear" w:color="auto" w:fill="auto"/>
        <w:tabs>
          <w:tab w:pos="378" w:val="left"/>
        </w:tabs>
        <w:bidi w:val="0"/>
        <w:spacing w:before="0" w:after="280" w:line="314" w:lineRule="exact"/>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3</w:t>
      </w:r>
      <w:bookmarkEnd w:id="442"/>
      <w:r>
        <w:rPr>
          <w:color w:val="000000"/>
          <w:spacing w:val="0"/>
          <w:w w:val="100"/>
          <w:position w:val="0"/>
        </w:rPr>
        <w:t>、</w:t>
        <w:tab/>
        <w:t>会计期间</w:t>
      </w:r>
      <w:bookmarkEnd w:id="440"/>
      <w:bookmarkEnd w:id="441"/>
      <w:bookmarkEnd w:id="443"/>
    </w:p>
    <w:p>
      <w:pPr>
        <w:pStyle w:val="Style35"/>
        <w:keepNext w:val="0"/>
        <w:keepLines w:val="0"/>
        <w:widowControl w:val="0"/>
        <w:shd w:val="clear" w:color="auto" w:fill="auto"/>
        <w:bidi w:val="0"/>
        <w:spacing w:before="0" w:after="280" w:line="314"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48"/>
        <w:keepNext/>
        <w:keepLines/>
        <w:widowControl w:val="0"/>
        <w:shd w:val="clear" w:color="auto" w:fill="auto"/>
        <w:tabs>
          <w:tab w:pos="378" w:val="left"/>
        </w:tabs>
        <w:bidi w:val="0"/>
        <w:spacing w:before="0" w:after="280" w:line="314" w:lineRule="exact"/>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4</w:t>
      </w:r>
      <w:bookmarkEnd w:id="446"/>
      <w:r>
        <w:rPr>
          <w:color w:val="000000"/>
          <w:spacing w:val="0"/>
          <w:w w:val="100"/>
          <w:position w:val="0"/>
        </w:rPr>
        <w:t>、</w:t>
        <w:tab/>
        <w:t>记账本位币</w:t>
      </w:r>
      <w:bookmarkEnd w:id="444"/>
      <w:bookmarkEnd w:id="445"/>
      <w:bookmarkEnd w:id="447"/>
    </w:p>
    <w:p>
      <w:pPr>
        <w:pStyle w:val="Style35"/>
        <w:keepNext w:val="0"/>
        <w:keepLines w:val="0"/>
        <w:widowControl w:val="0"/>
        <w:shd w:val="clear" w:color="auto" w:fill="auto"/>
        <w:bidi w:val="0"/>
        <w:spacing w:before="0" w:after="280" w:line="314" w:lineRule="exact"/>
        <w:ind w:left="0" w:right="0" w:firstLine="0"/>
        <w:jc w:val="left"/>
      </w:pPr>
      <w:r>
        <w:rPr>
          <w:color w:val="000000"/>
          <w:spacing w:val="0"/>
          <w:w w:val="100"/>
          <w:position w:val="0"/>
        </w:rPr>
        <w:t>采用人民币为记账本位币。</w:t>
      </w:r>
    </w:p>
    <w:p>
      <w:pPr>
        <w:pStyle w:val="Style48"/>
        <w:keepNext/>
        <w:keepLines/>
        <w:widowControl w:val="0"/>
        <w:shd w:val="clear" w:color="auto" w:fill="auto"/>
        <w:tabs>
          <w:tab w:pos="378" w:val="left"/>
        </w:tabs>
        <w:bidi w:val="0"/>
        <w:spacing w:before="0" w:after="280" w:line="314" w:lineRule="exact"/>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5</w:t>
      </w:r>
      <w:bookmarkEnd w:id="450"/>
      <w:r>
        <w:rPr>
          <w:color w:val="000000"/>
          <w:spacing w:val="0"/>
          <w:w w:val="100"/>
          <w:position w:val="0"/>
        </w:rPr>
        <w:t>、</w:t>
        <w:tab/>
        <w:t>同一控制下和非同一控制下企业合并的会计处理方法</w:t>
      </w:r>
      <w:bookmarkEnd w:id="448"/>
      <w:bookmarkEnd w:id="449"/>
      <w:bookmarkEnd w:id="451"/>
    </w:p>
    <w:p>
      <w:pPr>
        <w:pStyle w:val="Style48"/>
        <w:keepNext/>
        <w:keepLines/>
        <w:widowControl w:val="0"/>
        <w:numPr>
          <w:ilvl w:val="0"/>
          <w:numId w:val="7"/>
        </w:numPr>
        <w:shd w:val="clear" w:color="auto" w:fill="auto"/>
        <w:tabs>
          <w:tab w:pos="430" w:val="left"/>
        </w:tabs>
        <w:bidi w:val="0"/>
        <w:spacing w:before="0" w:after="280" w:line="314" w:lineRule="exact"/>
        <w:ind w:left="0" w:right="0" w:firstLine="0"/>
        <w:jc w:val="left"/>
      </w:pPr>
      <w:bookmarkStart w:id="448" w:name="bookmark448"/>
      <w:bookmarkStart w:id="449" w:name="bookmark449"/>
      <w:bookmarkStart w:id="452" w:name="bookmark452"/>
      <w:bookmarkStart w:id="453" w:name="bookmark453"/>
      <w:bookmarkEnd w:id="452"/>
      <w:r>
        <w:rPr>
          <w:color w:val="000000"/>
          <w:spacing w:val="0"/>
          <w:w w:val="100"/>
          <w:position w:val="0"/>
        </w:rPr>
        <w:t>同一控制下企业合并</w:t>
      </w:r>
      <w:bookmarkEnd w:id="448"/>
      <w:bookmarkEnd w:id="449"/>
      <w:bookmarkEnd w:id="453"/>
    </w:p>
    <w:p>
      <w:pPr>
        <w:pStyle w:val="Style35"/>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本报告期未发生同一控制下企业合并事项。</w:t>
      </w:r>
    </w:p>
    <w:p>
      <w:pPr>
        <w:pStyle w:val="Style48"/>
        <w:keepNext/>
        <w:keepLines/>
        <w:widowControl w:val="0"/>
        <w:numPr>
          <w:ilvl w:val="0"/>
          <w:numId w:val="7"/>
        </w:numPr>
        <w:shd w:val="clear" w:color="auto" w:fill="auto"/>
        <w:tabs>
          <w:tab w:pos="430" w:val="left"/>
        </w:tabs>
        <w:bidi w:val="0"/>
        <w:spacing w:before="0" w:after="280" w:line="314" w:lineRule="exact"/>
        <w:ind w:left="0" w:right="0" w:firstLine="0"/>
        <w:jc w:val="left"/>
      </w:pPr>
      <w:bookmarkStart w:id="454" w:name="bookmark454"/>
      <w:bookmarkStart w:id="455" w:name="bookmark455"/>
      <w:bookmarkStart w:id="456" w:name="bookmark456"/>
      <w:bookmarkStart w:id="457" w:name="bookmark457"/>
      <w:bookmarkEnd w:id="456"/>
      <w:r>
        <w:rPr>
          <w:color w:val="000000"/>
          <w:spacing w:val="0"/>
          <w:w w:val="100"/>
          <w:position w:val="0"/>
        </w:rPr>
        <w:t>非同一控制下的企业合并</w:t>
      </w:r>
      <w:bookmarkEnd w:id="454"/>
      <w:bookmarkEnd w:id="455"/>
      <w:bookmarkEnd w:id="457"/>
    </w:p>
    <w:p>
      <w:pPr>
        <w:pStyle w:val="Style35"/>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报告期未发生非同一控制下企业合并事项。</w:t>
      </w:r>
    </w:p>
    <w:p>
      <w:pPr>
        <w:pStyle w:val="Style48"/>
        <w:keepNext/>
        <w:keepLines/>
        <w:widowControl w:val="0"/>
        <w:shd w:val="clear" w:color="auto" w:fill="auto"/>
        <w:tabs>
          <w:tab w:pos="378" w:val="left"/>
        </w:tabs>
        <w:bidi w:val="0"/>
        <w:spacing w:before="0" w:after="280" w:line="314" w:lineRule="exact"/>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6</w:t>
      </w:r>
      <w:bookmarkEnd w:id="460"/>
      <w:r>
        <w:rPr>
          <w:color w:val="000000"/>
          <w:spacing w:val="0"/>
          <w:w w:val="100"/>
          <w:position w:val="0"/>
        </w:rPr>
        <w:t>、</w:t>
        <w:tab/>
        <w:t>合并财务报表的编制方法</w:t>
      </w:r>
      <w:bookmarkEnd w:id="458"/>
      <w:bookmarkEnd w:id="459"/>
      <w:bookmarkEnd w:id="461"/>
    </w:p>
    <w:p>
      <w:pPr>
        <w:pStyle w:val="Style48"/>
        <w:keepNext/>
        <w:keepLines/>
        <w:widowControl w:val="0"/>
        <w:numPr>
          <w:ilvl w:val="0"/>
          <w:numId w:val="9"/>
        </w:numPr>
        <w:shd w:val="clear" w:color="auto" w:fill="auto"/>
        <w:tabs>
          <w:tab w:pos="430" w:val="left"/>
        </w:tabs>
        <w:bidi w:val="0"/>
        <w:spacing w:before="0" w:after="280" w:line="314" w:lineRule="exact"/>
        <w:ind w:left="0" w:right="0" w:firstLine="0"/>
        <w:jc w:val="left"/>
      </w:pPr>
      <w:bookmarkStart w:id="458" w:name="bookmark458"/>
      <w:bookmarkStart w:id="459" w:name="bookmark459"/>
      <w:bookmarkStart w:id="462" w:name="bookmark462"/>
      <w:bookmarkStart w:id="463" w:name="bookmark463"/>
      <w:bookmarkEnd w:id="462"/>
      <w:r>
        <w:rPr>
          <w:color w:val="000000"/>
          <w:spacing w:val="0"/>
          <w:w w:val="100"/>
          <w:position w:val="0"/>
        </w:rPr>
        <w:t>合并财务报表的编制方法</w:t>
      </w:r>
      <w:bookmarkEnd w:id="458"/>
      <w:bookmarkEnd w:id="459"/>
      <w:bookmarkEnd w:id="463"/>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本公司合并财务报表的合并范围以控制为基础确定，所有子公司均纳入合并财务报表。</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3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子公司少数股东应占的权益和损益分别在合并资产负债表中所有者权益项目下和合并利润表中净利 润项目下单独列示。子公司少数股东分担的当期亏损超过了少数股东在该子公司期初所有者权益中所享有 份额而形成的余额，冲减少数股东权益。</w:t>
      </w:r>
    </w:p>
    <w:p>
      <w:pPr>
        <w:pStyle w:val="Style48"/>
        <w:keepNext/>
        <w:keepLines/>
        <w:widowControl w:val="0"/>
        <w:numPr>
          <w:ilvl w:val="0"/>
          <w:numId w:val="9"/>
        </w:numPr>
        <w:shd w:val="clear" w:color="auto" w:fill="auto"/>
        <w:tabs>
          <w:tab w:pos="430" w:val="left"/>
        </w:tabs>
        <w:bidi w:val="0"/>
        <w:spacing w:before="0" w:after="280" w:line="314" w:lineRule="exact"/>
        <w:ind w:left="0" w:right="0" w:firstLine="0"/>
        <w:jc w:val="left"/>
      </w:pPr>
      <w:bookmarkStart w:id="464" w:name="bookmark464"/>
      <w:bookmarkStart w:id="465" w:name="bookmark465"/>
      <w:bookmarkStart w:id="466" w:name="bookmark466"/>
      <w:bookmarkStart w:id="467" w:name="bookmark467"/>
      <w:bookmarkEnd w:id="466"/>
      <w:r>
        <w:rPr>
          <w:color w:val="000000"/>
          <w:spacing w:val="0"/>
          <w:w w:val="100"/>
          <w:position w:val="0"/>
        </w:rPr>
        <w:t>对同一子公司的股权在连续两个会计年度买入再卖出，或卖出再买入的应披露相关的会计处理方法</w:t>
      </w:r>
      <w:bookmarkEnd w:id="464"/>
      <w:bookmarkEnd w:id="465"/>
      <w:bookmarkEnd w:id="467"/>
    </w:p>
    <w:p>
      <w:pPr>
        <w:pStyle w:val="Style48"/>
        <w:keepNext/>
        <w:keepLines/>
        <w:widowControl w:val="0"/>
        <w:shd w:val="clear" w:color="auto" w:fill="auto"/>
        <w:tabs>
          <w:tab w:pos="378" w:val="left"/>
        </w:tabs>
        <w:bidi w:val="0"/>
        <w:spacing w:before="0" w:after="280" w:line="314" w:lineRule="exact"/>
        <w:ind w:left="0" w:right="0" w:firstLine="0"/>
        <w:jc w:val="left"/>
      </w:pPr>
      <w:bookmarkStart w:id="464" w:name="bookmark464"/>
      <w:bookmarkStart w:id="465" w:name="bookmark465"/>
      <w:bookmarkStart w:id="468" w:name="bookmark468"/>
      <w:bookmarkStart w:id="469" w:name="bookmark469"/>
      <w:r>
        <w:rPr>
          <w:rFonts w:ascii="Times New Roman" w:eastAsia="Times New Roman" w:hAnsi="Times New Roman" w:cs="Times New Roman"/>
          <w:color w:val="000000"/>
          <w:spacing w:val="0"/>
          <w:w w:val="100"/>
          <w:position w:val="0"/>
        </w:rPr>
        <w:t>7</w:t>
      </w:r>
      <w:bookmarkEnd w:id="468"/>
      <w:r>
        <w:rPr>
          <w:color w:val="000000"/>
          <w:spacing w:val="0"/>
          <w:w w:val="100"/>
          <w:position w:val="0"/>
        </w:rPr>
        <w:t>、</w:t>
        <w:tab/>
        <w:t>现金及现金等价物的确定标准</w:t>
      </w:r>
      <w:bookmarkEnd w:id="464"/>
      <w:bookmarkEnd w:id="465"/>
      <w:bookmarkEnd w:id="469"/>
    </w:p>
    <w:p>
      <w:pPr>
        <w:pStyle w:val="Style3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在编制现金流量表时，将本公司库存现金以及可以随时用于支付的存款确认为现金。将同时具备期限 短</w:t>
      </w:r>
      <w:r>
        <w:rPr>
          <w:rFonts w:ascii="Times New Roman" w:eastAsia="Times New Roman" w:hAnsi="Times New Roman" w:cs="Times New Roman"/>
          <w:color w:val="000000"/>
          <w:spacing w:val="0"/>
          <w:w w:val="100"/>
          <w:position w:val="0"/>
        </w:rPr>
        <w:t>(</w:t>
      </w:r>
      <w:r>
        <w:rPr>
          <w:color w:val="000000"/>
          <w:spacing w:val="0"/>
          <w:w w:val="100"/>
          <w:position w:val="0"/>
        </w:rPr>
        <w:t>从购买日起三个月内到期</w:t>
      </w:r>
      <w:r>
        <w:rPr>
          <w:rFonts w:ascii="Times New Roman" w:eastAsia="Times New Roman" w:hAnsi="Times New Roman" w:cs="Times New Roman"/>
          <w:color w:val="000000"/>
          <w:spacing w:val="0"/>
          <w:w w:val="100"/>
          <w:position w:val="0"/>
        </w:rPr>
        <w:t>)</w:t>
      </w:r>
      <w:r>
        <w:rPr>
          <w:color w:val="000000"/>
          <w:spacing w:val="0"/>
          <w:w w:val="100"/>
          <w:position w:val="0"/>
        </w:rPr>
        <w:t>、流动性强、易于转换为已知现金、价值变动风险很小四个条件的投资，确 定为现金等价物。</w:t>
      </w:r>
    </w:p>
    <w:p>
      <w:pPr>
        <w:pStyle w:val="Style48"/>
        <w:keepNext/>
        <w:keepLines/>
        <w:widowControl w:val="0"/>
        <w:shd w:val="clear" w:color="auto" w:fill="auto"/>
        <w:tabs>
          <w:tab w:pos="378" w:val="left"/>
        </w:tabs>
        <w:bidi w:val="0"/>
        <w:spacing w:before="0" w:after="380" w:line="314" w:lineRule="exact"/>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8</w:t>
      </w:r>
      <w:bookmarkEnd w:id="472"/>
      <w:r>
        <w:rPr>
          <w:color w:val="000000"/>
          <w:spacing w:val="0"/>
          <w:w w:val="100"/>
          <w:position w:val="0"/>
        </w:rPr>
        <w:t>、</w:t>
        <w:tab/>
        <w:t>外币业务和外币报表折算</w:t>
      </w:r>
      <w:bookmarkEnd w:id="470"/>
      <w:bookmarkEnd w:id="471"/>
      <w:bookmarkEnd w:id="473"/>
    </w:p>
    <w:p>
      <w:pPr>
        <w:pStyle w:val="Style48"/>
        <w:keepNext/>
        <w:keepLines/>
        <w:widowControl w:val="0"/>
        <w:shd w:val="clear" w:color="auto" w:fill="auto"/>
        <w:bidi w:val="0"/>
        <w:spacing w:before="0" w:after="200" w:line="329" w:lineRule="auto"/>
        <w:ind w:left="0" w:right="0" w:firstLine="0"/>
        <w:jc w:val="left"/>
      </w:pPr>
      <w:bookmarkStart w:id="470" w:name="bookmark470"/>
      <w:bookmarkStart w:id="471" w:name="bookmark471"/>
      <w:bookmarkStart w:id="474" w:name="bookmark474"/>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470"/>
      <w:bookmarkEnd w:id="471"/>
      <w:bookmarkEnd w:id="474"/>
    </w:p>
    <w:p>
      <w:pPr>
        <w:pStyle w:val="Style35"/>
        <w:keepNext w:val="0"/>
        <w:keepLines w:val="0"/>
        <w:widowControl w:val="0"/>
        <w:shd w:val="clear" w:color="auto" w:fill="auto"/>
        <w:bidi w:val="0"/>
        <w:spacing w:before="0" w:after="280" w:line="314" w:lineRule="exact"/>
        <w:ind w:left="0" w:right="0" w:firstLine="440"/>
        <w:jc w:val="both"/>
        <w:sectPr>
          <w:headerReference w:type="default" r:id="rId159"/>
          <w:footerReference w:type="default" r:id="rId160"/>
          <w:headerReference w:type="even" r:id="rId161"/>
          <w:footerReference w:type="even" r:id="rId162"/>
          <w:headerReference w:type="first" r:id="rId163"/>
          <w:footerReference w:type="first" r:id="rId164"/>
          <w:footnotePr>
            <w:pos w:val="pageBottom"/>
            <w:numFmt w:val="decimal"/>
            <w:numRestart w:val="continuous"/>
          </w:footnotePr>
          <w:pgSz w:w="11900" w:h="16840"/>
          <w:pgMar w:top="1139" w:right="1026" w:bottom="1238" w:left="1087" w:header="0" w:footer="3" w:gutter="0"/>
          <w:cols w:space="720"/>
          <w:noEndnote/>
          <w:titlePg/>
          <w:rtlGutter w:val="0"/>
          <w:docGrid w:linePitch="360"/>
        </w:sectPr>
      </w:pPr>
      <w:r>
        <w:rPr>
          <w:color w:val="000000"/>
          <w:spacing w:val="0"/>
          <w:w w:val="100"/>
          <w:position w:val="0"/>
        </w:rPr>
        <w:t>外币业务采用交易发生日的即期汇率作为折算汇率将外币金额折合成人民币记账。</w:t>
      </w:r>
    </w:p>
    <w:p>
      <w:pPr>
        <w:pStyle w:val="Style3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48"/>
        <w:keepNext/>
        <w:keepLines/>
        <w:widowControl w:val="0"/>
        <w:numPr>
          <w:ilvl w:val="0"/>
          <w:numId w:val="11"/>
        </w:numPr>
        <w:shd w:val="clear" w:color="auto" w:fill="auto"/>
        <w:bidi w:val="0"/>
        <w:spacing w:before="0" w:after="200" w:line="329" w:lineRule="auto"/>
        <w:ind w:left="0" w:right="0" w:firstLine="0"/>
        <w:jc w:val="left"/>
      </w:pPr>
      <w:bookmarkStart w:id="475" w:name="bookmark475"/>
      <w:bookmarkStart w:id="476" w:name="bookmark476"/>
      <w:bookmarkStart w:id="477" w:name="bookmark477"/>
      <w:bookmarkStart w:id="478" w:name="bookmark478"/>
      <w:bookmarkEnd w:id="477"/>
      <w:r>
        <w:rPr>
          <w:color w:val="000000"/>
          <w:spacing w:val="0"/>
          <w:w w:val="100"/>
          <w:position w:val="0"/>
        </w:rPr>
        <w:t>外币财务报表的折算</w:t>
      </w:r>
      <w:bookmarkEnd w:id="475"/>
      <w:bookmarkEnd w:id="476"/>
      <w:bookmarkEnd w:id="478"/>
    </w:p>
    <w:p>
      <w:pPr>
        <w:pStyle w:val="Style3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本报告期未发生外币财务报表折算事项。</w:t>
      </w:r>
    </w:p>
    <w:p>
      <w:pPr>
        <w:pStyle w:val="Style48"/>
        <w:keepNext/>
        <w:keepLines/>
        <w:widowControl w:val="0"/>
        <w:shd w:val="clear" w:color="auto" w:fill="auto"/>
        <w:tabs>
          <w:tab w:pos="378" w:val="left"/>
        </w:tabs>
        <w:bidi w:val="0"/>
        <w:spacing w:before="0" w:after="300" w:line="329"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9</w:t>
      </w:r>
      <w:bookmarkEnd w:id="481"/>
      <w:r>
        <w:rPr>
          <w:color w:val="000000"/>
          <w:spacing w:val="0"/>
          <w:w w:val="100"/>
          <w:position w:val="0"/>
        </w:rPr>
        <w:t>、</w:t>
        <w:tab/>
        <w:t>金融工具</w:t>
      </w:r>
      <w:bookmarkEnd w:id="479"/>
      <w:bookmarkEnd w:id="480"/>
      <w:bookmarkEnd w:id="482"/>
    </w:p>
    <w:p>
      <w:pPr>
        <w:pStyle w:val="Style93"/>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本报告期未发生金融工具事项。</w:t>
      </w:r>
    </w:p>
    <w:p>
      <w:pPr>
        <w:pStyle w:val="Style35"/>
        <w:keepNext w:val="0"/>
        <w:keepLines w:val="0"/>
        <w:widowControl w:val="0"/>
        <w:shd w:val="clear" w:color="auto" w:fill="auto"/>
        <w:tabs>
          <w:tab w:pos="474" w:val="left"/>
        </w:tabs>
        <w:bidi w:val="0"/>
        <w:spacing w:before="0" w:after="300"/>
        <w:ind w:left="0" w:right="0" w:firstLine="0"/>
        <w:jc w:val="left"/>
      </w:pPr>
      <w:bookmarkStart w:id="483" w:name="bookmark483"/>
      <w:r>
        <w:rPr>
          <w:rFonts w:ascii="Times New Roman" w:eastAsia="Times New Roman" w:hAnsi="Times New Roman" w:cs="Times New Roman"/>
          <w:b/>
          <w:bCs/>
          <w:color w:val="000000"/>
          <w:spacing w:val="0"/>
          <w:w w:val="100"/>
          <w:position w:val="0"/>
        </w:rPr>
        <w:t>1</w:t>
      </w:r>
      <w:bookmarkEnd w:id="483"/>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应收款项坏账准备的确认标准和计提方法</w:t>
      </w: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单项金额重大的应收款项坏账准备</w:t>
      </w:r>
    </w:p>
    <w:tbl>
      <w:tblPr>
        <w:tblOverlap w:val="never"/>
        <w:jc w:val="center"/>
        <w:tblLayout w:type="fixed"/>
      </w:tblPr>
      <w:tblGrid>
        <w:gridCol w:w="4507"/>
        <w:gridCol w:w="50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应收款项余额前五名或占应收账款余额</w:t>
            </w:r>
            <w:r>
              <w:rPr>
                <w:rFonts w:ascii="Times New Roman" w:eastAsia="Times New Roman" w:hAnsi="Times New Roman" w:cs="Times New Roman"/>
                <w:color w:val="000000"/>
                <w:spacing w:val="0"/>
                <w:w w:val="100"/>
                <w:position w:val="0"/>
              </w:rPr>
              <w:t>10</w:t>
            </w:r>
            <w:r>
              <w:rPr>
                <w:color w:val="000000"/>
                <w:spacing w:val="0"/>
                <w:w w:val="100"/>
                <w:position w:val="0"/>
              </w:rPr>
              <w:t>%以上且金 额为</w:t>
            </w:r>
            <w:r>
              <w:rPr>
                <w:rFonts w:ascii="Times New Roman" w:eastAsia="Times New Roman" w:hAnsi="Times New Roman" w:cs="Times New Roman"/>
                <w:color w:val="000000"/>
                <w:spacing w:val="0"/>
                <w:w w:val="100"/>
                <w:position w:val="0"/>
              </w:rPr>
              <w:t>100</w:t>
            </w:r>
            <w:r>
              <w:rPr>
                <w:color w:val="000000"/>
                <w:spacing w:val="0"/>
                <w:w w:val="100"/>
                <w:position w:val="0"/>
              </w:rPr>
              <w:t>万元以上。</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单独进行减值测试，如有客观证据表明其发生了减值 的，按预计未来现金流量现值低于其账面价值的差额计 提坏账准备，计入当期损益。短期应收款项的预计未来 现金流量与其现值相差很小的，在确定相关减值损失 时，不对其预计未来现金流量进行折现。单独测试未减 值的，按账龄分析法计提坏账准备。</w:t>
            </w:r>
          </w:p>
        </w:tc>
      </w:tr>
    </w:tbl>
    <w:p>
      <w:pPr>
        <w:widowControl w:val="0"/>
        <w:spacing w:after="2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按组合计提坏账准备的应收款项</w:t>
      </w:r>
    </w:p>
    <w:tbl>
      <w:tblPr>
        <w:tblOverlap w:val="never"/>
        <w:jc w:val="center"/>
        <w:tblLayout w:type="fixed"/>
      </w:tblPr>
      <w:tblGrid>
        <w:gridCol w:w="1090"/>
        <w:gridCol w:w="3240"/>
        <w:gridCol w:w="525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按组合计提坏账准备的计提方法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除已单独计提减值准备的应收款项外，公司根据以前年度 与之相同或相类似的、具有类似信用风险特征的应收款项 组合的实际损失率为基础，结合现时情况确定本期各项组 合计提坏账准备的比例。</w:t>
            </w:r>
          </w:p>
        </w:tc>
      </w:tr>
    </w:tbl>
    <w:p>
      <w:pPr>
        <w:widowControl w:val="0"/>
        <w:spacing w:after="39" w:line="1" w:lineRule="exact"/>
      </w:pPr>
    </w:p>
    <w:p>
      <w:pPr>
        <w:widowControl w:val="0"/>
        <w:spacing w:line="1" w:lineRule="exact"/>
      </w:pPr>
    </w:p>
    <w:p>
      <w:pPr>
        <w:pStyle w:val="Style38"/>
        <w:keepNext w:val="0"/>
        <w:keepLines w:val="0"/>
        <w:widowControl w:val="0"/>
        <w:shd w:val="clear" w:color="auto" w:fill="auto"/>
        <w:tabs>
          <w:tab w:pos="7450" w:val="left"/>
        </w:tabs>
        <w:bidi w:val="0"/>
        <w:spacing w:before="0" w:after="0" w:line="240" w:lineRule="auto"/>
        <w:ind w:left="0" w:right="0" w:firstLine="0"/>
        <w:jc w:val="left"/>
      </w:pPr>
      <w:r>
        <w:rPr>
          <w:color w:val="000000"/>
          <w:spacing w:val="0"/>
          <w:w w:val="100"/>
          <w:position w:val="0"/>
        </w:rPr>
        <w:t>组合中，采用账龄分析法计提坏账准备的</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427"/>
        <w:gridCol w:w="3062"/>
        <w:gridCol w:w="3096"/>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3</w:t>
            </w:r>
            <w:r>
              <w:rPr>
                <w:color w:val="000000"/>
                <w:spacing w:val="0"/>
                <w:w w:val="100"/>
                <w:position w:val="0"/>
              </w:rPr>
              <w:t>个月以内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个月</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both"/>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个月至</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both"/>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both"/>
            </w:pPr>
            <w:r>
              <w:rPr>
                <w:rFonts w:ascii="Times New Roman" w:eastAsia="Times New Roman" w:hAnsi="Times New Roman" w:cs="Times New Roman"/>
                <w:color w:val="000000"/>
                <w:spacing w:val="0"/>
                <w:w w:val="100"/>
                <w:position w:val="0"/>
              </w:rPr>
              <w:t>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3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35"/>
        <w:keepNext w:val="0"/>
        <w:keepLines w:val="0"/>
        <w:widowControl w:val="0"/>
        <w:shd w:val="clear" w:color="auto" w:fill="auto"/>
        <w:tabs>
          <w:tab w:pos="7555" w:val="left"/>
        </w:tabs>
        <w:bidi w:val="0"/>
        <w:spacing w:before="0" w:after="100" w:line="240" w:lineRule="auto"/>
        <w:ind w:left="0" w:right="0" w:firstLine="0"/>
        <w:jc w:val="left"/>
      </w:pPr>
      <w:r>
        <w:rPr>
          <w:color w:val="000000"/>
          <w:spacing w:val="0"/>
          <w:w w:val="100"/>
          <w:position w:val="0"/>
        </w:rPr>
        <w:t>组合中，采用余额百分比法计提坏账准备的</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tabs>
          <w:tab w:pos="7555" w:val="left"/>
        </w:tabs>
        <w:bidi w:val="0"/>
        <w:spacing w:before="0" w:after="360" w:line="240" w:lineRule="auto"/>
        <w:ind w:left="0" w:right="0" w:firstLine="0"/>
        <w:jc w:val="left"/>
      </w:pPr>
      <w:r>
        <w:rPr>
          <w:color w:val="000000"/>
          <w:spacing w:val="0"/>
          <w:w w:val="100"/>
          <w:position w:val="0"/>
        </w:rPr>
        <w:t>组合中，采用其他方法计提坏账准备的</w:t>
        <w:tab/>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单项金额虽不重大但单项计提坏账准备的应收账款</w:t>
      </w:r>
    </w:p>
    <w:tbl>
      <w:tblPr>
        <w:tblOverlap w:val="never"/>
        <w:jc w:val="center"/>
        <w:tblLayout w:type="fixed"/>
      </w:tblPr>
      <w:tblGrid>
        <w:gridCol w:w="3365"/>
        <w:gridCol w:w="6221"/>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对单项金额虽不重大，但已有客观证据表明其发生了减值的应收款 项，按账龄分析法计提的坏账准备不能反映实际情况。</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单独进行减值测试，结合现时情况分析法确定坏账准备计提的比例。</w:t>
            </w:r>
          </w:p>
        </w:tc>
      </w:tr>
    </w:tbl>
    <w:p>
      <w:pPr>
        <w:widowControl w:val="0"/>
        <w:spacing w:after="279" w:line="1" w:lineRule="exact"/>
      </w:pPr>
    </w:p>
    <w:p>
      <w:pPr>
        <w:pStyle w:val="Style35"/>
        <w:keepNext w:val="0"/>
        <w:keepLines w:val="0"/>
        <w:widowControl w:val="0"/>
        <w:shd w:val="clear" w:color="auto" w:fill="auto"/>
        <w:bidi w:val="0"/>
        <w:spacing w:before="0" w:after="280" w:line="312" w:lineRule="exact"/>
        <w:ind w:left="0" w:right="0" w:firstLine="0"/>
        <w:jc w:val="left"/>
      </w:pPr>
      <w:r>
        <w:rPr>
          <w:rFonts w:ascii="Times New Roman" w:eastAsia="Times New Roman" w:hAnsi="Times New Roman" w:cs="Times New Roman"/>
          <w:b/>
          <w:bCs/>
          <w:color w:val="000000"/>
          <w:spacing w:val="0"/>
          <w:w w:val="100"/>
          <w:position w:val="0"/>
        </w:rPr>
        <w:t>11</w:t>
      </w:r>
      <w:r>
        <w:rPr>
          <w:b/>
          <w:bCs/>
          <w:color w:val="000000"/>
          <w:spacing w:val="0"/>
          <w:w w:val="100"/>
          <w:position w:val="0"/>
        </w:rPr>
        <w:t>、存货</w:t>
      </w:r>
    </w:p>
    <w:p>
      <w:pPr>
        <w:pStyle w:val="Style35"/>
        <w:keepNext w:val="0"/>
        <w:keepLines w:val="0"/>
        <w:widowControl w:val="0"/>
        <w:numPr>
          <w:ilvl w:val="0"/>
          <w:numId w:val="13"/>
        </w:numPr>
        <w:shd w:val="clear" w:color="auto" w:fill="auto"/>
        <w:tabs>
          <w:tab w:pos="430" w:val="left"/>
        </w:tabs>
        <w:bidi w:val="0"/>
        <w:spacing w:before="0" w:after="280" w:line="312" w:lineRule="exact"/>
        <w:ind w:left="0" w:right="0" w:firstLine="0"/>
        <w:jc w:val="left"/>
      </w:pPr>
      <w:bookmarkStart w:id="484" w:name="bookmark484"/>
      <w:bookmarkEnd w:id="484"/>
      <w:r>
        <w:rPr>
          <w:b/>
          <w:bCs/>
          <w:color w:val="000000"/>
          <w:spacing w:val="0"/>
          <w:w w:val="100"/>
          <w:position w:val="0"/>
        </w:rPr>
        <w:t>存货的分类</w:t>
      </w:r>
    </w:p>
    <w:p>
      <w:pPr>
        <w:pStyle w:val="Style3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原材料、包装物、低值易耗品、半成品、在产品、产成品、委托加工物资等。</w:t>
      </w:r>
    </w:p>
    <w:p>
      <w:pPr>
        <w:pStyle w:val="Style48"/>
        <w:keepNext/>
        <w:keepLines/>
        <w:widowControl w:val="0"/>
        <w:numPr>
          <w:ilvl w:val="0"/>
          <w:numId w:val="13"/>
        </w:numPr>
        <w:shd w:val="clear" w:color="auto" w:fill="auto"/>
        <w:tabs>
          <w:tab w:pos="430" w:val="left"/>
        </w:tabs>
        <w:bidi w:val="0"/>
        <w:spacing w:before="0" w:after="280" w:line="312" w:lineRule="exact"/>
        <w:ind w:left="0" w:right="0" w:firstLine="0"/>
        <w:jc w:val="left"/>
      </w:pPr>
      <w:bookmarkStart w:id="485" w:name="bookmark485"/>
      <w:bookmarkStart w:id="486" w:name="bookmark486"/>
      <w:bookmarkStart w:id="487" w:name="bookmark487"/>
      <w:bookmarkStart w:id="488" w:name="bookmark488"/>
      <w:bookmarkEnd w:id="487"/>
      <w:r>
        <w:rPr>
          <w:color w:val="000000"/>
          <w:spacing w:val="0"/>
          <w:w w:val="100"/>
          <w:position w:val="0"/>
        </w:rPr>
        <w:t>发出存货的计价方法</w:t>
      </w:r>
      <w:bookmarkEnd w:id="485"/>
      <w:bookmarkEnd w:id="486"/>
      <w:bookmarkEnd w:id="488"/>
    </w:p>
    <w:p>
      <w:pPr>
        <w:pStyle w:val="Style3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计价方法：加权平均法</w:t>
      </w:r>
    </w:p>
    <w:p>
      <w:pPr>
        <w:pStyle w:val="Style48"/>
        <w:keepNext/>
        <w:keepLines/>
        <w:widowControl w:val="0"/>
        <w:numPr>
          <w:ilvl w:val="0"/>
          <w:numId w:val="13"/>
        </w:numPr>
        <w:shd w:val="clear" w:color="auto" w:fill="auto"/>
        <w:tabs>
          <w:tab w:pos="430" w:val="left"/>
        </w:tabs>
        <w:bidi w:val="0"/>
        <w:spacing w:before="0" w:after="280" w:line="312" w:lineRule="exact"/>
        <w:ind w:left="0" w:right="0" w:firstLine="0"/>
        <w:jc w:val="left"/>
      </w:pPr>
      <w:bookmarkStart w:id="489" w:name="bookmark489"/>
      <w:bookmarkStart w:id="490" w:name="bookmark490"/>
      <w:bookmarkStart w:id="491" w:name="bookmark491"/>
      <w:bookmarkStart w:id="492" w:name="bookmark492"/>
      <w:bookmarkEnd w:id="491"/>
      <w:r>
        <w:rPr>
          <w:color w:val="000000"/>
          <w:spacing w:val="0"/>
          <w:w w:val="100"/>
          <w:position w:val="0"/>
        </w:rPr>
        <w:t>存货可变现净值的确定依据及存货跌价准备的计提方法</w:t>
      </w:r>
      <w:bookmarkEnd w:id="489"/>
      <w:bookmarkEnd w:id="490"/>
      <w:bookmarkEnd w:id="492"/>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期末对存货进行全面清查后，按存货的成本与可变现净值孰低提取或调整存货跌价准备。</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5"/>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35"/>
        <w:keepNext w:val="0"/>
        <w:keepLines w:val="0"/>
        <w:widowControl w:val="0"/>
        <w:numPr>
          <w:ilvl w:val="0"/>
          <w:numId w:val="13"/>
        </w:numPr>
        <w:shd w:val="clear" w:color="auto" w:fill="auto"/>
        <w:tabs>
          <w:tab w:pos="430" w:val="left"/>
        </w:tabs>
        <w:bidi w:val="0"/>
        <w:spacing w:before="0" w:after="280" w:line="312" w:lineRule="exact"/>
        <w:ind w:left="0" w:right="0" w:firstLine="0"/>
        <w:jc w:val="left"/>
      </w:pPr>
      <w:bookmarkStart w:id="493" w:name="bookmark493"/>
      <w:bookmarkEnd w:id="493"/>
      <w:r>
        <w:rPr>
          <w:b/>
          <w:bCs/>
          <w:color w:val="000000"/>
          <w:spacing w:val="0"/>
          <w:w w:val="100"/>
          <w:position w:val="0"/>
        </w:rPr>
        <w:t>存货的盘存制度</w:t>
      </w:r>
    </w:p>
    <w:p>
      <w:pPr>
        <w:pStyle w:val="Style35"/>
        <w:keepNext w:val="0"/>
        <w:keepLines w:val="0"/>
        <w:widowControl w:val="0"/>
        <w:shd w:val="clear" w:color="auto" w:fill="auto"/>
        <w:bidi w:val="0"/>
        <w:spacing w:before="0" w:after="280" w:line="312" w:lineRule="exact"/>
        <w:ind w:left="0" w:right="0" w:firstLine="0"/>
        <w:jc w:val="left"/>
      </w:pPr>
      <w:bookmarkStart w:id="494" w:name="bookmark494"/>
      <w:r>
        <w:rPr>
          <w:color w:val="000000"/>
          <w:spacing w:val="0"/>
          <w:w w:val="100"/>
          <w:position w:val="0"/>
        </w:rPr>
        <w:t>盘</w:t>
      </w:r>
      <w:bookmarkEnd w:id="494"/>
      <w:r>
        <w:rPr>
          <w:color w:val="000000"/>
          <w:spacing w:val="0"/>
          <w:w w:val="100"/>
          <w:position w:val="0"/>
        </w:rPr>
        <w:t>存制度：永续盘存制</w:t>
      </w:r>
    </w:p>
    <w:p>
      <w:pPr>
        <w:pStyle w:val="Style48"/>
        <w:keepNext/>
        <w:keepLines/>
        <w:widowControl w:val="0"/>
        <w:numPr>
          <w:ilvl w:val="0"/>
          <w:numId w:val="13"/>
        </w:numPr>
        <w:shd w:val="clear" w:color="auto" w:fill="auto"/>
        <w:tabs>
          <w:tab w:pos="430" w:val="left"/>
        </w:tabs>
        <w:bidi w:val="0"/>
        <w:spacing w:before="0" w:after="280" w:line="312" w:lineRule="exact"/>
        <w:ind w:left="0" w:right="0" w:firstLine="0"/>
        <w:jc w:val="left"/>
      </w:pPr>
      <w:bookmarkStart w:id="495" w:name="bookmark495"/>
      <w:bookmarkStart w:id="496" w:name="bookmark496"/>
      <w:bookmarkStart w:id="497" w:name="bookmark497"/>
      <w:bookmarkStart w:id="498" w:name="bookmark498"/>
      <w:bookmarkEnd w:id="497"/>
      <w:r>
        <w:rPr>
          <w:color w:val="000000"/>
          <w:spacing w:val="0"/>
          <w:w w:val="100"/>
          <w:position w:val="0"/>
        </w:rPr>
        <w:t>低值易耗品和包装物的摊销方法</w:t>
      </w:r>
      <w:bookmarkEnd w:id="495"/>
      <w:bookmarkEnd w:id="496"/>
      <w:bookmarkEnd w:id="498"/>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低值易耗品</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摊销方法：一次摊销法</w:t>
      </w:r>
    </w:p>
    <w:p>
      <w:pPr>
        <w:pStyle w:val="Style35"/>
        <w:keepNext w:val="0"/>
        <w:keepLines w:val="0"/>
        <w:widowControl w:val="0"/>
        <w:shd w:val="clear" w:color="auto" w:fill="auto"/>
        <w:bidi w:val="0"/>
        <w:spacing w:before="0" w:after="280" w:line="312" w:lineRule="exact"/>
        <w:ind w:left="0" w:right="0" w:firstLine="0"/>
        <w:jc w:val="left"/>
        <w:sectPr>
          <w:headerReference w:type="default" r:id="rId165"/>
          <w:footerReference w:type="default" r:id="rId166"/>
          <w:headerReference w:type="even" r:id="rId167"/>
          <w:footerReference w:type="even" r:id="rId168"/>
          <w:footnotePr>
            <w:pos w:val="pageBottom"/>
            <w:numFmt w:val="decimal"/>
            <w:numRestart w:val="continuous"/>
          </w:footnotePr>
          <w:type w:val="continuous"/>
          <w:pgSz w:w="11900" w:h="16840"/>
          <w:pgMar w:top="1139" w:right="1026" w:bottom="1238" w:left="1087" w:header="0" w:footer="3" w:gutter="0"/>
          <w:cols w:space="720"/>
          <w:noEndnote/>
          <w:rtlGutter w:val="0"/>
          <w:docGrid w:linePitch="360"/>
        </w:sectPr>
      </w:pPr>
      <w:r>
        <w:rPr>
          <w:color w:val="000000"/>
          <w:spacing w:val="0"/>
          <w:w w:val="100"/>
          <w:position w:val="0"/>
        </w:rPr>
        <w:t>包装物</w:t>
      </w:r>
    </w:p>
    <w:p>
      <w:pPr>
        <w:pStyle w:val="Style3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摊销方法：一次摊销法</w:t>
      </w:r>
    </w:p>
    <w:p>
      <w:pPr>
        <w:pStyle w:val="Style48"/>
        <w:keepNext/>
        <w:keepLines/>
        <w:widowControl w:val="0"/>
        <w:shd w:val="clear" w:color="auto" w:fill="auto"/>
        <w:bidi w:val="0"/>
        <w:spacing w:before="0" w:after="260" w:line="326"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499"/>
      <w:bookmarkEnd w:id="500"/>
      <w:bookmarkEnd w:id="502"/>
    </w:p>
    <w:p>
      <w:pPr>
        <w:pStyle w:val="Style48"/>
        <w:keepNext/>
        <w:keepLines/>
        <w:widowControl w:val="0"/>
        <w:numPr>
          <w:ilvl w:val="0"/>
          <w:numId w:val="15"/>
        </w:numPr>
        <w:shd w:val="clear" w:color="auto" w:fill="auto"/>
        <w:tabs>
          <w:tab w:pos="370" w:val="left"/>
        </w:tabs>
        <w:bidi w:val="0"/>
        <w:spacing w:before="0" w:after="260" w:line="313" w:lineRule="exact"/>
        <w:ind w:left="0" w:right="0" w:firstLine="0"/>
        <w:jc w:val="left"/>
      </w:pPr>
      <w:bookmarkStart w:id="499" w:name="bookmark499"/>
      <w:bookmarkStart w:id="500" w:name="bookmark500"/>
      <w:bookmarkStart w:id="503" w:name="bookmark503"/>
      <w:bookmarkStart w:id="504" w:name="bookmark504"/>
      <w:bookmarkEnd w:id="503"/>
      <w:r>
        <w:rPr>
          <w:color w:val="000000"/>
          <w:spacing w:val="0"/>
          <w:w w:val="100"/>
          <w:position w:val="0"/>
        </w:rPr>
        <w:t>投资成本的确定</w:t>
      </w:r>
      <w:bookmarkEnd w:id="499"/>
      <w:bookmarkEnd w:id="500"/>
      <w:bookmarkEnd w:id="504"/>
    </w:p>
    <w:p>
      <w:pPr>
        <w:pStyle w:val="Style35"/>
        <w:keepNext w:val="0"/>
        <w:keepLines w:val="0"/>
        <w:widowControl w:val="0"/>
        <w:shd w:val="clear" w:color="auto" w:fill="auto"/>
        <w:tabs>
          <w:tab w:pos="7651" w:val="left"/>
        </w:tabs>
        <w:bidi w:val="0"/>
        <w:spacing w:before="0" w:after="0" w:line="313" w:lineRule="exact"/>
        <w:ind w:left="0" w:right="0" w:firstLine="440"/>
        <w:jc w:val="both"/>
      </w:pPr>
      <w:r>
        <w:rPr>
          <w:color w:val="000000"/>
          <w:spacing w:val="0"/>
          <w:w w:val="100"/>
          <w:position w:val="0"/>
        </w:rPr>
        <w:t>企业合并形成的长期股权投资同一控制下的企业合并：公司以支付现金、转让非现金资产或承担债务 方式以及以发行权益性证券作为合并对价的，在合并日按照取得被合并方所有者权益账面价值的份额作为 长期股权投资的初始投资成本。长期股权投资初始投资成本与支付合并对价之间的差额，调整资本公积中 的股本溢价；资本公积中的股本溢价不足冲减的，调整留存收益。合并发生的各项直接相关费用，包括为 进行合并而支付的审计费用、评估费用、法律服务费用等，于发生时计入当期损益。非同一控制下的企业 合并：公司按照购买日确定的合并成本作为长期股权投资的初始投资成本。合并成本为购买日购买方为取 得对被购买方的控制权而付出的资产、发生或承担的负债以及发行的权益性证券的公允价值。购买方为企 业合并而发生的审计、法律服务、评估咨询等中介费用以及其他相关管理费用于发生时计入当期损益；购 买方作为合并对价发行的权益性证券或债务性证券的交易费用，计入权益性证券或债务性证券的初始确认 金额。通过多次交易分步实现的非同一控制下企业合并，以购买日之前所持被购买方的股权投资的账面价 值与购买日新增投资成本之和，作为该项投资的初始投资成本。本公司将合并协议约定的或有对价作为企 业合并转移对价的一部分，按照其在购买日的公允价值计入企业合并成本。</w:t>
        <w:tab/>
        <w:t>其他方式取得的长期</w:t>
      </w:r>
    </w:p>
    <w:p>
      <w:pPr>
        <w:pStyle w:val="Style35"/>
        <w:keepNext w:val="0"/>
        <w:keepLines w:val="0"/>
        <w:widowControl w:val="0"/>
        <w:shd w:val="clear" w:color="auto" w:fill="auto"/>
        <w:bidi w:val="0"/>
        <w:spacing w:before="0" w:after="260" w:line="313" w:lineRule="exact"/>
        <w:ind w:left="0" w:right="0" w:firstLine="0"/>
        <w:jc w:val="both"/>
      </w:pPr>
      <w:r>
        <w:rPr>
          <w:color w:val="000000"/>
          <w:spacing w:val="0"/>
          <w:w w:val="100"/>
          <w:position w:val="0"/>
        </w:rPr>
        <w:t>股权投资以支付现金方式取得的长期股权投资，按照实际支付的购买价款作为初始投资成本。以发行权益 性证券取得的长期股权投资，按照发行权益性证券的公允价值作为初始投资成本。投资者投入的长期股权 投资，按照投资合同或协议约定的价值</w:t>
      </w:r>
      <w:r>
        <w:rPr>
          <w:rFonts w:ascii="Times New Roman" w:eastAsia="Times New Roman" w:hAnsi="Times New Roman" w:cs="Times New Roman"/>
          <w:color w:val="000000"/>
          <w:spacing w:val="0"/>
          <w:w w:val="100"/>
          <w:position w:val="0"/>
        </w:rPr>
        <w:t>(</w:t>
      </w:r>
      <w:r>
        <w:rPr>
          <w:color w:val="000000"/>
          <w:spacing w:val="0"/>
          <w:w w:val="100"/>
          <w:position w:val="0"/>
        </w:rPr>
        <w:t>扣除已宣告但尚未发放的现金股利或利润</w:t>
      </w:r>
      <w:r>
        <w:rPr>
          <w:rFonts w:ascii="Times New Roman" w:eastAsia="Times New Roman" w:hAnsi="Times New Roman" w:cs="Times New Roman"/>
          <w:color w:val="000000"/>
          <w:spacing w:val="0"/>
          <w:w w:val="100"/>
          <w:position w:val="0"/>
        </w:rPr>
        <w:t>)</w:t>
      </w:r>
      <w:r>
        <w:rPr>
          <w:color w:val="000000"/>
          <w:spacing w:val="0"/>
          <w:w w:val="100"/>
          <w:position w:val="0"/>
        </w:rPr>
        <w:t>作为初始投资成本，但 合同或协议约定价值不公允的除外。在非货币性资产交换具备商业实质和换入资产或换出资产的公允价 值能够可靠计量的前提下，非货币性资产交换换入的长期股权投资以换出资产的公允价值为基础确定其初 始投资成本，除非有确凿证据表明换入资产的公允价值更加可靠；不满足上述前提的非货币性资产交换， 以换出资产的账面价值和应支付的相关税费作为换入长期股权投资的初始投资成本。通过债务重组取得的 长期股权投资，其初始投资成本按照公允价值为基础确定。</w:t>
      </w:r>
    </w:p>
    <w:p>
      <w:pPr>
        <w:pStyle w:val="Style48"/>
        <w:keepNext/>
        <w:keepLines/>
        <w:widowControl w:val="0"/>
        <w:numPr>
          <w:ilvl w:val="0"/>
          <w:numId w:val="15"/>
        </w:numPr>
        <w:shd w:val="clear" w:color="auto" w:fill="auto"/>
        <w:tabs>
          <w:tab w:pos="370" w:val="left"/>
        </w:tabs>
        <w:bidi w:val="0"/>
        <w:spacing w:before="0" w:after="260" w:line="313" w:lineRule="exact"/>
        <w:ind w:left="0" w:right="0" w:firstLine="0"/>
        <w:jc w:val="both"/>
      </w:pPr>
      <w:bookmarkStart w:id="505" w:name="bookmark505"/>
      <w:bookmarkStart w:id="506" w:name="bookmark506"/>
      <w:bookmarkStart w:id="507" w:name="bookmark507"/>
      <w:bookmarkStart w:id="508" w:name="bookmark508"/>
      <w:bookmarkEnd w:id="507"/>
      <w:r>
        <w:rPr>
          <w:color w:val="000000"/>
          <w:spacing w:val="0"/>
          <w:w w:val="100"/>
          <w:position w:val="0"/>
        </w:rPr>
        <w:t>后续计量及损益确认</w:t>
      </w:r>
      <w:bookmarkEnd w:id="505"/>
      <w:bookmarkEnd w:id="506"/>
      <w:bookmarkEnd w:id="508"/>
    </w:p>
    <w:p>
      <w:pPr>
        <w:pStyle w:val="Style35"/>
        <w:keepNext w:val="0"/>
        <w:keepLines w:val="0"/>
        <w:widowControl w:val="0"/>
        <w:shd w:val="clear" w:color="auto" w:fill="auto"/>
        <w:tabs>
          <w:tab w:pos="5467" w:val="left"/>
        </w:tabs>
        <w:bidi w:val="0"/>
        <w:spacing w:before="0" w:after="0" w:line="312" w:lineRule="exact"/>
        <w:ind w:left="0" w:right="0" w:firstLine="440"/>
        <w:jc w:val="both"/>
      </w:pPr>
      <w:r>
        <w:rPr>
          <w:color w:val="000000"/>
          <w:spacing w:val="0"/>
          <w:w w:val="100"/>
          <w:position w:val="0"/>
        </w:rPr>
        <w:t>后续计量：公司对子公司的长期股权投资，采用成本法核算，编制合并财务报表时按照权益法进行调 整。对被投资单位不具有共同控制或重大影响，并且在活跃市场中没有报价、公允价值不能可靠计量的长 期股权投资，采用成本法核算。对被投资单位具有共同控制或重大影响的长期股权投资，采用权益法核算。 初始投资成本大于投资时应享有被投资单位可辨认净资产公允价值份额的差额，不调整长期股权投资的初 始投资成本；初始投资成本小于投资时应享有被投资单位可辨认净资产公允价值份额的差额，计入当期损 益。被投资单位除净损益以外所有者权益其他变动的处理：对于被投资单位除净损益以外所有者权益的其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w:t>
      </w:r>
      <w:r>
        <w:rPr>
          <w:color w:val="000000"/>
          <w:spacing w:val="0"/>
          <w:w w:val="100"/>
          <w:position w:val="0"/>
        </w:rPr>
        <w:t>。</w:t>
        <w:tab/>
        <w:t>损益确认：成本法下，除取得投资时实际支付</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的价款或对价中包含的已宣告但尚未发放的现金股利或利润外，公司按照享有被投资单位宣告发放的现金 股利或利润确认投资收益。权益法下，在被投资单位账面净利润的基础上考虑：被投资单位与本公司采用 的会计政策及会计期间不一致，按本公司的会计政策及会计期间对被投资单位财务报表进行调整；以取得 投资时被投资单位固定资产、无形资产的公允价值为基础计提的折旧额或摊销额以及有关资产减值准备金 额等对被投资单位净利润的影响；对本公司与联营企业及合营企业之间发生的未实现内部交易予以抵销等 事项的适当调整后，确认应享有或应负担被投资单位的净利润或净亏损。在公司确认应分担被投资单位发 生的亏损时，按照以下顺序进行处理：首先，冲减长期股权投资的账面价值。其次，长期股权投资的账面 </w:t>
      </w:r>
      <w:r>
        <w:rPr>
          <w:color w:val="000000"/>
          <w:spacing w:val="0"/>
          <w:w w:val="100"/>
          <w:position w:val="0"/>
        </w:rPr>
        <w:t>价值不足以冲减的，以其他实质上构成对被投资单位净投资的长期权益账面价值为限继续确认投资损失， 冲减长期应收项目等的账面价值。最后，经过上述处理，按照投资合同或协议约定企业仍承担额外义务的， 按预计承担的义务确认预计负债，计入当期投资损失。被投资单位以后期间实现盈利的，公司在扣除未确 认的亏损分担额后，按与上述相反的顺序处理，减记已确认预计负债的账面余额、恢复其他实质上构成对 被投资单位净投资的长期权益及长期股权投资的账面价值，同时确认投资收益。在持有投资期间，被投资 单位能够提供合并财务报表的，应当以合并财务报表中的净利润和其他权益变动为基础进行核算。</w:t>
      </w:r>
    </w:p>
    <w:p>
      <w:pPr>
        <w:pStyle w:val="Style3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长期股权投资的处置：处置长期股权投资，其账面价值与实际取得价款的差额，计入当期损益。采用权益 法核算的长期股权投资，因被投资单位除净损益以外所有者权益的其他变动而计入所有者权益的，处置该 项投资时将原计入所有者权益的部分按相应比例转入当期损益。因处置部分股权投资或其他原因丧失了对 原有子公司控制权的，对于剩余股权，按其账面价值确认为长期股权投资或其他相关金融资产。处置后的 剩余股权能够对原有子公司实施共同控制或重大影响的，首先按处置或收回投资的比例结转应终止确认的 长期股权投资成本。在此基础上，比较剩余的长期股权投资成本与按照剩余持股比例计算原投资时应享有 被投资单位可辨认净资产公允价值的份额，属于投资作价中体现的商誉部分，不调整长期股权投资的账面 价值；属于投资成本小于原投资时应享有被投资单位可辨认净资产公允价值份额的，在调整长期股权投资 成本的同时调整留存收益。对于原取得投资后至因处置投资导致转变为权益法核算之间被投资单位实现净 损益中应享有的份额，一方面调整长期股权投资的账面价值，同时对于原取得投资时至处置投资当期期初 被投资单位实现的净损益</w:t>
      </w:r>
      <w:r>
        <w:rPr>
          <w:rFonts w:ascii="Times New Roman" w:eastAsia="Times New Roman" w:hAnsi="Times New Roman" w:cs="Times New Roman"/>
          <w:color w:val="000000"/>
          <w:spacing w:val="0"/>
          <w:w w:val="100"/>
          <w:position w:val="0"/>
        </w:rPr>
        <w:t>(</w:t>
      </w:r>
      <w:r>
        <w:rPr>
          <w:color w:val="000000"/>
          <w:spacing w:val="0"/>
          <w:w w:val="100"/>
          <w:position w:val="0"/>
        </w:rPr>
        <w:t>扣除已发放及已宣告发放的现金股利和利润</w:t>
      </w:r>
      <w:r>
        <w:rPr>
          <w:rFonts w:ascii="Times New Roman" w:eastAsia="Times New Roman" w:hAnsi="Times New Roman" w:cs="Times New Roman"/>
          <w:color w:val="000000"/>
          <w:spacing w:val="0"/>
          <w:w w:val="100"/>
          <w:position w:val="0"/>
        </w:rPr>
        <w:t>)</w:t>
      </w:r>
      <w:r>
        <w:rPr>
          <w:color w:val="000000"/>
          <w:spacing w:val="0"/>
          <w:w w:val="100"/>
          <w:position w:val="0"/>
        </w:rPr>
        <w:t>中应享有的份额，调整留存收益， 对于处置投资当期期初至处置投资之日被投资单位实现的净损益中享有的份额，调整当期损益；其他原因 导致被投资单位所有者权益变动中应享有的份额，在调整长期股权投资账面价值的同时，计入资本公积</w:t>
      </w:r>
      <w:r>
        <w:rPr>
          <w:rFonts w:ascii="Times New Roman" w:eastAsia="Times New Roman" w:hAnsi="Times New Roman" w:cs="Times New Roman"/>
          <w:color w:val="000000"/>
          <w:spacing w:val="0"/>
          <w:w w:val="100"/>
          <w:position w:val="0"/>
        </w:rPr>
        <w:t>(</w:t>
      </w:r>
      <w:r>
        <w:rPr>
          <w:color w:val="000000"/>
          <w:spacing w:val="0"/>
          <w:w w:val="100"/>
          <w:position w:val="0"/>
        </w:rPr>
        <w:t>其 他资本公积</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8"/>
        <w:keepNext/>
        <w:keepLines/>
        <w:widowControl w:val="0"/>
        <w:numPr>
          <w:ilvl w:val="0"/>
          <w:numId w:val="15"/>
        </w:numPr>
        <w:shd w:val="clear" w:color="auto" w:fill="auto"/>
        <w:tabs>
          <w:tab w:pos="370" w:val="left"/>
        </w:tabs>
        <w:bidi w:val="0"/>
        <w:spacing w:before="0" w:after="200" w:line="326" w:lineRule="auto"/>
        <w:ind w:left="0" w:right="0" w:firstLine="0"/>
        <w:jc w:val="both"/>
      </w:pPr>
      <w:bookmarkStart w:id="509" w:name="bookmark509"/>
      <w:bookmarkStart w:id="510" w:name="bookmark510"/>
      <w:bookmarkStart w:id="511" w:name="bookmark511"/>
      <w:bookmarkStart w:id="512" w:name="bookmark512"/>
      <w:bookmarkEnd w:id="511"/>
      <w:r>
        <w:rPr>
          <w:color w:val="000000"/>
          <w:spacing w:val="0"/>
          <w:w w:val="100"/>
          <w:position w:val="0"/>
        </w:rPr>
        <w:t>确定对被投资单位具有共同控制、重大影响的依据</w:t>
      </w:r>
      <w:bookmarkEnd w:id="509"/>
      <w:bookmarkEnd w:id="510"/>
      <w:bookmarkEnd w:id="512"/>
    </w:p>
    <w:p>
      <w:pPr>
        <w:pStyle w:val="Style3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共同控制，是指按照合同约定对某项经济活动所共有的控制，仅在与该项经济活动相关的重要财务和 经营决策需要分享控制权的投资方一致同意时存在。投资企业与其他方对被投资单位实施共同控制的，被 投资单位为其合营企业。重大影响，是指对一个企业的财务和经营决策有参与决策的权力，但并不能够控 制或者与其他方一起共同控制这些政策的制定。投资企业能够对被投资单位施加重大影响的，被投资单位 为其联营企业。</w:t>
      </w:r>
    </w:p>
    <w:p>
      <w:pPr>
        <w:pStyle w:val="Style48"/>
        <w:keepNext/>
        <w:keepLines/>
        <w:widowControl w:val="0"/>
        <w:numPr>
          <w:ilvl w:val="0"/>
          <w:numId w:val="15"/>
        </w:numPr>
        <w:shd w:val="clear" w:color="auto" w:fill="auto"/>
        <w:tabs>
          <w:tab w:pos="370" w:val="left"/>
        </w:tabs>
        <w:bidi w:val="0"/>
        <w:spacing w:before="0" w:after="200" w:line="326" w:lineRule="auto"/>
        <w:ind w:left="0" w:right="0" w:firstLine="0"/>
        <w:jc w:val="both"/>
      </w:pPr>
      <w:bookmarkStart w:id="513" w:name="bookmark513"/>
      <w:bookmarkStart w:id="514" w:name="bookmark514"/>
      <w:bookmarkStart w:id="515" w:name="bookmark515"/>
      <w:bookmarkStart w:id="516" w:name="bookmark516"/>
      <w:bookmarkEnd w:id="515"/>
      <w:r>
        <w:rPr>
          <w:color w:val="000000"/>
          <w:spacing w:val="0"/>
          <w:w w:val="100"/>
          <w:position w:val="0"/>
        </w:rPr>
        <w:t>减值测试方法及减值准备计提方法</w:t>
      </w:r>
      <w:bookmarkEnd w:id="513"/>
      <w:bookmarkEnd w:id="514"/>
      <w:bookmarkEnd w:id="516"/>
    </w:p>
    <w:p>
      <w:pPr>
        <w:pStyle w:val="Style35"/>
        <w:keepNext w:val="0"/>
        <w:keepLines w:val="0"/>
        <w:widowControl w:val="0"/>
        <w:shd w:val="clear" w:color="auto" w:fill="auto"/>
        <w:tabs>
          <w:tab w:pos="7320" w:val="left"/>
        </w:tabs>
        <w:bidi w:val="0"/>
        <w:spacing w:before="0" w:after="0" w:line="314" w:lineRule="exact"/>
        <w:ind w:left="0" w:right="0" w:firstLine="440"/>
        <w:jc w:val="both"/>
      </w:pPr>
      <w:r>
        <w:rPr>
          <w:color w:val="000000"/>
          <w:spacing w:val="0"/>
          <w:w w:val="100"/>
          <w:position w:val="0"/>
        </w:rPr>
        <w:t>重大影响以下的、在活跃市场中没有报价、公允价值不能可靠计量的长期股权投资，其减值损失是根 据其账面价值与按类似金融资产当时市场收益率对未来现金流量折现确定的现值之间的差额进行确定。 除因企业合并形成的商誉以外的存在减值迹象的其他长期股权投资，如果可收回金额的计量结果表明，该 长期股权投资的可收回金额低于其账面价值的，将差额确认为减值损失。</w:t>
        <w:tab/>
        <w:t>长期股权投资减值损失一</w:t>
      </w:r>
    </w:p>
    <w:p>
      <w:pPr>
        <w:pStyle w:val="Style3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经确认，不再转回。</w:t>
      </w:r>
    </w:p>
    <w:p>
      <w:pPr>
        <w:pStyle w:val="Style48"/>
        <w:keepNext/>
        <w:keepLines/>
        <w:widowControl w:val="0"/>
        <w:shd w:val="clear" w:color="auto" w:fill="auto"/>
        <w:bidi w:val="0"/>
        <w:spacing w:before="0" w:after="300" w:line="326"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517"/>
      <w:bookmarkEnd w:id="518"/>
      <w:bookmarkEnd w:id="520"/>
    </w:p>
    <w:p>
      <w:pPr>
        <w:pStyle w:val="Style48"/>
        <w:keepNext/>
        <w:keepLines/>
        <w:widowControl w:val="0"/>
        <w:numPr>
          <w:ilvl w:val="0"/>
          <w:numId w:val="17"/>
        </w:numPr>
        <w:shd w:val="clear" w:color="auto" w:fill="auto"/>
        <w:bidi w:val="0"/>
        <w:spacing w:before="0" w:after="200" w:line="326" w:lineRule="auto"/>
        <w:ind w:left="0" w:right="0" w:firstLine="0"/>
        <w:jc w:val="both"/>
      </w:pPr>
      <w:bookmarkStart w:id="517" w:name="bookmark517"/>
      <w:bookmarkStart w:id="518" w:name="bookmark518"/>
      <w:bookmarkStart w:id="521" w:name="bookmark521"/>
      <w:bookmarkStart w:id="522" w:name="bookmark522"/>
      <w:bookmarkEnd w:id="521"/>
      <w:r>
        <w:rPr>
          <w:color w:val="000000"/>
          <w:spacing w:val="0"/>
          <w:w w:val="100"/>
          <w:position w:val="0"/>
        </w:rPr>
        <w:t>固定资产确认条件</w:t>
      </w:r>
      <w:bookmarkEnd w:id="517"/>
      <w:bookmarkEnd w:id="518"/>
      <w:bookmarkEnd w:id="522"/>
    </w:p>
    <w:p>
      <w:pPr>
        <w:pStyle w:val="Style35"/>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资产。固定资产在同时满足下列条件时予以确认：①与该固定资产有关的经济利益很可能流入企业；② 该固定资产的成本能够可靠地计量。</w:t>
      </w:r>
    </w:p>
    <w:p>
      <w:pPr>
        <w:pStyle w:val="Style48"/>
        <w:keepNext/>
        <w:keepLines/>
        <w:widowControl w:val="0"/>
        <w:numPr>
          <w:ilvl w:val="0"/>
          <w:numId w:val="17"/>
        </w:numPr>
        <w:shd w:val="clear" w:color="auto" w:fill="auto"/>
        <w:tabs>
          <w:tab w:pos="430" w:val="left"/>
        </w:tabs>
        <w:bidi w:val="0"/>
        <w:spacing w:before="0" w:after="280" w:line="312" w:lineRule="exact"/>
        <w:ind w:left="0" w:right="0" w:firstLine="0"/>
        <w:jc w:val="left"/>
      </w:pPr>
      <w:bookmarkStart w:id="523" w:name="bookmark523"/>
      <w:bookmarkStart w:id="524" w:name="bookmark524"/>
      <w:bookmarkStart w:id="525" w:name="bookmark525"/>
      <w:bookmarkStart w:id="526" w:name="bookmark526"/>
      <w:bookmarkEnd w:id="525"/>
      <w:r>
        <w:rPr>
          <w:color w:val="000000"/>
          <w:spacing w:val="0"/>
          <w:w w:val="100"/>
          <w:position w:val="0"/>
        </w:rPr>
        <w:t>融资租入固定资产的认定依据、计价方法</w:t>
      </w:r>
      <w:bookmarkEnd w:id="523"/>
      <w:bookmarkEnd w:id="524"/>
      <w:bookmarkEnd w:id="526"/>
    </w:p>
    <w:p>
      <w:pPr>
        <w:pStyle w:val="Style3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本报告期未发生融资租入固定资产事项。</w:t>
      </w:r>
    </w:p>
    <w:p>
      <w:pPr>
        <w:pStyle w:val="Style48"/>
        <w:keepNext/>
        <w:keepLines/>
        <w:widowControl w:val="0"/>
        <w:numPr>
          <w:ilvl w:val="0"/>
          <w:numId w:val="17"/>
        </w:numPr>
        <w:shd w:val="clear" w:color="auto" w:fill="auto"/>
        <w:tabs>
          <w:tab w:pos="430" w:val="left"/>
        </w:tabs>
        <w:bidi w:val="0"/>
        <w:spacing w:before="0" w:after="280" w:line="312" w:lineRule="exact"/>
        <w:ind w:left="0" w:right="0" w:firstLine="0"/>
        <w:jc w:val="left"/>
      </w:pPr>
      <w:bookmarkStart w:id="527" w:name="bookmark527"/>
      <w:bookmarkStart w:id="528" w:name="bookmark528"/>
      <w:bookmarkStart w:id="529" w:name="bookmark529"/>
      <w:bookmarkStart w:id="530" w:name="bookmark530"/>
      <w:bookmarkEnd w:id="529"/>
      <w:r>
        <w:rPr>
          <w:color w:val="000000"/>
          <w:spacing w:val="0"/>
          <w:w w:val="100"/>
          <w:position w:val="0"/>
        </w:rPr>
        <w:t>各类固定资产的折旧方法</w:t>
      </w:r>
      <w:bookmarkEnd w:id="527"/>
      <w:bookmarkEnd w:id="528"/>
      <w:bookmarkEnd w:id="530"/>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固定资产折旧采用年限平均法分类计提，根据固定资产类别、预计使用寿命和预计净残值率确定折旧 率。如固定资产各组成部分的使用寿命不同或者以不同方式为企业提供经济利益，则选择不同折旧率或折 旧方法，分别计提折旧。</w:t>
      </w:r>
    </w:p>
    <w:p>
      <w:pPr>
        <w:pStyle w:val="Style35"/>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38"/>
        <w:keepNext w:val="0"/>
        <w:keepLines w:val="0"/>
        <w:widowControl w:val="0"/>
        <w:shd w:val="clear" w:color="auto" w:fill="auto"/>
        <w:bidi w:val="0"/>
        <w:spacing w:before="0" w:after="0" w:line="240" w:lineRule="auto"/>
        <w:ind w:left="413" w:right="0" w:firstLine="0"/>
        <w:jc w:val="left"/>
      </w:pPr>
      <w:r>
        <w:rPr>
          <w:color w:val="000000"/>
          <w:spacing w:val="0"/>
          <w:w w:val="100"/>
          <w:position w:val="0"/>
        </w:rPr>
        <w:t>各类固定资产折旧年限和年折旧率如下:</w:t>
      </w:r>
    </w:p>
    <w:tbl>
      <w:tblPr>
        <w:tblOverlap w:val="never"/>
        <w:jc w:val="center"/>
        <w:tblLayout w:type="fixed"/>
      </w:tblPr>
      <w:tblGrid>
        <w:gridCol w:w="2525"/>
        <w:gridCol w:w="2342"/>
        <w:gridCol w:w="2342"/>
        <w:gridCol w:w="237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工装模具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r>
    </w:tbl>
    <w:p>
      <w:pPr>
        <w:widowControl w:val="0"/>
        <w:spacing w:after="279" w:line="1" w:lineRule="exact"/>
      </w:pPr>
    </w:p>
    <w:p>
      <w:pPr>
        <w:pStyle w:val="Style48"/>
        <w:keepNext/>
        <w:keepLines/>
        <w:widowControl w:val="0"/>
        <w:numPr>
          <w:ilvl w:val="0"/>
          <w:numId w:val="17"/>
        </w:numPr>
        <w:shd w:val="clear" w:color="auto" w:fill="auto"/>
        <w:bidi w:val="0"/>
        <w:spacing w:before="0" w:after="280" w:line="318" w:lineRule="exact"/>
        <w:ind w:left="0" w:right="0" w:firstLine="0"/>
        <w:jc w:val="left"/>
      </w:pPr>
      <w:bookmarkStart w:id="531" w:name="bookmark531"/>
      <w:bookmarkStart w:id="532" w:name="bookmark532"/>
      <w:bookmarkStart w:id="533" w:name="bookmark533"/>
      <w:bookmarkStart w:id="534" w:name="bookmark534"/>
      <w:bookmarkEnd w:id="533"/>
      <w:r>
        <w:rPr>
          <w:color w:val="000000"/>
          <w:spacing w:val="0"/>
          <w:w w:val="100"/>
          <w:position w:val="0"/>
        </w:rPr>
        <w:t>固定资产的减值测试方法、减值准备计提方法</w:t>
      </w:r>
      <w:bookmarkEnd w:id="531"/>
      <w:bookmarkEnd w:id="532"/>
      <w:bookmarkEnd w:id="534"/>
    </w:p>
    <w:p>
      <w:pPr>
        <w:pStyle w:val="Style3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公司在每期末判断固定资产是否存在可能发生减值的迹象。</w:t>
      </w:r>
    </w:p>
    <w:p>
      <w:pPr>
        <w:pStyle w:val="Style3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固定资产存在减值迹象的，估计其可收回金额。可收回金额根据固定资产的公允价值减去处置费用后 的净额与固定资产预计未来现金流量的现值两者之间较高者确定。</w:t>
      </w:r>
    </w:p>
    <w:p>
      <w:pPr>
        <w:pStyle w:val="Style3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3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固定资产减值损失确认后，减值固定资产的折旧在未来期间作相应调整，以使该固定资产在剩余使用 寿命内，系统地分摊调整后的固定资产账面价值</w:t>
      </w:r>
      <w:r>
        <w:rPr>
          <w:rFonts w:ascii="Times New Roman" w:eastAsia="Times New Roman" w:hAnsi="Times New Roman" w:cs="Times New Roman"/>
          <w:color w:val="000000"/>
          <w:spacing w:val="0"/>
          <w:w w:val="100"/>
          <w:position w:val="0"/>
        </w:rPr>
        <w:t>(</w:t>
      </w:r>
      <w:r>
        <w:rPr>
          <w:color w:val="000000"/>
          <w:spacing w:val="0"/>
          <w:w w:val="100"/>
          <w:position w:val="0"/>
        </w:rPr>
        <w:t>扣除预计净残值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固定资产的减值损失一经确认，在以后会计期间不再转回。</w:t>
      </w:r>
    </w:p>
    <w:p>
      <w:pPr>
        <w:pStyle w:val="Style35"/>
        <w:keepNext w:val="0"/>
        <w:keepLines w:val="0"/>
        <w:widowControl w:val="0"/>
        <w:shd w:val="clear" w:color="auto" w:fill="auto"/>
        <w:bidi w:val="0"/>
        <w:spacing w:before="0" w:after="280" w:line="318" w:lineRule="exact"/>
        <w:ind w:left="0" w:right="0" w:firstLine="440"/>
        <w:jc w:val="both"/>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48"/>
        <w:keepNext/>
        <w:keepLines/>
        <w:widowControl w:val="0"/>
        <w:shd w:val="clear" w:color="auto" w:fill="auto"/>
        <w:bidi w:val="0"/>
        <w:spacing w:before="0" w:after="380" w:line="318" w:lineRule="exact"/>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1</w:t>
      </w:r>
      <w:bookmarkEnd w:id="537"/>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535"/>
      <w:bookmarkEnd w:id="536"/>
      <w:bookmarkEnd w:id="538"/>
    </w:p>
    <w:p>
      <w:pPr>
        <w:pStyle w:val="Style48"/>
        <w:keepNext/>
        <w:keepLines/>
        <w:widowControl w:val="0"/>
        <w:numPr>
          <w:ilvl w:val="0"/>
          <w:numId w:val="19"/>
        </w:numPr>
        <w:shd w:val="clear" w:color="auto" w:fill="auto"/>
        <w:tabs>
          <w:tab w:pos="430" w:val="left"/>
        </w:tabs>
        <w:bidi w:val="0"/>
        <w:spacing w:before="0" w:after="180" w:line="331" w:lineRule="auto"/>
        <w:ind w:left="0" w:right="0" w:firstLine="0"/>
        <w:jc w:val="left"/>
      </w:pPr>
      <w:bookmarkStart w:id="535" w:name="bookmark535"/>
      <w:bookmarkStart w:id="536" w:name="bookmark536"/>
      <w:bookmarkStart w:id="539" w:name="bookmark539"/>
      <w:bookmarkStart w:id="540" w:name="bookmark540"/>
      <w:bookmarkEnd w:id="539"/>
      <w:r>
        <w:rPr>
          <w:color w:val="000000"/>
          <w:spacing w:val="0"/>
          <w:w w:val="100"/>
          <w:position w:val="0"/>
        </w:rPr>
        <w:t>在建工程的类别</w:t>
      </w:r>
      <w:bookmarkEnd w:id="535"/>
      <w:bookmarkEnd w:id="536"/>
      <w:bookmarkEnd w:id="540"/>
    </w:p>
    <w:p>
      <w:pPr>
        <w:pStyle w:val="Style35"/>
        <w:keepNext w:val="0"/>
        <w:keepLines w:val="0"/>
        <w:widowControl w:val="0"/>
        <w:shd w:val="clear" w:color="auto" w:fill="auto"/>
        <w:bidi w:val="0"/>
        <w:spacing w:before="0" w:after="380" w:line="318" w:lineRule="exact"/>
        <w:ind w:left="0" w:right="0" w:firstLine="440"/>
        <w:jc w:val="both"/>
      </w:pPr>
      <w:r>
        <w:rPr>
          <w:color w:val="000000"/>
          <w:spacing w:val="0"/>
          <w:w w:val="100"/>
          <w:position w:val="0"/>
        </w:rPr>
        <w:t>在建工程以立项项目分类核算。</w:t>
      </w:r>
    </w:p>
    <w:p>
      <w:pPr>
        <w:pStyle w:val="Style48"/>
        <w:keepNext/>
        <w:keepLines/>
        <w:widowControl w:val="0"/>
        <w:numPr>
          <w:ilvl w:val="0"/>
          <w:numId w:val="19"/>
        </w:numPr>
        <w:shd w:val="clear" w:color="auto" w:fill="auto"/>
        <w:tabs>
          <w:tab w:pos="430" w:val="left"/>
        </w:tabs>
        <w:bidi w:val="0"/>
        <w:spacing w:before="0" w:after="180" w:line="331" w:lineRule="auto"/>
        <w:ind w:left="0" w:right="0" w:firstLine="0"/>
        <w:jc w:val="left"/>
      </w:pPr>
      <w:bookmarkStart w:id="541" w:name="bookmark541"/>
      <w:bookmarkStart w:id="542" w:name="bookmark542"/>
      <w:bookmarkStart w:id="543" w:name="bookmark543"/>
      <w:bookmarkStart w:id="544" w:name="bookmark544"/>
      <w:bookmarkEnd w:id="543"/>
      <w:r>
        <w:rPr>
          <w:color w:val="000000"/>
          <w:spacing w:val="0"/>
          <w:w w:val="100"/>
          <w:position w:val="0"/>
        </w:rPr>
        <w:t>在建工程结转为固定资产的标准和时点</w:t>
      </w:r>
      <w:bookmarkEnd w:id="541"/>
      <w:bookmarkEnd w:id="542"/>
      <w:bookmarkEnd w:id="544"/>
    </w:p>
    <w:p>
      <w:pPr>
        <w:pStyle w:val="Style35"/>
        <w:keepNext w:val="0"/>
        <w:keepLines w:val="0"/>
        <w:widowControl w:val="0"/>
        <w:shd w:val="clear" w:color="auto" w:fill="auto"/>
        <w:bidi w:val="0"/>
        <w:spacing w:before="0" w:after="380" w:line="318" w:lineRule="exact"/>
        <w:ind w:left="0" w:right="0" w:firstLine="440"/>
        <w:jc w:val="both"/>
        <w:sectPr>
          <w:headerReference w:type="default" r:id="rId169"/>
          <w:footerReference w:type="default" r:id="rId170"/>
          <w:headerReference w:type="even" r:id="rId171"/>
          <w:footerReference w:type="even" r:id="rId172"/>
          <w:footnotePr>
            <w:pos w:val="pageBottom"/>
            <w:numFmt w:val="decimal"/>
            <w:numRestart w:val="continuous"/>
          </w:footnotePr>
          <w:type w:val="continuous"/>
          <w:pgSz w:w="11900" w:h="16840"/>
          <w:pgMar w:top="1139" w:right="1026" w:bottom="1238" w:left="1087" w:header="0" w:footer="3" w:gutter="0"/>
          <w:cols w:space="720"/>
          <w:noEndnote/>
          <w:rtlGutter w:val="0"/>
          <w:docGrid w:linePitch="360"/>
        </w:sectPr>
      </w:pPr>
      <w:r>
        <w:rPr>
          <w:color w:val="000000"/>
          <w:spacing w:val="0"/>
          <w:w w:val="100"/>
          <w:position w:val="0"/>
        </w:rPr>
        <w:t xml:space="preserve">在建工程项目按建造该项资产达到预定可使用状态前所发生的全部支出，作为固定资产的入账价值。 </w:t>
      </w:r>
    </w:p>
    <w:p>
      <w:pPr>
        <w:pStyle w:val="Style35"/>
        <w:keepNext w:val="0"/>
        <w:keepLines w:val="0"/>
        <w:widowControl w:val="0"/>
        <w:shd w:val="clear" w:color="auto" w:fill="auto"/>
        <w:bidi w:val="0"/>
        <w:spacing w:before="0" w:after="380" w:line="318" w:lineRule="exact"/>
        <w:ind w:left="0" w:right="0" w:firstLine="0"/>
        <w:jc w:val="both"/>
      </w:pPr>
      <w:r>
        <w:rPr>
          <w:color w:val="000000"/>
          <w:spacing w:val="0"/>
          <w:w w:val="100"/>
          <w:position w:val="0"/>
        </w:rPr>
        <w:t>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策计提固定资产的折旧，待办理竣工决算后，再按实际成本调整原来的暂估价值，但不调整原已计提的折 旧额。</w:t>
      </w:r>
    </w:p>
    <w:p>
      <w:pPr>
        <w:pStyle w:val="Style48"/>
        <w:keepNext/>
        <w:keepLines/>
        <w:widowControl w:val="0"/>
        <w:numPr>
          <w:ilvl w:val="0"/>
          <w:numId w:val="19"/>
        </w:numPr>
        <w:shd w:val="clear" w:color="auto" w:fill="auto"/>
        <w:bidi w:val="0"/>
        <w:spacing w:before="0" w:after="200"/>
        <w:ind w:left="0" w:right="0" w:firstLine="0"/>
        <w:jc w:val="both"/>
      </w:pPr>
      <w:bookmarkStart w:id="545" w:name="bookmark545"/>
      <w:bookmarkStart w:id="546" w:name="bookmark546"/>
      <w:bookmarkStart w:id="547" w:name="bookmark547"/>
      <w:bookmarkStart w:id="548" w:name="bookmark548"/>
      <w:bookmarkEnd w:id="547"/>
      <w:r>
        <w:rPr>
          <w:color w:val="000000"/>
          <w:spacing w:val="0"/>
          <w:w w:val="100"/>
          <w:position w:val="0"/>
        </w:rPr>
        <w:t>在建工程的减值测试方法、减值准备计提方法</w:t>
      </w:r>
      <w:bookmarkEnd w:id="545"/>
      <w:bookmarkEnd w:id="546"/>
      <w:bookmarkEnd w:id="548"/>
    </w:p>
    <w:p>
      <w:pPr>
        <w:pStyle w:val="Style3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公司在每期末判断在建工程是否存在可能发生减值的迹象。</w:t>
      </w:r>
    </w:p>
    <w:p>
      <w:pPr>
        <w:pStyle w:val="Style3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在建工程存在减值迹象的，估计其可收回金额。有迹象表明一项在建工程可能发生减值的，企业以单 项在建工程为基础估计其可收回金额。企业难以对单项在建工程的可收回金额进行估计的，以该在建工程 所属的资产组为基础确定资产组的可收回金额。</w:t>
      </w:r>
    </w:p>
    <w:p>
      <w:pPr>
        <w:pStyle w:val="Style3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可收回金额根据在建工程的公允价值减去处置费用后的净额与在建工程预计未来现金流量的现值两 者之间较高者确定。</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当在建工程的可收回金额低于其账面价值的，将在建工程的账面价值减记至可收回金额，减记的金额确认 为在建工程减值损失，计入当期损益，同时计提相应的在建工程减值准备。</w:t>
      </w:r>
    </w:p>
    <w:p>
      <w:pPr>
        <w:pStyle w:val="Style3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在建工程的减值损失一经确认，在以后会计期间不再转回。</w:t>
      </w:r>
    </w:p>
    <w:p>
      <w:pPr>
        <w:pStyle w:val="Style48"/>
        <w:keepNext/>
        <w:keepLines/>
        <w:widowControl w:val="0"/>
        <w:shd w:val="clear" w:color="auto" w:fill="auto"/>
        <w:bidi w:val="0"/>
        <w:spacing w:before="0" w:after="300"/>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549"/>
      <w:bookmarkEnd w:id="550"/>
      <w:bookmarkEnd w:id="552"/>
    </w:p>
    <w:p>
      <w:pPr>
        <w:pStyle w:val="Style48"/>
        <w:keepNext/>
        <w:keepLines/>
        <w:widowControl w:val="0"/>
        <w:numPr>
          <w:ilvl w:val="0"/>
          <w:numId w:val="21"/>
        </w:numPr>
        <w:shd w:val="clear" w:color="auto" w:fill="auto"/>
        <w:tabs>
          <w:tab w:pos="430" w:val="left"/>
        </w:tabs>
        <w:bidi w:val="0"/>
        <w:spacing w:before="0" w:after="200"/>
        <w:ind w:left="0" w:right="0" w:firstLine="0"/>
        <w:jc w:val="left"/>
      </w:pPr>
      <w:bookmarkStart w:id="549" w:name="bookmark549"/>
      <w:bookmarkStart w:id="550" w:name="bookmark550"/>
      <w:bookmarkStart w:id="553" w:name="bookmark553"/>
      <w:bookmarkStart w:id="554" w:name="bookmark554"/>
      <w:bookmarkEnd w:id="553"/>
      <w:r>
        <w:rPr>
          <w:color w:val="000000"/>
          <w:spacing w:val="0"/>
          <w:w w:val="100"/>
          <w:position w:val="0"/>
        </w:rPr>
        <w:t>无形资产的计价方法</w:t>
      </w:r>
      <w:bookmarkEnd w:id="549"/>
      <w:bookmarkEnd w:id="550"/>
      <w:bookmarkEnd w:id="554"/>
    </w:p>
    <w:p>
      <w:pPr>
        <w:pStyle w:val="Style35"/>
        <w:keepNext w:val="0"/>
        <w:keepLines w:val="0"/>
        <w:widowControl w:val="0"/>
        <w:numPr>
          <w:ilvl w:val="0"/>
          <w:numId w:val="23"/>
        </w:numPr>
        <w:shd w:val="clear" w:color="auto" w:fill="auto"/>
        <w:tabs>
          <w:tab w:pos="832" w:val="left"/>
        </w:tabs>
        <w:bidi w:val="0"/>
        <w:spacing w:before="0" w:after="0" w:line="311" w:lineRule="exact"/>
        <w:ind w:left="0" w:right="0" w:firstLine="440"/>
        <w:jc w:val="both"/>
      </w:pPr>
      <w:bookmarkStart w:id="555" w:name="bookmark555"/>
      <w:bookmarkEnd w:id="555"/>
      <w:r>
        <w:rPr>
          <w:color w:val="000000"/>
          <w:spacing w:val="0"/>
          <w:w w:val="100"/>
          <w:position w:val="0"/>
        </w:rPr>
        <w:t>公司取得无形资产时按成本进行初始计量</w:t>
      </w:r>
    </w:p>
    <w:p>
      <w:pPr>
        <w:pStyle w:val="Style3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5"/>
        <w:keepNext w:val="0"/>
        <w:keepLines w:val="0"/>
        <w:widowControl w:val="0"/>
        <w:numPr>
          <w:ilvl w:val="0"/>
          <w:numId w:val="23"/>
        </w:numPr>
        <w:shd w:val="clear" w:color="auto" w:fill="auto"/>
        <w:tabs>
          <w:tab w:pos="857" w:val="left"/>
        </w:tabs>
        <w:bidi w:val="0"/>
        <w:spacing w:before="0" w:after="0" w:line="311" w:lineRule="exact"/>
        <w:ind w:left="0" w:right="0" w:firstLine="460"/>
        <w:jc w:val="both"/>
      </w:pPr>
      <w:bookmarkStart w:id="556" w:name="bookmark556"/>
      <w:bookmarkEnd w:id="556"/>
      <w:r>
        <w:rPr>
          <w:color w:val="000000"/>
          <w:spacing w:val="0"/>
          <w:w w:val="100"/>
          <w:position w:val="0"/>
        </w:rPr>
        <w:t>后续计量</w:t>
      </w:r>
    </w:p>
    <w:p>
      <w:pPr>
        <w:pStyle w:val="Style3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在取得无形资产时分析判断其使用寿命。</w:t>
      </w:r>
    </w:p>
    <w:p>
      <w:pPr>
        <w:pStyle w:val="Style35"/>
        <w:keepNext w:val="0"/>
        <w:keepLines w:val="0"/>
        <w:widowControl w:val="0"/>
        <w:shd w:val="clear" w:color="auto" w:fill="auto"/>
        <w:bidi w:val="0"/>
        <w:spacing w:before="0" w:after="380" w:line="311" w:lineRule="exact"/>
        <w:ind w:left="0" w:right="0" w:firstLine="46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5"/>
        <w:keepNext w:val="0"/>
        <w:keepLines w:val="0"/>
        <w:widowControl w:val="0"/>
        <w:numPr>
          <w:ilvl w:val="0"/>
          <w:numId w:val="21"/>
        </w:numPr>
        <w:shd w:val="clear" w:color="auto" w:fill="auto"/>
        <w:tabs>
          <w:tab w:pos="430" w:val="left"/>
        </w:tabs>
        <w:bidi w:val="0"/>
        <w:spacing w:before="0" w:after="200" w:line="324" w:lineRule="auto"/>
        <w:ind w:left="0" w:right="0" w:firstLine="0"/>
        <w:jc w:val="left"/>
      </w:pPr>
      <w:bookmarkStart w:id="557" w:name="bookmark557"/>
      <w:bookmarkEnd w:id="557"/>
      <w:r>
        <w:rPr>
          <w:b/>
          <w:bCs/>
          <w:color w:val="000000"/>
          <w:spacing w:val="0"/>
          <w:w w:val="100"/>
          <w:position w:val="0"/>
        </w:rPr>
        <w:t>使用寿命有限的无形资产的使用寿命估计情况</w:t>
      </w:r>
    </w:p>
    <w:tbl>
      <w:tblPr>
        <w:tblOverlap w:val="never"/>
        <w:jc w:val="center"/>
        <w:tblLayout w:type="fixed"/>
      </w:tblPr>
      <w:tblGrid>
        <w:gridCol w:w="2290"/>
        <w:gridCol w:w="2213"/>
        <w:gridCol w:w="5083"/>
      </w:tblGrid>
      <w:tr>
        <w:trPr>
          <w:trHeight w:val="38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line="1" w:lineRule="exact"/>
      </w:pPr>
    </w:p>
    <w:tbl>
      <w:tblPr>
        <w:tblOverlap w:val="never"/>
        <w:jc w:val="center"/>
        <w:tblLayout w:type="fixed"/>
      </w:tblPr>
      <w:tblGrid>
        <w:gridCol w:w="2290"/>
        <w:gridCol w:w="2213"/>
        <w:gridCol w:w="5083"/>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土地使用权证规定的使用年限</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商标注册费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合同、行业情况及企业历史经验</w:t>
            </w:r>
          </w:p>
        </w:tc>
      </w:tr>
    </w:tbl>
    <w:p>
      <w:pPr>
        <w:widowControl w:val="0"/>
        <w:spacing w:after="279" w:line="1" w:lineRule="exact"/>
      </w:pPr>
    </w:p>
    <w:p>
      <w:pPr>
        <w:pStyle w:val="Style48"/>
        <w:keepNext/>
        <w:keepLines/>
        <w:widowControl w:val="0"/>
        <w:numPr>
          <w:ilvl w:val="0"/>
          <w:numId w:val="21"/>
        </w:numPr>
        <w:shd w:val="clear" w:color="auto" w:fill="auto"/>
        <w:tabs>
          <w:tab w:pos="430" w:val="left"/>
        </w:tabs>
        <w:bidi w:val="0"/>
        <w:spacing w:before="0" w:after="280" w:line="313" w:lineRule="exact"/>
        <w:ind w:left="0" w:right="0" w:firstLine="0"/>
        <w:jc w:val="left"/>
      </w:pPr>
      <w:bookmarkStart w:id="558" w:name="bookmark558"/>
      <w:bookmarkStart w:id="559" w:name="bookmark559"/>
      <w:bookmarkStart w:id="560" w:name="bookmark560"/>
      <w:bookmarkStart w:id="561" w:name="bookmark561"/>
      <w:bookmarkEnd w:id="560"/>
      <w:r>
        <w:rPr>
          <w:color w:val="000000"/>
          <w:spacing w:val="0"/>
          <w:w w:val="100"/>
          <w:position w:val="0"/>
        </w:rPr>
        <w:t>使用寿命不确定的无形资产的判断依据</w:t>
      </w:r>
      <w:bookmarkEnd w:id="558"/>
      <w:bookmarkEnd w:id="559"/>
      <w:bookmarkEnd w:id="561"/>
    </w:p>
    <w:p>
      <w:pPr>
        <w:pStyle w:val="Style3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每期末，对使用寿命不确定的无形资产的使用寿命进行复核。</w:t>
      </w:r>
    </w:p>
    <w:p>
      <w:pPr>
        <w:pStyle w:val="Style35"/>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经复核，该类无形资产的使用寿命仍为不确定，则在下一会计期间继续作为使用寿命不确定的无形资 产核算</w:t>
      </w:r>
    </w:p>
    <w:p>
      <w:pPr>
        <w:pStyle w:val="Style48"/>
        <w:keepNext/>
        <w:keepLines/>
        <w:widowControl w:val="0"/>
        <w:numPr>
          <w:ilvl w:val="0"/>
          <w:numId w:val="21"/>
        </w:numPr>
        <w:shd w:val="clear" w:color="auto" w:fill="auto"/>
        <w:tabs>
          <w:tab w:pos="430" w:val="left"/>
        </w:tabs>
        <w:bidi w:val="0"/>
        <w:spacing w:before="0" w:after="280" w:line="313" w:lineRule="exact"/>
        <w:ind w:left="0" w:right="0" w:firstLine="0"/>
        <w:jc w:val="left"/>
      </w:pPr>
      <w:bookmarkStart w:id="562" w:name="bookmark562"/>
      <w:bookmarkStart w:id="563" w:name="bookmark563"/>
      <w:bookmarkStart w:id="564" w:name="bookmark564"/>
      <w:bookmarkStart w:id="565" w:name="bookmark565"/>
      <w:bookmarkEnd w:id="564"/>
      <w:r>
        <w:rPr>
          <w:color w:val="000000"/>
          <w:spacing w:val="0"/>
          <w:w w:val="100"/>
          <w:position w:val="0"/>
        </w:rPr>
        <w:t>无形资产减值准备的计提</w:t>
      </w:r>
      <w:bookmarkEnd w:id="562"/>
      <w:bookmarkEnd w:id="563"/>
      <w:bookmarkEnd w:id="565"/>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对于使用寿命确定的无形资产，如有明显减值迹象的，期末进行减值测试。</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对于使用寿命不确定的无形资产，每期末进行减值测试。</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对无形资产进行减值测试，估计其可收回金额。有迹象表明一项无形资产可能发生减值的，公司以单 项无形资产为基础估计其可收回金额。公司难以对单项资产的可收回金额进行估计的，以该无形资产所属 的资产组为基础确定无形资产组的可收回金额。</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可收回金额根据无形资产的公允价值减去处置费用后的净额与无形资产预计未来现金流量的现值两 者之间较高者确定。</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当无形资产的可收回金额低于其账面价值的，将无形资产的账面价值减记至可收回金额，减记的金额 确认为无形资产减值损失，计入当期损益，同时计提相应的无形资产减值准备。</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w:t>
      </w:r>
      <w:r>
        <w:rPr>
          <w:rFonts w:ascii="Times New Roman" w:eastAsia="Times New Roman" w:hAnsi="Times New Roman" w:cs="Times New Roman"/>
          <w:color w:val="000000"/>
          <w:spacing w:val="0"/>
          <w:w w:val="100"/>
          <w:position w:val="0"/>
        </w:rPr>
        <w:t>(</w:t>
      </w:r>
      <w:r>
        <w:rPr>
          <w:color w:val="000000"/>
          <w:spacing w:val="0"/>
          <w:w w:val="100"/>
          <w:position w:val="0"/>
        </w:rPr>
        <w:t>扣除预计净残值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280" w:line="313" w:lineRule="exact"/>
        <w:ind w:left="0" w:right="0" w:firstLine="440"/>
        <w:jc w:val="left"/>
      </w:pPr>
      <w:r>
        <w:rPr>
          <w:color w:val="000000"/>
          <w:spacing w:val="0"/>
          <w:w w:val="100"/>
          <w:position w:val="0"/>
        </w:rPr>
        <w:t>无形资产的减值损失一经确认，在以后会计期间不再转回。</w:t>
      </w:r>
    </w:p>
    <w:p>
      <w:pPr>
        <w:pStyle w:val="Style48"/>
        <w:keepNext/>
        <w:keepLines/>
        <w:widowControl w:val="0"/>
        <w:numPr>
          <w:ilvl w:val="0"/>
          <w:numId w:val="21"/>
        </w:numPr>
        <w:shd w:val="clear" w:color="auto" w:fill="auto"/>
        <w:tabs>
          <w:tab w:pos="430" w:val="left"/>
        </w:tabs>
        <w:bidi w:val="0"/>
        <w:spacing w:before="0" w:after="280" w:line="313" w:lineRule="exact"/>
        <w:ind w:left="0" w:right="0" w:firstLine="0"/>
        <w:jc w:val="left"/>
      </w:pPr>
      <w:bookmarkStart w:id="566" w:name="bookmark566"/>
      <w:bookmarkStart w:id="567" w:name="bookmark567"/>
      <w:bookmarkStart w:id="568" w:name="bookmark568"/>
      <w:bookmarkStart w:id="569" w:name="bookmark569"/>
      <w:bookmarkEnd w:id="568"/>
      <w:r>
        <w:rPr>
          <w:color w:val="000000"/>
          <w:spacing w:val="0"/>
          <w:w w:val="100"/>
          <w:position w:val="0"/>
        </w:rPr>
        <w:t>划分公司内部研究开发项目的研究阶段和开发阶段具体标准</w:t>
      </w:r>
      <w:bookmarkEnd w:id="566"/>
      <w:bookmarkEnd w:id="567"/>
      <w:bookmarkEnd w:id="569"/>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公司内部研究开发项目的支出分为研究阶段支出和开发阶段支出。</w:t>
      </w:r>
    </w:p>
    <w:p>
      <w:pPr>
        <w:pStyle w:val="Style35"/>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48"/>
        <w:keepNext/>
        <w:keepLines/>
        <w:widowControl w:val="0"/>
        <w:numPr>
          <w:ilvl w:val="0"/>
          <w:numId w:val="21"/>
        </w:numPr>
        <w:shd w:val="clear" w:color="auto" w:fill="auto"/>
        <w:tabs>
          <w:tab w:pos="430" w:val="left"/>
        </w:tabs>
        <w:bidi w:val="0"/>
        <w:spacing w:before="0" w:after="280" w:line="313" w:lineRule="exact"/>
        <w:ind w:left="0" w:right="0" w:firstLine="0"/>
        <w:jc w:val="left"/>
      </w:pPr>
      <w:bookmarkStart w:id="570" w:name="bookmark570"/>
      <w:bookmarkStart w:id="571" w:name="bookmark571"/>
      <w:bookmarkStart w:id="572" w:name="bookmark572"/>
      <w:bookmarkStart w:id="573" w:name="bookmark573"/>
      <w:bookmarkEnd w:id="572"/>
      <w:r>
        <w:rPr>
          <w:color w:val="000000"/>
          <w:spacing w:val="0"/>
          <w:w w:val="100"/>
          <w:position w:val="0"/>
        </w:rPr>
        <w:t>内部研究开发项目支出的核算</w:t>
      </w:r>
      <w:bookmarkEnd w:id="570"/>
      <w:bookmarkEnd w:id="571"/>
      <w:bookmarkEnd w:id="573"/>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内部研究开发项目开发阶段的支出，同时满足下列条件时确认为无形资产：</w:t>
      </w:r>
    </w:p>
    <w:p>
      <w:pPr>
        <w:pStyle w:val="Style35"/>
        <w:keepNext w:val="0"/>
        <w:keepLines w:val="0"/>
        <w:widowControl w:val="0"/>
        <w:numPr>
          <w:ilvl w:val="0"/>
          <w:numId w:val="25"/>
        </w:numPr>
        <w:shd w:val="clear" w:color="auto" w:fill="auto"/>
        <w:tabs>
          <w:tab w:pos="866" w:val="left"/>
        </w:tabs>
        <w:bidi w:val="0"/>
        <w:spacing w:before="0" w:after="0" w:line="313" w:lineRule="exact"/>
        <w:ind w:left="0" w:right="0" w:firstLine="440"/>
        <w:jc w:val="left"/>
      </w:pPr>
      <w:bookmarkStart w:id="574" w:name="bookmark574"/>
      <w:bookmarkEnd w:id="574"/>
      <w:r>
        <w:rPr>
          <w:color w:val="000000"/>
          <w:spacing w:val="0"/>
          <w:w w:val="100"/>
          <w:position w:val="0"/>
        </w:rPr>
        <w:t>完成该无形资产以使其能够使用或出售在技术上具有可行性；</w:t>
      </w:r>
    </w:p>
    <w:p>
      <w:pPr>
        <w:pStyle w:val="Style35"/>
        <w:keepNext w:val="0"/>
        <w:keepLines w:val="0"/>
        <w:widowControl w:val="0"/>
        <w:numPr>
          <w:ilvl w:val="0"/>
          <w:numId w:val="25"/>
        </w:numPr>
        <w:shd w:val="clear" w:color="auto" w:fill="auto"/>
        <w:tabs>
          <w:tab w:pos="866" w:val="left"/>
        </w:tabs>
        <w:bidi w:val="0"/>
        <w:spacing w:before="0" w:after="0" w:line="326" w:lineRule="exact"/>
        <w:ind w:left="0" w:right="0" w:firstLine="440"/>
        <w:jc w:val="left"/>
      </w:pPr>
      <w:bookmarkStart w:id="575" w:name="bookmark575"/>
      <w:bookmarkEnd w:id="575"/>
      <w:r>
        <w:rPr>
          <w:color w:val="000000"/>
          <w:spacing w:val="0"/>
          <w:w w:val="100"/>
          <w:position w:val="0"/>
        </w:rPr>
        <w:t>具有完成该无形资产并使用或出售的意图；</w:t>
      </w:r>
    </w:p>
    <w:p>
      <w:pPr>
        <w:pStyle w:val="Style35"/>
        <w:keepNext w:val="0"/>
        <w:keepLines w:val="0"/>
        <w:widowControl w:val="0"/>
        <w:numPr>
          <w:ilvl w:val="0"/>
          <w:numId w:val="25"/>
        </w:numPr>
        <w:shd w:val="clear" w:color="auto" w:fill="auto"/>
        <w:tabs>
          <w:tab w:pos="848" w:val="left"/>
        </w:tabs>
        <w:bidi w:val="0"/>
        <w:spacing w:before="0" w:after="0" w:line="326" w:lineRule="exact"/>
        <w:ind w:left="0" w:right="0" w:firstLine="440"/>
        <w:jc w:val="both"/>
      </w:pPr>
      <w:bookmarkStart w:id="576" w:name="bookmark576"/>
      <w:bookmarkEnd w:id="576"/>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5"/>
        <w:keepNext w:val="0"/>
        <w:keepLines w:val="0"/>
        <w:widowControl w:val="0"/>
        <w:numPr>
          <w:ilvl w:val="0"/>
          <w:numId w:val="25"/>
        </w:numPr>
        <w:shd w:val="clear" w:color="auto" w:fill="auto"/>
        <w:tabs>
          <w:tab w:pos="843" w:val="left"/>
        </w:tabs>
        <w:bidi w:val="0"/>
        <w:spacing w:before="0" w:after="0" w:line="302" w:lineRule="exact"/>
        <w:ind w:left="0" w:right="0" w:firstLine="440"/>
        <w:jc w:val="both"/>
      </w:pPr>
      <w:bookmarkStart w:id="577" w:name="bookmark577"/>
      <w:bookmarkEnd w:id="577"/>
      <w:r>
        <w:rPr>
          <w:color w:val="000000"/>
          <w:spacing w:val="0"/>
          <w:w w:val="100"/>
          <w:position w:val="0"/>
        </w:rPr>
        <w:t>有足够的技术、财务资源和其他资源支持，以完成该无形资产的开发，并有能力使用或出售该无形 资产；</w:t>
      </w:r>
    </w:p>
    <w:p>
      <w:pPr>
        <w:pStyle w:val="Style35"/>
        <w:keepNext w:val="0"/>
        <w:keepLines w:val="0"/>
        <w:widowControl w:val="0"/>
        <w:numPr>
          <w:ilvl w:val="0"/>
          <w:numId w:val="25"/>
        </w:numPr>
        <w:shd w:val="clear" w:color="auto" w:fill="auto"/>
        <w:tabs>
          <w:tab w:pos="866" w:val="left"/>
        </w:tabs>
        <w:bidi w:val="0"/>
        <w:spacing w:before="0" w:after="0" w:line="302" w:lineRule="exact"/>
        <w:ind w:left="0" w:right="0" w:firstLine="440"/>
        <w:jc w:val="left"/>
      </w:pPr>
      <w:bookmarkStart w:id="578" w:name="bookmark578"/>
      <w:bookmarkEnd w:id="578"/>
      <w:r>
        <w:rPr>
          <w:color w:val="000000"/>
          <w:spacing w:val="0"/>
          <w:w w:val="100"/>
          <w:position w:val="0"/>
        </w:rPr>
        <w:t>归属于该无形资产开发阶段的支出能够可靠地计量。</w:t>
      </w:r>
    </w:p>
    <w:p>
      <w:pPr>
        <w:pStyle w:val="Style35"/>
        <w:keepNext w:val="0"/>
        <w:keepLines w:val="0"/>
        <w:widowControl w:val="0"/>
        <w:shd w:val="clear" w:color="auto" w:fill="auto"/>
        <w:bidi w:val="0"/>
        <w:spacing w:before="0" w:after="280" w:line="302" w:lineRule="exact"/>
        <w:ind w:left="0" w:right="0" w:firstLine="0"/>
        <w:jc w:val="both"/>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Restart w:val="continuous"/>
          </w:footnotePr>
          <w:pgSz w:w="11900" w:h="16840"/>
          <w:pgMar w:top="1139" w:right="1026" w:bottom="1238" w:left="1087" w:header="0" w:footer="3" w:gutter="0"/>
          <w:cols w:space="720"/>
          <w:noEndnote/>
          <w:titlePg/>
          <w:rtlGutter w:val="0"/>
          <w:docGrid w:linePitch="360"/>
        </w:sectPr>
      </w:pPr>
      <w:r>
        <w:rPr>
          <w:color w:val="000000"/>
          <w:spacing w:val="0"/>
          <w:w w:val="100"/>
          <w:position w:val="0"/>
        </w:rPr>
        <w:t>开发阶段的支出，若不满足上列条件的，于发生时计入当期损益。研究阶段的支出，在发生时计入当期损 益。</w:t>
      </w:r>
    </w:p>
    <w:p>
      <w:pPr>
        <w:pStyle w:val="Style48"/>
        <w:keepNext/>
        <w:keepLines/>
        <w:widowControl w:val="0"/>
        <w:shd w:val="clear" w:color="auto" w:fill="auto"/>
        <w:tabs>
          <w:tab w:pos="450" w:val="left"/>
        </w:tabs>
        <w:bidi w:val="0"/>
        <w:spacing w:before="0" w:after="300" w:line="313" w:lineRule="exact"/>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579"/>
      <w:bookmarkEnd w:id="580"/>
      <w:bookmarkEnd w:id="582"/>
    </w:p>
    <w:p>
      <w:pPr>
        <w:pStyle w:val="Style35"/>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长期待摊费用为已经发生但应由本期和以后各期负担的分摊期限在一年以上的各项费用。</w:t>
      </w:r>
    </w:p>
    <w:p>
      <w:pPr>
        <w:pStyle w:val="Style35"/>
        <w:keepNext w:val="0"/>
        <w:keepLines w:val="0"/>
        <w:widowControl w:val="0"/>
        <w:numPr>
          <w:ilvl w:val="0"/>
          <w:numId w:val="27"/>
        </w:numPr>
        <w:shd w:val="clear" w:color="auto" w:fill="auto"/>
        <w:tabs>
          <w:tab w:pos="827" w:val="left"/>
        </w:tabs>
        <w:bidi w:val="0"/>
        <w:spacing w:before="0" w:after="0" w:line="326" w:lineRule="auto"/>
        <w:ind w:left="0" w:right="0" w:firstLine="420"/>
        <w:jc w:val="both"/>
      </w:pPr>
      <w:bookmarkStart w:id="583" w:name="bookmark583"/>
      <w:bookmarkEnd w:id="583"/>
      <w:r>
        <w:rPr>
          <w:b/>
          <w:bCs/>
          <w:color w:val="000000"/>
          <w:spacing w:val="0"/>
          <w:w w:val="100"/>
          <w:position w:val="0"/>
        </w:rPr>
        <w:t>摊销方法</w:t>
      </w:r>
    </w:p>
    <w:p>
      <w:pPr>
        <w:pStyle w:val="Style35"/>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长期待摊费用在受益期内平均摊销。</w:t>
      </w:r>
    </w:p>
    <w:p>
      <w:pPr>
        <w:pStyle w:val="Style35"/>
        <w:keepNext w:val="0"/>
        <w:keepLines w:val="0"/>
        <w:widowControl w:val="0"/>
        <w:numPr>
          <w:ilvl w:val="0"/>
          <w:numId w:val="27"/>
        </w:numPr>
        <w:shd w:val="clear" w:color="auto" w:fill="auto"/>
        <w:tabs>
          <w:tab w:pos="827" w:val="left"/>
        </w:tabs>
        <w:bidi w:val="0"/>
        <w:spacing w:before="0" w:after="0" w:line="341" w:lineRule="auto"/>
        <w:ind w:left="0" w:right="0" w:firstLine="420"/>
        <w:jc w:val="both"/>
      </w:pPr>
      <w:bookmarkStart w:id="584" w:name="bookmark584"/>
      <w:bookmarkEnd w:id="584"/>
      <w:r>
        <w:rPr>
          <w:b/>
          <w:bCs/>
          <w:color w:val="000000"/>
          <w:spacing w:val="0"/>
          <w:w w:val="100"/>
          <w:position w:val="0"/>
        </w:rPr>
        <w:t>摊销年限</w:t>
      </w:r>
    </w:p>
    <w:p>
      <w:pPr>
        <w:pStyle w:val="Style35"/>
        <w:keepNext w:val="0"/>
        <w:keepLines w:val="0"/>
        <w:widowControl w:val="0"/>
        <w:shd w:val="clear" w:color="auto" w:fill="auto"/>
        <w:bidi w:val="0"/>
        <w:spacing w:before="0" w:after="300" w:line="326" w:lineRule="exact"/>
        <w:ind w:left="0" w:right="0" w:firstLine="420"/>
        <w:jc w:val="both"/>
      </w:pPr>
      <w:r>
        <w:rPr>
          <w:color w:val="000000"/>
          <w:spacing w:val="0"/>
          <w:w w:val="100"/>
          <w:position w:val="0"/>
        </w:rPr>
        <w:t>长期待摊费用摊销年限为</w:t>
      </w:r>
      <w:r>
        <w:rPr>
          <w:rFonts w:ascii="Times New Roman" w:eastAsia="Times New Roman" w:hAnsi="Times New Roman" w:cs="Times New Roman"/>
          <w:color w:val="000000"/>
          <w:spacing w:val="0"/>
          <w:w w:val="100"/>
          <w:position w:val="0"/>
        </w:rPr>
        <w:t>5</w:t>
      </w:r>
      <w:r>
        <w:rPr>
          <w:color w:val="000000"/>
          <w:spacing w:val="0"/>
          <w:w w:val="100"/>
          <w:position w:val="0"/>
        </w:rPr>
        <w:t>年。对不能使以后会计期间受益的长期待摊费用项目，其摊余价值全部计 入当期损益。</w:t>
      </w:r>
    </w:p>
    <w:p>
      <w:pPr>
        <w:pStyle w:val="Style48"/>
        <w:keepNext/>
        <w:keepLines/>
        <w:widowControl w:val="0"/>
        <w:shd w:val="clear" w:color="auto" w:fill="auto"/>
        <w:tabs>
          <w:tab w:pos="450" w:val="left"/>
        </w:tabs>
        <w:bidi w:val="0"/>
        <w:spacing w:before="0" w:after="300" w:line="313" w:lineRule="exact"/>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rFonts w:ascii="Times New Roman" w:eastAsia="Times New Roman" w:hAnsi="Times New Roman" w:cs="Times New Roman"/>
          <w:color w:val="000000"/>
          <w:spacing w:val="0"/>
          <w:w w:val="100"/>
          <w:position w:val="0"/>
        </w:rPr>
        <w:t>7</w:t>
      </w:r>
      <w:r>
        <w:rPr>
          <w:color w:val="000000"/>
          <w:spacing w:val="0"/>
          <w:w w:val="100"/>
          <w:position w:val="0"/>
        </w:rPr>
        <w:t>、</w:t>
        <w:tab/>
        <w:t>收入</w:t>
      </w:r>
      <w:bookmarkEnd w:id="585"/>
      <w:bookmarkEnd w:id="586"/>
      <w:bookmarkEnd w:id="588"/>
    </w:p>
    <w:p>
      <w:pPr>
        <w:pStyle w:val="Style48"/>
        <w:keepNext/>
        <w:keepLines/>
        <w:widowControl w:val="0"/>
        <w:numPr>
          <w:ilvl w:val="0"/>
          <w:numId w:val="29"/>
        </w:numPr>
        <w:shd w:val="clear" w:color="auto" w:fill="auto"/>
        <w:tabs>
          <w:tab w:pos="407" w:val="left"/>
        </w:tabs>
        <w:bidi w:val="0"/>
        <w:spacing w:before="0" w:after="300" w:line="313" w:lineRule="exact"/>
        <w:ind w:left="0" w:right="0" w:firstLine="0"/>
        <w:jc w:val="left"/>
      </w:pPr>
      <w:bookmarkStart w:id="585" w:name="bookmark585"/>
      <w:bookmarkStart w:id="586" w:name="bookmark586"/>
      <w:bookmarkStart w:id="589" w:name="bookmark589"/>
      <w:bookmarkStart w:id="590" w:name="bookmark590"/>
      <w:bookmarkEnd w:id="589"/>
      <w:r>
        <w:rPr>
          <w:color w:val="000000"/>
          <w:spacing w:val="0"/>
          <w:w w:val="100"/>
          <w:position w:val="0"/>
        </w:rPr>
        <w:t>销售商品收入确认时间的具体判断标准</w:t>
      </w:r>
      <w:bookmarkEnd w:id="585"/>
      <w:bookmarkEnd w:id="586"/>
      <w:bookmarkEnd w:id="590"/>
    </w:p>
    <w:p>
      <w:pPr>
        <w:pStyle w:val="Style3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相关的已发生或将发生的成本能够可靠地计量时，确认商品销售收入实现。收入具体确认原则：</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内销： 公司产品运往客户指定地点，交付客户并取得客户验收确认，价格已经确定，取得货款或索取货款的依据。</w:t>
      </w:r>
    </w:p>
    <w:p>
      <w:pPr>
        <w:pStyle w:val="Style35"/>
        <w:keepNext w:val="0"/>
        <w:keepLines w:val="0"/>
        <w:widowControl w:val="0"/>
        <w:numPr>
          <w:ilvl w:val="0"/>
          <w:numId w:val="29"/>
        </w:numPr>
        <w:shd w:val="clear" w:color="auto" w:fill="auto"/>
        <w:tabs>
          <w:tab w:pos="407" w:val="left"/>
        </w:tabs>
        <w:bidi w:val="0"/>
        <w:spacing w:before="0" w:after="300" w:line="313" w:lineRule="exact"/>
        <w:ind w:left="0" w:right="0" w:firstLine="0"/>
        <w:jc w:val="both"/>
      </w:pPr>
      <w:bookmarkStart w:id="591" w:name="bookmark591"/>
      <w:bookmarkEnd w:id="591"/>
      <w:r>
        <w:rPr>
          <w:color w:val="000000"/>
          <w:spacing w:val="0"/>
          <w:w w:val="100"/>
          <w:position w:val="0"/>
        </w:rPr>
        <w:t>自营出口：出口专用发票已开出；已收款或取得索取货款的依据；已完成报关手续；海关已在相关的《出 口货物报关单》、《出口收汇核销单》上盖章确认；指定港船上交货，货物越过船舷</w:t>
      </w:r>
      <w:r>
        <w:rPr>
          <w:rFonts w:ascii="Times New Roman" w:eastAsia="Times New Roman" w:hAnsi="Times New Roman" w:cs="Times New Roman"/>
          <w:color w:val="000000"/>
          <w:spacing w:val="0"/>
          <w:w w:val="100"/>
          <w:position w:val="0"/>
        </w:rPr>
        <w:t>(</w:t>
      </w:r>
      <w:r>
        <w:rPr>
          <w:color w:val="000000"/>
          <w:spacing w:val="0"/>
          <w:w w:val="100"/>
          <w:position w:val="0"/>
        </w:rPr>
        <w:t>合同约定按离岸价成交</w:t>
      </w:r>
      <w:r>
        <w:rPr>
          <w:rFonts w:ascii="Times New Roman" w:eastAsia="Times New Roman" w:hAnsi="Times New Roman" w:cs="Times New Roman"/>
          <w:color w:val="000000"/>
          <w:spacing w:val="0"/>
          <w:w w:val="100"/>
          <w:position w:val="0"/>
        </w:rPr>
        <w:t>)</w:t>
      </w:r>
      <w:r>
        <w:rPr>
          <w:color w:val="000000"/>
          <w:spacing w:val="0"/>
          <w:w w:val="100"/>
          <w:position w:val="0"/>
        </w:rPr>
        <w:t>。 本公司按照从购货方已收或应收的合同或协议价款确定销售商品收入金额，但已收或应收的合同或协议 价款不公允的除外。合同或协议价款的收取采用递延方式，实质上具有融资性质的，应当按照应收的合 同或协议价款的公允价值确定销售商品收入金额。应收的合同或协议价款与其公允价值之间的差额，应 当在合同或协议期间内采用实际利率法进行摊销，计入当期损益。</w:t>
      </w:r>
    </w:p>
    <w:p>
      <w:pPr>
        <w:pStyle w:val="Style48"/>
        <w:keepNext/>
        <w:keepLines/>
        <w:widowControl w:val="0"/>
        <w:shd w:val="clear" w:color="auto" w:fill="auto"/>
        <w:tabs>
          <w:tab w:pos="450" w:val="left"/>
        </w:tabs>
        <w:bidi w:val="0"/>
        <w:spacing w:before="0" w:after="380" w:line="313" w:lineRule="exact"/>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rFonts w:ascii="Times New Roman" w:eastAsia="Times New Roman" w:hAnsi="Times New Roman" w:cs="Times New Roman"/>
          <w:color w:val="000000"/>
          <w:spacing w:val="0"/>
          <w:w w:val="100"/>
          <w:position w:val="0"/>
        </w:rPr>
        <w:t>8</w:t>
      </w:r>
      <w:r>
        <w:rPr>
          <w:color w:val="000000"/>
          <w:spacing w:val="0"/>
          <w:w w:val="100"/>
          <w:position w:val="0"/>
        </w:rPr>
        <w:t>、</w:t>
        <w:tab/>
        <w:t>政府补助</w:t>
      </w:r>
      <w:bookmarkEnd w:id="592"/>
      <w:bookmarkEnd w:id="593"/>
      <w:bookmarkEnd w:id="595"/>
    </w:p>
    <w:p>
      <w:pPr>
        <w:pStyle w:val="Style48"/>
        <w:keepNext/>
        <w:keepLines/>
        <w:widowControl w:val="0"/>
        <w:numPr>
          <w:ilvl w:val="0"/>
          <w:numId w:val="31"/>
        </w:numPr>
        <w:shd w:val="clear" w:color="auto" w:fill="auto"/>
        <w:tabs>
          <w:tab w:pos="407" w:val="left"/>
        </w:tabs>
        <w:bidi w:val="0"/>
        <w:spacing w:before="0" w:after="200" w:line="326" w:lineRule="auto"/>
        <w:ind w:left="0" w:right="0" w:firstLine="0"/>
        <w:jc w:val="both"/>
      </w:pPr>
      <w:bookmarkStart w:id="592" w:name="bookmark592"/>
      <w:bookmarkStart w:id="593" w:name="bookmark593"/>
      <w:bookmarkStart w:id="596" w:name="bookmark596"/>
      <w:bookmarkStart w:id="597" w:name="bookmark597"/>
      <w:bookmarkEnd w:id="596"/>
      <w:r>
        <w:rPr>
          <w:color w:val="000000"/>
          <w:spacing w:val="0"/>
          <w:w w:val="100"/>
          <w:position w:val="0"/>
        </w:rPr>
        <w:t>类型</w:t>
      </w:r>
      <w:bookmarkEnd w:id="592"/>
      <w:bookmarkEnd w:id="593"/>
      <w:bookmarkEnd w:id="597"/>
    </w:p>
    <w:p>
      <w:pPr>
        <w:pStyle w:val="Style35"/>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政府补助，是本公司从政府无偿取得的货币性资产与非货币性资产。分为与资产相关的政府补助和与收益 相关的政府补助。与资产相关的政府补助，是指企业取得的、用于购建或以其他方式形成长期资产的政府 补助，包括购买固定资产或无形资产的财政拨款、固定资产专门借款的财政贴息等。与收益相关的政府补 助，是指除与资产相关的政府补助之外的政府补助。本公司将政府补助划分为与资产相关的具体标准为： 企业取得的，用于购建或以其他方式形成长期资产的政府补助；本公司将政府补助划分为与收益相关的 具体标准为：除与资产相关的政府补助之外的政府补助；对于政府文件未明确规定补助对象的，本公司 将该政府补助划分为与资产相关或与收益相关的判断依据为：是否用于购建或以其他方式形成长期资产。</w:t>
      </w:r>
    </w:p>
    <w:p>
      <w:pPr>
        <w:pStyle w:val="Style35"/>
        <w:keepNext w:val="0"/>
        <w:keepLines w:val="0"/>
        <w:widowControl w:val="0"/>
        <w:numPr>
          <w:ilvl w:val="0"/>
          <w:numId w:val="31"/>
        </w:numPr>
        <w:shd w:val="clear" w:color="auto" w:fill="auto"/>
        <w:tabs>
          <w:tab w:pos="407" w:val="left"/>
        </w:tabs>
        <w:bidi w:val="0"/>
        <w:spacing w:before="0" w:after="200" w:line="326" w:lineRule="auto"/>
        <w:ind w:left="0" w:right="0" w:firstLine="0"/>
        <w:jc w:val="both"/>
      </w:pPr>
      <w:bookmarkStart w:id="598" w:name="bookmark598"/>
      <w:bookmarkEnd w:id="598"/>
      <w:r>
        <w:rPr>
          <w:b/>
          <w:bCs/>
          <w:color w:val="000000"/>
          <w:spacing w:val="0"/>
          <w:w w:val="100"/>
          <w:position w:val="0"/>
        </w:rPr>
        <w:t>会计政策</w:t>
      </w:r>
    </w:p>
    <w:p>
      <w:pPr>
        <w:pStyle w:val="Style35"/>
        <w:keepNext w:val="0"/>
        <w:keepLines w:val="0"/>
        <w:widowControl w:val="0"/>
        <w:shd w:val="clear" w:color="auto" w:fill="auto"/>
        <w:bidi w:val="0"/>
        <w:spacing w:before="0" w:after="300" w:line="310" w:lineRule="exact"/>
        <w:ind w:left="0" w:right="0" w:firstLine="500"/>
        <w:jc w:val="left"/>
      </w:pPr>
      <w:r>
        <w:rPr>
          <w:color w:val="000000"/>
          <w:spacing w:val="0"/>
          <w:w w:val="100"/>
          <w:position w:val="0"/>
        </w:rPr>
        <w:t>与资产相关的政府补助，确认为递延收益，按照所建造或购买的资产使用年限分期计入营业外收入； 与收益相关的政府补助，用于补偿企业以后期间的相关费用或损失的，取得时确认为递延收益，在确认相 关费用的期间计入当期营业外收入；用于补偿企业已发生的相关费用或损失的，取得时直接计入当期营业 外收入。</w:t>
      </w:r>
    </w:p>
    <w:p>
      <w:pPr>
        <w:pStyle w:val="Style35"/>
        <w:keepNext w:val="0"/>
        <w:keepLines w:val="0"/>
        <w:widowControl w:val="0"/>
        <w:shd w:val="clear" w:color="auto" w:fill="auto"/>
        <w:bidi w:val="0"/>
        <w:spacing w:before="0" w:after="360" w:line="312" w:lineRule="exact"/>
        <w:ind w:left="0" w:right="0" w:firstLine="0"/>
        <w:jc w:val="left"/>
      </w:pPr>
      <w:bookmarkStart w:id="599" w:name="bookmark599"/>
      <w:r>
        <w:rPr>
          <w:rFonts w:ascii="Times New Roman" w:eastAsia="Times New Roman" w:hAnsi="Times New Roman" w:cs="Times New Roman"/>
          <w:b/>
          <w:bCs/>
          <w:color w:val="000000"/>
          <w:spacing w:val="0"/>
          <w:w w:val="100"/>
          <w:position w:val="0"/>
        </w:rPr>
        <w:t>1</w:t>
      </w:r>
      <w:bookmarkEnd w:id="599"/>
      <w:r>
        <w:rPr>
          <w:rFonts w:ascii="Times New Roman" w:eastAsia="Times New Roman" w:hAnsi="Times New Roman" w:cs="Times New Roman"/>
          <w:b/>
          <w:bCs/>
          <w:color w:val="000000"/>
          <w:spacing w:val="0"/>
          <w:w w:val="100"/>
          <w:position w:val="0"/>
        </w:rPr>
        <w:t>9</w:t>
      </w:r>
      <w:r>
        <w:rPr>
          <w:b/>
          <w:bCs/>
          <w:color w:val="000000"/>
          <w:spacing w:val="0"/>
          <w:w w:val="100"/>
          <w:position w:val="0"/>
        </w:rPr>
        <w:t>、递延所得税资产和递延所得税负债</w:t>
      </w:r>
    </w:p>
    <w:p>
      <w:pPr>
        <w:pStyle w:val="Style35"/>
        <w:keepNext w:val="0"/>
        <w:keepLines w:val="0"/>
        <w:widowControl w:val="0"/>
        <w:shd w:val="clear" w:color="auto" w:fill="auto"/>
        <w:tabs>
          <w:tab w:pos="428" w:val="left"/>
        </w:tabs>
        <w:bidi w:val="0"/>
        <w:spacing w:before="0" w:after="200" w:line="326" w:lineRule="auto"/>
        <w:ind w:left="0" w:right="0" w:firstLine="0"/>
        <w:jc w:val="left"/>
      </w:pPr>
      <w:bookmarkStart w:id="600" w:name="bookmark600"/>
      <w:r>
        <w:rPr>
          <w:rFonts w:ascii="Times New Roman" w:eastAsia="Times New Roman" w:hAnsi="Times New Roman" w:cs="Times New Roman"/>
          <w:b/>
          <w:bCs/>
          <w:color w:val="000000"/>
          <w:spacing w:val="0"/>
          <w:w w:val="100"/>
          <w:position w:val="0"/>
        </w:rPr>
        <w:t>（</w:t>
      </w:r>
      <w:bookmarkEnd w:id="600"/>
      <w:r>
        <w:rPr>
          <w:rFonts w:ascii="Times New Roman" w:eastAsia="Times New Roman" w:hAnsi="Times New Roman" w:cs="Times New Roman"/>
          <w:b/>
          <w:bCs/>
          <w:color w:val="000000"/>
          <w:spacing w:val="0"/>
          <w:w w:val="100"/>
          <w:position w:val="0"/>
        </w:rPr>
        <w:t>1）</w:t>
        <w:tab/>
      </w:r>
      <w:r>
        <w:rPr>
          <w:b/>
          <w:bCs/>
          <w:color w:val="000000"/>
          <w:spacing w:val="0"/>
          <w:w w:val="100"/>
          <w:position w:val="0"/>
        </w:rPr>
        <w:t>确认递延所得税资产的依据</w:t>
      </w:r>
    </w:p>
    <w:p>
      <w:pPr>
        <w:pStyle w:val="Style3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应纳税所得额为限。不确认递延所得税资产或递延所得税负债的特殊情况包括：商誉的初始确认；除企业 合并以外的发生时既不影响会计利润也不影响应纳税所得额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的其他交易或事项。当拥有以 净额结算的法定权利，且意图以净额结算或取得资产、清偿负债同时进行时，当期所得税资产及当期所得 税负债以抵销后的净额列报。当拥有以净额结算当期所得税资产及当期所得税负债的法定权利，且递延所 得税资产及递延所得税负债是与同一税收征管部门对同一纳税主体征收的所得税相关或者是对不同的纳 税主体相关，但在未来每一具有重要性的递延所得税资产及负债转回的期间内，涉及的纳税主体意图以净 额结算当期所得税资产和负债或是同时取得资产、清偿负债时，递延所得税资产及递延所得税负债以抵销 后的净额列报。</w:t>
      </w:r>
    </w:p>
    <w:p>
      <w:pPr>
        <w:pStyle w:val="Style35"/>
        <w:keepNext w:val="0"/>
        <w:keepLines w:val="0"/>
        <w:widowControl w:val="0"/>
        <w:shd w:val="clear" w:color="auto" w:fill="auto"/>
        <w:tabs>
          <w:tab w:pos="428" w:val="left"/>
        </w:tabs>
        <w:bidi w:val="0"/>
        <w:spacing w:before="0" w:after="200" w:line="326" w:lineRule="auto"/>
        <w:ind w:left="0" w:right="0" w:firstLine="0"/>
        <w:jc w:val="left"/>
      </w:pPr>
      <w:bookmarkStart w:id="601" w:name="bookmark601"/>
      <w:r>
        <w:rPr>
          <w:rFonts w:ascii="Times New Roman" w:eastAsia="Times New Roman" w:hAnsi="Times New Roman" w:cs="Times New Roman"/>
          <w:b/>
          <w:bCs/>
          <w:color w:val="000000"/>
          <w:spacing w:val="0"/>
          <w:w w:val="100"/>
          <w:position w:val="0"/>
        </w:rPr>
        <w:t>（</w:t>
      </w:r>
      <w:bookmarkEnd w:id="601"/>
      <w:r>
        <w:rPr>
          <w:rFonts w:ascii="Times New Roman" w:eastAsia="Times New Roman" w:hAnsi="Times New Roman" w:cs="Times New Roman"/>
          <w:b/>
          <w:bCs/>
          <w:color w:val="000000"/>
          <w:spacing w:val="0"/>
          <w:w w:val="100"/>
          <w:position w:val="0"/>
        </w:rPr>
        <w:t>2）</w:t>
        <w:tab/>
      </w:r>
      <w:r>
        <w:rPr>
          <w:b/>
          <w:bCs/>
          <w:color w:val="000000"/>
          <w:spacing w:val="0"/>
          <w:w w:val="100"/>
          <w:position w:val="0"/>
        </w:rPr>
        <w:t>确认递延所得税负债的依据</w:t>
      </w:r>
    </w:p>
    <w:p>
      <w:pPr>
        <w:pStyle w:val="Style3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对于应纳税暂时性差异，除特殊情况外，确认递延所得税负债。不确认递延所得税资产或递延所得税 负债的特殊情况包括：商誉的初始确认；除企业合并以外的发生时既不影响会计利润也不影响应纳税所得 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的其他交易或事项。当拥有以净额结算的法定权利，且意图以净额结算或取得资产、清 偿负债同时进行时，当期所得税资产及当期所得税负债以抵销后的净额列报。当拥有以净额结算当期所得 税资产及当期所得税负债的法定权利，且递延所得税资产及递延所得税负债是与同一税收征管部门对同一 纳税主体征收的所得税相关或者是对不同的纳税主体相关，但在未来每一具有重要性的递延所得税资产及 负债转回的期间内，涉及的纳税主体意图以净额结算当期所得税资产和负债或是同时取得资产、清偿负债 时，递延所得税资产及递延所得税负债以抵销后的净额列报。</w:t>
      </w:r>
    </w:p>
    <w:p>
      <w:pPr>
        <w:pStyle w:val="Style35"/>
        <w:keepNext w:val="0"/>
        <w:keepLines w:val="0"/>
        <w:widowControl w:val="0"/>
        <w:shd w:val="clear" w:color="auto" w:fill="auto"/>
        <w:tabs>
          <w:tab w:pos="480" w:val="left"/>
        </w:tabs>
        <w:bidi w:val="0"/>
        <w:spacing w:before="0" w:after="360" w:line="240" w:lineRule="auto"/>
        <w:ind w:left="0" w:right="0" w:firstLine="0"/>
        <w:jc w:val="both"/>
      </w:pPr>
      <w:bookmarkStart w:id="602" w:name="bookmark602"/>
      <w:r>
        <w:rPr>
          <w:rFonts w:ascii="Times New Roman" w:eastAsia="Times New Roman" w:hAnsi="Times New Roman" w:cs="Times New Roman"/>
          <w:b/>
          <w:bCs/>
          <w:color w:val="000000"/>
          <w:spacing w:val="0"/>
          <w:w w:val="100"/>
          <w:position w:val="0"/>
        </w:rPr>
        <w:t>2</w:t>
      </w:r>
      <w:bookmarkEnd w:id="602"/>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主要会计政策、会计估计的变更</w:t>
      </w:r>
    </w:p>
    <w:p>
      <w:pPr>
        <w:pStyle w:val="Style35"/>
        <w:keepNext w:val="0"/>
        <w:keepLines w:val="0"/>
        <w:widowControl w:val="0"/>
        <w:shd w:val="clear" w:color="auto" w:fill="auto"/>
        <w:tabs>
          <w:tab w:pos="8290" w:val="left"/>
        </w:tabs>
        <w:bidi w:val="0"/>
        <w:spacing w:before="0" w:after="360" w:line="240" w:lineRule="auto"/>
        <w:ind w:left="0" w:right="0" w:firstLine="0"/>
        <w:jc w:val="both"/>
      </w:pPr>
      <w:r>
        <w:rPr>
          <w:color w:val="000000"/>
          <w:spacing w:val="0"/>
          <w:w w:val="100"/>
          <w:position w:val="0"/>
        </w:rPr>
        <w:t>本报告期主要会计政策、会计估计是否变更</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5"/>
        <w:keepNext w:val="0"/>
        <w:keepLines w:val="0"/>
        <w:widowControl w:val="0"/>
        <w:shd w:val="clear" w:color="auto" w:fill="auto"/>
        <w:tabs>
          <w:tab w:pos="428" w:val="left"/>
        </w:tabs>
        <w:bidi w:val="0"/>
        <w:spacing w:before="0" w:after="360" w:line="240" w:lineRule="auto"/>
        <w:ind w:left="0" w:right="0" w:firstLine="0"/>
        <w:jc w:val="both"/>
      </w:pPr>
      <w:bookmarkStart w:id="603" w:name="bookmark603"/>
      <w:r>
        <w:rPr>
          <w:b/>
          <w:bCs/>
          <w:color w:val="000000"/>
          <w:spacing w:val="0"/>
          <w:w w:val="100"/>
          <w:position w:val="0"/>
        </w:rPr>
        <w:t>（</w:t>
      </w:r>
      <w:bookmarkEnd w:id="603"/>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会计政策变更</w:t>
      </w:r>
    </w:p>
    <w:p>
      <w:pPr>
        <w:pStyle w:val="Style35"/>
        <w:keepNext w:val="0"/>
        <w:keepLines w:val="0"/>
        <w:widowControl w:val="0"/>
        <w:shd w:val="clear" w:color="auto" w:fill="auto"/>
        <w:tabs>
          <w:tab w:pos="8290" w:val="left"/>
        </w:tabs>
        <w:bidi w:val="0"/>
        <w:spacing w:before="0" w:after="360" w:line="240" w:lineRule="auto"/>
        <w:ind w:left="0" w:right="0" w:firstLine="0"/>
        <w:jc w:val="both"/>
      </w:pPr>
      <w:r>
        <w:rPr>
          <w:color w:val="000000"/>
          <w:spacing w:val="0"/>
          <w:w w:val="100"/>
          <w:position w:val="0"/>
        </w:rPr>
        <w:t>本报告期主要会计政策是否变更</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5"/>
        <w:keepNext w:val="0"/>
        <w:keepLines w:val="0"/>
        <w:widowControl w:val="0"/>
        <w:shd w:val="clear" w:color="auto" w:fill="auto"/>
        <w:tabs>
          <w:tab w:pos="428" w:val="left"/>
        </w:tabs>
        <w:bidi w:val="0"/>
        <w:spacing w:before="0" w:after="360" w:line="240" w:lineRule="auto"/>
        <w:ind w:left="0" w:right="0" w:firstLine="0"/>
        <w:jc w:val="both"/>
      </w:pPr>
      <w:bookmarkStart w:id="604" w:name="bookmark604"/>
      <w:r>
        <w:rPr>
          <w:rFonts w:ascii="Times New Roman" w:eastAsia="Times New Roman" w:hAnsi="Times New Roman" w:cs="Times New Roman"/>
          <w:b/>
          <w:bCs/>
          <w:color w:val="000000"/>
          <w:spacing w:val="0"/>
          <w:w w:val="100"/>
          <w:position w:val="0"/>
        </w:rPr>
        <w:t>（</w:t>
      </w:r>
      <w:bookmarkEnd w:id="604"/>
      <w:r>
        <w:rPr>
          <w:rFonts w:ascii="Times New Roman" w:eastAsia="Times New Roman" w:hAnsi="Times New Roman" w:cs="Times New Roman"/>
          <w:b/>
          <w:bCs/>
          <w:color w:val="000000"/>
          <w:spacing w:val="0"/>
          <w:w w:val="100"/>
          <w:position w:val="0"/>
        </w:rPr>
        <w:t>2）</w:t>
        <w:tab/>
      </w:r>
      <w:r>
        <w:rPr>
          <w:b/>
          <w:bCs/>
          <w:color w:val="000000"/>
          <w:spacing w:val="0"/>
          <w:w w:val="100"/>
          <w:position w:val="0"/>
        </w:rPr>
        <w:t>会计估计变更</w:t>
      </w:r>
    </w:p>
    <w:p>
      <w:pPr>
        <w:pStyle w:val="Style35"/>
        <w:keepNext w:val="0"/>
        <w:keepLines w:val="0"/>
        <w:widowControl w:val="0"/>
        <w:shd w:val="clear" w:color="auto" w:fill="auto"/>
        <w:tabs>
          <w:tab w:pos="8290" w:val="left"/>
        </w:tabs>
        <w:bidi w:val="0"/>
        <w:spacing w:before="0" w:after="360" w:line="240" w:lineRule="auto"/>
        <w:ind w:left="0" w:right="0" w:firstLine="0"/>
        <w:jc w:val="both"/>
      </w:pPr>
      <w:r>
        <w:rPr>
          <w:color w:val="000000"/>
          <w:spacing w:val="0"/>
          <w:w w:val="100"/>
          <w:position w:val="0"/>
        </w:rPr>
        <w:t>本报告期主要会计估计是否变更</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5"/>
        <w:keepNext w:val="0"/>
        <w:keepLines w:val="0"/>
        <w:widowControl w:val="0"/>
        <w:shd w:val="clear" w:color="auto" w:fill="auto"/>
        <w:tabs>
          <w:tab w:pos="480" w:val="left"/>
        </w:tabs>
        <w:bidi w:val="0"/>
        <w:spacing w:before="0" w:after="360" w:line="240" w:lineRule="auto"/>
        <w:ind w:left="0" w:right="0" w:firstLine="0"/>
        <w:jc w:val="both"/>
      </w:pPr>
      <w:bookmarkStart w:id="605" w:name="bookmark605"/>
      <w:r>
        <w:rPr>
          <w:rFonts w:ascii="Times New Roman" w:eastAsia="Times New Roman" w:hAnsi="Times New Roman" w:cs="Times New Roman"/>
          <w:b/>
          <w:bCs/>
          <w:color w:val="000000"/>
          <w:spacing w:val="0"/>
          <w:w w:val="100"/>
          <w:position w:val="0"/>
        </w:rPr>
        <w:t>2</w:t>
      </w:r>
      <w:bookmarkEnd w:id="60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前期会计差错更正</w:t>
      </w:r>
    </w:p>
    <w:p>
      <w:pPr>
        <w:pStyle w:val="Style35"/>
        <w:keepNext w:val="0"/>
        <w:keepLines w:val="0"/>
        <w:widowControl w:val="0"/>
        <w:shd w:val="clear" w:color="auto" w:fill="auto"/>
        <w:tabs>
          <w:tab w:pos="8290" w:val="left"/>
        </w:tabs>
        <w:bidi w:val="0"/>
        <w:spacing w:before="0" w:after="360" w:line="240" w:lineRule="auto"/>
        <w:ind w:left="0" w:right="0" w:firstLine="0"/>
        <w:jc w:val="both"/>
      </w:pPr>
      <w:r>
        <w:rPr>
          <w:color w:val="000000"/>
          <w:spacing w:val="0"/>
          <w:w w:val="100"/>
          <w:position w:val="0"/>
        </w:rPr>
        <w:t>本报告期是否发现前期会计差错</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5"/>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追溯重述法</w:t>
      </w:r>
    </w:p>
    <w:p>
      <w:pPr>
        <w:pStyle w:val="Style35"/>
        <w:keepNext w:val="0"/>
        <w:keepLines w:val="0"/>
        <w:widowControl w:val="0"/>
        <w:shd w:val="clear" w:color="auto" w:fill="auto"/>
        <w:tabs>
          <w:tab w:pos="8290" w:val="left"/>
        </w:tabs>
        <w:bidi w:val="0"/>
        <w:spacing w:before="0" w:after="360" w:line="240" w:lineRule="auto"/>
        <w:ind w:left="0" w:right="0" w:firstLine="0"/>
        <w:jc w:val="both"/>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decimal"/>
            <w:numRestart w:val="continuous"/>
          </w:footnotePr>
          <w:pgSz w:w="11900" w:h="16840"/>
          <w:pgMar w:top="1139" w:right="1026" w:bottom="1238" w:left="1087" w:header="0" w:footer="3" w:gutter="0"/>
          <w:cols w:space="720"/>
          <w:noEndnote/>
          <w:titlePg/>
          <w:rtlGutter w:val="0"/>
          <w:docGrid w:linePitch="360"/>
        </w:sectPr>
      </w:pPr>
      <w:r>
        <w:rPr>
          <w:color w:val="000000"/>
          <w:spacing w:val="0"/>
          <w:w w:val="100"/>
          <w:position w:val="0"/>
        </w:rPr>
        <w:t>本报告期是否发现采用追溯重述法的前期会计差错</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p>
    <w:p>
      <w:pPr>
        <w:pStyle w:val="Style35"/>
        <w:keepNext w:val="0"/>
        <w:keepLines w:val="0"/>
        <w:widowControl w:val="0"/>
        <w:shd w:val="clear" w:color="auto" w:fill="auto"/>
        <w:tabs>
          <w:tab w:pos="8299" w:val="left"/>
        </w:tabs>
        <w:bidi w:val="0"/>
        <w:spacing w:before="0" w:after="360" w:line="240" w:lineRule="auto"/>
        <w:ind w:left="0" w:right="0" w:firstLine="0"/>
        <w:jc w:val="left"/>
      </w:pPr>
      <w:r>
        <w:rPr>
          <w:color w:val="000000"/>
          <w:spacing w:val="0"/>
          <w:w w:val="100"/>
          <w:position w:val="0"/>
        </w:rPr>
        <w:t>本报告期是否发现采用未来适用法的前期会计差错</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0"/>
        <w:keepNext/>
        <w:keepLines/>
        <w:widowControl w:val="0"/>
        <w:shd w:val="clear" w:color="auto" w:fill="auto"/>
        <w:bidi w:val="0"/>
        <w:spacing w:before="0" w:after="36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五</w:t>
      </w:r>
      <w:bookmarkEnd w:id="608"/>
      <w:r>
        <w:rPr>
          <w:color w:val="000000"/>
          <w:spacing w:val="0"/>
          <w:w w:val="100"/>
          <w:position w:val="0"/>
          <w:sz w:val="24"/>
          <w:szCs w:val="24"/>
        </w:rPr>
        <w:t>、税项</w:t>
      </w:r>
      <w:bookmarkEnd w:id="606"/>
      <w:bookmarkEnd w:id="607"/>
      <w:bookmarkEnd w:id="609"/>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、公司主要税种和税率</w:t>
      </w:r>
    </w:p>
    <w:tbl>
      <w:tblPr>
        <w:tblOverlap w:val="never"/>
        <w:jc w:val="center"/>
        <w:tblLayout w:type="fixed"/>
      </w:tblPr>
      <w:tblGrid>
        <w:gridCol w:w="2170"/>
        <w:gridCol w:w="6120"/>
        <w:gridCol w:w="1090"/>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税率</w:t>
            </w:r>
          </w:p>
        </w:tc>
      </w:tr>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按税法规定计算的销售货物和应税劳务收入为基础计算销项税额， 在扣除当期允许抵扣的进项税额后，差额部分为应交增值税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w:t>
            </w:r>
          </w:p>
        </w:tc>
      </w:tr>
    </w:tbl>
    <w:p>
      <w:pPr>
        <w:widowControl w:val="0"/>
        <w:spacing w:after="239" w:line="1" w:lineRule="exact"/>
      </w:pPr>
    </w:p>
    <w:p>
      <w:pPr>
        <w:pStyle w:val="Style48"/>
        <w:keepNext/>
        <w:keepLines/>
        <w:widowControl w:val="0"/>
        <w:shd w:val="clear" w:color="auto" w:fill="auto"/>
        <w:bidi w:val="0"/>
        <w:spacing w:before="0" w:after="300" w:line="314" w:lineRule="exact"/>
        <w:ind w:left="0" w:right="0" w:firstLine="0"/>
        <w:jc w:val="left"/>
      </w:pPr>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r>
        <w:rPr>
          <w:color w:val="000000"/>
          <w:spacing w:val="0"/>
          <w:w w:val="100"/>
          <w:position w:val="0"/>
        </w:rPr>
        <w:t>、税收优惠及批文</w:t>
      </w:r>
      <w:bookmarkEnd w:id="610"/>
      <w:bookmarkEnd w:id="611"/>
      <w:bookmarkEnd w:id="612"/>
    </w:p>
    <w:p>
      <w:pPr>
        <w:pStyle w:val="Style35"/>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根据粤科高字【</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关于公布广东省</w:t>
      </w:r>
      <w:r>
        <w:rPr>
          <w:rFonts w:ascii="Times New Roman" w:eastAsia="Times New Roman" w:hAnsi="Times New Roman" w:cs="Times New Roman"/>
          <w:color w:val="000000"/>
          <w:spacing w:val="0"/>
          <w:w w:val="100"/>
          <w:position w:val="0"/>
        </w:rPr>
        <w:t>2012</w:t>
      </w:r>
      <w:r>
        <w:rPr>
          <w:color w:val="000000"/>
          <w:spacing w:val="0"/>
          <w:w w:val="100"/>
          <w:position w:val="0"/>
        </w:rPr>
        <w:t>年第一批通过复审高新技术企业名单的通知</w:t>
      </w:r>
      <w:r>
        <w:rPr>
          <w:color w:val="000000"/>
          <w:spacing w:val="0"/>
          <w:w w:val="100"/>
          <w:position w:val="0"/>
        </w:rPr>
        <w:t>''，</w:t>
      </w:r>
      <w:r>
        <w:rPr>
          <w:color w:val="000000"/>
          <w:spacing w:val="0"/>
          <w:w w:val="100"/>
          <w:position w:val="0"/>
        </w:rPr>
        <w:t>公 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日，获得国家级高新技术企业证书，有效期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期间企业 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35"/>
        <w:keepNext w:val="0"/>
        <w:keepLines w:val="0"/>
        <w:widowControl w:val="0"/>
        <w:shd w:val="clear" w:color="auto" w:fill="auto"/>
        <w:bidi w:val="0"/>
        <w:spacing w:before="0" w:after="6380" w:line="312"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日，子公司扬州华声获得国家级高新技术企业证书，证书编号</w:t>
      </w:r>
      <w:r>
        <w:rPr>
          <w:rFonts w:ascii="Times New Roman" w:eastAsia="Times New Roman" w:hAnsi="Times New Roman" w:cs="Times New Roman"/>
          <w:color w:val="000000"/>
          <w:spacing w:val="0"/>
          <w:w w:val="100"/>
          <w:position w:val="0"/>
        </w:rPr>
        <w:t>GR201132000548</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widowControl w:val="0"/>
        <w:jc w:val="center"/>
        <w:rPr>
          <w:sz w:val="2"/>
          <w:szCs w:val="2"/>
        </w:rPr>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470" w:right="1109" w:bottom="1" w:left="1104" w:header="0" w:footer="3" w:gutter="0"/>
          <w:cols w:space="720"/>
          <w:noEndnote/>
          <w:rtlGutter w:val="0"/>
          <w:docGrid w:linePitch="360"/>
        </w:sectPr>
      </w:pPr>
      <w:r>
        <w:drawing>
          <wp:inline>
            <wp:extent cx="1718945" cy="981710"/>
            <wp:docPr id="472" name="Picutre 472"/>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189"/>
                    <a:stretch/>
                  </pic:blipFill>
                  <pic:spPr>
                    <a:xfrm>
                      <a:ext cx="1718945" cy="981710"/>
                    </a:xfrm>
                    <a:prstGeom prst="rect"/>
                  </pic:spPr>
                </pic:pic>
              </a:graphicData>
            </a:graphic>
          </wp:inline>
        </w:drawing>
      </w:r>
    </w:p>
    <w:p>
      <w:pPr>
        <w:pStyle w:val="Style30"/>
        <w:keepNext/>
        <w:keepLines/>
        <w:widowControl w:val="0"/>
        <w:shd w:val="clear" w:color="auto" w:fill="auto"/>
        <w:bidi w:val="0"/>
        <w:spacing w:before="0" w:after="360" w:line="240" w:lineRule="auto"/>
        <w:ind w:left="0" w:right="0" w:firstLine="0"/>
        <w:jc w:val="both"/>
      </w:pPr>
      <w:bookmarkStart w:id="613" w:name="bookmark613"/>
      <w:bookmarkStart w:id="614" w:name="bookmark614"/>
      <w:bookmarkStart w:id="615" w:name="bookmark615"/>
      <w:bookmarkStart w:id="616" w:name="bookmark616"/>
      <w:r>
        <w:rPr>
          <w:color w:val="000000"/>
          <w:spacing w:val="0"/>
          <w:w w:val="100"/>
          <w:position w:val="0"/>
          <w:sz w:val="24"/>
          <w:szCs w:val="24"/>
        </w:rPr>
        <w:t>六</w:t>
      </w:r>
      <w:bookmarkEnd w:id="615"/>
      <w:r>
        <w:rPr>
          <w:color w:val="000000"/>
          <w:spacing w:val="0"/>
          <w:w w:val="100"/>
          <w:position w:val="0"/>
          <w:sz w:val="24"/>
          <w:szCs w:val="24"/>
        </w:rPr>
        <w:t>、企业合并及合并财务报表</w:t>
      </w:r>
      <w:bookmarkEnd w:id="613"/>
      <w:bookmarkEnd w:id="614"/>
      <w:bookmarkEnd w:id="616"/>
    </w:p>
    <w:p>
      <w:pPr>
        <w:pStyle w:val="Style3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、子公司情况</w:t>
      </w:r>
    </w:p>
    <w:p>
      <w:pPr>
        <w:pStyle w:val="Style35"/>
        <w:keepNext w:val="0"/>
        <w:keepLines w:val="0"/>
        <w:widowControl w:val="0"/>
        <w:numPr>
          <w:ilvl w:val="0"/>
          <w:numId w:val="33"/>
        </w:numPr>
        <w:shd w:val="clear" w:color="auto" w:fill="auto"/>
        <w:bidi w:val="0"/>
        <w:spacing w:before="0" w:after="360" w:line="240" w:lineRule="auto"/>
        <w:ind w:left="0" w:right="0" w:firstLine="0"/>
        <w:jc w:val="both"/>
      </w:pPr>
      <w:bookmarkStart w:id="617" w:name="bookmark617"/>
      <w:bookmarkEnd w:id="617"/>
      <w:r>
        <w:rPr>
          <w:b/>
          <w:bCs/>
          <w:color w:val="000000"/>
          <w:spacing w:val="0"/>
          <w:w w:val="100"/>
          <w:position w:val="0"/>
        </w:rPr>
        <w:t>通过设立或投资等方式取得的子公司</w:t>
      </w:r>
    </w:p>
    <w:p>
      <w:pPr>
        <w:pStyle w:val="Style38"/>
        <w:keepNext w:val="0"/>
        <w:keepLines w:val="0"/>
        <w:widowControl w:val="0"/>
        <w:shd w:val="clear" w:color="auto" w:fill="auto"/>
        <w:bidi w:val="0"/>
        <w:spacing w:before="0" w:after="0" w:line="240" w:lineRule="auto"/>
        <w:ind w:left="12912" w:right="0" w:firstLine="0"/>
        <w:jc w:val="left"/>
      </w:pPr>
      <w:r>
        <w:rPr>
          <w:color w:val="000000"/>
          <w:spacing w:val="0"/>
          <w:w w:val="100"/>
          <w:position w:val="0"/>
        </w:rPr>
        <w:t>单位：元</w:t>
      </w:r>
    </w:p>
    <w:tbl>
      <w:tblPr>
        <w:tblOverlap w:val="never"/>
        <w:jc w:val="center"/>
        <w:tblLayout w:type="fixed"/>
      </w:tblPr>
      <w:tblGrid>
        <w:gridCol w:w="1450"/>
        <w:gridCol w:w="720"/>
        <w:gridCol w:w="538"/>
        <w:gridCol w:w="542"/>
        <w:gridCol w:w="1080"/>
        <w:gridCol w:w="1978"/>
        <w:gridCol w:w="1622"/>
        <w:gridCol w:w="898"/>
        <w:gridCol w:w="542"/>
        <w:gridCol w:w="720"/>
        <w:gridCol w:w="538"/>
        <w:gridCol w:w="542"/>
        <w:gridCol w:w="898"/>
        <w:gridCol w:w="1992"/>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注册 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业务 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期末实际投资额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实质上构 成对子公 司净投资 的其他项 目余额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持股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合并 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 股东 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少数股东 权益中用 于冲减少 数股东损 益的金额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从母公司所有者权益 冲减子公司少数股东 分担的本期亏损超过 少数股东在该子公司 年初所有者权益中所 享有份额后的余额</w:t>
            </w:r>
          </w:p>
        </w:tc>
      </w:tr>
      <w:tr>
        <w:trPr>
          <w:trHeight w:val="6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扬州华声电子 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 扬州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电子 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家用电器配线组件的 研发、生产、销售。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both"/>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3</w:t>
      </w:r>
      <w:bookmarkEnd w:id="620"/>
      <w:r>
        <w:rPr>
          <w:color w:val="000000"/>
          <w:spacing w:val="0"/>
          <w:w w:val="100"/>
          <w:position w:val="0"/>
        </w:rPr>
        <w:t>、合并范围发生变更的说明</w:t>
      </w:r>
      <w:bookmarkEnd w:id="618"/>
      <w:bookmarkEnd w:id="619"/>
      <w:bookmarkEnd w:id="621"/>
    </w:p>
    <w:p>
      <w:pPr>
        <w:pStyle w:val="Style35"/>
        <w:keepNext w:val="0"/>
        <w:keepLines w:val="0"/>
        <w:widowControl w:val="0"/>
        <w:shd w:val="clear" w:color="auto" w:fill="auto"/>
        <w:bidi w:val="0"/>
        <w:spacing w:before="0" w:after="31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jc w:val="center"/>
        <w:rPr>
          <w:sz w:val="2"/>
          <w:szCs w:val="2"/>
        </w:rPr>
        <w:sectPr>
          <w:headerReference w:type="default" r:id="rId191"/>
          <w:footerReference w:type="default" r:id="rId192"/>
          <w:headerReference w:type="even" r:id="rId193"/>
          <w:footerReference w:type="even" r:id="rId194"/>
          <w:footnotePr>
            <w:pos w:val="pageBottom"/>
            <w:numFmt w:val="decimal"/>
            <w:numRestart w:val="continuous"/>
          </w:footnotePr>
          <w:pgSz w:w="16840" w:h="11900" w:orient="landscape"/>
          <w:pgMar w:top="1134" w:right="1350" w:bottom="0" w:left="1417" w:header="0" w:footer="3" w:gutter="0"/>
          <w:cols w:space="720"/>
          <w:noEndnote/>
          <w:rtlGutter w:val="0"/>
          <w:docGrid w:linePitch="360"/>
        </w:sectPr>
      </w:pPr>
      <w:r>
        <w:drawing>
          <wp:inline>
            <wp:extent cx="1718945" cy="981710"/>
            <wp:docPr id="479" name="Picutre 479"/>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195"/>
                    <a:stretch/>
                  </pic:blipFill>
                  <pic:spPr>
                    <a:xfrm>
                      <a:ext cx="1718945" cy="981710"/>
                    </a:xfrm>
                    <a:prstGeom prst="rect"/>
                  </pic:spPr>
                </pic:pic>
              </a:graphicData>
            </a:graphic>
          </wp:inline>
        </w:drawing>
      </w:r>
    </w:p>
    <w:p>
      <w:pPr>
        <w:pStyle w:val="Style30"/>
        <w:keepNext/>
        <w:keepLines/>
        <w:widowControl w:val="0"/>
        <w:shd w:val="clear" w:color="auto" w:fill="auto"/>
        <w:bidi w:val="0"/>
        <w:spacing w:before="0" w:after="340" w:line="240" w:lineRule="auto"/>
        <w:ind w:left="0" w:right="0" w:firstLine="0"/>
        <w:jc w:val="both"/>
      </w:pPr>
      <w:bookmarkStart w:id="622" w:name="bookmark622"/>
      <w:bookmarkStart w:id="623" w:name="bookmark623"/>
      <w:bookmarkStart w:id="624" w:name="bookmark624"/>
      <w:bookmarkStart w:id="625" w:name="bookmark625"/>
      <w:r>
        <w:rPr>
          <w:color w:val="000000"/>
          <w:spacing w:val="0"/>
          <w:w w:val="100"/>
          <w:position w:val="0"/>
          <w:sz w:val="24"/>
          <w:szCs w:val="24"/>
        </w:rPr>
        <w:t>七</w:t>
      </w:r>
      <w:bookmarkEnd w:id="624"/>
      <w:r>
        <w:rPr>
          <w:color w:val="000000"/>
          <w:spacing w:val="0"/>
          <w:w w:val="100"/>
          <w:position w:val="0"/>
          <w:sz w:val="24"/>
          <w:szCs w:val="24"/>
        </w:rPr>
        <w:t>、合并财务报表主要项目注释</w:t>
      </w:r>
      <w:bookmarkEnd w:id="622"/>
      <w:bookmarkEnd w:id="623"/>
      <w:bookmarkEnd w:id="625"/>
    </w:p>
    <w:p>
      <w:pPr>
        <w:pStyle w:val="Style48"/>
        <w:keepNext/>
        <w:keepLines/>
        <w:widowControl w:val="0"/>
        <w:shd w:val="clear" w:color="auto" w:fill="auto"/>
        <w:bidi w:val="0"/>
        <w:spacing w:before="0" w:after="340" w:line="240" w:lineRule="auto"/>
        <w:ind w:left="0" w:right="0" w:firstLine="0"/>
        <w:jc w:val="both"/>
      </w:pPr>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626"/>
      <w:bookmarkEnd w:id="627"/>
      <w:bookmarkEnd w:id="628"/>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2347"/>
        <w:gridCol w:w="1262"/>
        <w:gridCol w:w="898"/>
        <w:gridCol w:w="1440"/>
        <w:gridCol w:w="1262"/>
        <w:gridCol w:w="898"/>
        <w:gridCol w:w="1478"/>
      </w:tblGrid>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人民币金额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8,141.52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21,882.46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104,812,917.83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158,083,777.02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104,745,576.14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156,894,033.01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85,612.94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1,269,800.37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0.8108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1,029,617.63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160,126.38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104,812,917.83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158,083,777.02</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36,346,671.87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30,164,822.06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36,346,671.87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29,704,346.33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460,475.73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36,346,671.87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30,164,822.06</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141,167,731.22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188,270,481.54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79" w:line="1" w:lineRule="exact"/>
      </w:pPr>
    </w:p>
    <w:p>
      <w:pPr>
        <w:widowControl w:val="0"/>
        <w:spacing w:line="1" w:lineRule="exact"/>
      </w:pPr>
    </w:p>
    <w:tbl>
      <w:tblPr>
        <w:tblOverlap w:val="never"/>
        <w:jc w:val="center"/>
        <w:tblLayout w:type="fixed"/>
      </w:tblPr>
      <w:tblGrid>
        <w:gridCol w:w="2712"/>
        <w:gridCol w:w="3240"/>
        <w:gridCol w:w="3629"/>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其中受限制的货币资金明</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细如下：</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36,193,671.87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29,300,776.85</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857,627.35</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36,346,671.87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30,158,404.20</w:t>
            </w:r>
          </w:p>
        </w:tc>
      </w:tr>
    </w:tbl>
    <w:p>
      <w:pPr>
        <w:pStyle w:val="Style38"/>
        <w:keepNext w:val="0"/>
        <w:keepLines w:val="0"/>
        <w:widowControl w:val="0"/>
        <w:shd w:val="clear" w:color="auto" w:fill="auto"/>
        <w:bidi w:val="0"/>
        <w:spacing w:before="0" w:after="0" w:line="240" w:lineRule="auto"/>
        <w:ind w:left="422" w:right="0" w:firstLine="0"/>
        <w:jc w:val="left"/>
      </w:pPr>
      <w:r>
        <w:rPr>
          <w:color w:val="000000"/>
          <w:spacing w:val="0"/>
          <w:w w:val="100"/>
          <w:position w:val="0"/>
        </w:rPr>
        <w:t>公司已在编制现金流量表时剔除上述受限的银行承兑汇票保证金和信用证保证金。</w:t>
      </w:r>
    </w:p>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both"/>
      </w:pPr>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629"/>
      <w:bookmarkEnd w:id="630"/>
      <w:bookmarkEnd w:id="631"/>
    </w:p>
    <w:p>
      <w:pPr>
        <w:pStyle w:val="Style48"/>
        <w:keepNext/>
        <w:keepLines/>
        <w:widowControl w:val="0"/>
        <w:numPr>
          <w:ilvl w:val="0"/>
          <w:numId w:val="35"/>
        </w:numPr>
        <w:shd w:val="clear" w:color="auto" w:fill="auto"/>
        <w:bidi w:val="0"/>
        <w:spacing w:before="0" w:after="340" w:line="240" w:lineRule="auto"/>
        <w:ind w:left="0" w:right="0" w:firstLine="0"/>
        <w:jc w:val="both"/>
      </w:pPr>
      <w:bookmarkStart w:id="629" w:name="bookmark629"/>
      <w:bookmarkStart w:id="630" w:name="bookmark630"/>
      <w:bookmarkStart w:id="632" w:name="bookmark632"/>
      <w:bookmarkStart w:id="633" w:name="bookmark633"/>
      <w:bookmarkEnd w:id="632"/>
      <w:r>
        <w:rPr>
          <w:color w:val="000000"/>
          <w:spacing w:val="0"/>
          <w:w w:val="100"/>
          <w:position w:val="0"/>
        </w:rPr>
        <w:t>应收票据的分类</w:t>
      </w:r>
      <w:bookmarkEnd w:id="629"/>
      <w:bookmarkEnd w:id="630"/>
      <w:bookmarkEnd w:id="633"/>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3998"/>
        <w:gridCol w:w="2654"/>
        <w:gridCol w:w="2933"/>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329,352,067.96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201,156,586.88</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329,352,067.96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201,156,586.88</w:t>
            </w:r>
          </w:p>
        </w:tc>
      </w:tr>
    </w:tbl>
    <w:p>
      <w:pPr>
        <w:widowControl w:val="0"/>
        <w:spacing w:after="1899" w:line="1" w:lineRule="exact"/>
      </w:pPr>
    </w:p>
    <w:p>
      <w:pPr>
        <w:widowControl w:val="0"/>
        <w:spacing w:line="1" w:lineRule="exact"/>
      </w:pPr>
    </w:p>
    <w:p>
      <w:pPr>
        <w:widowControl w:val="0"/>
        <w:jc w:val="center"/>
        <w:rPr>
          <w:sz w:val="2"/>
          <w:szCs w:val="2"/>
        </w:rPr>
      </w:pPr>
      <w:r>
        <w:drawing>
          <wp:inline>
            <wp:extent cx="1718945" cy="981710"/>
            <wp:docPr id="480" name="Picutre 480"/>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197"/>
                    <a:stretch/>
                  </pic:blipFill>
                  <pic:spPr>
                    <a:xfrm>
                      <a:ext cx="1718945" cy="981710"/>
                    </a:xfrm>
                    <a:prstGeom prst="rect"/>
                  </pic:spPr>
                </pic:pic>
              </a:graphicData>
            </a:graphic>
          </wp:inline>
        </w:drawing>
      </w:r>
      <w:r>
        <w:br w:type="page"/>
      </w:r>
    </w:p>
    <w:p>
      <w:pPr>
        <w:pStyle w:val="Style35"/>
        <w:keepNext w:val="0"/>
        <w:keepLines w:val="0"/>
        <w:widowControl w:val="0"/>
        <w:numPr>
          <w:ilvl w:val="0"/>
          <w:numId w:val="35"/>
        </w:numPr>
        <w:shd w:val="clear" w:color="auto" w:fill="auto"/>
        <w:bidi w:val="0"/>
        <w:spacing w:before="0" w:after="360" w:line="240" w:lineRule="auto"/>
        <w:ind w:left="0" w:right="0" w:firstLine="0"/>
        <w:jc w:val="left"/>
      </w:pPr>
      <w:bookmarkStart w:id="634" w:name="bookmark634"/>
      <w:bookmarkEnd w:id="634"/>
      <w:r>
        <w:rPr>
          <w:b/>
          <w:bCs/>
          <w:color w:val="000000"/>
          <w:spacing w:val="0"/>
          <w:w w:val="100"/>
          <w:position w:val="0"/>
        </w:rPr>
        <w:t>期末无已质押的应收票据</w:t>
      </w:r>
    </w:p>
    <w:p>
      <w:pPr>
        <w:pStyle w:val="Style35"/>
        <w:keepNext w:val="0"/>
        <w:keepLines w:val="0"/>
        <w:widowControl w:val="0"/>
        <w:numPr>
          <w:ilvl w:val="0"/>
          <w:numId w:val="35"/>
        </w:numPr>
        <w:shd w:val="clear" w:color="auto" w:fill="auto"/>
        <w:bidi w:val="0"/>
        <w:spacing w:before="0" w:after="360" w:line="240" w:lineRule="auto"/>
        <w:ind w:left="0" w:right="0" w:firstLine="0"/>
        <w:jc w:val="left"/>
      </w:pPr>
      <w:bookmarkStart w:id="635" w:name="bookmark635"/>
      <w:bookmarkEnd w:id="635"/>
      <w:r>
        <w:rPr>
          <w:b/>
          <w:bCs/>
          <w:color w:val="000000"/>
          <w:spacing w:val="0"/>
          <w:w w:val="100"/>
          <w:position w:val="0"/>
        </w:rPr>
        <w:t xml:space="preserve">期末无因出票人无力履约而将票据转为应收账款以及期末公司已经背书给他方但尚未到期的票据 </w:t>
      </w:r>
      <w:bookmarkStart w:id="636" w:name="bookmark636"/>
      <w:r>
        <w:rPr>
          <w:rFonts w:ascii="Times New Roman" w:eastAsia="Times New Roman" w:hAnsi="Times New Roman" w:cs="Times New Roman"/>
          <w:b/>
          <w:bCs/>
          <w:color w:val="000000"/>
          <w:spacing w:val="0"/>
          <w:w w:val="100"/>
          <w:position w:val="0"/>
        </w:rPr>
        <w:t>3</w:t>
      </w:r>
      <w:bookmarkEnd w:id="636"/>
      <w:r>
        <w:rPr>
          <w:b/>
          <w:bCs/>
          <w:color w:val="000000"/>
          <w:spacing w:val="0"/>
          <w:w w:val="100"/>
          <w:position w:val="0"/>
        </w:rPr>
        <w:t>、应收账款</w:t>
      </w:r>
    </w:p>
    <w:p>
      <w:pPr>
        <w:pStyle w:val="Style35"/>
        <w:keepNext w:val="0"/>
        <w:keepLines w:val="0"/>
        <w:widowControl w:val="0"/>
        <w:numPr>
          <w:ilvl w:val="0"/>
          <w:numId w:val="37"/>
        </w:numPr>
        <w:shd w:val="clear" w:color="auto" w:fill="auto"/>
        <w:bidi w:val="0"/>
        <w:spacing w:before="0" w:after="360" w:line="240" w:lineRule="auto"/>
        <w:ind w:left="0" w:right="0" w:firstLine="0"/>
        <w:jc w:val="left"/>
      </w:pPr>
      <w:bookmarkStart w:id="637" w:name="bookmark637"/>
      <w:bookmarkEnd w:id="637"/>
      <w:r>
        <w:rPr>
          <w:b/>
          <w:bCs/>
          <w:color w:val="000000"/>
          <w:spacing w:val="0"/>
          <w:w w:val="100"/>
          <w:position w:val="0"/>
        </w:rPr>
        <w:t>应收账款按种类披露</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1810"/>
        <w:gridCol w:w="1440"/>
        <w:gridCol w:w="619"/>
        <w:gridCol w:w="998"/>
        <w:gridCol w:w="720"/>
        <w:gridCol w:w="1440"/>
        <w:gridCol w:w="720"/>
        <w:gridCol w:w="1080"/>
        <w:gridCol w:w="763"/>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68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65"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账龄分析法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333,507,795.57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399,413.20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237,734,695.33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305,975.01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333,507,795.57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399,413.20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237,734,695.33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305,975.01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0.13%</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333,507,795.57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399,413.20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237,734,695.33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305,975.01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应收账款种类的说明</w:t>
      </w:r>
    </w:p>
    <w:p>
      <w:pPr>
        <w:pStyle w:val="Style35"/>
        <w:keepNext w:val="0"/>
        <w:keepLines w:val="0"/>
        <w:widowControl w:val="0"/>
        <w:shd w:val="clear" w:color="auto" w:fill="auto"/>
        <w:bidi w:val="0"/>
        <w:spacing w:before="0" w:after="100" w:line="240" w:lineRule="auto"/>
        <w:ind w:left="0" w:right="0" w:firstLine="0"/>
        <w:jc w:val="left"/>
      </w:pPr>
      <w:r>
        <mc:AlternateContent>
          <mc:Choice Requires="wps">
            <w:drawing>
              <wp:anchor distT="0" distB="0" distL="0" distR="0" simplePos="0" relativeHeight="125829409" behindDoc="0" locked="0" layoutInCell="1" allowOverlap="1">
                <wp:simplePos x="0" y="0"/>
                <wp:positionH relativeFrom="page">
                  <wp:posOffset>701040</wp:posOffset>
                </wp:positionH>
                <wp:positionV relativeFrom="margin">
                  <wp:posOffset>6900545</wp:posOffset>
                </wp:positionV>
                <wp:extent cx="3227705" cy="685800"/>
                <wp:wrapSquare wrapText="right"/>
                <wp:docPr id="481" name="Shape 481"/>
                <a:graphic xmlns:a="http://schemas.openxmlformats.org/drawingml/2006/main">
                  <a:graphicData uri="http://schemas.microsoft.com/office/word/2010/wordprocessingShape">
                    <wps:wsp>
                      <wps:cNvSpPr txBox="1"/>
                      <wps:spPr>
                        <a:xfrm>
                          <a:ext cx="3227705" cy="685800"/>
                        </a:xfrm>
                        <a:prstGeom prst="rect"/>
                        <a:noFill/>
                      </wps:spPr>
                      <wps:txbx>
                        <w:txbxContent>
                          <w:p>
                            <w:pPr>
                              <w:pStyle w:val="Style35"/>
                              <w:keepNext w:val="0"/>
                              <w:keepLines w:val="0"/>
                              <w:widowControl w:val="0"/>
                              <w:shd w:val="clear" w:color="auto" w:fill="auto"/>
                              <w:bidi w:val="0"/>
                              <w:spacing w:before="0" w:after="0" w:line="353" w:lineRule="exact"/>
                              <w:ind w:left="0" w:right="0" w:firstLine="0"/>
                              <w:jc w:val="left"/>
                            </w:pPr>
                            <w:r>
                              <w:rPr>
                                <w:color w:val="000000"/>
                                <w:spacing w:val="0"/>
                                <w:w w:val="100"/>
                                <w:position w:val="0"/>
                              </w:rPr>
                              <w:t>组合中，采用余额百分比法计提坏账准备的应收账款 组合中，采用其他方法计提坏账准备的应收账款 期末单项金额虽不重大但单项计提坏账准备的应收账款</w:t>
                            </w:r>
                          </w:p>
                        </w:txbxContent>
                      </wps:txbx>
                      <wps:bodyPr lIns="0" tIns="0" rIns="0" bIns="0">
                        <a:noAutoFit/>
                      </wps:bodyPr>
                    </wps:wsp>
                  </a:graphicData>
                </a:graphic>
              </wp:anchor>
            </w:drawing>
          </mc:Choice>
          <mc:Fallback>
            <w:pict>
              <v:shape id="_x0000_s1507" type="#_x0000_t202" style="position:absolute;margin-left:55.200000000000003pt;margin-top:543.35000000000002pt;width:254.15000000000001pt;height:54.pt;z-index:-125829344;mso-wrap-distance-left:0;mso-wrap-distance-right:0;mso-position-horizontal-relative:page;mso-position-vertical-relative:margin" filled="f" stroked="f">
                <v:textbox inset="0,0,0,0">
                  <w:txbxContent>
                    <w:p>
                      <w:pPr>
                        <w:pStyle w:val="Style35"/>
                        <w:keepNext w:val="0"/>
                        <w:keepLines w:val="0"/>
                        <w:widowControl w:val="0"/>
                        <w:shd w:val="clear" w:color="auto" w:fill="auto"/>
                        <w:bidi w:val="0"/>
                        <w:spacing w:before="0" w:after="0" w:line="353" w:lineRule="exact"/>
                        <w:ind w:left="0" w:right="0" w:firstLine="0"/>
                        <w:jc w:val="left"/>
                      </w:pPr>
                      <w:r>
                        <w:rPr>
                          <w:color w:val="000000"/>
                          <w:spacing w:val="0"/>
                          <w:w w:val="100"/>
                          <w:position w:val="0"/>
                        </w:rPr>
                        <w:t>组合中，采用余额百分比法计提坏账准备的应收账款 组合中，采用其他方法计提坏账准备的应收账款 期末单项金额虽不重大但单项计提坏账准备的应收账款</w:t>
                      </w:r>
                    </w:p>
                  </w:txbxContent>
                </v:textbox>
                <w10:wrap type="square" side="right" anchorx="page" anchory="margin"/>
              </v:shape>
            </w:pict>
          </mc:Fallback>
        </mc:AlternateContent>
      </w:r>
      <w:r>
        <mc:AlternateContent>
          <mc:Choice Requires="wps">
            <w:drawing>
              <wp:anchor distT="0" distB="0" distL="0" distR="0" simplePos="0" relativeHeight="125829411" behindDoc="0" locked="0" layoutInCell="1" allowOverlap="1">
                <wp:simplePos x="0" y="0"/>
                <wp:positionH relativeFrom="page">
                  <wp:posOffset>5650865</wp:posOffset>
                </wp:positionH>
                <wp:positionV relativeFrom="margin">
                  <wp:posOffset>6900545</wp:posOffset>
                </wp:positionV>
                <wp:extent cx="899160" cy="679450"/>
                <wp:wrapSquare wrapText="bothSides"/>
                <wp:docPr id="483" name="Shape 483"/>
                <a:graphic xmlns:a="http://schemas.openxmlformats.org/drawingml/2006/main">
                  <a:graphicData uri="http://schemas.microsoft.com/office/word/2010/wordprocessingShape">
                    <wps:wsp>
                      <wps:cNvSpPr txBox="1"/>
                      <wps:spPr>
                        <a:xfrm>
                          <a:ext cx="899160" cy="679450"/>
                        </a:xfrm>
                        <a:prstGeom prst="rect"/>
                        <a:noFill/>
                      </wps:spPr>
                      <wps:txbx>
                        <w:txbxContent>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 适用</w:t>
                            </w:r>
                            <w:r>
                              <w:rPr>
                                <w:i/>
                                <w:iCs/>
                                <w:color w:val="000000"/>
                                <w:spacing w:val="0"/>
                                <w:w w:val="100"/>
                                <w:position w:val="0"/>
                              </w:rPr>
                              <w:t>q</w:t>
                            </w:r>
                            <w:r>
                              <w:rPr>
                                <w:color w:val="000000"/>
                                <w:spacing w:val="0"/>
                                <w:w w:val="100"/>
                                <w:position w:val="0"/>
                              </w:rPr>
                              <w:t>不适用 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wps:txbx>
                      <wps:bodyPr lIns="0" tIns="0" rIns="0" bIns="0">
                        <a:noAutoFit/>
                      </wps:bodyPr>
                    </wps:wsp>
                  </a:graphicData>
                </a:graphic>
              </wp:anchor>
            </w:drawing>
          </mc:Choice>
          <mc:Fallback>
            <w:pict>
              <v:shape id="_x0000_s1509" type="#_x0000_t202" style="position:absolute;margin-left:444.94999999999999pt;margin-top:543.35000000000002pt;width:70.799999999999997pt;height:53.5pt;z-index:-125829342;mso-wrap-distance-left:0;mso-wrap-distance-right:0;mso-position-horizontal-relative:page;mso-position-vertical-relative:margin" filled="f" stroked="f">
                <v:textbox inset="0,0,0,0">
                  <w:txbxContent>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 适用</w:t>
                      </w:r>
                      <w:r>
                        <w:rPr>
                          <w:i/>
                          <w:iCs/>
                          <w:color w:val="000000"/>
                          <w:spacing w:val="0"/>
                          <w:w w:val="100"/>
                          <w:position w:val="0"/>
                        </w:rPr>
                        <w:t>q</w:t>
                      </w:r>
                      <w:r>
                        <w:rPr>
                          <w:color w:val="000000"/>
                          <w:spacing w:val="0"/>
                          <w:w w:val="100"/>
                          <w:position w:val="0"/>
                        </w:rPr>
                        <w:t>不适用 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v:textbox>
                <w10:wrap type="square" anchorx="page" anchory="margin"/>
              </v:shape>
            </w:pict>
          </mc:Fallback>
        </mc:AlternateContent>
      </w:r>
      <w:r>
        <w:drawing>
          <wp:anchor distT="1257300" distB="0" distL="114300" distR="114300" simplePos="0" relativeHeight="125829413" behindDoc="0" locked="0" layoutInCell="1" allowOverlap="1">
            <wp:simplePos x="0" y="0"/>
            <wp:positionH relativeFrom="page">
              <wp:posOffset>5839460</wp:posOffset>
            </wp:positionH>
            <wp:positionV relativeFrom="margin">
              <wp:posOffset>8790305</wp:posOffset>
            </wp:positionV>
            <wp:extent cx="1718945" cy="981710"/>
            <wp:wrapTopAndBottom/>
            <wp:docPr id="485" name="Shape 485"/>
            <a:graphic xmlns:a="http://schemas.openxmlformats.org/drawingml/2006/main">
              <a:graphicData uri="http://schemas.openxmlformats.org/drawingml/2006/picture">
                <pic:pic xmlns:pic="http://schemas.openxmlformats.org/drawingml/2006/picture">
                  <pic:nvPicPr>
                    <pic:cNvPr id="486" name="Picture box 486"/>
                    <pic:cNvPicPr/>
                  </pic:nvPicPr>
                  <pic:blipFill>
                    <a:blip r:embed="rId199"/>
                    <a:stretch/>
                  </pic:blipFill>
                  <pic:spPr>
                    <a:xfrm>
                      <a:ext cx="1718945" cy="981710"/>
                    </a:xfrm>
                    <a:prstGeom prst="rect"/>
                  </pic:spPr>
                </pic:pic>
              </a:graphicData>
            </a:graphic>
          </wp:anchor>
        </w:drawing>
      </w:r>
      <w:r>
        <w:rPr>
          <w:color w:val="000000"/>
          <w:spacing w:val="0"/>
          <w:w w:val="100"/>
          <w:position w:val="0"/>
        </w:rPr>
        <w:t>组合中，按账龄分析法计提坏账准备的应收账款</w:t>
      </w:r>
    </w:p>
    <w:tbl>
      <w:tblPr>
        <w:tblOverlap w:val="never"/>
        <w:jc w:val="left"/>
        <w:tblLayout w:type="fixed"/>
      </w:tblPr>
      <w:tblGrid>
        <w:gridCol w:w="2707"/>
        <w:gridCol w:w="1440"/>
        <w:gridCol w:w="902"/>
        <w:gridCol w:w="1080"/>
        <w:gridCol w:w="1440"/>
        <w:gridCol w:w="898"/>
        <w:gridCol w:w="1118"/>
      </w:tblGrid>
      <w:tr>
        <w:trPr>
          <w:trHeight w:val="374" w:hRule="exact"/>
        </w:trPr>
        <w:tc>
          <w:tcPr>
            <w:vMerge w:val="restart"/>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vMerge/>
            <w:tcBorders>
              <w:left w:val="single" w:sz="4"/>
            </w:tcBorders>
            <w:shd w:val="clear" w:color="auto" w:fill="D3D3D3"/>
            <w:vAlign w:val="center"/>
          </w:tcPr>
          <w:p>
            <w:pPr>
              <w:framePr w:w="9586" w:h="4075" w:vSpace="317" w:wrap="notBeside" w:vAnchor="text" w:hAnchor="text" w:x="10" w:y="318"/>
            </w:pPr>
          </w:p>
        </w:tc>
        <w:tc>
          <w:tcPr>
            <w:gridSpan w:val="2"/>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370" w:hRule="exact"/>
        </w:trPr>
        <w:tc>
          <w:tcPr>
            <w:vMerge/>
            <w:tcBorders>
              <w:left w:val="single" w:sz="4"/>
            </w:tcBorders>
            <w:shd w:val="clear" w:color="auto" w:fill="D3D3D3"/>
            <w:vAlign w:val="center"/>
          </w:tcPr>
          <w:p>
            <w:pPr>
              <w:framePr w:w="9586" w:h="4075" w:vSpace="317" w:wrap="notBeside" w:vAnchor="text" w:hAnchor="text" w:x="10" w:y="318"/>
            </w:pPr>
          </w:p>
        </w:tc>
        <w:tc>
          <w:tcPr>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framePr w:w="9586" w:h="4075" w:vSpace="317" w:wrap="notBeside" w:vAnchor="text" w:hAnchor="text" w:x="10" w:y="318"/>
            </w:pPr>
          </w:p>
        </w:tc>
        <w:tc>
          <w:tcPr>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framePr w:w="9586" w:h="4075" w:vSpace="317" w:wrap="notBeside" w:vAnchor="text" w:hAnchor="text" w:x="10" w:y="318"/>
            </w:pPr>
          </w:p>
        </w:tc>
      </w:tr>
      <w:tr>
        <w:trPr>
          <w:trHeight w:val="370" w:hRule="exact"/>
        </w:trPr>
        <w:tc>
          <w:tcPr>
            <w:gridSpan w:val="7"/>
            <w:tcBorders>
              <w:top w:val="single" w:sz="4"/>
              <w:left w:val="single" w:sz="4"/>
              <w:righ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70" w:hRule="exact"/>
        </w:trPr>
        <w:tc>
          <w:tcPr>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个月</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329,876,875.53</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98.92%</w:t>
            </w:r>
          </w:p>
        </w:tc>
        <w:tc>
          <w:tcPr>
            <w:tcBorders>
              <w:top w:val="single" w:sz="4"/>
              <w:left w:val="single" w:sz="4"/>
            </w:tcBorders>
            <w:shd w:val="clear" w:color="auto" w:fill="FFFFFF"/>
            <w:vAlign w:val="top"/>
          </w:tcPr>
          <w:p>
            <w:pPr>
              <w:framePr w:w="9586" w:h="4075" w:vSpace="317" w:wrap="notBeside" w:vAnchor="text" w:hAnchor="text" w:x="10" w:y="318"/>
              <w:widowControl w:val="0"/>
              <w:rPr>
                <w:sz w:val="10"/>
                <w:szCs w:val="10"/>
              </w:rPr>
            </w:pP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235,764,294.40</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99.17%</w:t>
            </w:r>
          </w:p>
        </w:tc>
        <w:tc>
          <w:tcPr>
            <w:tcBorders>
              <w:top w:val="single" w:sz="4"/>
              <w:left w:val="single" w:sz="4"/>
              <w:right w:val="single" w:sz="4"/>
            </w:tcBorders>
            <w:shd w:val="clear" w:color="auto" w:fill="FFFFFF"/>
            <w:vAlign w:val="top"/>
          </w:tcPr>
          <w:p>
            <w:pPr>
              <w:framePr w:w="9586" w:h="4075" w:vSpace="317" w:wrap="notBeside" w:vAnchor="text" w:hAnchor="text" w:x="10" w:y="318"/>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个月至</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3,377,470.37</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168,873.52</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1,633,803.79</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0.69%</w:t>
            </w:r>
          </w:p>
        </w:tc>
        <w:tc>
          <w:tcPr>
            <w:tcBorders>
              <w:top w:val="single" w:sz="4"/>
              <w:left w:val="single" w:sz="4"/>
              <w:righ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81,690.19</w:t>
            </w:r>
          </w:p>
        </w:tc>
      </w:tr>
      <w:tr>
        <w:trPr>
          <w:trHeight w:val="365" w:hRule="exact"/>
        </w:trPr>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45,819.97</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22,909.98</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224,624.59</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112,312.29</w:t>
            </w:r>
          </w:p>
        </w:tc>
      </w:tr>
      <w:tr>
        <w:trPr>
          <w:trHeight w:val="370" w:hRule="exact"/>
        </w:trPr>
        <w:tc>
          <w:tcPr>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333,300,165.87</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99.94%</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191,783.50</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237,622,722.80</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w:t>
            </w:r>
          </w:p>
        </w:tc>
        <w:tc>
          <w:tcPr>
            <w:tcBorders>
              <w:top w:val="single" w:sz="4"/>
              <w:left w:val="single" w:sz="4"/>
              <w:righ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194,002.48</w:t>
            </w:r>
          </w:p>
        </w:tc>
      </w:tr>
      <w:tr>
        <w:trPr>
          <w:trHeight w:val="370" w:hRule="exact"/>
        </w:trPr>
        <w:tc>
          <w:tcPr>
            <w:tcBorders>
              <w:top w:val="single" w:sz="4"/>
              <w:left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207,629.70</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207,629.70</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111,972.53</w:t>
            </w:r>
          </w:p>
        </w:tc>
        <w:tc>
          <w:tcPr>
            <w:tcBorders>
              <w:top w:val="single" w:sz="4"/>
              <w:lef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111,972.53</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333,507,795.57</w:t>
            </w:r>
          </w:p>
        </w:tc>
        <w:tc>
          <w:tcPr>
            <w:tcBorders>
              <w:top w:val="single" w:sz="4"/>
              <w:left w:val="single" w:sz="4"/>
              <w:bottom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399,413.20</w:t>
            </w:r>
          </w:p>
        </w:tc>
        <w:tc>
          <w:tcPr>
            <w:tcBorders>
              <w:top w:val="single" w:sz="4"/>
              <w:left w:val="single" w:sz="4"/>
              <w:bottom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237,734,695.33</w:t>
            </w:r>
          </w:p>
        </w:tc>
        <w:tc>
          <w:tcPr>
            <w:tcBorders>
              <w:top w:val="single" w:sz="4"/>
              <w:left w:val="single" w:sz="4"/>
              <w:bottom w:val="single" w:sz="4"/>
            </w:tcBorders>
            <w:shd w:val="clear" w:color="auto" w:fill="D3D3D3"/>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framePr w:w="9586" w:h="4075" w:vSpace="317" w:wrap="notBeside" w:vAnchor="text" w:hAnchor="text" w:x="10"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305,975.01</w:t>
            </w:r>
          </w:p>
        </w:tc>
      </w:tr>
    </w:tbl>
    <w:p>
      <w:pPr>
        <w:pStyle w:val="Style38"/>
        <w:keepNext w:val="0"/>
        <w:keepLines w:val="0"/>
        <w:framePr w:w="984" w:h="259" w:hSpace="9" w:wrap="notBeside" w:vAnchor="text" w:hAnchor="text" w:x="8381" w:y="1"/>
        <w:widowControl w:val="0"/>
        <w:shd w:val="clear" w:color="auto" w:fill="auto"/>
        <w:bidi w:val="0"/>
        <w:spacing w:before="0" w:after="0" w:line="240" w:lineRule="auto"/>
        <w:ind w:left="0" w:right="0" w:firstLine="0"/>
        <w:jc w:val="left"/>
      </w:pPr>
      <w:r>
        <w:rPr>
          <w:color w:val="000000"/>
          <w:spacing w:val="0"/>
          <w:w w:val="100"/>
          <w:position w:val="0"/>
        </w:rPr>
        <w:t>单位：元</w:t>
      </w:r>
    </w:p>
    <w:p>
      <w:pPr>
        <w:pStyle w:val="Style38"/>
        <w:keepNext w:val="0"/>
        <w:keepLines w:val="0"/>
        <w:framePr w:w="163" w:h="250" w:hSpace="9" w:wrap="notBeside" w:vAnchor="text" w:hAnchor="text" w:x="7570" w:y="448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p>
      <w:pPr>
        <w:widowControl w:val="0"/>
        <w:spacing w:line="1" w:lineRule="exact"/>
        <w:sectPr>
          <w:headerReference w:type="default" r:id="rId201"/>
          <w:footerReference w:type="default" r:id="rId202"/>
          <w:headerReference w:type="even" r:id="rId203"/>
          <w:footerReference w:type="even" r:id="rId204"/>
          <w:footnotePr>
            <w:pos w:val="pageBottom"/>
            <w:numFmt w:val="decimal"/>
            <w:numRestart w:val="continuous"/>
          </w:footnotePr>
          <w:pgSz w:w="11900" w:h="16840"/>
          <w:pgMar w:top="1455" w:right="1197" w:bottom="1" w:left="1099" w:header="0" w:footer="3" w:gutter="0"/>
          <w:cols w:space="720"/>
          <w:noEndnote/>
          <w:rtlGutter w:val="0"/>
          <w:docGrid w:linePitch="360"/>
        </w:sectPr>
      </w:pPr>
    </w:p>
    <w:p>
      <w:pPr>
        <w:pStyle w:val="Style35"/>
        <w:keepNext w:val="0"/>
        <w:keepLines w:val="0"/>
        <w:widowControl w:val="0"/>
        <w:numPr>
          <w:ilvl w:val="0"/>
          <w:numId w:val="37"/>
        </w:numPr>
        <w:shd w:val="clear" w:color="auto" w:fill="auto"/>
        <w:bidi w:val="0"/>
        <w:spacing w:before="0" w:after="360" w:line="240" w:lineRule="auto"/>
        <w:ind w:left="0" w:right="0" w:firstLine="0"/>
        <w:jc w:val="left"/>
      </w:pPr>
      <w:bookmarkStart w:id="638" w:name="bookmark638"/>
      <w:bookmarkEnd w:id="638"/>
      <w:r>
        <w:rPr>
          <w:b/>
          <w:bCs/>
          <w:color w:val="000000"/>
          <w:spacing w:val="0"/>
          <w:w w:val="100"/>
          <w:position w:val="0"/>
        </w:rPr>
        <w:t>本报告期无转回或收回的应收账款</w:t>
      </w:r>
    </w:p>
    <w:p>
      <w:pPr>
        <w:pStyle w:val="Style35"/>
        <w:keepNext w:val="0"/>
        <w:keepLines w:val="0"/>
        <w:widowControl w:val="0"/>
        <w:numPr>
          <w:ilvl w:val="0"/>
          <w:numId w:val="37"/>
        </w:numPr>
        <w:shd w:val="clear" w:color="auto" w:fill="auto"/>
        <w:tabs>
          <w:tab w:pos="430" w:val="left"/>
        </w:tabs>
        <w:bidi w:val="0"/>
        <w:spacing w:before="0" w:after="360" w:line="240" w:lineRule="auto"/>
        <w:ind w:left="0" w:right="0" w:firstLine="0"/>
        <w:jc w:val="left"/>
      </w:pPr>
      <w:bookmarkStart w:id="639" w:name="bookmark639"/>
      <w:bookmarkEnd w:id="639"/>
      <w:r>
        <w:rPr>
          <w:b/>
          <w:bCs/>
          <w:color w:val="000000"/>
          <w:spacing w:val="0"/>
          <w:w w:val="100"/>
          <w:position w:val="0"/>
        </w:rPr>
        <w:t>本报告期无实际核销的应收账款</w:t>
      </w:r>
    </w:p>
    <w:p>
      <w:pPr>
        <w:pStyle w:val="Style35"/>
        <w:keepNext w:val="0"/>
        <w:keepLines w:val="0"/>
        <w:widowControl w:val="0"/>
        <w:numPr>
          <w:ilvl w:val="0"/>
          <w:numId w:val="37"/>
        </w:numPr>
        <w:shd w:val="clear" w:color="auto" w:fill="auto"/>
        <w:tabs>
          <w:tab w:pos="430" w:val="left"/>
        </w:tabs>
        <w:bidi w:val="0"/>
        <w:spacing w:before="0" w:after="360" w:line="240" w:lineRule="auto"/>
        <w:ind w:left="0" w:right="0" w:firstLine="0"/>
        <w:jc w:val="left"/>
      </w:pPr>
      <w:bookmarkStart w:id="640" w:name="bookmark640"/>
      <w:bookmarkEnd w:id="640"/>
      <w:r>
        <w:rPr>
          <w:b/>
          <w:bCs/>
          <w:color w:val="000000"/>
          <w:spacing w:val="0"/>
          <w:w w:val="100"/>
          <w:position w:val="0"/>
        </w:rPr>
        <w:t>本报告期应收账款中无持有公司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以上表决权股份的股东单位</w:t>
      </w:r>
    </w:p>
    <w:p>
      <w:pPr>
        <w:pStyle w:val="Style35"/>
        <w:keepNext w:val="0"/>
        <w:keepLines w:val="0"/>
        <w:widowControl w:val="0"/>
        <w:numPr>
          <w:ilvl w:val="0"/>
          <w:numId w:val="37"/>
        </w:numPr>
        <w:shd w:val="clear" w:color="auto" w:fill="auto"/>
        <w:tabs>
          <w:tab w:pos="430" w:val="left"/>
        </w:tabs>
        <w:bidi w:val="0"/>
        <w:spacing w:before="0" w:after="360" w:line="240" w:lineRule="auto"/>
        <w:ind w:left="0" w:right="0" w:firstLine="0"/>
        <w:jc w:val="left"/>
      </w:pPr>
      <w:bookmarkStart w:id="641" w:name="bookmark641"/>
      <w:bookmarkEnd w:id="641"/>
      <w:r>
        <w:rPr>
          <w:b/>
          <w:bCs/>
          <w:color w:val="000000"/>
          <w:spacing w:val="0"/>
          <w:w w:val="100"/>
          <w:position w:val="0"/>
        </w:rPr>
        <w:t>应收账款中金额前五名单位情况</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占应收账款总额的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42,883,868.93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33,436,111.45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29,948,897.77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29,395,833.85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22,980,152.10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158,644,864.10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47.57%</w:t>
            </w:r>
          </w:p>
        </w:tc>
      </w:tr>
    </w:tbl>
    <w:p>
      <w:pPr>
        <w:widowControl w:val="0"/>
        <w:spacing w:after="359" w:line="1" w:lineRule="exact"/>
      </w:pPr>
    </w:p>
    <w:p>
      <w:pPr>
        <w:pStyle w:val="Style35"/>
        <w:keepNext w:val="0"/>
        <w:keepLines w:val="0"/>
        <w:widowControl w:val="0"/>
        <w:numPr>
          <w:ilvl w:val="0"/>
          <w:numId w:val="37"/>
        </w:numPr>
        <w:shd w:val="clear" w:color="auto" w:fill="auto"/>
        <w:tabs>
          <w:tab w:pos="430" w:val="left"/>
        </w:tabs>
        <w:bidi w:val="0"/>
        <w:spacing w:before="0" w:after="360" w:line="240" w:lineRule="auto"/>
        <w:ind w:left="0" w:right="0" w:firstLine="0"/>
        <w:jc w:val="left"/>
      </w:pPr>
      <w:bookmarkStart w:id="642" w:name="bookmark642"/>
      <w:bookmarkEnd w:id="642"/>
      <w:r>
        <w:rPr>
          <w:b/>
          <w:bCs/>
          <w:color w:val="000000"/>
          <w:spacing w:val="0"/>
          <w:w w:val="100"/>
          <w:position w:val="0"/>
        </w:rPr>
        <w:t>本报告期无应收关联方账款</w:t>
      </w:r>
    </w:p>
    <w:p>
      <w:pPr>
        <w:pStyle w:val="Style35"/>
        <w:keepNext w:val="0"/>
        <w:keepLines w:val="0"/>
        <w:widowControl w:val="0"/>
        <w:numPr>
          <w:ilvl w:val="0"/>
          <w:numId w:val="37"/>
        </w:numPr>
        <w:shd w:val="clear" w:color="auto" w:fill="auto"/>
        <w:tabs>
          <w:tab w:pos="430" w:val="left"/>
        </w:tabs>
        <w:bidi w:val="0"/>
        <w:spacing w:before="0" w:after="360" w:line="240" w:lineRule="auto"/>
        <w:ind w:left="0" w:right="0" w:firstLine="0"/>
        <w:jc w:val="left"/>
      </w:pPr>
      <w:bookmarkStart w:id="643" w:name="bookmark643"/>
      <w:bookmarkEnd w:id="643"/>
      <w:r>
        <w:rPr>
          <w:b/>
          <w:bCs/>
          <w:color w:val="000000"/>
          <w:spacing w:val="0"/>
          <w:w w:val="100"/>
          <w:position w:val="0"/>
        </w:rPr>
        <w:t>本报告期无终止确认的应收款项</w:t>
      </w:r>
    </w:p>
    <w:p>
      <w:pPr>
        <w:pStyle w:val="Style35"/>
        <w:keepNext w:val="0"/>
        <w:keepLines w:val="0"/>
        <w:widowControl w:val="0"/>
        <w:numPr>
          <w:ilvl w:val="0"/>
          <w:numId w:val="37"/>
        </w:numPr>
        <w:shd w:val="clear" w:color="auto" w:fill="auto"/>
        <w:tabs>
          <w:tab w:pos="430" w:val="left"/>
        </w:tabs>
        <w:bidi w:val="0"/>
        <w:spacing w:before="0" w:after="360" w:line="240" w:lineRule="auto"/>
        <w:ind w:left="0" w:right="0" w:firstLine="0"/>
        <w:jc w:val="left"/>
      </w:pPr>
      <w:bookmarkStart w:id="644" w:name="bookmark644"/>
      <w:bookmarkEnd w:id="644"/>
      <w:r>
        <w:rPr>
          <w:b/>
          <w:bCs/>
          <w:color w:val="000000"/>
          <w:spacing w:val="0"/>
          <w:w w:val="100"/>
          <w:position w:val="0"/>
        </w:rPr>
        <w:t>本报告期无以应收款项为标的进行证券化的，列示继续涉入形成的资产、负债</w:t>
      </w:r>
    </w:p>
    <w:p>
      <w:pPr>
        <w:pStyle w:val="Style35"/>
        <w:keepNext w:val="0"/>
        <w:keepLines w:val="0"/>
        <w:widowControl w:val="0"/>
        <w:shd w:val="clear" w:color="auto" w:fill="auto"/>
        <w:bidi w:val="0"/>
        <w:spacing w:before="0" w:after="360" w:line="240" w:lineRule="auto"/>
        <w:ind w:left="0" w:right="0" w:firstLine="0"/>
        <w:jc w:val="left"/>
      </w:pPr>
      <w:bookmarkStart w:id="645" w:name="bookmark645"/>
      <w:r>
        <w:rPr>
          <w:rFonts w:ascii="Times New Roman" w:eastAsia="Times New Roman" w:hAnsi="Times New Roman" w:cs="Times New Roman"/>
          <w:b/>
          <w:bCs/>
          <w:color w:val="000000"/>
          <w:spacing w:val="0"/>
          <w:w w:val="100"/>
          <w:position w:val="0"/>
        </w:rPr>
        <w:t>4</w:t>
      </w:r>
      <w:bookmarkEnd w:id="645"/>
      <w:r>
        <w:rPr>
          <w:b/>
          <w:bCs/>
          <w:color w:val="000000"/>
          <w:spacing w:val="0"/>
          <w:w w:val="100"/>
          <w:position w:val="0"/>
        </w:rPr>
        <w:t>、其他应收款</w:t>
      </w:r>
    </w:p>
    <w:p>
      <w:pPr>
        <w:pStyle w:val="Style35"/>
        <w:keepNext w:val="0"/>
        <w:keepLines w:val="0"/>
        <w:widowControl w:val="0"/>
        <w:numPr>
          <w:ilvl w:val="0"/>
          <w:numId w:val="39"/>
        </w:numPr>
        <w:shd w:val="clear" w:color="auto" w:fill="auto"/>
        <w:bidi w:val="0"/>
        <w:spacing w:before="0" w:after="360" w:line="240" w:lineRule="auto"/>
        <w:ind w:left="0" w:right="0" w:firstLine="0"/>
        <w:jc w:val="left"/>
      </w:pPr>
      <w:bookmarkStart w:id="646" w:name="bookmark646"/>
      <w:bookmarkEnd w:id="646"/>
      <w:r>
        <w:rPr>
          <w:b/>
          <w:bCs/>
          <w:color w:val="000000"/>
          <w:spacing w:val="0"/>
          <w:w w:val="100"/>
          <w:position w:val="0"/>
        </w:rPr>
        <w:t>其他应收款按种类披露</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0"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:账龄分析法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508,188.14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508,188.14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508,188.14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4,822.99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798,684.62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20,125.00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其他应收款种类的说明</w:t>
      </w:r>
    </w:p>
    <w:p>
      <w:pPr>
        <w:pStyle w:val="Style38"/>
        <w:keepNext w:val="0"/>
        <w:keepLines w:val="0"/>
        <w:widowControl w:val="0"/>
        <w:shd w:val="clear" w:color="auto" w:fill="auto"/>
        <w:tabs>
          <w:tab w:pos="7560" w:val="left"/>
        </w:tabs>
        <w:bidi w:val="0"/>
        <w:spacing w:before="0" w:after="100" w:line="240" w:lineRule="auto"/>
        <w:ind w:left="0" w:right="0" w:firstLine="0"/>
        <w:jc w:val="left"/>
      </w:pPr>
      <w:r>
        <w:rPr>
          <w:color w:val="000000"/>
          <w:spacing w:val="0"/>
          <w:w w:val="100"/>
          <w:position w:val="0"/>
        </w:rPr>
        <w:t>期末单项金额重大并单项计提坏账准备的其他应收款</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组合中，采用账龄分析法计提坏账准备的其他应收款</w:t>
      </w:r>
    </w:p>
    <w:p>
      <w:pPr>
        <w:widowControl w:val="0"/>
        <w:spacing w:after="79" w:line="1" w:lineRule="exact"/>
      </w:pPr>
    </w:p>
    <w:p>
      <w:pPr>
        <w:pStyle w:val="Style38"/>
        <w:keepNext w:val="0"/>
        <w:keepLines w:val="0"/>
        <w:widowControl w:val="0"/>
        <w:shd w:val="clear" w:color="auto" w:fill="auto"/>
        <w:bidi w:val="0"/>
        <w:spacing w:before="0" w:after="0" w:line="240" w:lineRule="auto"/>
        <w:ind w:left="8266" w:right="0" w:firstLine="0"/>
        <w:jc w:val="left"/>
      </w:pPr>
      <w:r>
        <w:rPr>
          <w:color w:val="000000"/>
          <w:spacing w:val="0"/>
          <w:w w:val="100"/>
          <w:position w:val="0"/>
        </w:rPr>
        <w:t>单位：元</w:t>
      </w:r>
    </w:p>
    <w:tbl>
      <w:tblPr>
        <w:tblOverlap w:val="never"/>
        <w:jc w:val="center"/>
        <w:tblLayout w:type="fixed"/>
      </w:tblPr>
      <w:tblGrid>
        <w:gridCol w:w="2707"/>
        <w:gridCol w:w="3422"/>
        <w:gridCol w:w="3456"/>
      </w:tblGrid>
      <w:tr>
        <w:trPr>
          <w:trHeight w:val="38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ectPr>
          <w:headerReference w:type="default" r:id="rId205"/>
          <w:footerReference w:type="default" r:id="rId206"/>
          <w:headerReference w:type="even" r:id="rId207"/>
          <w:footerReference w:type="even" r:id="rId208"/>
          <w:footnotePr>
            <w:pos w:val="pageBottom"/>
            <w:numFmt w:val="decimal"/>
            <w:numRestart w:val="continuous"/>
          </w:footnotePr>
          <w:pgSz w:w="11900" w:h="16840"/>
          <w:pgMar w:top="1470" w:right="1191" w:bottom="1470" w:left="1104" w:header="0" w:footer="3" w:gutter="0"/>
          <w:cols w:space="720"/>
          <w:noEndnote/>
          <w:rtlGutter w:val="0"/>
          <w:docGrid w:linePitch="360"/>
        </w:sectPr>
      </w:pPr>
    </w:p>
    <w:tbl>
      <w:tblPr>
        <w:tblOverlap w:val="never"/>
        <w:jc w:val="center"/>
        <w:tblLayout w:type="fixed"/>
      </w:tblPr>
      <w:tblGrid>
        <w:gridCol w:w="2707"/>
        <w:gridCol w:w="1262"/>
        <w:gridCol w:w="1080"/>
        <w:gridCol w:w="1080"/>
        <w:gridCol w:w="1258"/>
        <w:gridCol w:w="1080"/>
        <w:gridCol w:w="1118"/>
      </w:tblGrid>
      <w:tr>
        <w:trPr>
          <w:trHeight w:val="37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r>
      <w:tr>
        <w:trPr>
          <w:trHeight w:val="36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70"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个月</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399,795.97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447,858.41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56.07%</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个月至</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18,932.32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47,966.21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6.01%</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82,459.85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10,425.00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501,188.14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704,324.62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10,425.00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9,370.00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508,188.14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4,822.99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798,684.62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20,125.00</w:t>
            </w:r>
          </w:p>
        </w:tc>
      </w:tr>
    </w:tbl>
    <w:p>
      <w:pPr>
        <w:pStyle w:val="Style38"/>
        <w:keepNext w:val="0"/>
        <w:keepLines w:val="0"/>
        <w:widowControl w:val="0"/>
        <w:shd w:val="clear" w:color="auto" w:fill="auto"/>
        <w:bidi w:val="0"/>
        <w:spacing w:before="0" w:after="0" w:line="350" w:lineRule="exact"/>
        <w:ind w:left="0" w:right="0" w:firstLine="0"/>
        <w:jc w:val="distribute"/>
      </w:pPr>
      <w:r>
        <w:rPr>
          <w:color w:val="000000"/>
          <w:spacing w:val="0"/>
          <w:w w:val="100"/>
          <w:position w:val="0"/>
        </w:rPr>
        <w:t xml:space="preserve">组合中，采用余额百分比法计提坏账准备的其他应收款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 xml:space="preserve">不适用 组合中，采用其他方法计提坏账准备的其他应收款 </w:t>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 xml:space="preserve">不适用 期末单项金额虽不重大但单项计提坏账准备的其他应收款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299" w:line="1" w:lineRule="exact"/>
      </w:pPr>
    </w:p>
    <w:p>
      <w:pPr>
        <w:pStyle w:val="Style35"/>
        <w:keepNext w:val="0"/>
        <w:keepLines w:val="0"/>
        <w:widowControl w:val="0"/>
        <w:numPr>
          <w:ilvl w:val="0"/>
          <w:numId w:val="39"/>
        </w:numPr>
        <w:shd w:val="clear" w:color="auto" w:fill="auto"/>
        <w:tabs>
          <w:tab w:pos="430" w:val="left"/>
        </w:tabs>
        <w:bidi w:val="0"/>
        <w:spacing w:before="0" w:after="360" w:line="240" w:lineRule="auto"/>
        <w:ind w:left="0" w:right="0" w:firstLine="0"/>
        <w:jc w:val="left"/>
      </w:pPr>
      <w:bookmarkStart w:id="647" w:name="bookmark647"/>
      <w:bookmarkEnd w:id="647"/>
      <w:r>
        <w:rPr>
          <w:b/>
          <w:bCs/>
          <w:color w:val="000000"/>
          <w:spacing w:val="0"/>
          <w:w w:val="100"/>
          <w:position w:val="0"/>
        </w:rPr>
        <w:t>本报告期无转回或收回的其他应收款</w:t>
      </w:r>
    </w:p>
    <w:p>
      <w:pPr>
        <w:pStyle w:val="Style35"/>
        <w:keepNext w:val="0"/>
        <w:keepLines w:val="0"/>
        <w:widowControl w:val="0"/>
        <w:numPr>
          <w:ilvl w:val="0"/>
          <w:numId w:val="39"/>
        </w:numPr>
        <w:shd w:val="clear" w:color="auto" w:fill="auto"/>
        <w:tabs>
          <w:tab w:pos="430" w:val="left"/>
        </w:tabs>
        <w:bidi w:val="0"/>
        <w:spacing w:before="0" w:after="360" w:line="240" w:lineRule="auto"/>
        <w:ind w:left="0" w:right="0" w:firstLine="0"/>
        <w:jc w:val="left"/>
      </w:pPr>
      <w:bookmarkStart w:id="648" w:name="bookmark648"/>
      <w:bookmarkEnd w:id="648"/>
      <w:r>
        <w:rPr>
          <w:b/>
          <w:bCs/>
          <w:color w:val="000000"/>
          <w:spacing w:val="0"/>
          <w:w w:val="100"/>
          <w:position w:val="0"/>
        </w:rPr>
        <w:t>本报告期无实际核销的其他应收款</w:t>
      </w:r>
    </w:p>
    <w:p>
      <w:pPr>
        <w:pStyle w:val="Style35"/>
        <w:keepNext w:val="0"/>
        <w:keepLines w:val="0"/>
        <w:widowControl w:val="0"/>
        <w:numPr>
          <w:ilvl w:val="0"/>
          <w:numId w:val="39"/>
        </w:numPr>
        <w:shd w:val="clear" w:color="auto" w:fill="auto"/>
        <w:tabs>
          <w:tab w:pos="430" w:val="left"/>
        </w:tabs>
        <w:bidi w:val="0"/>
        <w:spacing w:before="0" w:after="360" w:line="240" w:lineRule="auto"/>
        <w:ind w:left="0" w:right="0" w:firstLine="0"/>
        <w:jc w:val="left"/>
      </w:pPr>
      <w:bookmarkStart w:id="649" w:name="bookmark649"/>
      <w:bookmarkEnd w:id="649"/>
      <w:r>
        <w:rPr>
          <w:b/>
          <w:bCs/>
          <w:color w:val="000000"/>
          <w:spacing w:val="0"/>
          <w:w w:val="100"/>
          <w:position w:val="0"/>
        </w:rPr>
        <w:t>本报告期其他应收款中无持有公司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以上表决权股份的股东单位</w:t>
      </w:r>
    </w:p>
    <w:p>
      <w:pPr>
        <w:pStyle w:val="Style35"/>
        <w:keepNext w:val="0"/>
        <w:keepLines w:val="0"/>
        <w:widowControl w:val="0"/>
        <w:numPr>
          <w:ilvl w:val="0"/>
          <w:numId w:val="39"/>
        </w:numPr>
        <w:shd w:val="clear" w:color="auto" w:fill="auto"/>
        <w:tabs>
          <w:tab w:pos="430" w:val="left"/>
        </w:tabs>
        <w:bidi w:val="0"/>
        <w:spacing w:before="0" w:after="360" w:line="240" w:lineRule="auto"/>
        <w:ind w:left="0" w:right="0" w:firstLine="0"/>
        <w:jc w:val="left"/>
      </w:pPr>
      <w:bookmarkStart w:id="650" w:name="bookmark650"/>
      <w:bookmarkEnd w:id="650"/>
      <w:r>
        <w:rPr>
          <w:b/>
          <w:bCs/>
          <w:color w:val="000000"/>
          <w:spacing w:val="0"/>
          <w:w w:val="100"/>
          <w:position w:val="0"/>
        </w:rPr>
        <w:t>期末无金额较大的其他应收款</w:t>
      </w:r>
    </w:p>
    <w:p>
      <w:pPr>
        <w:pStyle w:val="Style35"/>
        <w:keepNext w:val="0"/>
        <w:keepLines w:val="0"/>
        <w:widowControl w:val="0"/>
        <w:numPr>
          <w:ilvl w:val="0"/>
          <w:numId w:val="39"/>
        </w:numPr>
        <w:shd w:val="clear" w:color="auto" w:fill="auto"/>
        <w:tabs>
          <w:tab w:pos="430" w:val="left"/>
        </w:tabs>
        <w:bidi w:val="0"/>
        <w:spacing w:before="0" w:after="360" w:line="240" w:lineRule="auto"/>
        <w:ind w:left="0" w:right="0" w:firstLine="0"/>
        <w:jc w:val="left"/>
      </w:pPr>
      <w:bookmarkStart w:id="651" w:name="bookmark651"/>
      <w:bookmarkEnd w:id="651"/>
      <w:r>
        <w:rPr>
          <w:b/>
          <w:bCs/>
          <w:color w:val="000000"/>
          <w:spacing w:val="0"/>
          <w:w w:val="100"/>
          <w:position w:val="0"/>
        </w:rPr>
        <w:t>其他应收款金额前五名单位情况</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1925"/>
        <w:gridCol w:w="1910"/>
        <w:gridCol w:w="1915"/>
        <w:gridCol w:w="2179"/>
        <w:gridCol w:w="1661"/>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占其他应收款总 额的比例</w:t>
            </w:r>
            <w:r>
              <w:rPr>
                <w:rFonts w:ascii="Times New Roman" w:eastAsia="Times New Roman" w:hAnsi="Times New Roman" w:cs="Times New Roman"/>
                <w:color w:val="000000"/>
                <w:spacing w:val="0"/>
                <w:w w:val="100"/>
                <w:position w:val="0"/>
              </w:rPr>
              <w:t>(%)</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356,231.39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年以内为</w:t>
            </w:r>
            <w:r>
              <w:rPr>
                <w:rFonts w:ascii="Times New Roman" w:eastAsia="Times New Roman" w:hAnsi="Times New Roman" w:cs="Times New Roman"/>
                <w:color w:val="000000"/>
                <w:spacing w:val="0"/>
                <w:w w:val="100"/>
                <w:position w:val="0"/>
              </w:rPr>
              <w:t>349,231.39</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年为 </w:t>
            </w:r>
            <w:r>
              <w:rPr>
                <w:rFonts w:ascii="Times New Roman" w:eastAsia="Times New Roman" w:hAnsi="Times New Roman" w:cs="Times New Roman"/>
                <w:color w:val="000000"/>
                <w:spacing w:val="0"/>
                <w:w w:val="100"/>
                <w:position w:val="0"/>
              </w:rPr>
              <w:t>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508,188.14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199" w:line="1" w:lineRule="exact"/>
      </w:pPr>
    </w:p>
    <w:p>
      <w:pPr>
        <w:widowControl w:val="0"/>
        <w:jc w:val="center"/>
        <w:rPr>
          <w:sz w:val="2"/>
          <w:szCs w:val="2"/>
        </w:rPr>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1441" w:right="1191" w:bottom="193" w:left="1109" w:header="0" w:footer="3" w:gutter="0"/>
          <w:cols w:space="720"/>
          <w:noEndnote/>
          <w:rtlGutter w:val="0"/>
          <w:docGrid w:linePitch="360"/>
        </w:sectPr>
      </w:pPr>
      <w:r>
        <w:drawing>
          <wp:inline>
            <wp:extent cx="402590" cy="146050"/>
            <wp:docPr id="517" name="Picutre 517"/>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213"/>
                    <a:stretch/>
                  </pic:blipFill>
                  <pic:spPr>
                    <a:xfrm>
                      <a:ext cx="402590" cy="146050"/>
                    </a:xfrm>
                    <a:prstGeom prst="rect"/>
                  </pic:spPr>
                </pic:pic>
              </a:graphicData>
            </a:graphic>
          </wp:inline>
        </w:drawing>
      </w:r>
    </w:p>
    <w:p>
      <w:pPr>
        <w:pStyle w:val="Style35"/>
        <w:keepNext w:val="0"/>
        <w:keepLines w:val="0"/>
        <w:widowControl w:val="0"/>
        <w:numPr>
          <w:ilvl w:val="0"/>
          <w:numId w:val="39"/>
        </w:numPr>
        <w:shd w:val="clear" w:color="auto" w:fill="auto"/>
        <w:bidi w:val="0"/>
        <w:spacing w:before="360" w:after="360" w:line="240" w:lineRule="auto"/>
        <w:ind w:left="0" w:right="0" w:firstLine="0"/>
        <w:jc w:val="left"/>
      </w:pPr>
      <w:bookmarkStart w:id="652" w:name="bookmark652"/>
      <w:bookmarkEnd w:id="652"/>
      <w:r>
        <w:rPr>
          <w:b/>
          <w:bCs/>
          <w:color w:val="000000"/>
          <w:spacing w:val="0"/>
          <w:w w:val="100"/>
          <w:position w:val="0"/>
        </w:rPr>
        <w:t>本报告期无其他应收关联方账款</w:t>
      </w:r>
    </w:p>
    <w:p>
      <w:pPr>
        <w:pStyle w:val="Style35"/>
        <w:keepNext w:val="0"/>
        <w:keepLines w:val="0"/>
        <w:widowControl w:val="0"/>
        <w:numPr>
          <w:ilvl w:val="0"/>
          <w:numId w:val="39"/>
        </w:numPr>
        <w:shd w:val="clear" w:color="auto" w:fill="auto"/>
        <w:tabs>
          <w:tab w:pos="430" w:val="left"/>
        </w:tabs>
        <w:bidi w:val="0"/>
        <w:spacing w:before="0" w:after="360" w:line="240" w:lineRule="auto"/>
        <w:ind w:left="0" w:right="0" w:firstLine="0"/>
        <w:jc w:val="left"/>
      </w:pPr>
      <w:bookmarkStart w:id="653" w:name="bookmark653"/>
      <w:bookmarkEnd w:id="653"/>
      <w:r>
        <w:rPr>
          <w:b/>
          <w:bCs/>
          <w:color w:val="000000"/>
          <w:spacing w:val="0"/>
          <w:w w:val="100"/>
          <w:position w:val="0"/>
        </w:rPr>
        <w:t>本报告期无终止确认的其他应收款项</w:t>
      </w:r>
    </w:p>
    <w:p>
      <w:pPr>
        <w:pStyle w:val="Style35"/>
        <w:keepNext w:val="0"/>
        <w:keepLines w:val="0"/>
        <w:widowControl w:val="0"/>
        <w:numPr>
          <w:ilvl w:val="0"/>
          <w:numId w:val="39"/>
        </w:numPr>
        <w:shd w:val="clear" w:color="auto" w:fill="auto"/>
        <w:tabs>
          <w:tab w:pos="430" w:val="left"/>
        </w:tabs>
        <w:bidi w:val="0"/>
        <w:spacing w:before="0" w:after="360" w:line="240" w:lineRule="auto"/>
        <w:ind w:left="0" w:right="0" w:firstLine="0"/>
        <w:jc w:val="left"/>
      </w:pPr>
      <w:bookmarkStart w:id="654" w:name="bookmark654"/>
      <w:bookmarkEnd w:id="654"/>
      <w:r>
        <w:rPr>
          <w:b/>
          <w:bCs/>
          <w:color w:val="000000"/>
          <w:spacing w:val="0"/>
          <w:w w:val="100"/>
          <w:position w:val="0"/>
        </w:rPr>
        <w:t>本报告期无以其他应收款为标的进行证券化的，列示继续涉入形成的资产、负债</w:t>
      </w:r>
    </w:p>
    <w:p>
      <w:pPr>
        <w:pStyle w:val="Style35"/>
        <w:keepNext w:val="0"/>
        <w:keepLines w:val="0"/>
        <w:widowControl w:val="0"/>
        <w:numPr>
          <w:ilvl w:val="0"/>
          <w:numId w:val="39"/>
        </w:numPr>
        <w:shd w:val="clear" w:color="auto" w:fill="auto"/>
        <w:tabs>
          <w:tab w:pos="536" w:val="left"/>
        </w:tabs>
        <w:bidi w:val="0"/>
        <w:spacing w:before="0" w:after="360" w:line="240" w:lineRule="auto"/>
        <w:ind w:left="0" w:right="0" w:firstLine="0"/>
        <w:jc w:val="left"/>
      </w:pPr>
      <w:bookmarkStart w:id="655" w:name="bookmark655"/>
      <w:bookmarkEnd w:id="655"/>
      <w:r>
        <w:rPr>
          <w:b/>
          <w:bCs/>
          <w:color w:val="000000"/>
          <w:spacing w:val="0"/>
          <w:w w:val="100"/>
          <w:position w:val="0"/>
        </w:rPr>
        <w:t>本报告期无按应收金额确认的政府补助</w:t>
      </w:r>
    </w:p>
    <w:p>
      <w:pPr>
        <w:pStyle w:val="Style35"/>
        <w:keepNext w:val="0"/>
        <w:keepLines w:val="0"/>
        <w:widowControl w:val="0"/>
        <w:shd w:val="clear" w:color="auto" w:fill="auto"/>
        <w:bidi w:val="0"/>
        <w:spacing w:before="0" w:after="360" w:line="240" w:lineRule="auto"/>
        <w:ind w:left="0" w:right="0" w:firstLine="0"/>
        <w:jc w:val="left"/>
      </w:pPr>
      <w:bookmarkStart w:id="656" w:name="bookmark656"/>
      <w:r>
        <w:rPr>
          <w:rFonts w:ascii="Times New Roman" w:eastAsia="Times New Roman" w:hAnsi="Times New Roman" w:cs="Times New Roman"/>
          <w:b/>
          <w:bCs/>
          <w:color w:val="000000"/>
          <w:spacing w:val="0"/>
          <w:w w:val="100"/>
          <w:position w:val="0"/>
        </w:rPr>
        <w:t>5</w:t>
      </w:r>
      <w:bookmarkEnd w:id="656"/>
      <w:r>
        <w:rPr>
          <w:b/>
          <w:bCs/>
          <w:color w:val="000000"/>
          <w:spacing w:val="0"/>
          <w:w w:val="100"/>
          <w:position w:val="0"/>
        </w:rPr>
        <w:t>、预付款项</w:t>
      </w:r>
    </w:p>
    <w:p>
      <w:pPr>
        <w:pStyle w:val="Style35"/>
        <w:keepNext w:val="0"/>
        <w:keepLines w:val="0"/>
        <w:widowControl w:val="0"/>
        <w:numPr>
          <w:ilvl w:val="0"/>
          <w:numId w:val="41"/>
        </w:numPr>
        <w:shd w:val="clear" w:color="auto" w:fill="auto"/>
        <w:bidi w:val="0"/>
        <w:spacing w:before="0" w:after="360" w:line="240" w:lineRule="auto"/>
        <w:ind w:left="0" w:right="0" w:firstLine="0"/>
        <w:jc w:val="left"/>
      </w:pPr>
      <w:bookmarkStart w:id="657" w:name="bookmark657"/>
      <w:bookmarkEnd w:id="657"/>
      <w:r>
        <w:rPr>
          <w:b/>
          <w:bCs/>
          <w:color w:val="000000"/>
          <w:spacing w:val="0"/>
          <w:w w:val="100"/>
          <w:position w:val="0"/>
        </w:rPr>
        <w:t>预付款项按账龄列示</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1810"/>
        <w:gridCol w:w="2880"/>
        <w:gridCol w:w="1080"/>
        <w:gridCol w:w="2746"/>
        <w:gridCol w:w="1070"/>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12,354,906.44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9,275,345.03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12,354,906.44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9,275,345.03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pPr>
            <w:r>
              <w:rPr>
                <w:rFonts w:ascii="Times New Roman" w:eastAsia="Times New Roman" w:hAnsi="Times New Roman" w:cs="Times New Roman"/>
                <w:color w:val="000000"/>
                <w:spacing w:val="0"/>
                <w:w w:val="100"/>
                <w:position w:val="0"/>
              </w:rPr>
              <w:t>--</w:t>
            </w:r>
          </w:p>
        </w:tc>
      </w:tr>
    </w:tbl>
    <w:p>
      <w:pPr>
        <w:widowControl w:val="0"/>
        <w:spacing w:after="679" w:line="1" w:lineRule="exact"/>
      </w:pPr>
    </w:p>
    <w:p>
      <w:pPr>
        <w:pStyle w:val="Style35"/>
        <w:keepNext w:val="0"/>
        <w:keepLines w:val="0"/>
        <w:widowControl w:val="0"/>
        <w:numPr>
          <w:ilvl w:val="0"/>
          <w:numId w:val="41"/>
        </w:numPr>
        <w:shd w:val="clear" w:color="auto" w:fill="auto"/>
        <w:bidi w:val="0"/>
        <w:spacing w:before="0" w:after="360" w:line="240" w:lineRule="auto"/>
        <w:ind w:left="0" w:right="0" w:firstLine="0"/>
        <w:jc w:val="left"/>
      </w:pPr>
      <w:bookmarkStart w:id="658" w:name="bookmark658"/>
      <w:bookmarkEnd w:id="658"/>
      <w:r>
        <w:rPr>
          <w:b/>
          <w:bCs/>
          <w:color w:val="000000"/>
          <w:spacing w:val="0"/>
          <w:w w:val="100"/>
          <w:position w:val="0"/>
        </w:rPr>
        <w:t>预付款项金额前五名单位情况</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未结算原因</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5,126,891.77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尚未完成交易</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3,464,624.39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尚未完成交易</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562,597.12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尚未完成交易</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521,403.08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尚未完成交易</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尚未完成交易</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11,039,516.36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5"/>
        <w:keepNext w:val="0"/>
        <w:keepLines w:val="0"/>
        <w:widowControl w:val="0"/>
        <w:numPr>
          <w:ilvl w:val="0"/>
          <w:numId w:val="41"/>
        </w:numPr>
        <w:shd w:val="clear" w:color="auto" w:fill="auto"/>
        <w:bidi w:val="0"/>
        <w:spacing w:before="0" w:after="360" w:line="240" w:lineRule="auto"/>
        <w:ind w:left="0" w:right="0" w:firstLine="0"/>
        <w:jc w:val="left"/>
      </w:pPr>
      <w:bookmarkStart w:id="659" w:name="bookmark659"/>
      <w:bookmarkEnd w:id="659"/>
      <w:r>
        <w:rPr>
          <w:b/>
          <w:bCs/>
          <w:color w:val="000000"/>
          <w:spacing w:val="0"/>
          <w:w w:val="100"/>
          <w:position w:val="0"/>
        </w:rPr>
        <w:t>期末预付款项中无持有本公司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以上表决权股份的股东单位</w:t>
      </w:r>
    </w:p>
    <w:p>
      <w:pPr>
        <w:pStyle w:val="Style35"/>
        <w:keepNext w:val="0"/>
        <w:keepLines w:val="0"/>
        <w:widowControl w:val="0"/>
        <w:shd w:val="clear" w:color="auto" w:fill="auto"/>
        <w:bidi w:val="0"/>
        <w:spacing w:before="0" w:after="360" w:line="240" w:lineRule="auto"/>
        <w:ind w:left="0" w:right="0" w:firstLine="0"/>
        <w:jc w:val="both"/>
      </w:pPr>
      <w:bookmarkStart w:id="660" w:name="bookmark660"/>
      <w:r>
        <w:rPr>
          <w:rFonts w:ascii="Times New Roman" w:eastAsia="Times New Roman" w:hAnsi="Times New Roman" w:cs="Times New Roman"/>
          <w:b/>
          <w:bCs/>
          <w:color w:val="000000"/>
          <w:spacing w:val="0"/>
          <w:w w:val="100"/>
          <w:position w:val="0"/>
        </w:rPr>
        <w:t>6</w:t>
      </w:r>
      <w:bookmarkEnd w:id="660"/>
      <w:r>
        <w:rPr>
          <w:b/>
          <w:bCs/>
          <w:color w:val="000000"/>
          <w:spacing w:val="0"/>
          <w:w w:val="100"/>
          <w:position w:val="0"/>
        </w:rPr>
        <w:t>、存货</w:t>
      </w:r>
    </w:p>
    <w:p>
      <w:pPr>
        <w:pStyle w:val="Style3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存货分类</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1608"/>
        <w:gridCol w:w="1459"/>
        <w:gridCol w:w="1080"/>
        <w:gridCol w:w="1445"/>
        <w:gridCol w:w="1435"/>
        <w:gridCol w:w="1080"/>
        <w:gridCol w:w="1478"/>
      </w:tblGrid>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32,687,477.97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32,687,477.97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27,250,785.12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27,250,785.12</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24,171,539.43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24,171,539.43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19,249,367.06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19,249,367.06</w:t>
            </w:r>
          </w:p>
        </w:tc>
      </w:tr>
    </w:tbl>
    <w:p>
      <w:pPr>
        <w:spacing w:lineRule="exact" w:line="1"/>
        <w:rPr>
          <w:sz w:val="2"/>
          <w:szCs w:val="2"/>
        </w:rPr>
      </w:pPr>
      <w:r>
        <w:br w:type="page"/>
      </w:r>
    </w:p>
    <w:tbl>
      <w:tblPr>
        <w:tblOverlap w:val="never"/>
        <w:jc w:val="center"/>
        <w:tblLayout w:type="fixed"/>
      </w:tblPr>
      <w:tblGrid>
        <w:gridCol w:w="1608"/>
        <w:gridCol w:w="1459"/>
        <w:gridCol w:w="1080"/>
        <w:gridCol w:w="1445"/>
        <w:gridCol w:w="1435"/>
        <w:gridCol w:w="1080"/>
        <w:gridCol w:w="147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129,789,747.71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129,789,747.71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104,466,617.89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104,466,617.89</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2,002,212.60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2,002,212.60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2,209,923.83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2,209,923.83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25,249,304.35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25,249,304.35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15,768,841.00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15,768,841.00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145,131.11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145,131.11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214,045,413.17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214,045,413.17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168,945,534.90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168,945,534.90</w:t>
            </w:r>
          </w:p>
        </w:tc>
      </w:tr>
    </w:tbl>
    <w:p>
      <w:pPr>
        <w:widowControl w:val="0"/>
        <w:spacing w:after="359" w:line="1" w:lineRule="exact"/>
      </w:pPr>
    </w:p>
    <w:p>
      <w:pPr>
        <w:pStyle w:val="Style48"/>
        <w:keepNext/>
        <w:keepLines/>
        <w:widowControl w:val="0"/>
        <w:numPr>
          <w:ilvl w:val="0"/>
          <w:numId w:val="33"/>
        </w:numPr>
        <w:shd w:val="clear" w:color="auto" w:fill="auto"/>
        <w:bidi w:val="0"/>
        <w:spacing w:before="0" w:after="360" w:line="240" w:lineRule="auto"/>
        <w:ind w:left="0" w:right="0" w:firstLine="0"/>
        <w:jc w:val="left"/>
      </w:pPr>
      <w:bookmarkStart w:id="661" w:name="bookmark661"/>
      <w:bookmarkStart w:id="662" w:name="bookmark662"/>
      <w:bookmarkStart w:id="663" w:name="bookmark663"/>
      <w:bookmarkStart w:id="664" w:name="bookmark664"/>
      <w:bookmarkEnd w:id="663"/>
      <w:r>
        <w:rPr>
          <w:color w:val="000000"/>
          <w:spacing w:val="0"/>
          <w:w w:val="100"/>
          <w:position w:val="0"/>
        </w:rPr>
        <w:t>存货跌价准备</w:t>
      </w:r>
      <w:bookmarkEnd w:id="661"/>
      <w:bookmarkEnd w:id="662"/>
      <w:bookmarkEnd w:id="664"/>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存货期末未发生减值情况，故未计提存货跌价准备。</w:t>
      </w:r>
    </w:p>
    <w:p>
      <w:pPr>
        <w:pStyle w:val="Style35"/>
        <w:keepNext w:val="0"/>
        <w:keepLines w:val="0"/>
        <w:widowControl w:val="0"/>
        <w:shd w:val="clear" w:color="auto" w:fill="auto"/>
        <w:bidi w:val="0"/>
        <w:spacing w:before="0" w:after="360" w:line="240" w:lineRule="auto"/>
        <w:ind w:left="0" w:right="0" w:firstLine="0"/>
        <w:jc w:val="left"/>
      </w:pPr>
      <w:bookmarkStart w:id="665" w:name="bookmark665"/>
      <w:r>
        <w:rPr>
          <w:rFonts w:ascii="Times New Roman" w:eastAsia="Times New Roman" w:hAnsi="Times New Roman" w:cs="Times New Roman"/>
          <w:b/>
          <w:bCs/>
          <w:color w:val="000000"/>
          <w:spacing w:val="0"/>
          <w:w w:val="100"/>
          <w:position w:val="0"/>
        </w:rPr>
        <w:t>7</w:t>
      </w:r>
      <w:bookmarkEnd w:id="665"/>
      <w:r>
        <w:rPr>
          <w:b/>
          <w:bCs/>
          <w:color w:val="000000"/>
          <w:spacing w:val="0"/>
          <w:w w:val="100"/>
          <w:position w:val="0"/>
        </w:rPr>
        <w:t>、其他流动资产</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3466"/>
        <w:gridCol w:w="2923"/>
        <w:gridCol w:w="3197"/>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3,945,522.96</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3,945,522.96</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8</w:t>
      </w:r>
      <w:bookmarkEnd w:id="668"/>
      <w:r>
        <w:rPr>
          <w:color w:val="000000"/>
          <w:spacing w:val="0"/>
          <w:w w:val="100"/>
          <w:position w:val="0"/>
        </w:rPr>
        <w:t>、固定资产</w:t>
      </w:r>
      <w:bookmarkEnd w:id="666"/>
      <w:bookmarkEnd w:id="667"/>
      <w:bookmarkEnd w:id="669"/>
    </w:p>
    <w:p>
      <w:pPr>
        <w:pStyle w:val="Style48"/>
        <w:keepNext/>
        <w:keepLines/>
        <w:widowControl w:val="0"/>
        <w:shd w:val="clear" w:color="auto" w:fill="auto"/>
        <w:bidi w:val="0"/>
        <w:spacing w:before="0" w:after="360" w:line="240" w:lineRule="auto"/>
        <w:ind w:left="0" w:right="0" w:firstLine="0"/>
        <w:jc w:val="both"/>
      </w:pPr>
      <w:bookmarkStart w:id="666" w:name="bookmark666"/>
      <w:bookmarkStart w:id="667" w:name="bookmark667"/>
      <w:bookmarkStart w:id="670" w:name="bookmark670"/>
      <w:r>
        <w:rPr>
          <w:color w:val="000000"/>
          <w:spacing w:val="0"/>
          <w:w w:val="100"/>
          <w:position w:val="0"/>
        </w:rPr>
        <w:t>⑴固定资产情况</w:t>
      </w:r>
      <w:bookmarkEnd w:id="666"/>
      <w:bookmarkEnd w:id="667"/>
      <w:bookmarkEnd w:id="670"/>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2530"/>
        <w:gridCol w:w="1440"/>
        <w:gridCol w:w="1258"/>
        <w:gridCol w:w="1440"/>
        <w:gridCol w:w="1450"/>
        <w:gridCol w:w="1469"/>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期末账面余额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286,543,488.87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50,377,105.76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8,567,273.88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328,353,320.75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122,018,572.38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122,978,572.38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142,518,143.15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46,517,332.43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5,740,099.11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183,295,376.47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6,620,220.99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487,046.20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2,190,091.53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4,917,175.66</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检测设备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6,591,363.24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587,979.38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181,185.08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6,998,157.54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3,484,771.35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584,824.98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433,532.35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3,636,063.98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工装模具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5,310,417.76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1,239,922.77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22,365.81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6,527,974.72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本期期末余额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80,986,724.90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21,801,963.53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6,189,463.66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96,599,224.77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20,965,981.97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5,488,098.28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26,454,080.25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48,887,550.12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13,802,504.89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3,936,622.20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58,753,432.81</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3,353,384.87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724,712.09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1,691,177.16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2,386,919.80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检测设备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3,405,442.73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661,982.21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160,317.74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3,907,107.20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2,101,669.30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378,791.17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386,781.09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2,093,679.44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工装模具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2,272,695.85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745,874.89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14,565.47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3,004,005.27</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期初账面余额</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本期期末余额</w:t>
            </w:r>
          </w:p>
        </w:tc>
      </w:tr>
    </w:tbl>
    <w:p>
      <w:pPr>
        <w:sectPr>
          <w:headerReference w:type="default" r:id="rId215"/>
          <w:footerReference w:type="default" r:id="rId216"/>
          <w:headerReference w:type="even" r:id="rId217"/>
          <w:footerReference w:type="even" r:id="rId218"/>
          <w:footnotePr>
            <w:pos w:val="pageBottom"/>
            <w:numFmt w:val="decimal"/>
            <w:numRestart w:val="continuous"/>
          </w:footnotePr>
          <w:pgSz w:w="11900" w:h="16840"/>
          <w:pgMar w:top="1127" w:right="931" w:bottom="1211" w:left="975" w:header="0" w:footer="3" w:gutter="0"/>
          <w:cols w:space="720"/>
          <w:noEndnote/>
          <w:rtlGutter w:val="0"/>
          <w:docGrid w:linePitch="360"/>
        </w:sectPr>
      </w:pPr>
    </w:p>
    <w:tbl>
      <w:tblPr>
        <w:tblOverlap w:val="never"/>
        <w:jc w:val="center"/>
        <w:tblLayout w:type="fixed"/>
      </w:tblPr>
      <w:tblGrid>
        <w:gridCol w:w="2530"/>
        <w:gridCol w:w="1440"/>
        <w:gridCol w:w="4147"/>
        <w:gridCol w:w="1469"/>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205,556,763.97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231,754,095.98</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101,052,590.41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96,524,492.13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93,630,593.03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124,541,943.66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3,266,836.12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2,530,255.86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检测设备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3,185,920.51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3,091,050.34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1,383,101.99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1,542,384.54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工装模具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3,037,721.91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3,523,969.45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检测设备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工装模具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205,556,763.97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231,754,095.98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101,052,590.41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96,524,492.13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93,630,593.03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124,541,943.66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3,266,836.12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2,530,255.86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检测设备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3,185,920.51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3,091,050.34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1,383,101.99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1,542,384.54</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工装模具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3,037,721.91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3,523,969.45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21,801,963.53</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49,887,595.16</w:t>
      </w:r>
      <w:r>
        <w:rPr>
          <w:color w:val="000000"/>
          <w:spacing w:val="0"/>
          <w:w w:val="100"/>
          <w:position w:val="0"/>
        </w:rPr>
        <w:t>元。</w:t>
      </w:r>
    </w:p>
    <w:p>
      <w:pPr>
        <w:widowControl w:val="0"/>
        <w:spacing w:after="359" w:line="1" w:lineRule="exact"/>
      </w:pPr>
    </w:p>
    <w:p>
      <w:pPr>
        <w:pStyle w:val="Style35"/>
        <w:keepNext w:val="0"/>
        <w:keepLines w:val="0"/>
        <w:widowControl w:val="0"/>
        <w:numPr>
          <w:ilvl w:val="0"/>
          <w:numId w:val="43"/>
        </w:numPr>
        <w:shd w:val="clear" w:color="auto" w:fill="auto"/>
        <w:tabs>
          <w:tab w:pos="430" w:val="left"/>
        </w:tabs>
        <w:bidi w:val="0"/>
        <w:spacing w:before="0" w:after="360" w:line="240" w:lineRule="auto"/>
        <w:ind w:left="0" w:right="0" w:firstLine="0"/>
        <w:jc w:val="left"/>
      </w:pPr>
      <w:bookmarkStart w:id="671" w:name="bookmark671"/>
      <w:bookmarkEnd w:id="671"/>
      <w:r>
        <w:rPr>
          <w:b/>
          <w:bCs/>
          <w:color w:val="000000"/>
          <w:spacing w:val="0"/>
          <w:w w:val="100"/>
          <w:position w:val="0"/>
        </w:rPr>
        <w:t>期末无暂时闲置的固定资产</w:t>
      </w:r>
    </w:p>
    <w:p>
      <w:pPr>
        <w:pStyle w:val="Style35"/>
        <w:keepNext w:val="0"/>
        <w:keepLines w:val="0"/>
        <w:widowControl w:val="0"/>
        <w:numPr>
          <w:ilvl w:val="0"/>
          <w:numId w:val="43"/>
        </w:numPr>
        <w:shd w:val="clear" w:color="auto" w:fill="auto"/>
        <w:tabs>
          <w:tab w:pos="430" w:val="left"/>
        </w:tabs>
        <w:bidi w:val="0"/>
        <w:spacing w:before="0" w:after="360" w:line="240" w:lineRule="auto"/>
        <w:ind w:left="0" w:right="0" w:firstLine="0"/>
        <w:jc w:val="left"/>
      </w:pPr>
      <w:bookmarkStart w:id="672" w:name="bookmark672"/>
      <w:bookmarkEnd w:id="672"/>
      <w:r>
        <w:rPr>
          <w:b/>
          <w:bCs/>
          <w:color w:val="000000"/>
          <w:spacing w:val="0"/>
          <w:w w:val="100"/>
          <w:position w:val="0"/>
        </w:rPr>
        <w:t>期末无通过融资租赁租入的固定资产</w:t>
      </w:r>
    </w:p>
    <w:p>
      <w:pPr>
        <w:pStyle w:val="Style35"/>
        <w:keepNext w:val="0"/>
        <w:keepLines w:val="0"/>
        <w:widowControl w:val="0"/>
        <w:numPr>
          <w:ilvl w:val="0"/>
          <w:numId w:val="43"/>
        </w:numPr>
        <w:shd w:val="clear" w:color="auto" w:fill="auto"/>
        <w:tabs>
          <w:tab w:pos="430" w:val="left"/>
        </w:tabs>
        <w:bidi w:val="0"/>
        <w:spacing w:before="0" w:after="360" w:line="240" w:lineRule="auto"/>
        <w:ind w:left="0" w:right="0" w:firstLine="0"/>
        <w:jc w:val="left"/>
      </w:pPr>
      <w:bookmarkStart w:id="673" w:name="bookmark673"/>
      <w:bookmarkEnd w:id="673"/>
      <w:r>
        <w:rPr>
          <w:b/>
          <w:bCs/>
          <w:color w:val="000000"/>
          <w:spacing w:val="0"/>
          <w:w w:val="100"/>
          <w:position w:val="0"/>
        </w:rPr>
        <w:t>期末无通过经营租赁租出的固定资产</w:t>
      </w:r>
    </w:p>
    <w:p>
      <w:pPr>
        <w:pStyle w:val="Style35"/>
        <w:keepNext w:val="0"/>
        <w:keepLines w:val="0"/>
        <w:widowControl w:val="0"/>
        <w:numPr>
          <w:ilvl w:val="0"/>
          <w:numId w:val="43"/>
        </w:numPr>
        <w:shd w:val="clear" w:color="auto" w:fill="auto"/>
        <w:tabs>
          <w:tab w:pos="430" w:val="left"/>
        </w:tabs>
        <w:bidi w:val="0"/>
        <w:spacing w:before="0" w:after="360" w:line="240" w:lineRule="auto"/>
        <w:ind w:left="0" w:right="0" w:firstLine="0"/>
        <w:jc w:val="left"/>
      </w:pPr>
      <w:bookmarkStart w:id="674" w:name="bookmark674"/>
      <w:bookmarkEnd w:id="674"/>
      <w:r>
        <w:rPr>
          <w:b/>
          <w:bCs/>
          <w:color w:val="000000"/>
          <w:spacing w:val="0"/>
          <w:w w:val="100"/>
          <w:position w:val="0"/>
        </w:rPr>
        <w:t>期末无持有待售的固定资产</w:t>
      </w:r>
    </w:p>
    <w:p>
      <w:pPr>
        <w:pStyle w:val="Style35"/>
        <w:keepNext w:val="0"/>
        <w:keepLines w:val="0"/>
        <w:widowControl w:val="0"/>
        <w:numPr>
          <w:ilvl w:val="0"/>
          <w:numId w:val="43"/>
        </w:numPr>
        <w:shd w:val="clear" w:color="auto" w:fill="auto"/>
        <w:tabs>
          <w:tab w:pos="430" w:val="left"/>
        </w:tabs>
        <w:bidi w:val="0"/>
        <w:spacing w:before="0" w:after="360" w:line="240" w:lineRule="auto"/>
        <w:ind w:left="0" w:right="0" w:firstLine="0"/>
        <w:jc w:val="left"/>
      </w:pPr>
      <w:bookmarkStart w:id="675" w:name="bookmark675"/>
      <w:bookmarkEnd w:id="675"/>
      <w:r>
        <w:rPr>
          <w:b/>
          <w:bCs/>
          <w:color w:val="000000"/>
          <w:spacing w:val="0"/>
          <w:w w:val="100"/>
          <w:position w:val="0"/>
        </w:rPr>
        <w:t>期末未办妥产权证书的固定资产账面价值为</w:t>
      </w:r>
      <w:r>
        <w:rPr>
          <w:rFonts w:ascii="Times New Roman" w:eastAsia="Times New Roman" w:hAnsi="Times New Roman" w:cs="Times New Roman"/>
          <w:b/>
          <w:bCs/>
          <w:color w:val="000000"/>
          <w:spacing w:val="0"/>
          <w:w w:val="100"/>
          <w:position w:val="0"/>
        </w:rPr>
        <w:t>3,852,771.09</w:t>
      </w:r>
      <w:r>
        <w:rPr>
          <w:b/>
          <w:bCs/>
          <w:color w:val="000000"/>
          <w:spacing w:val="0"/>
          <w:w w:val="100"/>
          <w:position w:val="0"/>
        </w:rPr>
        <w:t>元</w:t>
      </w:r>
    </w:p>
    <w:p>
      <w:pPr>
        <w:pStyle w:val="Style35"/>
        <w:keepNext w:val="0"/>
        <w:keepLines w:val="0"/>
        <w:widowControl w:val="0"/>
        <w:shd w:val="clear" w:color="auto" w:fill="auto"/>
        <w:bidi w:val="0"/>
        <w:spacing w:before="0" w:after="360" w:line="240" w:lineRule="auto"/>
        <w:ind w:left="0" w:right="0" w:firstLine="0"/>
        <w:jc w:val="left"/>
      </w:pPr>
      <w:bookmarkStart w:id="676" w:name="bookmark676"/>
      <w:r>
        <w:rPr>
          <w:rFonts w:ascii="Times New Roman" w:eastAsia="Times New Roman" w:hAnsi="Times New Roman" w:cs="Times New Roman"/>
          <w:b/>
          <w:bCs/>
          <w:color w:val="000000"/>
          <w:spacing w:val="0"/>
          <w:w w:val="100"/>
          <w:position w:val="0"/>
        </w:rPr>
        <w:t>9</w:t>
      </w:r>
      <w:bookmarkEnd w:id="676"/>
      <w:r>
        <w:rPr>
          <w:b/>
          <w:bCs/>
          <w:color w:val="000000"/>
          <w:spacing w:val="0"/>
          <w:w w:val="100"/>
          <w:position w:val="0"/>
        </w:rPr>
        <w:t>、在建工程</w:t>
      </w:r>
    </w:p>
    <w:p>
      <w:pPr>
        <w:pStyle w:val="Style35"/>
        <w:keepNext w:val="0"/>
        <w:keepLines w:val="0"/>
        <w:widowControl w:val="0"/>
        <w:numPr>
          <w:ilvl w:val="0"/>
          <w:numId w:val="45"/>
        </w:numPr>
        <w:shd w:val="clear" w:color="auto" w:fill="auto"/>
        <w:bidi w:val="0"/>
        <w:spacing w:before="0" w:after="360" w:line="240" w:lineRule="auto"/>
        <w:ind w:left="0" w:right="0" w:firstLine="0"/>
        <w:jc w:val="left"/>
      </w:pPr>
      <w:bookmarkStart w:id="677" w:name="bookmark677"/>
      <w:bookmarkEnd w:id="677"/>
      <w:r>
        <w:rPr>
          <w:b/>
          <w:bCs/>
          <w:color w:val="000000"/>
          <w:spacing w:val="0"/>
          <w:w w:val="100"/>
          <w:position w:val="0"/>
        </w:rPr>
        <w:t>在建工程情况</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1987"/>
        <w:gridCol w:w="1483"/>
        <w:gridCol w:w="1037"/>
        <w:gridCol w:w="1354"/>
        <w:gridCol w:w="1349"/>
        <w:gridCol w:w="1037"/>
        <w:gridCol w:w="1339"/>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账面价值</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43,974,310.71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43,974,310.71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5,508,815.36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5,508,815.36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品质检测设备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199,509.95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199,509.95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66,991.43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66,991.43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橡胶连硫挤出设备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297,716.66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297,716.66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181,143.64</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导体拉丝设备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882,006.85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882,006.85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14,141,353.35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14,141,353.35</w:t>
            </w:r>
          </w:p>
        </w:tc>
      </w:tr>
    </w:tbl>
    <w:p>
      <w:pPr>
        <w:spacing w:lineRule="exact" w:line="1"/>
        <w:rPr>
          <w:sz w:val="2"/>
          <w:szCs w:val="2"/>
        </w:rPr>
      </w:pPr>
      <w:r>
        <w:br w:type="page"/>
      </w:r>
    </w:p>
    <w:tbl>
      <w:tblPr>
        <w:tblOverlap w:val="never"/>
        <w:jc w:val="center"/>
        <w:tblLayout w:type="fixed"/>
      </w:tblPr>
      <w:tblGrid>
        <w:gridCol w:w="1987"/>
        <w:gridCol w:w="1483"/>
        <w:gridCol w:w="1037"/>
        <w:gridCol w:w="1354"/>
        <w:gridCol w:w="1349"/>
        <w:gridCol w:w="1037"/>
        <w:gridCol w:w="1339"/>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炼胶设备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1,539,487.20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1,539,487.20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压接插片设备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1,258,915.80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1,258,915.80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179,145.31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179,145.31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插头压出设备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1,189,188.05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1,189,188.05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成品车间设备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835,726.52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835,726.52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辐照设备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9,741,010.23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9,741,010.23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造粒设备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518,894.01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518,894.01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220,717.94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220,717.94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58,027,099.27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58,027,099.27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22,806,124.34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22,806,124.34</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重大在建工程项目变动情况</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744"/>
        <w:gridCol w:w="1243"/>
        <w:gridCol w:w="1080"/>
        <w:gridCol w:w="1262"/>
        <w:gridCol w:w="360"/>
        <w:gridCol w:w="360"/>
        <w:gridCol w:w="720"/>
        <w:gridCol w:w="720"/>
        <w:gridCol w:w="538"/>
        <w:gridCol w:w="542"/>
        <w:gridCol w:w="528"/>
        <w:gridCol w:w="370"/>
        <w:gridCol w:w="1114"/>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转 入 固 定 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 他 减 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工程投</w:t>
            </w:r>
          </w:p>
          <w:p>
            <w:pPr>
              <w:pStyle w:val="Style2"/>
              <w:keepNext w:val="0"/>
              <w:keepLines w:val="0"/>
              <w:widowControl w:val="0"/>
              <w:shd w:val="clear" w:color="auto" w:fill="auto"/>
              <w:bidi w:val="0"/>
              <w:spacing w:before="0" w:after="140" w:line="312" w:lineRule="exact"/>
              <w:ind w:left="0" w:right="0" w:firstLine="0"/>
              <w:jc w:val="left"/>
              <w:rPr>
                <w:sz w:val="17"/>
                <w:szCs w:val="17"/>
              </w:rPr>
            </w:pPr>
            <w:r>
              <w:rPr>
                <w:color w:val="000000"/>
                <w:spacing w:val="0"/>
                <w:w w:val="100"/>
                <w:position w:val="0"/>
                <w:sz w:val="17"/>
                <w:szCs w:val="17"/>
              </w:rPr>
              <w:t>入占预 算比例</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其中： 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7"/>
                <w:szCs w:val="17"/>
              </w:rPr>
              <w:t xml:space="preserve">本期 利息 资本 化率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资 金 来 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生产厂 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总厂 二期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784,296.04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23,825,124.97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募 集 资 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24,609,421.01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研发车 间工程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373,534.64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17,173,662.74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募 集 资 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17,547,197.38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1,157,830.68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40,998,787.71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42,156,618.39</w:t>
            </w:r>
          </w:p>
        </w:tc>
      </w:tr>
    </w:tbl>
    <w:p>
      <w:pPr>
        <w:widowControl w:val="0"/>
        <w:spacing w:after="659" w:line="1" w:lineRule="exact"/>
      </w:pPr>
    </w:p>
    <w:p>
      <w:pPr>
        <w:pStyle w:val="Style48"/>
        <w:keepNext/>
        <w:keepLines/>
        <w:widowControl w:val="0"/>
        <w:numPr>
          <w:ilvl w:val="0"/>
          <w:numId w:val="33"/>
        </w:numPr>
        <w:shd w:val="clear" w:color="auto" w:fill="auto"/>
        <w:bidi w:val="0"/>
        <w:spacing w:before="0" w:after="380" w:line="240" w:lineRule="auto"/>
        <w:ind w:left="0" w:right="0" w:firstLine="0"/>
        <w:jc w:val="left"/>
      </w:pPr>
      <w:bookmarkStart w:id="678" w:name="bookmark678"/>
      <w:bookmarkStart w:id="679" w:name="bookmark679"/>
      <w:bookmarkStart w:id="680" w:name="bookmark680"/>
      <w:bookmarkStart w:id="681" w:name="bookmark681"/>
      <w:bookmarkEnd w:id="680"/>
      <w:r>
        <w:rPr>
          <w:color w:val="000000"/>
          <w:spacing w:val="0"/>
          <w:w w:val="100"/>
          <w:position w:val="0"/>
        </w:rPr>
        <w:t>在建工程减值准备</w:t>
      </w:r>
      <w:bookmarkEnd w:id="678"/>
      <w:bookmarkEnd w:id="679"/>
      <w:bookmarkEnd w:id="681"/>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在建工程期末未发生减值情况，故未提取减值准备。</w:t>
      </w:r>
    </w:p>
    <w:p>
      <w:pPr>
        <w:pStyle w:val="Style48"/>
        <w:keepNext/>
        <w:keepLines/>
        <w:widowControl w:val="0"/>
        <w:shd w:val="clear" w:color="auto" w:fill="auto"/>
        <w:bidi w:val="0"/>
        <w:spacing w:before="0" w:after="34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1</w:t>
      </w:r>
      <w:bookmarkEnd w:id="684"/>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682"/>
      <w:bookmarkEnd w:id="683"/>
      <w:bookmarkEnd w:id="685"/>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2890"/>
        <w:gridCol w:w="1800"/>
        <w:gridCol w:w="1618"/>
        <w:gridCol w:w="1622"/>
        <w:gridCol w:w="165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41,700,685.43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106,871.80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1,867,015.27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39,940,541.96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10,945,840.80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10,945,840.80</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28,000,000.00</w:t>
            </w:r>
          </w:p>
        </w:tc>
      </w:tr>
    </w:tbl>
    <w:p>
      <w:pPr>
        <w:spacing w:lineRule="exact" w:line="1"/>
        <w:rPr>
          <w:sz w:val="2"/>
          <w:szCs w:val="2"/>
        </w:rPr>
      </w:pPr>
      <w:r>
        <w:br w:type="page"/>
      </w:r>
    </w:p>
    <w:tbl>
      <w:tblPr>
        <w:tblOverlap w:val="never"/>
        <w:jc w:val="center"/>
        <w:tblLayout w:type="fixed"/>
      </w:tblPr>
      <w:tblGrid>
        <w:gridCol w:w="2890"/>
        <w:gridCol w:w="1800"/>
        <w:gridCol w:w="1618"/>
        <w:gridCol w:w="1622"/>
        <w:gridCol w:w="1656"/>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商标注册费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853,592.00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515,092.00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1,058,807.00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1,058,807.00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K3</w:t>
            </w:r>
            <w:r>
              <w:rPr>
                <w:color w:val="000000"/>
                <w:spacing w:val="0"/>
                <w:w w:val="100"/>
                <w:position w:val="0"/>
              </w:rPr>
              <w:t>金蝶软件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792,445.63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97,871.80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460,708.27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429,609.16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网络知识产权保护费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6,986,312.66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959,990.04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1,421,011.00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6,525,291.70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2,430,949.52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218,916.84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2,649,866.36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2,940,000.05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3,500,000.09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商标注册费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209,725.85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264,311.85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1,009,975.60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1,058,807.00</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K3</w:t>
            </w:r>
            <w:r>
              <w:rPr>
                <w:color w:val="000000"/>
                <w:spacing w:val="0"/>
                <w:w w:val="100"/>
                <w:position w:val="0"/>
              </w:rPr>
              <w:t>金蝶软件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385,661.57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72,655.72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362,204.00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96,113.29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网络知识产权保护费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15,000.11</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34,714,372.77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-853,118.24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446,004.27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33,415,250.26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8,514,891.28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-218,916.84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8,295,974.44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25,059,999.95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24,499,999.91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商标注册费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643,866.15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-45,586.00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-711,307.00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250,780.15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48,831.40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K3</w:t>
            </w:r>
            <w:r>
              <w:rPr>
                <w:color w:val="000000"/>
                <w:spacing w:val="0"/>
                <w:w w:val="100"/>
                <w:position w:val="0"/>
              </w:rPr>
              <w:t>金蝶软件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406,784.06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333,495.87</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网络知识产权保护费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39,999.93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34,999.89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商标注册费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K3</w:t>
            </w:r>
            <w:r>
              <w:rPr>
                <w:color w:val="000000"/>
                <w:spacing w:val="0"/>
                <w:w w:val="100"/>
                <w:position w:val="0"/>
              </w:rPr>
              <w:t>金蝶软件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网络知识产权保护费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34,714,372.77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-853,118.24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446,004.27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33,415,250.26</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3,205,633.91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-218,916.84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3,114,881.39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11,147,580.06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10,898,472.12</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商标注册费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643,866.15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-45,586.00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-711,307.00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250,780.15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-48,831.40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K3</w:t>
            </w:r>
            <w:r>
              <w:rPr>
                <w:color w:val="000000"/>
                <w:spacing w:val="0"/>
                <w:w w:val="100"/>
                <w:position w:val="0"/>
              </w:rPr>
              <w:t>金蝶软件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406,784.06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25,216.08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333,495.87</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网络知识产权保护费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39,999.93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34,999.89</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959,990.04</w:t>
      </w:r>
      <w:r>
        <w:rPr>
          <w:color w:val="000000"/>
          <w:spacing w:val="0"/>
          <w:w w:val="100"/>
          <w:position w:val="0"/>
        </w:rPr>
        <w:t>元。</w:t>
      </w:r>
    </w:p>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686"/>
      <w:bookmarkEnd w:id="687"/>
      <w:bookmarkEnd w:id="689"/>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1810"/>
        <w:gridCol w:w="1080"/>
        <w:gridCol w:w="1224"/>
        <w:gridCol w:w="1296"/>
        <w:gridCol w:w="1258"/>
        <w:gridCol w:w="1262"/>
        <w:gridCol w:w="1661"/>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其他减少的原因</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418,771.21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407,767.52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293,429.56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533,109.17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19"/>
          <w:footerReference w:type="default" r:id="rId220"/>
          <w:headerReference w:type="even" r:id="rId221"/>
          <w:footerReference w:type="even" r:id="rId222"/>
          <w:headerReference w:type="first" r:id="rId223"/>
          <w:footerReference w:type="first" r:id="rId224"/>
          <w:footnotePr>
            <w:pos w:val="pageBottom"/>
            <w:numFmt w:val="decimal"/>
            <w:numRestart w:val="continuous"/>
          </w:footnotePr>
          <w:pgSz w:w="11900" w:h="16840"/>
          <w:pgMar w:top="1127" w:right="931" w:bottom="1211" w:left="975" w:header="0" w:footer="3" w:gutter="0"/>
          <w:cols w:space="720"/>
          <w:noEndnote/>
          <w:titlePg/>
          <w:rtlGutter w:val="0"/>
          <w:docGrid w:linePitch="360"/>
        </w:sectPr>
      </w:pPr>
    </w:p>
    <w:tbl>
      <w:tblPr>
        <w:tblOverlap w:val="never"/>
        <w:jc w:val="center"/>
        <w:tblLayout w:type="fixed"/>
      </w:tblPr>
      <w:tblGrid>
        <w:gridCol w:w="1810"/>
        <w:gridCol w:w="1080"/>
        <w:gridCol w:w="1224"/>
        <w:gridCol w:w="1296"/>
        <w:gridCol w:w="1258"/>
        <w:gridCol w:w="1262"/>
        <w:gridCol w:w="1661"/>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电脑室综合布线、 机房建设项目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17,549.86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13,789.18</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436,321.07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407,767.52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297,190.24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546,898.35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48"/>
        <w:keepNext/>
        <w:keepLines/>
        <w:widowControl w:val="0"/>
        <w:shd w:val="clear" w:color="auto" w:fill="auto"/>
        <w:bidi w:val="0"/>
        <w:spacing w:before="0" w:after="3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w:t>
      </w:r>
      <w:bookmarkEnd w:id="690"/>
      <w:bookmarkEnd w:id="691"/>
      <w:bookmarkEnd w:id="693"/>
    </w:p>
    <w:p>
      <w:pPr>
        <w:pStyle w:val="Style48"/>
        <w:keepNext/>
        <w:keepLines/>
        <w:widowControl w:val="0"/>
        <w:numPr>
          <w:ilvl w:val="0"/>
          <w:numId w:val="47"/>
        </w:numPr>
        <w:shd w:val="clear" w:color="auto" w:fill="auto"/>
        <w:bidi w:val="0"/>
        <w:spacing w:before="0" w:after="340" w:line="240" w:lineRule="auto"/>
        <w:ind w:left="0" w:right="0" w:firstLine="0"/>
        <w:jc w:val="left"/>
      </w:pPr>
      <w:bookmarkStart w:id="690" w:name="bookmark690"/>
      <w:bookmarkStart w:id="691" w:name="bookmark691"/>
      <w:bookmarkStart w:id="694" w:name="bookmark694"/>
      <w:bookmarkStart w:id="695" w:name="bookmark695"/>
      <w:bookmarkEnd w:id="694"/>
      <w:r>
        <w:rPr>
          <w:color w:val="000000"/>
          <w:spacing w:val="0"/>
          <w:w w:val="100"/>
          <w:position w:val="0"/>
        </w:rPr>
        <w:t>递延所得税资产和递延所得税负债不以抵销后的净额列示</w:t>
      </w:r>
      <w:bookmarkEnd w:id="690"/>
      <w:bookmarkEnd w:id="691"/>
      <w:bookmarkEnd w:id="695"/>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已确认的递延所得税资产和递延所得税负债</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3730"/>
        <w:gridCol w:w="2923"/>
        <w:gridCol w:w="2933"/>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48,915.00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未实现内部销售损益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46,561.60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191,934.55</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107,197.03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240,849.55</w:t>
            </w:r>
          </w:p>
        </w:tc>
      </w:tr>
      <w:tr>
        <w:trPr>
          <w:trHeight w:val="379" w:hRule="exact"/>
        </w:trPr>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7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3864"/>
        <w:gridCol w:w="2923"/>
        <w:gridCol w:w="2798"/>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70"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404,236.19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326,100.01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未实现内部销售损益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310,410.67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1,279,563.69</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714,646.86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1,605,663.70</w:t>
            </w:r>
          </w:p>
        </w:tc>
      </w:tr>
    </w:tbl>
    <w:p>
      <w:pPr>
        <w:widowControl w:val="0"/>
        <w:spacing w:after="339" w:line="1" w:lineRule="exact"/>
      </w:pPr>
    </w:p>
    <w:p>
      <w:pPr>
        <w:pStyle w:val="Style48"/>
        <w:keepNext/>
        <w:keepLines/>
        <w:widowControl w:val="0"/>
        <w:numPr>
          <w:ilvl w:val="0"/>
          <w:numId w:val="47"/>
        </w:numPr>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递延所得税资产和递延所得税负债以抵销后的净额列示</w:t>
      </w:r>
      <w:bookmarkEnd w:id="696"/>
      <w:bookmarkEnd w:id="697"/>
      <w:bookmarkEnd w:id="699"/>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互抵后的递延所得税资产及负债的组成项目</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 的递延所得税资 产或负债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 的可抵扣或应纳 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 的递延所得税资 产或负债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 的可抵扣或应纳 税暂时性差异</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107,197.03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240,849.55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w:t>
      </w:r>
      <w:r>
        <w:rPr>
          <w:b/>
          <w:bCs/>
          <w:color w:val="000000"/>
          <w:spacing w:val="0"/>
          <w:w w:val="100"/>
          <w:position w:val="0"/>
        </w:rPr>
        <w:t>、资产减值准备明细</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2275"/>
        <w:gridCol w:w="1526"/>
        <w:gridCol w:w="1526"/>
        <w:gridCol w:w="1397"/>
        <w:gridCol w:w="1402"/>
        <w:gridCol w:w="1459"/>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期末账面余额</w:t>
            </w:r>
          </w:p>
        </w:tc>
      </w:tr>
      <w:tr>
        <w:trPr>
          <w:trHeight w:val="3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326,100.01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78,136.18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404,236.19</w:t>
            </w:r>
          </w:p>
        </w:tc>
      </w:tr>
    </w:tbl>
    <w:p>
      <w:pPr>
        <w:widowControl w:val="0"/>
        <w:spacing w:after="79" w:line="1" w:lineRule="exact"/>
      </w:pPr>
    </w:p>
    <w:p>
      <w:pPr>
        <w:pStyle w:val="Style64"/>
        <w:keepNext/>
        <w:keepLines/>
        <w:widowControl w:val="0"/>
        <w:shd w:val="clear" w:color="auto" w:fill="auto"/>
        <w:bidi w:val="0"/>
        <w:spacing w:before="0" w:after="340" w:line="240" w:lineRule="auto"/>
        <w:ind w:left="0" w:right="0" w:firstLine="0"/>
        <w:jc w:val="right"/>
      </w:pPr>
      <w:bookmarkStart w:id="700" w:name="bookmark700"/>
      <w:bookmarkStart w:id="701" w:name="bookmark701"/>
      <w:bookmarkStart w:id="702" w:name="bookmark702"/>
      <w:r>
        <w:rPr>
          <w:spacing w:val="0"/>
          <w:w w:val="100"/>
          <w:position w:val="0"/>
        </w:rPr>
        <w:t>infw</w:t>
      </w:r>
      <w:bookmarkEnd w:id="700"/>
      <w:bookmarkEnd w:id="701"/>
      <w:bookmarkEnd w:id="702"/>
      <w:r>
        <w:br w:type="page"/>
      </w:r>
    </w:p>
    <w:tbl>
      <w:tblPr>
        <w:tblOverlap w:val="never"/>
        <w:jc w:val="center"/>
        <w:tblLayout w:type="fixed"/>
      </w:tblPr>
      <w:tblGrid>
        <w:gridCol w:w="2275"/>
        <w:gridCol w:w="1526"/>
        <w:gridCol w:w="1526"/>
        <w:gridCol w:w="1402"/>
        <w:gridCol w:w="1397"/>
        <w:gridCol w:w="1459"/>
      </w:tblGrid>
      <w:tr>
        <w:trPr>
          <w:trHeight w:val="38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326,100.01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78,136.18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404,236.19</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14</w:t>
      </w:r>
      <w:r>
        <w:rPr>
          <w:b/>
          <w:bCs/>
          <w:color w:val="000000"/>
          <w:spacing w:val="0"/>
          <w:w w:val="100"/>
          <w:position w:val="0"/>
        </w:rPr>
        <w:t>、其他非流动资产</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3600"/>
        <w:gridCol w:w="2918"/>
        <w:gridCol w:w="3067"/>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期初数</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预付设备及工程款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12,698,481.36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23,408,938.89</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12,698,481.36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23,408,938.89</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703"/>
      <w:bookmarkEnd w:id="704"/>
      <w:bookmarkEnd w:id="706"/>
    </w:p>
    <w:p>
      <w:pPr>
        <w:pStyle w:val="Style48"/>
        <w:keepNext/>
        <w:keepLines/>
        <w:widowControl w:val="0"/>
        <w:numPr>
          <w:ilvl w:val="0"/>
          <w:numId w:val="49"/>
        </w:numPr>
        <w:shd w:val="clear" w:color="auto" w:fill="auto"/>
        <w:bidi w:val="0"/>
        <w:spacing w:before="0" w:after="340" w:line="240" w:lineRule="auto"/>
        <w:ind w:left="0" w:right="0" w:firstLine="0"/>
        <w:jc w:val="left"/>
      </w:pPr>
      <w:bookmarkStart w:id="703" w:name="bookmark703"/>
      <w:bookmarkStart w:id="704" w:name="bookmark704"/>
      <w:bookmarkStart w:id="707" w:name="bookmark707"/>
      <w:bookmarkStart w:id="708" w:name="bookmark708"/>
      <w:bookmarkEnd w:id="707"/>
      <w:r>
        <w:rPr>
          <w:color w:val="000000"/>
          <w:spacing w:val="0"/>
          <w:w w:val="100"/>
          <w:position w:val="0"/>
        </w:rPr>
        <w:t>短期借款分类</w:t>
      </w:r>
      <w:bookmarkEnd w:id="703"/>
      <w:bookmarkEnd w:id="704"/>
      <w:bookmarkEnd w:id="708"/>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3600"/>
        <w:gridCol w:w="2918"/>
        <w:gridCol w:w="3067"/>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期初数</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100,000,000.00</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140,000,000.00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100,000,000.00</w:t>
            </w:r>
          </w:p>
        </w:tc>
      </w:tr>
    </w:tbl>
    <w:p>
      <w:pPr>
        <w:pStyle w:val="Style35"/>
        <w:keepNext w:val="0"/>
        <w:keepLines w:val="0"/>
        <w:widowControl w:val="0"/>
        <w:shd w:val="clear" w:color="auto" w:fill="auto"/>
        <w:bidi w:val="0"/>
        <w:spacing w:before="0" w:after="0" w:line="310" w:lineRule="exact"/>
        <w:ind w:left="0" w:right="0" w:firstLine="320"/>
        <w:jc w:val="both"/>
      </w:pPr>
      <w:r>
        <w:rPr>
          <w:rFonts w:ascii="Times New Roman" w:eastAsia="Times New Roman" w:hAnsi="Times New Roman" w:cs="Times New Roman"/>
          <w:color w:val="000000"/>
          <w:spacing w:val="0"/>
          <w:w w:val="100"/>
          <w:position w:val="0"/>
        </w:rPr>
        <w:t>*1</w:t>
      </w:r>
      <w:r>
        <w:rPr>
          <w:color w:val="000000"/>
          <w:spacing w:val="0"/>
          <w:w w:val="100"/>
          <w:position w:val="0"/>
        </w:rPr>
        <w:t>公司与中国农业银行顺德容桂支行签订了两份借款合同，以信用借款方式取得人民币</w:t>
      </w:r>
      <w:r>
        <w:rPr>
          <w:rFonts w:ascii="Times New Roman" w:eastAsia="Times New Roman" w:hAnsi="Times New Roman" w:cs="Times New Roman"/>
          <w:color w:val="000000"/>
          <w:spacing w:val="0"/>
          <w:w w:val="100"/>
          <w:position w:val="0"/>
        </w:rPr>
        <w:t>9,000.00</w:t>
      </w:r>
      <w:r>
        <w:rPr>
          <w:color w:val="000000"/>
          <w:spacing w:val="0"/>
          <w:w w:val="100"/>
          <w:position w:val="0"/>
        </w:rPr>
        <w:t>万元的借 款，借款明细具体如下：合同编号</w:t>
      </w:r>
      <w:r>
        <w:rPr>
          <w:rFonts w:ascii="Times New Roman" w:eastAsia="Times New Roman" w:hAnsi="Times New Roman" w:cs="Times New Roman"/>
          <w:color w:val="000000"/>
          <w:spacing w:val="0"/>
          <w:w w:val="100"/>
          <w:position w:val="0"/>
        </w:rPr>
        <w:t>44010120130008548</w:t>
      </w:r>
      <w:r>
        <w:rPr>
          <w:color w:val="000000"/>
          <w:spacing w:val="0"/>
          <w:w w:val="100"/>
          <w:position w:val="0"/>
        </w:rPr>
        <w:t>号，取得人民币</w:t>
      </w:r>
      <w:r>
        <w:rPr>
          <w:rFonts w:ascii="Times New Roman" w:eastAsia="Times New Roman" w:hAnsi="Times New Roman" w:cs="Times New Roman"/>
          <w:color w:val="000000"/>
          <w:spacing w:val="0"/>
          <w:w w:val="100"/>
          <w:position w:val="0"/>
        </w:rPr>
        <w:t>4,000.00</w:t>
      </w:r>
      <w:r>
        <w:rPr>
          <w:color w:val="000000"/>
          <w:spacing w:val="0"/>
          <w:w w:val="100"/>
          <w:position w:val="0"/>
        </w:rPr>
        <w:t>万元借款，借款利率为</w:t>
      </w:r>
      <w:r>
        <w:rPr>
          <w:rFonts w:ascii="Times New Roman" w:eastAsia="Times New Roman" w:hAnsi="Times New Roman" w:cs="Times New Roman"/>
          <w:color w:val="000000"/>
          <w:spacing w:val="0"/>
          <w:w w:val="100"/>
          <w:position w:val="0"/>
        </w:rPr>
        <w:t>5.6000%</w:t>
      </w:r>
      <w:r>
        <w:rPr>
          <w:color w:val="000000"/>
          <w:spacing w:val="0"/>
          <w:w w:val="100"/>
          <w:position w:val="0"/>
        </w:rPr>
        <w:t>, 借款期限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日；合同编号</w:t>
      </w:r>
      <w:r>
        <w:rPr>
          <w:rFonts w:ascii="Times New Roman" w:eastAsia="Times New Roman" w:hAnsi="Times New Roman" w:cs="Times New Roman"/>
          <w:color w:val="000000"/>
          <w:spacing w:val="0"/>
          <w:w w:val="100"/>
          <w:position w:val="0"/>
        </w:rPr>
        <w:t>44010120130013409</w:t>
      </w:r>
      <w:r>
        <w:rPr>
          <w:color w:val="000000"/>
          <w:spacing w:val="0"/>
          <w:w w:val="100"/>
          <w:position w:val="0"/>
        </w:rPr>
        <w:t>号，取得人民币</w:t>
      </w:r>
      <w:r>
        <w:rPr>
          <w:rFonts w:ascii="Times New Roman" w:eastAsia="Times New Roman" w:hAnsi="Times New Roman" w:cs="Times New Roman"/>
          <w:color w:val="000000"/>
          <w:spacing w:val="0"/>
          <w:w w:val="100"/>
          <w:position w:val="0"/>
        </w:rPr>
        <w:t>5,000.00</w:t>
      </w:r>
      <w:r>
        <w:rPr>
          <w:color w:val="000000"/>
          <w:spacing w:val="0"/>
          <w:w w:val="100"/>
          <w:position w:val="0"/>
        </w:rPr>
        <w:t>万元借款， 借款利率为</w:t>
      </w:r>
      <w:r>
        <w:rPr>
          <w:rFonts w:ascii="Times New Roman" w:eastAsia="Times New Roman" w:hAnsi="Times New Roman" w:cs="Times New Roman"/>
          <w:color w:val="000000"/>
          <w:spacing w:val="0"/>
          <w:w w:val="100"/>
          <w:position w:val="0"/>
        </w:rPr>
        <w:t>5.8800%</w:t>
      </w:r>
      <w:r>
        <w:rPr>
          <w:color w:val="000000"/>
          <w:spacing w:val="0"/>
          <w:w w:val="100"/>
          <w:position w:val="0"/>
        </w:rPr>
        <w:t>，借款期限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35"/>
        <w:keepNext w:val="0"/>
        <w:keepLines w:val="0"/>
        <w:widowControl w:val="0"/>
        <w:shd w:val="clear" w:color="auto" w:fill="auto"/>
        <w:bidi w:val="0"/>
        <w:spacing w:before="0" w:after="340" w:line="310" w:lineRule="exact"/>
        <w:ind w:left="0" w:right="0" w:firstLine="320"/>
        <w:jc w:val="both"/>
      </w:pPr>
      <w:r>
        <w:rPr>
          <w:rFonts w:ascii="Times New Roman" w:eastAsia="Times New Roman" w:hAnsi="Times New Roman" w:cs="Times New Roman"/>
          <w:color w:val="000000"/>
          <w:spacing w:val="0"/>
          <w:w w:val="100"/>
          <w:position w:val="0"/>
        </w:rPr>
        <w:t>*2</w:t>
      </w:r>
      <w:r>
        <w:rPr>
          <w:color w:val="000000"/>
          <w:spacing w:val="0"/>
          <w:w w:val="100"/>
          <w:position w:val="0"/>
        </w:rPr>
        <w:t>公司与兴业银行容桂支行签订了一份信用借款合同，编号为兴银粤借字</w:t>
      </w:r>
      <w:r>
        <w:rPr>
          <w:rFonts w:ascii="Times New Roman" w:eastAsia="Times New Roman" w:hAnsi="Times New Roman" w:cs="Times New Roman"/>
          <w:color w:val="000000"/>
          <w:spacing w:val="0"/>
          <w:w w:val="100"/>
          <w:position w:val="0"/>
        </w:rPr>
        <w:t>(</w:t>
      </w:r>
      <w:r>
        <w:rPr>
          <w:color w:val="000000"/>
          <w:spacing w:val="0"/>
          <w:w w:val="100"/>
          <w:position w:val="0"/>
        </w:rPr>
        <w:t>顺德容桂</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201307250268</w:t>
      </w:r>
      <w:r>
        <w:rPr>
          <w:color w:val="000000"/>
          <w:spacing w:val="0"/>
          <w:w w:val="100"/>
          <w:position w:val="0"/>
        </w:rPr>
        <w:t>号， 取得人民币</w:t>
      </w:r>
      <w:r>
        <w:rPr>
          <w:rFonts w:ascii="Times New Roman" w:eastAsia="Times New Roman" w:hAnsi="Times New Roman" w:cs="Times New Roman"/>
          <w:color w:val="000000"/>
          <w:spacing w:val="0"/>
          <w:w w:val="100"/>
          <w:position w:val="0"/>
        </w:rPr>
        <w:t>5,000.00</w:t>
      </w:r>
      <w:r>
        <w:rPr>
          <w:color w:val="000000"/>
          <w:spacing w:val="0"/>
          <w:w w:val="100"/>
          <w:position w:val="0"/>
        </w:rPr>
        <w:t>万元借款，借款利率为</w:t>
      </w:r>
      <w:r>
        <w:rPr>
          <w:rFonts w:ascii="Times New Roman" w:eastAsia="Times New Roman" w:hAnsi="Times New Roman" w:cs="Times New Roman"/>
          <w:color w:val="000000"/>
          <w:spacing w:val="0"/>
          <w:w w:val="100"/>
          <w:position w:val="0"/>
        </w:rPr>
        <w:t>5.6000%</w:t>
      </w:r>
      <w:r>
        <w:rPr>
          <w:color w:val="000000"/>
          <w:spacing w:val="0"/>
          <w:w w:val="100"/>
          <w:position w:val="0"/>
        </w:rPr>
        <w:t>,借款期限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35"/>
        <w:keepNext w:val="0"/>
        <w:keepLines w:val="0"/>
        <w:widowControl w:val="0"/>
        <w:numPr>
          <w:ilvl w:val="0"/>
          <w:numId w:val="49"/>
        </w:numPr>
        <w:shd w:val="clear" w:color="auto" w:fill="auto"/>
        <w:bidi w:val="0"/>
        <w:spacing w:before="0" w:after="220" w:line="324" w:lineRule="auto"/>
        <w:ind w:left="0" w:right="0" w:firstLine="0"/>
        <w:jc w:val="left"/>
      </w:pPr>
      <w:bookmarkStart w:id="709" w:name="bookmark709"/>
      <w:bookmarkEnd w:id="709"/>
      <w:r>
        <w:rPr>
          <w:b/>
          <w:bCs/>
          <w:color w:val="000000"/>
          <w:spacing w:val="0"/>
          <w:w w:val="100"/>
          <w:position w:val="0"/>
        </w:rPr>
        <w:t>期末无已到期未偿还的短期借款</w:t>
      </w:r>
    </w:p>
    <w:p>
      <w:pPr>
        <w:pStyle w:val="Style35"/>
        <w:keepNext w:val="0"/>
        <w:keepLines w:val="0"/>
        <w:widowControl w:val="0"/>
        <w:shd w:val="clear" w:color="auto" w:fill="auto"/>
        <w:bidi w:val="0"/>
        <w:spacing w:before="0" w:after="340" w:line="310" w:lineRule="exact"/>
        <w:ind w:left="0" w:right="0" w:firstLine="0"/>
        <w:jc w:val="left"/>
      </w:pPr>
      <w:bookmarkStart w:id="710" w:name="bookmark710"/>
      <w:r>
        <w:rPr>
          <w:rFonts w:ascii="Times New Roman" w:eastAsia="Times New Roman" w:hAnsi="Times New Roman" w:cs="Times New Roman"/>
          <w:b/>
          <w:bCs/>
          <w:color w:val="000000"/>
          <w:spacing w:val="0"/>
          <w:w w:val="100"/>
          <w:position w:val="0"/>
        </w:rPr>
        <w:t>1</w:t>
      </w:r>
      <w:bookmarkEnd w:id="710"/>
      <w:r>
        <w:rPr>
          <w:rFonts w:ascii="Times New Roman" w:eastAsia="Times New Roman" w:hAnsi="Times New Roman" w:cs="Times New Roman"/>
          <w:b/>
          <w:bCs/>
          <w:color w:val="000000"/>
          <w:spacing w:val="0"/>
          <w:w w:val="100"/>
          <w:position w:val="0"/>
        </w:rPr>
        <w:t>6</w:t>
      </w:r>
      <w:r>
        <w:rPr>
          <w:b/>
          <w:bCs/>
          <w:color w:val="000000"/>
          <w:spacing w:val="0"/>
          <w:w w:val="100"/>
          <w:position w:val="0"/>
        </w:rPr>
        <w:t>、应付票据</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期初数</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180,968,356.25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146,503,881.22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26,456,862.17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16,993,970.43</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207,425,218.42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163,497,851.65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207,425,218.42</w:t>
      </w:r>
      <w:r>
        <w:rPr>
          <w:color w:val="000000"/>
          <w:spacing w:val="0"/>
          <w:w w:val="100"/>
          <w:position w:val="0"/>
        </w:rPr>
        <w:t>元。</w:t>
      </w:r>
    </w:p>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711"/>
      <w:bookmarkEnd w:id="712"/>
      <w:bookmarkEnd w:id="714"/>
    </w:p>
    <w:p>
      <w:pPr>
        <w:pStyle w:val="Style48"/>
        <w:keepNext/>
        <w:keepLines/>
        <w:widowControl w:val="0"/>
        <w:numPr>
          <w:ilvl w:val="0"/>
          <w:numId w:val="51"/>
        </w:numPr>
        <w:shd w:val="clear" w:color="auto" w:fill="auto"/>
        <w:bidi w:val="0"/>
        <w:spacing w:before="0" w:after="340" w:line="240" w:lineRule="auto"/>
        <w:ind w:left="0" w:right="0" w:firstLine="0"/>
        <w:jc w:val="left"/>
      </w:pPr>
      <w:bookmarkStart w:id="711" w:name="bookmark711"/>
      <w:bookmarkStart w:id="712" w:name="bookmark712"/>
      <w:bookmarkStart w:id="715" w:name="bookmark715"/>
      <w:bookmarkStart w:id="716" w:name="bookmark716"/>
      <w:bookmarkEnd w:id="715"/>
      <w:r>
        <w:rPr>
          <w:color w:val="000000"/>
          <w:spacing w:val="0"/>
          <w:w w:val="100"/>
          <w:position w:val="0"/>
        </w:rPr>
        <w:t>应付账款情况</w:t>
      </w:r>
      <w:bookmarkEnd w:id="711"/>
      <w:bookmarkEnd w:id="712"/>
      <w:bookmarkEnd w:id="716"/>
    </w:p>
    <w:p>
      <w:pPr>
        <w:pStyle w:val="Style35"/>
        <w:keepNext w:val="0"/>
        <w:keepLines w:val="0"/>
        <w:widowControl w:val="0"/>
        <w:shd w:val="clear" w:color="auto" w:fill="auto"/>
        <w:bidi w:val="0"/>
        <w:spacing w:before="0" w:after="80" w:line="240" w:lineRule="auto"/>
        <w:ind w:left="0" w:right="64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38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3600"/>
        <w:gridCol w:w="2918"/>
        <w:gridCol w:w="3067"/>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96,905,222.38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61,594,314.47</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1,484,380.60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792,234.31</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598,994.48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141,549.06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579,527.41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571,228.35</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99,568,124.87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63,099,326.19</w:t>
            </w:r>
          </w:p>
        </w:tc>
      </w:tr>
    </w:tbl>
    <w:p>
      <w:pPr>
        <w:widowControl w:val="0"/>
        <w:spacing w:after="339" w:line="1" w:lineRule="exact"/>
      </w:pPr>
    </w:p>
    <w:p>
      <w:pPr>
        <w:pStyle w:val="Style35"/>
        <w:keepNext w:val="0"/>
        <w:keepLines w:val="0"/>
        <w:widowControl w:val="0"/>
        <w:shd w:val="clear" w:color="auto" w:fill="auto"/>
        <w:tabs>
          <w:tab w:pos="430" w:val="left"/>
        </w:tabs>
        <w:bidi w:val="0"/>
        <w:spacing w:before="0" w:after="340" w:line="240" w:lineRule="auto"/>
        <w:ind w:left="0" w:right="0" w:firstLine="0"/>
        <w:jc w:val="both"/>
      </w:pPr>
      <w:bookmarkStart w:id="717" w:name="bookmark717"/>
      <w:r>
        <w:rPr>
          <w:rFonts w:ascii="Times New Roman" w:eastAsia="Times New Roman" w:hAnsi="Times New Roman" w:cs="Times New Roman"/>
          <w:b/>
          <w:bCs/>
          <w:color w:val="000000"/>
          <w:spacing w:val="0"/>
          <w:w w:val="100"/>
          <w:position w:val="0"/>
        </w:rPr>
        <w:t>（</w:t>
      </w:r>
      <w:bookmarkEnd w:id="717"/>
      <w:r>
        <w:rPr>
          <w:rFonts w:ascii="Times New Roman" w:eastAsia="Times New Roman" w:hAnsi="Times New Roman" w:cs="Times New Roman"/>
          <w:b/>
          <w:bCs/>
          <w:color w:val="000000"/>
          <w:spacing w:val="0"/>
          <w:w w:val="100"/>
          <w:position w:val="0"/>
        </w:rPr>
        <w:t>2）</w:t>
        <w:tab/>
      </w:r>
      <w:r>
        <w:rPr>
          <w:b/>
          <w:bCs/>
          <w:color w:val="000000"/>
          <w:spacing w:val="0"/>
          <w:w w:val="100"/>
          <w:position w:val="0"/>
        </w:rPr>
        <w:t>期末应付账款中无应付持有公司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以上表决权股份的股东单位</w:t>
      </w:r>
    </w:p>
    <w:p>
      <w:pPr>
        <w:pStyle w:val="Style35"/>
        <w:keepNext w:val="0"/>
        <w:keepLines w:val="0"/>
        <w:widowControl w:val="0"/>
        <w:shd w:val="clear" w:color="auto" w:fill="auto"/>
        <w:tabs>
          <w:tab w:pos="430" w:val="left"/>
        </w:tabs>
        <w:bidi w:val="0"/>
        <w:spacing w:before="0" w:after="340" w:line="240" w:lineRule="auto"/>
        <w:ind w:left="0" w:right="0" w:firstLine="0"/>
        <w:jc w:val="both"/>
      </w:pPr>
      <w:bookmarkStart w:id="718" w:name="bookmark718"/>
      <w:r>
        <w:rPr>
          <w:rFonts w:ascii="Times New Roman" w:eastAsia="Times New Roman" w:hAnsi="Times New Roman" w:cs="Times New Roman"/>
          <w:b/>
          <w:bCs/>
          <w:color w:val="000000"/>
          <w:spacing w:val="0"/>
          <w:w w:val="100"/>
          <w:position w:val="0"/>
        </w:rPr>
        <w:t>（</w:t>
      </w:r>
      <w:bookmarkEnd w:id="718"/>
      <w:r>
        <w:rPr>
          <w:rFonts w:ascii="Times New Roman" w:eastAsia="Times New Roman" w:hAnsi="Times New Roman" w:cs="Times New Roman"/>
          <w:b/>
          <w:bCs/>
          <w:color w:val="000000"/>
          <w:spacing w:val="0"/>
          <w:w w:val="100"/>
          <w:position w:val="0"/>
        </w:rPr>
        <w:t>3）</w:t>
        <w:tab/>
      </w:r>
      <w:r>
        <w:rPr>
          <w:b/>
          <w:bCs/>
          <w:color w:val="000000"/>
          <w:spacing w:val="0"/>
          <w:w w:val="100"/>
          <w:position w:val="0"/>
        </w:rPr>
        <w:t>期末无账龄超过一年的大额应付账款</w:t>
      </w:r>
    </w:p>
    <w:p>
      <w:pPr>
        <w:pStyle w:val="Style35"/>
        <w:keepNext w:val="0"/>
        <w:keepLines w:val="0"/>
        <w:widowControl w:val="0"/>
        <w:shd w:val="clear" w:color="auto" w:fill="auto"/>
        <w:bidi w:val="0"/>
        <w:spacing w:before="0" w:after="340" w:line="240" w:lineRule="auto"/>
        <w:ind w:left="0" w:right="0" w:firstLine="0"/>
        <w:jc w:val="both"/>
      </w:pPr>
      <w:bookmarkStart w:id="719" w:name="bookmark719"/>
      <w:r>
        <w:rPr>
          <w:rFonts w:ascii="Times New Roman" w:eastAsia="Times New Roman" w:hAnsi="Times New Roman" w:cs="Times New Roman"/>
          <w:b/>
          <w:bCs/>
          <w:color w:val="000000"/>
          <w:spacing w:val="0"/>
          <w:w w:val="100"/>
          <w:position w:val="0"/>
        </w:rPr>
        <w:t>1</w:t>
      </w:r>
      <w:bookmarkEnd w:id="719"/>
      <w:r>
        <w:rPr>
          <w:rFonts w:ascii="Times New Roman" w:eastAsia="Times New Roman" w:hAnsi="Times New Roman" w:cs="Times New Roman"/>
          <w:b/>
          <w:bCs/>
          <w:color w:val="000000"/>
          <w:spacing w:val="0"/>
          <w:w w:val="100"/>
          <w:position w:val="0"/>
        </w:rPr>
        <w:t>8</w:t>
      </w:r>
      <w:r>
        <w:rPr>
          <w:b/>
          <w:bCs/>
          <w:color w:val="000000"/>
          <w:spacing w:val="0"/>
          <w:w w:val="100"/>
          <w:position w:val="0"/>
        </w:rPr>
        <w:t>、预收账款</w:t>
      </w:r>
    </w:p>
    <w:p>
      <w:pPr>
        <w:pStyle w:val="Style3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预收账款情况</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3864"/>
        <w:gridCol w:w="2789"/>
        <w:gridCol w:w="2933"/>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3,555,901.69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7,828,359.55</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3,555,901.69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7,828,359.55</w:t>
            </w:r>
          </w:p>
        </w:tc>
      </w:tr>
    </w:tbl>
    <w:p>
      <w:pPr>
        <w:widowControl w:val="0"/>
        <w:spacing w:after="339" w:line="1" w:lineRule="exact"/>
      </w:pPr>
    </w:p>
    <w:p>
      <w:pPr>
        <w:pStyle w:val="Style35"/>
        <w:keepNext w:val="0"/>
        <w:keepLines w:val="0"/>
        <w:widowControl w:val="0"/>
        <w:shd w:val="clear" w:color="auto" w:fill="auto"/>
        <w:tabs>
          <w:tab w:pos="430" w:val="left"/>
        </w:tabs>
        <w:bidi w:val="0"/>
        <w:spacing w:before="0" w:after="340" w:line="240" w:lineRule="auto"/>
        <w:ind w:left="0" w:right="0" w:firstLine="0"/>
        <w:jc w:val="both"/>
      </w:pPr>
      <w:bookmarkStart w:id="720" w:name="bookmark720"/>
      <w:r>
        <w:rPr>
          <w:rFonts w:ascii="Times New Roman" w:eastAsia="Times New Roman" w:hAnsi="Times New Roman" w:cs="Times New Roman"/>
          <w:b/>
          <w:bCs/>
          <w:color w:val="000000"/>
          <w:spacing w:val="0"/>
          <w:w w:val="100"/>
          <w:position w:val="0"/>
        </w:rPr>
        <w:t>（</w:t>
      </w:r>
      <w:bookmarkEnd w:id="720"/>
      <w:r>
        <w:rPr>
          <w:rFonts w:ascii="Times New Roman" w:eastAsia="Times New Roman" w:hAnsi="Times New Roman" w:cs="Times New Roman"/>
          <w:b/>
          <w:bCs/>
          <w:color w:val="000000"/>
          <w:spacing w:val="0"/>
          <w:w w:val="100"/>
          <w:position w:val="0"/>
        </w:rPr>
        <w:t>2）</w:t>
        <w:tab/>
      </w:r>
      <w:r>
        <w:rPr>
          <w:b/>
          <w:bCs/>
          <w:color w:val="000000"/>
          <w:spacing w:val="0"/>
          <w:w w:val="100"/>
          <w:position w:val="0"/>
        </w:rPr>
        <w:t>期末预收账款中无预收持有公司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以上表决权股份的股东单位</w:t>
      </w:r>
    </w:p>
    <w:p>
      <w:pPr>
        <w:pStyle w:val="Style35"/>
        <w:keepNext w:val="0"/>
        <w:keepLines w:val="0"/>
        <w:widowControl w:val="0"/>
        <w:shd w:val="clear" w:color="auto" w:fill="auto"/>
        <w:tabs>
          <w:tab w:pos="430" w:val="left"/>
        </w:tabs>
        <w:bidi w:val="0"/>
        <w:spacing w:before="0" w:after="340" w:line="240" w:lineRule="auto"/>
        <w:ind w:left="0" w:right="0" w:firstLine="0"/>
        <w:jc w:val="both"/>
      </w:pPr>
      <w:bookmarkStart w:id="721" w:name="bookmark721"/>
      <w:r>
        <w:rPr>
          <w:rFonts w:ascii="Times New Roman" w:eastAsia="Times New Roman" w:hAnsi="Times New Roman" w:cs="Times New Roman"/>
          <w:b/>
          <w:bCs/>
          <w:color w:val="000000"/>
          <w:spacing w:val="0"/>
          <w:w w:val="100"/>
          <w:position w:val="0"/>
        </w:rPr>
        <w:t>（</w:t>
      </w:r>
      <w:bookmarkEnd w:id="721"/>
      <w:r>
        <w:rPr>
          <w:rFonts w:ascii="Times New Roman" w:eastAsia="Times New Roman" w:hAnsi="Times New Roman" w:cs="Times New Roman"/>
          <w:b/>
          <w:bCs/>
          <w:color w:val="000000"/>
          <w:spacing w:val="0"/>
          <w:w w:val="100"/>
          <w:position w:val="0"/>
        </w:rPr>
        <w:t>3）</w:t>
        <w:tab/>
      </w:r>
      <w:r>
        <w:rPr>
          <w:b/>
          <w:bCs/>
          <w:color w:val="000000"/>
          <w:spacing w:val="0"/>
          <w:w w:val="100"/>
          <w:position w:val="0"/>
        </w:rPr>
        <w:t>期末无账龄超过一年的大额预收账款</w:t>
      </w:r>
    </w:p>
    <w:p>
      <w:pPr>
        <w:pStyle w:val="Style35"/>
        <w:keepNext w:val="0"/>
        <w:keepLines w:val="0"/>
        <w:widowControl w:val="0"/>
        <w:shd w:val="clear" w:color="auto" w:fill="auto"/>
        <w:bidi w:val="0"/>
        <w:spacing w:before="0" w:after="340" w:line="240" w:lineRule="auto"/>
        <w:ind w:left="0" w:right="0" w:firstLine="0"/>
        <w:jc w:val="both"/>
      </w:pPr>
      <w:bookmarkStart w:id="722" w:name="bookmark722"/>
      <w:r>
        <w:rPr>
          <w:rFonts w:ascii="Times New Roman" w:eastAsia="Times New Roman" w:hAnsi="Times New Roman" w:cs="Times New Roman"/>
          <w:b/>
          <w:bCs/>
          <w:color w:val="000000"/>
          <w:spacing w:val="0"/>
          <w:w w:val="100"/>
          <w:position w:val="0"/>
        </w:rPr>
        <w:t>1</w:t>
      </w:r>
      <w:bookmarkEnd w:id="722"/>
      <w:r>
        <w:rPr>
          <w:rFonts w:ascii="Times New Roman" w:eastAsia="Times New Roman" w:hAnsi="Times New Roman" w:cs="Times New Roman"/>
          <w:b/>
          <w:bCs/>
          <w:color w:val="000000"/>
          <w:spacing w:val="0"/>
          <w:w w:val="100"/>
          <w:position w:val="0"/>
        </w:rPr>
        <w:t>9</w:t>
      </w:r>
      <w:r>
        <w:rPr>
          <w:b/>
          <w:bCs/>
          <w:color w:val="000000"/>
          <w:spacing w:val="0"/>
          <w:w w:val="100"/>
          <w:position w:val="0"/>
        </w:rPr>
        <w:t>、应付职工薪酬</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3067"/>
        <w:gridCol w:w="1622"/>
        <w:gridCol w:w="1800"/>
        <w:gridCol w:w="1618"/>
        <w:gridCol w:w="147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期末账面余额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3,520,711.77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45,093,845.66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43,930,323.89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4,684,233.54</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8,569,045.69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8,569,045.69</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5,048,628.57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5,048,628.57</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1,533,506.22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1,533,506.22</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2,879,943.02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2,879,943.02</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185,285.70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185,285.70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226,636.34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226,636.34</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223,147.29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223,147.29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新型社保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714,782.50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714,782.50</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194,621.21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194,621.21</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448,301.51</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3,520,711.77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60,069,225.14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58,905,703.37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4,684,233.54</w:t>
            </w:r>
          </w:p>
        </w:tc>
      </w:tr>
    </w:tbl>
    <w:p>
      <w:pPr>
        <w:spacing w:lineRule="exact" w:line="1"/>
        <w:rPr>
          <w:sz w:val="2"/>
          <w:szCs w:val="2"/>
        </w:rPr>
      </w:pPr>
      <w:r>
        <w:br w:type="page"/>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448,301.51</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194,621.21</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/元。</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应付职工薪酬预计发放时间、金额等安排：工资当月计提，下月发放。</w:t>
      </w:r>
    </w:p>
    <w:p>
      <w:pPr>
        <w:pStyle w:val="Style48"/>
        <w:keepNext/>
        <w:keepLines/>
        <w:widowControl w:val="0"/>
        <w:shd w:val="clear" w:color="auto" w:fill="auto"/>
        <w:bidi w:val="0"/>
        <w:spacing w:before="0" w:after="3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723"/>
      <w:bookmarkEnd w:id="724"/>
      <w:bookmarkEnd w:id="726"/>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4133"/>
        <w:gridCol w:w="2789"/>
        <w:gridCol w:w="2664"/>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1,449,394.49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4,026,514.79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-945,790.09</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55,372.33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195,344.81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11,532.08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783,997.96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650,339.40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139,532.00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8,237.20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387,207.31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387,207.29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284,666.73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239,350.83</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7,353,920.21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406,249.04</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21</w:t>
      </w:r>
      <w:r>
        <w:rPr>
          <w:b/>
          <w:bCs/>
          <w:color w:val="000000"/>
          <w:spacing w:val="0"/>
          <w:w w:val="100"/>
          <w:position w:val="0"/>
        </w:rPr>
        <w:t>、其他应付款</w:t>
      </w:r>
    </w:p>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727"/>
      <w:bookmarkEnd w:id="728"/>
      <w:bookmarkEnd w:id="729"/>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3730"/>
        <w:gridCol w:w="3058"/>
        <w:gridCol w:w="279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5,020,060.74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6,003,934.08</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1,341,697.50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46,200.00</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6,427,958.24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6,171,134.08</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期末其他应付款中无应付持有公司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以上表决权股份的股东单位</w:t>
      </w:r>
    </w:p>
    <w:p>
      <w:pPr>
        <w:widowControl w:val="0"/>
        <w:spacing w:after="359" w:line="1" w:lineRule="exact"/>
      </w:pPr>
    </w:p>
    <w:p>
      <w:pPr>
        <w:pStyle w:val="Style48"/>
        <w:keepNext/>
        <w:keepLines/>
        <w:widowControl w:val="0"/>
        <w:numPr>
          <w:ilvl w:val="0"/>
          <w:numId w:val="49"/>
        </w:numPr>
        <w:shd w:val="clear" w:color="auto" w:fill="auto"/>
        <w:bidi w:val="0"/>
        <w:spacing w:before="0" w:after="360" w:line="240" w:lineRule="auto"/>
        <w:ind w:left="0" w:right="0" w:firstLine="0"/>
        <w:jc w:val="left"/>
      </w:pPr>
      <w:bookmarkStart w:id="730" w:name="bookmark730"/>
      <w:bookmarkStart w:id="731" w:name="bookmark731"/>
      <w:bookmarkStart w:id="732" w:name="bookmark732"/>
      <w:bookmarkStart w:id="733" w:name="bookmark733"/>
      <w:bookmarkEnd w:id="732"/>
      <w:r>
        <w:rPr>
          <w:color w:val="000000"/>
          <w:spacing w:val="0"/>
          <w:w w:val="100"/>
          <w:position w:val="0"/>
        </w:rPr>
        <w:t>期末无账龄超过一年的大额其他应付款</w:t>
      </w:r>
      <w:bookmarkEnd w:id="730"/>
      <w:bookmarkEnd w:id="731"/>
      <w:bookmarkEnd w:id="733"/>
    </w:p>
    <w:p>
      <w:pPr>
        <w:pStyle w:val="Style48"/>
        <w:keepNext/>
        <w:keepLines/>
        <w:widowControl w:val="0"/>
        <w:shd w:val="clear" w:color="auto" w:fill="auto"/>
        <w:bidi w:val="0"/>
        <w:spacing w:before="0" w:after="360" w:line="240" w:lineRule="auto"/>
        <w:ind w:left="0" w:right="0" w:firstLine="0"/>
        <w:jc w:val="left"/>
      </w:pPr>
      <w:bookmarkStart w:id="730" w:name="bookmark730"/>
      <w:bookmarkStart w:id="731" w:name="bookmark731"/>
      <w:bookmarkStart w:id="734" w:name="bookmark734"/>
      <w:bookmarkStart w:id="735" w:name="bookmark735"/>
      <w:r>
        <w:rPr>
          <w:rFonts w:ascii="Times New Roman" w:eastAsia="Times New Roman" w:hAnsi="Times New Roman" w:cs="Times New Roman"/>
          <w:color w:val="000000"/>
          <w:spacing w:val="0"/>
          <w:w w:val="100"/>
          <w:position w:val="0"/>
        </w:rPr>
        <w:t>2</w:t>
      </w:r>
      <w:bookmarkEnd w:id="73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、一年内到期的非流动负债</w:t>
      </w:r>
      <w:bookmarkEnd w:id="730"/>
      <w:bookmarkEnd w:id="731"/>
      <w:bookmarkEnd w:id="735"/>
    </w:p>
    <w:p>
      <w:pPr>
        <w:pStyle w:val="Style48"/>
        <w:keepNext/>
        <w:keepLines/>
        <w:widowControl w:val="0"/>
        <w:shd w:val="clear" w:color="auto" w:fill="auto"/>
        <w:bidi w:val="0"/>
        <w:spacing w:before="0" w:after="360" w:line="240" w:lineRule="auto"/>
        <w:ind w:left="0" w:right="0" w:firstLine="0"/>
        <w:jc w:val="left"/>
      </w:pPr>
      <w:bookmarkStart w:id="730" w:name="bookmark730"/>
      <w:bookmarkStart w:id="731" w:name="bookmark731"/>
      <w:bookmarkStart w:id="736" w:name="bookmark736"/>
      <w:r>
        <w:rPr>
          <w:rFonts w:ascii="Times New Roman" w:eastAsia="Times New Roman" w:hAnsi="Times New Roman" w:cs="Times New Roman"/>
          <w:color w:val="000000"/>
          <w:spacing w:val="0"/>
          <w:w w:val="100"/>
          <w:position w:val="0"/>
        </w:rPr>
        <w:t xml:space="preserve">(1) </w:t>
      </w:r>
      <w:r>
        <w:rPr>
          <w:color w:val="000000"/>
          <w:spacing w:val="0"/>
          <w:w w:val="100"/>
          <w:position w:val="0"/>
        </w:rPr>
        <w:t>一年内到期的非流动负债情况</w:t>
      </w:r>
      <w:bookmarkEnd w:id="730"/>
      <w:bookmarkEnd w:id="731"/>
      <w:bookmarkEnd w:id="73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789"/>
        <w:gridCol w:w="3197"/>
      </w:tblGrid>
      <w:tr>
        <w:trPr>
          <w:trHeight w:val="38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3600"/>
        <w:gridCol w:w="2789"/>
        <w:gridCol w:w="3197"/>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r>
        <w:rPr>
          <w:color w:val="000000"/>
          <w:spacing w:val="0"/>
          <w:w w:val="100"/>
          <w:position w:val="0"/>
        </w:rPr>
        <w:t>一年内到期的长期借款</w:t>
      </w:r>
      <w:bookmarkEnd w:id="737"/>
      <w:bookmarkEnd w:id="738"/>
      <w:bookmarkEnd w:id="739"/>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一年内到期的长期借款</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3600"/>
        <w:gridCol w:w="2789"/>
        <w:gridCol w:w="3197"/>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金额前五名的一年内到期的长期借款</w:t>
      </w:r>
    </w:p>
    <w:p>
      <w:pPr>
        <w:widowControl w:val="0"/>
        <w:spacing w:after="7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1627"/>
        <w:gridCol w:w="1262"/>
        <w:gridCol w:w="1258"/>
        <w:gridCol w:w="542"/>
        <w:gridCol w:w="720"/>
        <w:gridCol w:w="979"/>
        <w:gridCol w:w="1358"/>
        <w:gridCol w:w="902"/>
        <w:gridCol w:w="936"/>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利率</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本币金额</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中国银行顺德容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桂支行</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 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顺德农村商业银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行容桂支行</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 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广东华声电器股份有限公司与中国银行顺德容桂支行签订了一份借款合同，以信用借款方式取得人民 币</w:t>
      </w:r>
      <w:r>
        <w:rPr>
          <w:rFonts w:ascii="Times New Roman" w:eastAsia="Times New Roman" w:hAnsi="Times New Roman" w:cs="Times New Roman"/>
          <w:color w:val="000000"/>
          <w:spacing w:val="0"/>
          <w:w w:val="100"/>
          <w:position w:val="0"/>
        </w:rPr>
        <w:t>6,000.00</w:t>
      </w:r>
      <w:r>
        <w:rPr>
          <w:color w:val="000000"/>
          <w:spacing w:val="0"/>
          <w:w w:val="100"/>
          <w:position w:val="0"/>
        </w:rPr>
        <w:t>万元的长期借款，借款利率为</w:t>
      </w:r>
      <w:r>
        <w:rPr>
          <w:rFonts w:ascii="Times New Roman" w:eastAsia="Times New Roman" w:hAnsi="Times New Roman" w:cs="Times New Roman"/>
          <w:color w:val="000000"/>
          <w:spacing w:val="0"/>
          <w:w w:val="100"/>
          <w:position w:val="0"/>
        </w:rPr>
        <w:t>6.1500%</w:t>
      </w:r>
      <w:r>
        <w:rPr>
          <w:color w:val="000000"/>
          <w:spacing w:val="0"/>
          <w:w w:val="100"/>
          <w:position w:val="0"/>
        </w:rPr>
        <w:t>,借款明细具体如下：合同编号</w:t>
      </w:r>
      <w:r>
        <w:rPr>
          <w:rFonts w:ascii="Times New Roman" w:eastAsia="Times New Roman" w:hAnsi="Times New Roman" w:cs="Times New Roman"/>
          <w:color w:val="000000"/>
          <w:spacing w:val="0"/>
          <w:w w:val="100"/>
          <w:position w:val="0"/>
        </w:rPr>
        <w:t>GDK476400120130195</w:t>
      </w:r>
      <w:r>
        <w:rPr>
          <w:color w:val="000000"/>
          <w:spacing w:val="0"/>
          <w:w w:val="100"/>
          <w:position w:val="0"/>
        </w:rPr>
        <w:t>号， 取得人民币</w:t>
      </w:r>
      <w:r>
        <w:rPr>
          <w:rFonts w:ascii="Times New Roman" w:eastAsia="Times New Roman" w:hAnsi="Times New Roman" w:cs="Times New Roman"/>
          <w:color w:val="000000"/>
          <w:spacing w:val="0"/>
          <w:w w:val="100"/>
          <w:position w:val="0"/>
        </w:rPr>
        <w:t>6,000.00</w:t>
      </w:r>
      <w:r>
        <w:rPr>
          <w:color w:val="000000"/>
          <w:spacing w:val="0"/>
          <w:w w:val="100"/>
          <w:position w:val="0"/>
        </w:rPr>
        <w:t>万元借款，其中将</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万元重分类至一年内到期的非流动负债，借款期限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日，还款时间具体如下：</w:t>
      </w:r>
      <w:r>
        <w:rPr>
          <w:color w:val="000000"/>
          <w:spacing w:val="0"/>
          <w:w w:val="100"/>
          <w:position w:val="0"/>
        </w:rPr>
        <w:t>(</w:t>
      </w:r>
      <w:r>
        <w:rPr>
          <w:rFonts w:ascii="Times New Roman" w:eastAsia="Times New Roman" w:hAnsi="Times New Roman" w:cs="Times New Roman"/>
          <w:color w:val="000000"/>
          <w:spacing w:val="0"/>
          <w:w w:val="100"/>
          <w:position w:val="0"/>
        </w:rPr>
        <w:t>1)2014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日须还款</w:t>
      </w:r>
      <w:r>
        <w:rPr>
          <w:rFonts w:ascii="Times New Roman" w:eastAsia="Times New Roman" w:hAnsi="Times New Roman" w:cs="Times New Roman"/>
          <w:color w:val="000000"/>
          <w:spacing w:val="0"/>
          <w:w w:val="100"/>
          <w:position w:val="0"/>
        </w:rPr>
        <w:t>200.00</w:t>
      </w:r>
      <w:r>
        <w:rPr>
          <w:color w:val="000000"/>
          <w:spacing w:val="0"/>
          <w:w w:val="100"/>
          <w:position w:val="0"/>
        </w:rPr>
        <w:t>万元，将其重分类至一年内到期 的非流动负债；</w:t>
      </w:r>
      <w:r>
        <w:rPr>
          <w:color w:val="000000"/>
          <w:spacing w:val="0"/>
          <w:w w:val="100"/>
          <w:position w:val="0"/>
        </w:rPr>
        <w:t>(</w:t>
      </w:r>
      <w:r>
        <w:rPr>
          <w:rFonts w:ascii="Times New Roman" w:eastAsia="Times New Roman" w:hAnsi="Times New Roman" w:cs="Times New Roman"/>
          <w:color w:val="000000"/>
          <w:spacing w:val="0"/>
          <w:w w:val="100"/>
          <w:position w:val="0"/>
        </w:rPr>
        <w:t>2)2014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日须还款</w:t>
      </w:r>
      <w:r>
        <w:rPr>
          <w:rFonts w:ascii="Times New Roman" w:eastAsia="Times New Roman" w:hAnsi="Times New Roman" w:cs="Times New Roman"/>
          <w:color w:val="000000"/>
          <w:spacing w:val="0"/>
          <w:w w:val="100"/>
          <w:position w:val="0"/>
        </w:rPr>
        <w:t>1,800.00</w:t>
      </w:r>
      <w:r>
        <w:rPr>
          <w:color w:val="000000"/>
          <w:spacing w:val="0"/>
          <w:w w:val="100"/>
          <w:position w:val="0"/>
        </w:rPr>
        <w:t>万元，将其重分类至一年内到期的非流动负债；</w:t>
      </w:r>
      <w:r>
        <w:rPr>
          <w:color w:val="000000"/>
          <w:spacing w:val="0"/>
          <w:w w:val="100"/>
          <w:position w:val="0"/>
        </w:rPr>
        <w:t>(</w:t>
      </w:r>
      <w:r>
        <w:rPr>
          <w:rFonts w:ascii="Times New Roman" w:eastAsia="Times New Roman" w:hAnsi="Times New Roman" w:cs="Times New Roman"/>
          <w:color w:val="000000"/>
          <w:spacing w:val="0"/>
          <w:w w:val="100"/>
          <w:position w:val="0"/>
        </w:rPr>
        <w:t>3)2015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日须还款</w:t>
      </w:r>
      <w:r>
        <w:rPr>
          <w:rFonts w:ascii="Times New Roman" w:eastAsia="Times New Roman" w:hAnsi="Times New Roman" w:cs="Times New Roman"/>
          <w:color w:val="000000"/>
          <w:spacing w:val="0"/>
          <w:w w:val="100"/>
          <w:position w:val="0"/>
        </w:rPr>
        <w:t>200.00</w:t>
      </w:r>
      <w:r>
        <w:rPr>
          <w:color w:val="000000"/>
          <w:spacing w:val="0"/>
          <w:w w:val="100"/>
          <w:position w:val="0"/>
        </w:rPr>
        <w:t>万元；</w:t>
      </w:r>
      <w:r>
        <w:rPr>
          <w:rFonts w:ascii="Times New Roman" w:eastAsia="Times New Roman" w:hAnsi="Times New Roman" w:cs="Times New Roman"/>
          <w:color w:val="000000"/>
          <w:spacing w:val="0"/>
          <w:w w:val="100"/>
          <w:position w:val="0"/>
        </w:rPr>
        <w:t>(4)2015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日须还款</w:t>
      </w:r>
      <w:r>
        <w:rPr>
          <w:rFonts w:ascii="Times New Roman" w:eastAsia="Times New Roman" w:hAnsi="Times New Roman" w:cs="Times New Roman"/>
          <w:color w:val="000000"/>
          <w:spacing w:val="0"/>
          <w:w w:val="100"/>
          <w:position w:val="0"/>
        </w:rPr>
        <w:t>1,800.00</w:t>
      </w:r>
      <w:r>
        <w:rPr>
          <w:color w:val="000000"/>
          <w:spacing w:val="0"/>
          <w:w w:val="100"/>
          <w:position w:val="0"/>
        </w:rPr>
        <w:t>万元；</w:t>
      </w:r>
      <w:r>
        <w:rPr>
          <w:rFonts w:ascii="Times New Roman" w:eastAsia="Times New Roman" w:hAnsi="Times New Roman" w:cs="Times New Roman"/>
          <w:color w:val="000000"/>
          <w:spacing w:val="0"/>
          <w:w w:val="100"/>
          <w:position w:val="0"/>
        </w:rPr>
        <w:t>(5)2016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日须还款</w:t>
      </w:r>
      <w:r>
        <w:rPr>
          <w:rFonts w:ascii="Times New Roman" w:eastAsia="Times New Roman" w:hAnsi="Times New Roman" w:cs="Times New Roman"/>
          <w:color w:val="000000"/>
          <w:spacing w:val="0"/>
          <w:w w:val="100"/>
          <w:position w:val="0"/>
        </w:rPr>
        <w:t>200.00</w:t>
      </w:r>
      <w:r>
        <w:rPr>
          <w:color w:val="000000"/>
          <w:spacing w:val="0"/>
          <w:w w:val="100"/>
          <w:position w:val="0"/>
        </w:rPr>
        <w:t xml:space="preserve">万元； </w:t>
      </w:r>
      <w:r>
        <w:rPr>
          <w:color w:val="000000"/>
          <w:spacing w:val="0"/>
          <w:w w:val="100"/>
          <w:position w:val="0"/>
        </w:rPr>
        <w:t>⑹</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日须还款</w:t>
      </w:r>
      <w:r>
        <w:rPr>
          <w:rFonts w:ascii="Times New Roman" w:eastAsia="Times New Roman" w:hAnsi="Times New Roman" w:cs="Times New Roman"/>
          <w:color w:val="000000"/>
          <w:spacing w:val="0"/>
          <w:w w:val="100"/>
          <w:position w:val="0"/>
        </w:rPr>
        <w:t>1,800.00</w:t>
      </w:r>
      <w:r>
        <w:rPr>
          <w:color w:val="000000"/>
          <w:spacing w:val="0"/>
          <w:w w:val="100"/>
          <w:position w:val="0"/>
        </w:rPr>
        <w:t>万元。</w:t>
      </w:r>
    </w:p>
    <w:p>
      <w:pPr>
        <w:pStyle w:val="Style35"/>
        <w:keepNext w:val="0"/>
        <w:keepLines w:val="0"/>
        <w:widowControl w:val="0"/>
        <w:shd w:val="clear" w:color="auto" w:fill="auto"/>
        <w:bidi w:val="0"/>
        <w:spacing w:before="0" w:after="360" w:line="310"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子公司扬州华声电子实业有限公司与顺德农村商业银行容桂支行签订了一份借款合同，以信用借款方 式取得人民币</w:t>
      </w:r>
      <w:r>
        <w:rPr>
          <w:rFonts w:ascii="Times New Roman" w:eastAsia="Times New Roman" w:hAnsi="Times New Roman" w:cs="Times New Roman"/>
          <w:color w:val="000000"/>
          <w:spacing w:val="0"/>
          <w:w w:val="100"/>
          <w:position w:val="0"/>
        </w:rPr>
        <w:t>5,000.00</w:t>
      </w:r>
      <w:r>
        <w:rPr>
          <w:color w:val="000000"/>
          <w:spacing w:val="0"/>
          <w:w w:val="100"/>
          <w:position w:val="0"/>
        </w:rPr>
        <w:t>万元的长期借款，借款利率为</w:t>
      </w:r>
      <w:r>
        <w:rPr>
          <w:rFonts w:ascii="Times New Roman" w:eastAsia="Times New Roman" w:hAnsi="Times New Roman" w:cs="Times New Roman"/>
          <w:color w:val="000000"/>
          <w:spacing w:val="0"/>
          <w:w w:val="100"/>
          <w:position w:val="0"/>
        </w:rPr>
        <w:t>5.535%</w:t>
      </w:r>
      <w:r>
        <w:rPr>
          <w:color w:val="000000"/>
          <w:spacing w:val="0"/>
          <w:w w:val="100"/>
          <w:position w:val="0"/>
        </w:rPr>
        <w:t>,借款明细具体如下：合同编号</w:t>
      </w:r>
      <w:r>
        <w:rPr>
          <w:rFonts w:ascii="Times New Roman" w:eastAsia="Times New Roman" w:hAnsi="Times New Roman" w:cs="Times New Roman"/>
          <w:color w:val="000000"/>
          <w:spacing w:val="0"/>
          <w:w w:val="100"/>
          <w:position w:val="0"/>
        </w:rPr>
        <w:t xml:space="preserve">PJ110061201300004 </w:t>
      </w:r>
      <w:r>
        <w:rPr>
          <w:color w:val="000000"/>
          <w:spacing w:val="0"/>
          <w:w w:val="100"/>
          <w:position w:val="0"/>
        </w:rPr>
        <w:t>号，取得人民币</w:t>
      </w:r>
      <w:r>
        <w:rPr>
          <w:rFonts w:ascii="Times New Roman" w:eastAsia="Times New Roman" w:hAnsi="Times New Roman" w:cs="Times New Roman"/>
          <w:color w:val="000000"/>
          <w:spacing w:val="0"/>
          <w:w w:val="100"/>
          <w:position w:val="0"/>
        </w:rPr>
        <w:t>5,000.00</w:t>
      </w:r>
      <w:r>
        <w:rPr>
          <w:color w:val="000000"/>
          <w:spacing w:val="0"/>
          <w:w w:val="100"/>
          <w:position w:val="0"/>
        </w:rPr>
        <w:t>万元借款，本年</w:t>
      </w:r>
      <w:r>
        <w:rPr>
          <w:rFonts w:ascii="Times New Roman" w:eastAsia="Times New Roman" w:hAnsi="Times New Roman" w:cs="Times New Roman"/>
          <w:color w:val="000000"/>
          <w:spacing w:val="0"/>
          <w:w w:val="100"/>
          <w:position w:val="0"/>
        </w:rPr>
        <w:t>7</w:t>
      </w:r>
      <w:r>
        <w:rPr>
          <w:color w:val="000000"/>
          <w:spacing w:val="0"/>
          <w:w w:val="100"/>
          <w:position w:val="0"/>
        </w:rPr>
        <w:t>月份已归还</w:t>
      </w:r>
      <w:r>
        <w:rPr>
          <w:rFonts w:ascii="Times New Roman" w:eastAsia="Times New Roman" w:hAnsi="Times New Roman" w:cs="Times New Roman"/>
          <w:color w:val="000000"/>
          <w:spacing w:val="0"/>
          <w:w w:val="100"/>
          <w:position w:val="0"/>
        </w:rPr>
        <w:t>500.00</w:t>
      </w:r>
      <w:r>
        <w:rPr>
          <w:color w:val="000000"/>
          <w:spacing w:val="0"/>
          <w:w w:val="100"/>
          <w:position w:val="0"/>
        </w:rPr>
        <w:t>万元；根据合同规定，从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月起每</w:t>
      </w:r>
      <w:r>
        <w:rPr>
          <w:rFonts w:ascii="Times New Roman" w:eastAsia="Times New Roman" w:hAnsi="Times New Roman" w:cs="Times New Roman"/>
          <w:color w:val="000000"/>
          <w:spacing w:val="0"/>
          <w:w w:val="100"/>
          <w:position w:val="0"/>
        </w:rPr>
        <w:t>6</w:t>
      </w:r>
      <w:r>
        <w:rPr>
          <w:color w:val="000000"/>
          <w:spacing w:val="0"/>
          <w:w w:val="100"/>
          <w:position w:val="0"/>
        </w:rPr>
        <w:t>个月归 还借款本金不少于</w:t>
      </w:r>
      <w:r>
        <w:rPr>
          <w:rFonts w:ascii="Times New Roman" w:eastAsia="Times New Roman" w:hAnsi="Times New Roman" w:cs="Times New Roman"/>
          <w:color w:val="000000"/>
          <w:spacing w:val="0"/>
          <w:w w:val="100"/>
          <w:position w:val="0"/>
        </w:rPr>
        <w:t>500.00</w:t>
      </w:r>
      <w:r>
        <w:rPr>
          <w:color w:val="000000"/>
          <w:spacing w:val="0"/>
          <w:w w:val="100"/>
          <w:position w:val="0"/>
        </w:rPr>
        <w:t>万元，故将</w:t>
      </w:r>
      <w:r>
        <w:rPr>
          <w:rFonts w:ascii="Times New Roman" w:eastAsia="Times New Roman" w:hAnsi="Times New Roman" w:cs="Times New Roman"/>
          <w:color w:val="000000"/>
          <w:spacing w:val="0"/>
          <w:w w:val="100"/>
          <w:position w:val="0"/>
        </w:rPr>
        <w:t>1,000.00</w:t>
      </w:r>
      <w:r>
        <w:rPr>
          <w:color w:val="000000"/>
          <w:spacing w:val="0"/>
          <w:w w:val="100"/>
          <w:position w:val="0"/>
        </w:rPr>
        <w:t>万元重分类到一年内到期非流动负债，借款期限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48"/>
        <w:keepNext/>
        <w:keepLines/>
        <w:widowControl w:val="0"/>
        <w:shd w:val="clear" w:color="auto" w:fill="auto"/>
        <w:bidi w:val="0"/>
        <w:spacing w:before="0" w:after="3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rFonts w:ascii="Times New Roman" w:eastAsia="Times New Roman" w:hAnsi="Times New Roman" w:cs="Times New Roman"/>
          <w:color w:val="000000"/>
          <w:spacing w:val="0"/>
          <w:w w:val="100"/>
          <w:position w:val="0"/>
        </w:rPr>
        <w:t>3</w:t>
      </w:r>
      <w:r>
        <w:rPr>
          <w:color w:val="000000"/>
          <w:spacing w:val="0"/>
          <w:w w:val="100"/>
          <w:position w:val="0"/>
        </w:rPr>
        <w:t>、长期借款</w:t>
      </w:r>
      <w:bookmarkEnd w:id="740"/>
      <w:bookmarkEnd w:id="741"/>
      <w:bookmarkEnd w:id="743"/>
    </w:p>
    <w:p>
      <w:pPr>
        <w:pStyle w:val="Style48"/>
        <w:keepNext/>
        <w:keepLines/>
        <w:widowControl w:val="0"/>
        <w:shd w:val="clear" w:color="auto" w:fill="auto"/>
        <w:bidi w:val="0"/>
        <w:spacing w:before="0" w:after="360" w:line="240" w:lineRule="auto"/>
        <w:ind w:left="0" w:right="0" w:firstLine="0"/>
        <w:jc w:val="left"/>
      </w:pPr>
      <w:bookmarkStart w:id="740" w:name="bookmark740"/>
      <w:bookmarkStart w:id="741" w:name="bookmark741"/>
      <w:bookmarkStart w:id="744" w:name="bookmark744"/>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740"/>
      <w:bookmarkEnd w:id="741"/>
      <w:bookmarkEnd w:id="744"/>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413" w:right="0" w:firstLine="0"/>
        <w:jc w:val="left"/>
        <w:sectPr>
          <w:headerReference w:type="default" r:id="rId225"/>
          <w:footerReference w:type="default" r:id="rId226"/>
          <w:headerReference w:type="even" r:id="rId227"/>
          <w:footerReference w:type="even" r:id="rId228"/>
          <w:headerReference w:type="first" r:id="rId229"/>
          <w:footerReference w:type="first" r:id="rId230"/>
          <w:footnotePr>
            <w:pos w:val="pageBottom"/>
            <w:numFmt w:val="decimal"/>
            <w:numRestart w:val="continuous"/>
          </w:footnotePr>
          <w:pgSz w:w="11900" w:h="16840"/>
          <w:pgMar w:top="1127" w:right="931" w:bottom="1211" w:left="975" w:header="0" w:footer="3" w:gutter="0"/>
          <w:cols w:space="720"/>
          <w:noEndnote/>
          <w:titlePg/>
          <w:rtlGutter w:val="0"/>
          <w:docGrid w:linePitch="360"/>
        </w:sectPr>
      </w:pPr>
      <w:r>
        <w:rPr>
          <w:color w:val="000000"/>
          <w:spacing w:val="0"/>
          <w:w w:val="100"/>
          <w:position w:val="0"/>
        </w:rPr>
        <w:t>广东华声电器股份有限公司与中国银行顺德容桂支行签订了一份借款合同，以信用借款方式取得人民币</w:t>
      </w:r>
    </w:p>
    <w:p>
      <w:pPr>
        <w:pStyle w:val="Style3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6,000.00</w:t>
      </w:r>
      <w:r>
        <w:rPr>
          <w:color w:val="000000"/>
          <w:spacing w:val="0"/>
          <w:w w:val="100"/>
          <w:position w:val="0"/>
        </w:rPr>
        <w:t>万元的长期借款，借款利率为</w:t>
      </w:r>
      <w:r>
        <w:rPr>
          <w:rFonts w:ascii="Times New Roman" w:eastAsia="Times New Roman" w:hAnsi="Times New Roman" w:cs="Times New Roman"/>
          <w:color w:val="000000"/>
          <w:spacing w:val="0"/>
          <w:w w:val="100"/>
          <w:position w:val="0"/>
        </w:rPr>
        <w:t>6.1500%</w:t>
      </w:r>
      <w:r>
        <w:rPr>
          <w:color w:val="000000"/>
          <w:spacing w:val="0"/>
          <w:w w:val="100"/>
          <w:position w:val="0"/>
        </w:rPr>
        <w:t>,借款明细具体如下：合同编号</w:t>
      </w:r>
      <w:r>
        <w:rPr>
          <w:rFonts w:ascii="Times New Roman" w:eastAsia="Times New Roman" w:hAnsi="Times New Roman" w:cs="Times New Roman"/>
          <w:color w:val="000000"/>
          <w:spacing w:val="0"/>
          <w:w w:val="100"/>
          <w:position w:val="0"/>
        </w:rPr>
        <w:t>GDK476400120130195</w:t>
      </w:r>
      <w:r>
        <w:rPr>
          <w:color w:val="000000"/>
          <w:spacing w:val="0"/>
          <w:w w:val="100"/>
          <w:position w:val="0"/>
        </w:rPr>
        <w:t>号，取 得人民币</w:t>
      </w:r>
      <w:r>
        <w:rPr>
          <w:rFonts w:ascii="Times New Roman" w:eastAsia="Times New Roman" w:hAnsi="Times New Roman" w:cs="Times New Roman"/>
          <w:color w:val="000000"/>
          <w:spacing w:val="0"/>
          <w:w w:val="100"/>
          <w:position w:val="0"/>
        </w:rPr>
        <w:t>6,000.00</w:t>
      </w:r>
      <w:r>
        <w:rPr>
          <w:color w:val="000000"/>
          <w:spacing w:val="0"/>
          <w:w w:val="100"/>
          <w:position w:val="0"/>
        </w:rPr>
        <w:t>万元借款，其中将</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万元重分类至一年内到期的非流动负债，本年期末余额为</w:t>
      </w:r>
      <w:r>
        <w:rPr>
          <w:rFonts w:ascii="Times New Roman" w:eastAsia="Times New Roman" w:hAnsi="Times New Roman" w:cs="Times New Roman"/>
          <w:color w:val="000000"/>
          <w:spacing w:val="0"/>
          <w:w w:val="100"/>
          <w:position w:val="0"/>
        </w:rPr>
        <w:t xml:space="preserve">4,000.00 </w:t>
      </w:r>
      <w:r>
        <w:rPr>
          <w:color w:val="000000"/>
          <w:spacing w:val="0"/>
          <w:w w:val="100"/>
          <w:position w:val="0"/>
        </w:rPr>
        <w:t>万元，借款期限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日，还款时间具体如下：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须还款</w:t>
      </w:r>
      <w:r>
        <w:rPr>
          <w:rFonts w:ascii="Times New Roman" w:eastAsia="Times New Roman" w:hAnsi="Times New Roman" w:cs="Times New Roman"/>
          <w:color w:val="000000"/>
          <w:spacing w:val="0"/>
          <w:w w:val="100"/>
          <w:position w:val="0"/>
        </w:rPr>
        <w:t>200.00</w:t>
      </w:r>
      <w:r>
        <w:rPr>
          <w:color w:val="000000"/>
          <w:spacing w:val="0"/>
          <w:w w:val="100"/>
          <w:position w:val="0"/>
        </w:rPr>
        <w:t>万元， 将其重分类至一年内到期的非流动负债；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日须还款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,800.00</w:t>
      </w:r>
      <w:r>
        <w:rPr>
          <w:color w:val="000000"/>
          <w:spacing w:val="0"/>
          <w:w w:val="100"/>
          <w:position w:val="0"/>
        </w:rPr>
        <w:t>万元，将其重分类至一年内到期的 非流动负债；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须还款</w:t>
      </w:r>
      <w:r>
        <w:rPr>
          <w:rFonts w:ascii="Times New Roman" w:eastAsia="Times New Roman" w:hAnsi="Times New Roman" w:cs="Times New Roman"/>
          <w:color w:val="000000"/>
          <w:spacing w:val="0"/>
          <w:w w:val="100"/>
          <w:position w:val="0"/>
        </w:rPr>
        <w:t>200.00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日须还款</w:t>
      </w:r>
      <w:r>
        <w:rPr>
          <w:rFonts w:ascii="Times New Roman" w:eastAsia="Times New Roman" w:hAnsi="Times New Roman" w:cs="Times New Roman"/>
          <w:color w:val="000000"/>
          <w:spacing w:val="0"/>
          <w:w w:val="100"/>
          <w:position w:val="0"/>
        </w:rPr>
        <w:t>1,800.00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 xml:space="preserve">须还款 </w:t>
      </w:r>
      <w:r>
        <w:rPr>
          <w:rFonts w:ascii="Times New Roman" w:eastAsia="Times New Roman" w:hAnsi="Times New Roman" w:cs="Times New Roman"/>
          <w:color w:val="000000"/>
          <w:spacing w:val="0"/>
          <w:w w:val="100"/>
          <w:position w:val="0"/>
        </w:rPr>
        <w:t>200.00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日须还款</w:t>
      </w:r>
      <w:r>
        <w:rPr>
          <w:rFonts w:ascii="Times New Roman" w:eastAsia="Times New Roman" w:hAnsi="Times New Roman" w:cs="Times New Roman"/>
          <w:color w:val="000000"/>
          <w:spacing w:val="0"/>
          <w:w w:val="100"/>
          <w:position w:val="0"/>
        </w:rPr>
        <w:t>1,800</w:t>
      </w:r>
      <w:r>
        <w:rPr>
          <w:color w:val="000000"/>
          <w:spacing w:val="0"/>
          <w:w w:val="100"/>
          <w:position w:val="0"/>
        </w:rPr>
        <w:t>万元。</w:t>
      </w:r>
    </w:p>
    <w:p>
      <w:pPr>
        <w:pStyle w:val="Style35"/>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子公司扬州华声电子实业有限公司与顺德农村商业银行容桂支行签订了一份借款合同，以信用借款方式 取得人民币</w:t>
      </w:r>
      <w:r>
        <w:rPr>
          <w:rFonts w:ascii="Times New Roman" w:eastAsia="Times New Roman" w:hAnsi="Times New Roman" w:cs="Times New Roman"/>
          <w:color w:val="000000"/>
          <w:spacing w:val="0"/>
          <w:w w:val="100"/>
          <w:position w:val="0"/>
        </w:rPr>
        <w:t>5,000.00</w:t>
      </w:r>
      <w:r>
        <w:rPr>
          <w:color w:val="000000"/>
          <w:spacing w:val="0"/>
          <w:w w:val="100"/>
          <w:position w:val="0"/>
        </w:rPr>
        <w:t>万元的长期借款，借款利率为</w:t>
      </w:r>
      <w:r>
        <w:rPr>
          <w:rFonts w:ascii="Times New Roman" w:eastAsia="Times New Roman" w:hAnsi="Times New Roman" w:cs="Times New Roman"/>
          <w:color w:val="000000"/>
          <w:spacing w:val="0"/>
          <w:w w:val="100"/>
          <w:position w:val="0"/>
        </w:rPr>
        <w:t>5.535%</w:t>
      </w:r>
      <w:r>
        <w:rPr>
          <w:color w:val="000000"/>
          <w:spacing w:val="0"/>
          <w:w w:val="100"/>
          <w:position w:val="0"/>
        </w:rPr>
        <w:t>，借款明细具体如下：合同编号</w:t>
      </w:r>
      <w:r>
        <w:rPr>
          <w:rFonts w:ascii="Times New Roman" w:eastAsia="Times New Roman" w:hAnsi="Times New Roman" w:cs="Times New Roman"/>
          <w:color w:val="000000"/>
          <w:spacing w:val="0"/>
          <w:w w:val="100"/>
          <w:position w:val="0"/>
        </w:rPr>
        <w:t xml:space="preserve">PJ110061201300004 </w:t>
      </w:r>
      <w:r>
        <w:rPr>
          <w:color w:val="000000"/>
          <w:spacing w:val="0"/>
          <w:w w:val="100"/>
          <w:position w:val="0"/>
        </w:rPr>
        <w:t>号，取得人民币</w:t>
      </w:r>
      <w:r>
        <w:rPr>
          <w:rFonts w:ascii="Times New Roman" w:eastAsia="Times New Roman" w:hAnsi="Times New Roman" w:cs="Times New Roman"/>
          <w:color w:val="000000"/>
          <w:spacing w:val="0"/>
          <w:w w:val="100"/>
          <w:position w:val="0"/>
        </w:rPr>
        <w:t>5,000.00</w:t>
      </w:r>
      <w:r>
        <w:rPr>
          <w:color w:val="000000"/>
          <w:spacing w:val="0"/>
          <w:w w:val="100"/>
          <w:position w:val="0"/>
        </w:rPr>
        <w:t>万元借款，本年</w:t>
      </w:r>
      <w:r>
        <w:rPr>
          <w:rFonts w:ascii="Times New Roman" w:eastAsia="Times New Roman" w:hAnsi="Times New Roman" w:cs="Times New Roman"/>
          <w:color w:val="000000"/>
          <w:spacing w:val="0"/>
          <w:w w:val="100"/>
          <w:position w:val="0"/>
        </w:rPr>
        <w:t>7</w:t>
      </w:r>
      <w:r>
        <w:rPr>
          <w:color w:val="000000"/>
          <w:spacing w:val="0"/>
          <w:w w:val="100"/>
          <w:position w:val="0"/>
        </w:rPr>
        <w:t>月份已归还</w:t>
      </w:r>
      <w:r>
        <w:rPr>
          <w:rFonts w:ascii="Times New Roman" w:eastAsia="Times New Roman" w:hAnsi="Times New Roman" w:cs="Times New Roman"/>
          <w:color w:val="000000"/>
          <w:spacing w:val="0"/>
          <w:w w:val="100"/>
          <w:position w:val="0"/>
        </w:rPr>
        <w:t>500.00</w:t>
      </w:r>
      <w:r>
        <w:rPr>
          <w:color w:val="000000"/>
          <w:spacing w:val="0"/>
          <w:w w:val="100"/>
          <w:position w:val="0"/>
        </w:rPr>
        <w:t>万元，根据合同规定，从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月起每</w:t>
      </w:r>
      <w:r>
        <w:rPr>
          <w:rFonts w:ascii="Times New Roman" w:eastAsia="Times New Roman" w:hAnsi="Times New Roman" w:cs="Times New Roman"/>
          <w:color w:val="000000"/>
          <w:spacing w:val="0"/>
          <w:w w:val="100"/>
          <w:position w:val="0"/>
        </w:rPr>
        <w:t>6</w:t>
      </w:r>
      <w:r>
        <w:rPr>
          <w:color w:val="000000"/>
          <w:spacing w:val="0"/>
          <w:w w:val="100"/>
          <w:position w:val="0"/>
        </w:rPr>
        <w:t>个月归 还借款本金不少于</w:t>
      </w:r>
      <w:r>
        <w:rPr>
          <w:rFonts w:ascii="Times New Roman" w:eastAsia="Times New Roman" w:hAnsi="Times New Roman" w:cs="Times New Roman"/>
          <w:color w:val="000000"/>
          <w:spacing w:val="0"/>
          <w:w w:val="100"/>
          <w:position w:val="0"/>
        </w:rPr>
        <w:t>500.00</w:t>
      </w:r>
      <w:r>
        <w:rPr>
          <w:color w:val="000000"/>
          <w:spacing w:val="0"/>
          <w:w w:val="100"/>
          <w:position w:val="0"/>
        </w:rPr>
        <w:t>万元，故将</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万元重分类到一年内到期非流动负债，本年期末余额为</w:t>
      </w:r>
      <w:r>
        <w:rPr>
          <w:rFonts w:ascii="Times New Roman" w:eastAsia="Times New Roman" w:hAnsi="Times New Roman" w:cs="Times New Roman"/>
          <w:color w:val="000000"/>
          <w:spacing w:val="0"/>
          <w:w w:val="100"/>
          <w:position w:val="0"/>
        </w:rPr>
        <w:t xml:space="preserve">3,500.00 </w:t>
      </w:r>
      <w:r>
        <w:rPr>
          <w:color w:val="000000"/>
          <w:spacing w:val="0"/>
          <w:w w:val="100"/>
          <w:position w:val="0"/>
        </w:rPr>
        <w:t>万元，借款期限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48"/>
        <w:keepNext/>
        <w:keepLines/>
        <w:widowControl w:val="0"/>
        <w:shd w:val="clear" w:color="auto" w:fill="auto"/>
        <w:bidi w:val="0"/>
        <w:spacing w:before="0" w:after="340" w:line="311" w:lineRule="exact"/>
        <w:ind w:left="0" w:right="0" w:firstLine="0"/>
        <w:jc w:val="both"/>
      </w:pPr>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745"/>
      <w:bookmarkEnd w:id="746"/>
      <w:bookmarkEnd w:id="747"/>
    </w:p>
    <w:p>
      <w:pPr>
        <w:pStyle w:val="Style38"/>
        <w:keepNext w:val="0"/>
        <w:keepLines w:val="0"/>
        <w:widowControl w:val="0"/>
        <w:shd w:val="clear" w:color="auto" w:fill="auto"/>
        <w:bidi w:val="0"/>
        <w:spacing w:before="0" w:after="0" w:line="240" w:lineRule="auto"/>
        <w:ind w:left="8477" w:right="0" w:firstLine="0"/>
        <w:jc w:val="left"/>
      </w:pPr>
      <w:r>
        <w:rPr>
          <w:color w:val="000000"/>
          <w:spacing w:val="0"/>
          <w:w w:val="100"/>
          <w:position w:val="0"/>
        </w:rPr>
        <w:t>单位：元</w:t>
      </w:r>
    </w:p>
    <w:tbl>
      <w:tblPr>
        <w:tblOverlap w:val="never"/>
        <w:jc w:val="center"/>
        <w:tblLayout w:type="fixed"/>
      </w:tblPr>
      <w:tblGrid>
        <w:gridCol w:w="1627"/>
        <w:gridCol w:w="1262"/>
        <w:gridCol w:w="1258"/>
        <w:gridCol w:w="542"/>
        <w:gridCol w:w="638"/>
        <w:gridCol w:w="979"/>
        <w:gridCol w:w="1440"/>
        <w:gridCol w:w="902"/>
        <w:gridCol w:w="936"/>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利率</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本币金额</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中国银行顺德容 桂支行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 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顺德农村商业银 行容桂支行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 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24</w:t>
      </w:r>
      <w:r>
        <w:rPr>
          <w:b/>
          <w:bCs/>
          <w:color w:val="000000"/>
          <w:spacing w:val="0"/>
          <w:w w:val="100"/>
          <w:position w:val="0"/>
        </w:rPr>
        <w:t>、股本</w:t>
      </w:r>
    </w:p>
    <w:p>
      <w:pPr>
        <w:widowControl w:val="0"/>
        <w:spacing w:after="339" w:line="1" w:lineRule="exact"/>
      </w:pPr>
    </w:p>
    <w:p>
      <w:pPr>
        <w:pStyle w:val="Style38"/>
        <w:keepNext w:val="0"/>
        <w:keepLines w:val="0"/>
        <w:widowControl w:val="0"/>
        <w:shd w:val="clear" w:color="auto" w:fill="auto"/>
        <w:bidi w:val="0"/>
        <w:spacing w:before="0" w:after="0" w:line="240" w:lineRule="auto"/>
        <w:ind w:left="8477" w:right="0" w:firstLine="0"/>
        <w:jc w:val="left"/>
      </w:pPr>
      <w:r>
        <w:rPr>
          <w:color w:val="000000"/>
          <w:spacing w:val="0"/>
          <w:w w:val="100"/>
          <w:position w:val="0"/>
        </w:rPr>
        <w:t>单位：元</w:t>
      </w:r>
    </w:p>
    <w:tbl>
      <w:tblPr>
        <w:tblOverlap w:val="never"/>
        <w:jc w:val="center"/>
        <w:tblLayout w:type="fixed"/>
      </w:tblPr>
      <w:tblGrid>
        <w:gridCol w:w="1205"/>
        <w:gridCol w:w="1502"/>
        <w:gridCol w:w="1080"/>
        <w:gridCol w:w="1003"/>
        <w:gridCol w:w="1200"/>
        <w:gridCol w:w="1037"/>
        <w:gridCol w:w="1080"/>
        <w:gridCol w:w="1478"/>
      </w:tblGrid>
      <w:tr>
        <w:trPr>
          <w:trHeight w:val="374"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7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200,000,000.00</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25</w:t>
      </w:r>
      <w:r>
        <w:rPr>
          <w:b/>
          <w:bCs/>
          <w:color w:val="000000"/>
          <w:spacing w:val="0"/>
          <w:w w:val="100"/>
          <w:position w:val="0"/>
        </w:rPr>
        <w:t>、资本公积</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2707"/>
        <w:gridCol w:w="1622"/>
        <w:gridCol w:w="1925"/>
        <w:gridCol w:w="1728"/>
        <w:gridCol w:w="1603"/>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期末数</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投资者投入的资本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421,942,719.50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421,942,719.50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5,866,038.81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5,866,038.81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购买子公司少数股权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1,281,021.36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1,281,021.36</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429,089,779.67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429,089,779.67</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26</w:t>
      </w:r>
      <w:r>
        <w:rPr>
          <w:b/>
          <w:bCs/>
          <w:color w:val="000000"/>
          <w:spacing w:val="0"/>
          <w:w w:val="100"/>
          <w:position w:val="0"/>
        </w:rPr>
        <w:t>、盈余公积</w:t>
      </w:r>
    </w:p>
    <w:p>
      <w:pPr>
        <w:widowControl w:val="0"/>
        <w:spacing w:after="339" w:line="1" w:lineRule="exact"/>
      </w:pPr>
    </w:p>
    <w:p>
      <w:pPr>
        <w:pStyle w:val="Style35"/>
        <w:keepNext w:val="0"/>
        <w:keepLines w:val="0"/>
        <w:widowControl w:val="0"/>
        <w:shd w:val="clear" w:color="auto" w:fill="auto"/>
        <w:bidi w:val="0"/>
        <w:spacing w:before="0" w:after="340" w:line="240" w:lineRule="auto"/>
        <w:ind w:left="0" w:right="540" w:firstLine="0"/>
        <w:jc w:val="right"/>
      </w:pPr>
      <w:r>
        <w:rPr>
          <w:color w:val="000000"/>
          <w:spacing w:val="0"/>
          <w:w w:val="100"/>
          <w:position w:val="0"/>
        </w:rPr>
        <w:t>单位：元</w:t>
      </w:r>
      <w:r>
        <w:br w:type="page"/>
      </w:r>
    </w:p>
    <w:tbl>
      <w:tblPr>
        <w:tblOverlap w:val="never"/>
        <w:jc w:val="center"/>
        <w:tblLayout w:type="fixed"/>
      </w:tblPr>
      <w:tblGrid>
        <w:gridCol w:w="2707"/>
        <w:gridCol w:w="1622"/>
        <w:gridCol w:w="1925"/>
        <w:gridCol w:w="1728"/>
        <w:gridCol w:w="1603"/>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14,761,921.44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7,625,024.12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22,386,945.56</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14,761,921.44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7,625,024.12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22,386,945.56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盈余公积的增加系根据公司章程，按当年度净利润的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w:t>
      </w:r>
    </w:p>
    <w:p>
      <w:pPr>
        <w:widowControl w:val="0"/>
        <w:spacing w:after="339" w:line="1" w:lineRule="exact"/>
      </w:pPr>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27</w:t>
      </w:r>
      <w:r>
        <w:rPr>
          <w:b/>
          <w:bCs/>
          <w:color w:val="000000"/>
          <w:spacing w:val="0"/>
          <w:w w:val="100"/>
          <w:position w:val="0"/>
        </w:rPr>
        <w:t>、未分配利润</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4330"/>
        <w:gridCol w:w="3125"/>
        <w:gridCol w:w="2131"/>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108,588,788.45</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90,625,042.03</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7,625,024.12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141,588,806.36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319" w:lineRule="exact"/>
        <w:ind w:left="0" w:right="0" w:firstLine="0"/>
        <w:jc w:val="distribute"/>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年年度股东大会，审议通过《关于公司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20,000</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股分派现金股利</w:t>
      </w:r>
      <w:r>
        <w:rPr>
          <w:rFonts w:ascii="Times New Roman" w:eastAsia="Times New Roman" w:hAnsi="Times New Roman" w:cs="Times New Roman"/>
          <w:color w:val="000000"/>
          <w:spacing w:val="0"/>
          <w:w w:val="100"/>
          <w:position w:val="0"/>
        </w:rPr>
        <w:t>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，共计分配利润</w:t>
      </w:r>
      <w:r>
        <w:rPr>
          <w:rFonts w:ascii="Times New Roman" w:eastAsia="Times New Roman" w:hAnsi="Times New Roman" w:cs="Times New Roman"/>
          <w:color w:val="000000"/>
          <w:spacing w:val="0"/>
          <w:w w:val="100"/>
          <w:position w:val="0"/>
        </w:rPr>
        <w:t>5000</w:t>
      </w:r>
      <w:r>
        <w:rPr>
          <w:color w:val="000000"/>
          <w:spacing w:val="0"/>
          <w:w w:val="100"/>
          <w:position w:val="0"/>
        </w:rPr>
        <w:t>万元整。本 次分配后的剩余未分配利润留存以后年度进行分派。</w:t>
      </w:r>
    </w:p>
    <w:p>
      <w:pPr>
        <w:widowControl w:val="0"/>
        <w:spacing w:after="599" w:line="1" w:lineRule="exact"/>
      </w:pPr>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28</w:t>
      </w:r>
      <w:r>
        <w:rPr>
          <w:b/>
          <w:bCs/>
          <w:color w:val="000000"/>
          <w:spacing w:val="0"/>
          <w:w w:val="100"/>
          <w:position w:val="0"/>
        </w:rPr>
        <w:t>、营业收入、营业成本</w:t>
      </w:r>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营业收入、营业成本</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2530"/>
        <w:gridCol w:w="3600"/>
        <w:gridCol w:w="345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1,484,810,534.84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1,274,319,336.75</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2,071,395.45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36,332.03</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1,264,633,201.06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1,095,951,978.43</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主营业务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分行业</w:t>
      </w:r>
      <w:r>
        <w:rPr>
          <w:rFonts w:ascii="Times New Roman" w:eastAsia="Times New Roman" w:hAnsi="Times New Roman" w:cs="Times New Roman"/>
          <w:b/>
          <w:bCs/>
          <w:color w:val="000000"/>
          <w:spacing w:val="0"/>
          <w:w w:val="100"/>
          <w:position w:val="0"/>
        </w:rPr>
        <w:t>)</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工</w:t>
              <w:tab/>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1,484,810,534.84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1,262,585,208.25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1,274,319,336.75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1,095,923,210.00</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1,484,810,534.84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1,262,585,208.25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1,274,319,336.75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1,095,923,210.00</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主营业务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分产品</w:t>
      </w:r>
      <w:r>
        <w:rPr>
          <w:rFonts w:ascii="Times New Roman" w:eastAsia="Times New Roman" w:hAnsi="Times New Roman" w:cs="Times New Roman"/>
          <w:b/>
          <w:bCs/>
          <w:color w:val="000000"/>
          <w:spacing w:val="0"/>
          <w:w w:val="100"/>
          <w:position w:val="0"/>
        </w:rPr>
        <w:t>)</w:t>
      </w:r>
    </w:p>
    <w:p>
      <w:pPr>
        <w:widowControl w:val="0"/>
        <w:spacing w:after="339" w:line="1" w:lineRule="exact"/>
      </w:pPr>
    </w:p>
    <w:p>
      <w:pPr>
        <w:pStyle w:val="Style35"/>
        <w:keepNext w:val="0"/>
        <w:keepLines w:val="0"/>
        <w:widowControl w:val="0"/>
        <w:shd w:val="clear" w:color="auto" w:fill="auto"/>
        <w:bidi w:val="0"/>
        <w:spacing w:before="0" w:after="340" w:line="240" w:lineRule="auto"/>
        <w:ind w:left="0" w:right="540" w:firstLine="0"/>
        <w:jc w:val="right"/>
      </w:pPr>
      <w:r>
        <w:rPr>
          <w:color w:val="000000"/>
          <w:spacing w:val="0"/>
          <w:w w:val="100"/>
          <w:position w:val="0"/>
        </w:rPr>
        <w:t>单位： 元</w:t>
      </w:r>
      <w:r>
        <w:br w:type="page"/>
      </w:r>
    </w:p>
    <w:tbl>
      <w:tblPr>
        <w:tblOverlap w:val="never"/>
        <w:jc w:val="center"/>
        <w:tblLayout w:type="fixed"/>
      </w:tblPr>
      <w:tblGrid>
        <w:gridCol w:w="2534"/>
        <w:gridCol w:w="1728"/>
        <w:gridCol w:w="1862"/>
        <w:gridCol w:w="1723"/>
        <w:gridCol w:w="1738"/>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空调连接组件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997,634,047.17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841,776,555.81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918,825,172.34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780,616,542.54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空调电源输入组件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364,617,460.36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320,576,907.94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252,573,168.87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227,354,993.04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电热电器电源输入组件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64,497,044.46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51,956,342.28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62,038,303.15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51,614,448.15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冰洗电器电源输入组件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23,578,902.26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20,062,662.50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22,938,384.56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19,651,078.89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其他家电电源输入组件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34,483,080.59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28,212,739.72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17,944,307.83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16,686,147.38</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1,484,810,534.84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1,262,585,208.25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1,274,319,336.75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1,095,923,210.00</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主营业务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分地区</w:t>
      </w:r>
      <w:r>
        <w:rPr>
          <w:rFonts w:ascii="Times New Roman" w:eastAsia="Times New Roman" w:hAnsi="Times New Roman" w:cs="Times New Roman"/>
          <w:b/>
          <w:bCs/>
          <w:color w:val="000000"/>
          <w:spacing w:val="0"/>
          <w:w w:val="100"/>
          <w:position w:val="0"/>
        </w:rPr>
        <w:t>)</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475,879,489.45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407,330,209.85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469,005,857.38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393,900,884.98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957,868,117.52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813,567,216.48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755,647,197.85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659,407,955.29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51,062,927.87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41,687,781.92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49,666,281.52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42,614,369.73</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1,484,810,534.84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1,262,585,208.25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1,274,319,336.75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1,095,923,210.00</w:t>
            </w:r>
          </w:p>
        </w:tc>
      </w:tr>
    </w:tbl>
    <w:p>
      <w:pPr>
        <w:pStyle w:val="Style3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⑸公司来自前五名客户的营业收入情况</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2530"/>
        <w:gridCol w:w="3600"/>
        <w:gridCol w:w="345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811,748,128.59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217,581,689.60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123,354,336.39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99,484,686.69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39,239,290.05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1,291,408,131.32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86.86%</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29</w:t>
      </w:r>
      <w:r>
        <w:rPr>
          <w:b/>
          <w:bCs/>
          <w:color w:val="000000"/>
          <w:spacing w:val="0"/>
          <w:w w:val="100"/>
          <w:position w:val="0"/>
        </w:rPr>
        <w:t>、营业税金及附加</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2530"/>
        <w:gridCol w:w="2266"/>
        <w:gridCol w:w="1862"/>
        <w:gridCol w:w="292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2,639,908.17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2,137,205.35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流转税额的</w:t>
            </w:r>
            <w:r>
              <w:rPr>
                <w:rFonts w:ascii="Times New Roman" w:eastAsia="Times New Roman" w:hAnsi="Times New Roman" w:cs="Times New Roman"/>
                <w:color w:val="000000"/>
                <w:spacing w:val="0"/>
                <w:w w:val="100"/>
                <w:position w:val="0"/>
              </w:rPr>
              <w:t>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1,131,389.20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915,943.87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流转税额的</w:t>
            </w:r>
            <w:r>
              <w:rPr>
                <w:rFonts w:ascii="Times New Roman" w:eastAsia="Times New Roman" w:hAnsi="Times New Roman" w:cs="Times New Roman"/>
                <w:color w:val="000000"/>
                <w:spacing w:val="0"/>
                <w:w w:val="100"/>
                <w:position w:val="0"/>
              </w:rPr>
              <w:t>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754,259.49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610,626.24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流转税额的</w:t>
            </w:r>
            <w:r>
              <w:rPr>
                <w:rFonts w:ascii="Times New Roman" w:eastAsia="Times New Roman" w:hAnsi="Times New Roman" w:cs="Times New Roman"/>
                <w:color w:val="000000"/>
                <w:spacing w:val="0"/>
                <w:w w:val="100"/>
                <w:position w:val="0"/>
              </w:rPr>
              <w:t>2%</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4,525,556.86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3,663,775.46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30</w:t>
      </w:r>
      <w:r>
        <w:rPr>
          <w:b/>
          <w:bCs/>
          <w:color w:val="000000"/>
          <w:spacing w:val="0"/>
          <w:w w:val="100"/>
          <w:position w:val="0"/>
        </w:rPr>
        <w:t>、销售费用</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2530"/>
        <w:gridCol w:w="3600"/>
        <w:gridCol w:w="345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上期发生额</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员工工资及福利费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4,870,169.46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4,997,616.27</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830,795.11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481,828.71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折旧、摊销及维修费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783,670.02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639,014.28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374,539.06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416,157.81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运输及装卸费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21,297,321.77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17,853,428.38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1,370,431.99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1,723,286.79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185,078.47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222,538.00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660,090.41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296,861.75</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30,372,096.29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26,630,731.99</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31</w:t>
      </w:r>
      <w:r>
        <w:rPr>
          <w:b/>
          <w:bCs/>
          <w:color w:val="000000"/>
          <w:spacing w:val="0"/>
          <w:w w:val="100"/>
          <w:position w:val="0"/>
        </w:rPr>
        <w:t>、管理费用</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2530"/>
        <w:gridCol w:w="3600"/>
        <w:gridCol w:w="345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上期发生额</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员工工资及福利费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30,190,026.90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25,602,200.20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449,574.10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248,073.22</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折旧、摊销及维修费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4,284,048.34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4,161,165.95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4,571,995.92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3,891,073.51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认证及检测费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2,489,299.84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2,193,775.20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836,609.09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1,944,860.44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5,034,317.25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4,473,218.71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审计、咨询及广告宣传费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2,155,655.71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3,905,692.49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1,106,750.07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471,926.48</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51,118,277.22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46,891,986.20</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32</w:t>
      </w:r>
      <w:r>
        <w:rPr>
          <w:b/>
          <w:bCs/>
          <w:color w:val="000000"/>
          <w:spacing w:val="0"/>
          <w:w w:val="100"/>
          <w:position w:val="0"/>
        </w:rPr>
        <w:t>、财务费用</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2530"/>
        <w:gridCol w:w="3600"/>
        <w:gridCol w:w="3456"/>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上期发生额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33,943,449.14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32,124,373.44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-4,528,198.65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-3,625,551.89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34,781.48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642,536.33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819,064.85</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30,088,300.31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29,352,667.88</w:t>
            </w:r>
          </w:p>
        </w:tc>
      </w:tr>
    </w:tbl>
    <w:p>
      <w:pPr>
        <w:sectPr>
          <w:headerReference w:type="default" r:id="rId231"/>
          <w:footerReference w:type="default" r:id="rId232"/>
          <w:headerReference w:type="even" r:id="rId233"/>
          <w:footerReference w:type="even" r:id="rId234"/>
          <w:footnotePr>
            <w:pos w:val="pageBottom"/>
            <w:numFmt w:val="decimal"/>
            <w:numRestart w:val="continuous"/>
          </w:footnotePr>
          <w:type w:val="continuous"/>
          <w:pgSz w:w="11900" w:h="16840"/>
          <w:pgMar w:top="1127" w:right="931" w:bottom="1211" w:left="975" w:header="0" w:footer="3" w:gutter="0"/>
          <w:cols w:space="720"/>
          <w:noEndnote/>
          <w:rtlGutter w:val="0"/>
          <w:docGrid w:linePitch="360"/>
        </w:sectPr>
      </w:pPr>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33</w:t>
      </w:r>
      <w:r>
        <w:rPr>
          <w:b/>
          <w:bCs/>
          <w:color w:val="000000"/>
          <w:spacing w:val="0"/>
          <w:w w:val="100"/>
          <w:position w:val="0"/>
        </w:rPr>
        <w:t>、资产减值损失</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2530"/>
        <w:gridCol w:w="3600"/>
        <w:gridCol w:w="3456"/>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78,136.18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-89,287.92</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78,136.18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-89,287.92</w:t>
            </w:r>
          </w:p>
        </w:tc>
      </w:tr>
    </w:tbl>
    <w:p>
      <w:pPr>
        <w:widowControl w:val="0"/>
        <w:spacing w:after="339" w:line="1" w:lineRule="exact"/>
      </w:pPr>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34</w:t>
      </w:r>
      <w:r>
        <w:rPr>
          <w:b/>
          <w:bCs/>
          <w:color w:val="000000"/>
          <w:spacing w:val="0"/>
          <w:w w:val="100"/>
          <w:position w:val="0"/>
        </w:rPr>
        <w:t>、营业外收入</w:t>
      </w:r>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营业外收入情况</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2530"/>
        <w:gridCol w:w="2160"/>
        <w:gridCol w:w="1978"/>
        <w:gridCol w:w="291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82,768.23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82,768.23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82,768.23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82,768.23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1,037,800.00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10,245,408.00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1,037,800.00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赔款及罚款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10,306.92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10,306.92</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188,327.16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162,635.05</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1,293,510.20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10,458,058.65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1,293,510.20</w:t>
            </w:r>
          </w:p>
        </w:tc>
      </w:tr>
    </w:tbl>
    <w:p>
      <w:pPr>
        <w:pStyle w:val="Style38"/>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计入当期损益的政府补助</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2890"/>
        <w:gridCol w:w="1440"/>
        <w:gridCol w:w="1618"/>
        <w:gridCol w:w="1800"/>
        <w:gridCol w:w="1843"/>
      </w:tblGrid>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是否属于非经常性 损益</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突出贡献奖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平台建设资金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7,664,164.00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技计划扶持资金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国际市场开拓资金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产学研结合重点项目资金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新增税源奖励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佛山市国际市场开拓资金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容桂</w:t>
            </w:r>
            <w:r>
              <w:rPr>
                <w:rFonts w:ascii="Times New Roman" w:eastAsia="Times New Roman" w:hAnsi="Times New Roman" w:cs="Times New Roman"/>
                <w:color w:val="000000"/>
                <w:spacing w:val="0"/>
                <w:w w:val="100"/>
                <w:position w:val="0"/>
              </w:rPr>
              <w:t>2012</w:t>
            </w:r>
            <w:r>
              <w:rPr>
                <w:color w:val="000000"/>
                <w:spacing w:val="0"/>
                <w:w w:val="100"/>
                <w:position w:val="0"/>
              </w:rPr>
              <w:t>年度突出贡献奖</w:t>
            </w:r>
            <w:r>
              <w:rPr>
                <w:rFonts w:ascii="Times New Roman" w:eastAsia="Times New Roman" w:hAnsi="Times New Roman" w:cs="Times New Roman"/>
                <w:color w:val="000000"/>
                <w:spacing w:val="0"/>
                <w:w w:val="100"/>
                <w:position w:val="0"/>
              </w:rPr>
              <w:t>-</w:t>
            </w:r>
            <w:r>
              <w:rPr>
                <w:color w:val="000000"/>
                <w:spacing w:val="0"/>
                <w:w w:val="100"/>
                <w:position w:val="0"/>
              </w:rPr>
              <w:t>经 济发展和科技创新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890"/>
        <w:gridCol w:w="1440"/>
        <w:gridCol w:w="1618"/>
        <w:gridCol w:w="1800"/>
        <w:gridCol w:w="1843"/>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年广东省外贸公共服务平 台建设基金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年度佛山市专利资助经费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容桂工业自动化科技创新平台 建设</w:t>
            </w:r>
            <w:r>
              <w:rPr>
                <w:rFonts w:ascii="Times New Roman" w:eastAsia="Times New Roman" w:hAnsi="Times New Roman" w:cs="Times New Roman"/>
                <w:color w:val="000000"/>
                <w:spacing w:val="0"/>
                <w:w w:val="100"/>
                <w:position w:val="0"/>
              </w:rPr>
              <w:t>"</w:t>
            </w:r>
            <w:r>
              <w:rPr>
                <w:color w:val="000000"/>
                <w:spacing w:val="0"/>
                <w:w w:val="100"/>
                <w:position w:val="0"/>
              </w:rPr>
              <w:t>单分散性聚合物纳米复合 材料关键技术及产业化</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年度顺德区企业国际市场 开拓资金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顺德区人民政府办公室关于印 发顺德区燃煤、燃重油、燃木 材锅炉政治奖励方案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10,245,408.00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35</w:t>
      </w:r>
      <w:r>
        <w:rPr>
          <w:b/>
          <w:bCs/>
          <w:color w:val="000000"/>
          <w:spacing w:val="0"/>
          <w:w w:val="100"/>
          <w:position w:val="0"/>
        </w:rPr>
        <w:t>、营业外支出</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 损益的金额</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1,476,092.21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5,148,443.63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1,476,092.21</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1,476,092.21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5,148,443.63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1,476,092.21</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605,200.00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17,718.99</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2,099,011.20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5,203,443.63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2,099,011.20</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36</w:t>
      </w:r>
      <w:r>
        <w:rPr>
          <w:b/>
          <w:bCs/>
          <w:color w:val="000000"/>
          <w:spacing w:val="0"/>
          <w:w w:val="100"/>
          <w:position w:val="0"/>
        </w:rPr>
        <w:t>、所得税费用</w:t>
      </w:r>
    </w:p>
    <w:p>
      <w:pPr>
        <w:widowControl w:val="0"/>
        <w:spacing w:after="339" w:line="1" w:lineRule="exact"/>
      </w:pP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4666"/>
        <w:gridCol w:w="2520"/>
        <w:gridCol w:w="2400"/>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14,502,166.82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11,720,608.62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-66,103.14</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14,635,819.34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11,654,505.48</w:t>
            </w:r>
          </w:p>
        </w:tc>
      </w:tr>
    </w:tbl>
    <w:p>
      <w:pPr>
        <w:widowControl w:val="0"/>
        <w:spacing w:after="339" w:line="1" w:lineRule="exact"/>
      </w:pP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37</w:t>
      </w:r>
      <w:r>
        <w:rPr>
          <w:b/>
          <w:bCs/>
          <w:color w:val="000000"/>
          <w:spacing w:val="0"/>
          <w:w w:val="100"/>
          <w:position w:val="0"/>
        </w:rPr>
        <w:t>、基本每股收益和稀释每股收益的计算过程</w:t>
      </w:r>
    </w:p>
    <w:tbl>
      <w:tblPr>
        <w:tblOverlap w:val="never"/>
        <w:jc w:val="center"/>
        <w:tblLayout w:type="fixed"/>
      </w:tblPr>
      <w:tblGrid>
        <w:gridCol w:w="4690"/>
        <w:gridCol w:w="1622"/>
        <w:gridCol w:w="1618"/>
        <w:gridCol w:w="165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90,625,042.03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65,553,926.28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报告期归属于公司普通股股东的非经常性损益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4,464,922.77</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报告期扣除非经常性损益后归属于公司普通股股东 的净利润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P2=P1-F</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91,311,925.74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61,089,003.51</w:t>
            </w:r>
          </w:p>
        </w:tc>
      </w:tr>
    </w:tbl>
    <w:p>
      <w:pPr>
        <w:spacing w:lineRule="exact" w:line="1"/>
        <w:rPr>
          <w:sz w:val="2"/>
          <w:szCs w:val="2"/>
        </w:rPr>
      </w:pPr>
      <w:r>
        <w:br w:type="page"/>
      </w:r>
    </w:p>
    <w:tbl>
      <w:tblPr>
        <w:tblOverlap w:val="never"/>
        <w:jc w:val="center"/>
        <w:tblLayout w:type="fixed"/>
      </w:tblPr>
      <w:tblGrid>
        <w:gridCol w:w="4690"/>
        <w:gridCol w:w="1622"/>
        <w:gridCol w:w="1618"/>
        <w:gridCol w:w="165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稀释事项对归属于公司普通股股东的净利润的影响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稀释事项对扣除非经常性损益后归属于公司普通股 股东的净利润的影响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150,000,000.00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报告期因公积金转增股本或股票股利分配等增加股 份数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报告期因发行新股或债转股等增加股份数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增加股份下一月份起至报告期期末的月份数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r>
              <w:rPr>
                <w:color w:val="000000"/>
                <w:spacing w:val="0"/>
                <w:w w:val="100"/>
                <w:position w:val="0"/>
              </w:rPr>
              <w:t>个月</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减少股份下一月份起至报告期期末的月份数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S=S0+S1+Si*Mi/</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M0-Sj*Mj/M0-Sk</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183,333,333.33</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加：假定稀释性潜在普通股转换为已发行普通股而 增加的普通股加权平均数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X1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计算稀释每股收益的普通股加权平均数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X2=S+X1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183,333,333.33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其中：可转换公司债转换而增加的普通股加权数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认股权证</w:t>
            </w:r>
            <w:r>
              <w:rPr>
                <w:rFonts w:ascii="Times New Roman" w:eastAsia="Times New Roman" w:hAnsi="Times New Roman" w:cs="Times New Roman"/>
                <w:color w:val="000000"/>
                <w:spacing w:val="0"/>
                <w:w w:val="100"/>
                <w:position w:val="0"/>
              </w:rPr>
              <w:t>/</w:t>
            </w:r>
            <w:r>
              <w:rPr>
                <w:color w:val="000000"/>
                <w:spacing w:val="0"/>
                <w:w w:val="100"/>
                <w:position w:val="0"/>
              </w:rPr>
              <w:t>股份期权行权而增加的普通股加权数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回购承诺履行而增加的普通股加权数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Y1=P1/S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扣除非经常性损益后归属于公司普通股股东的基本 每股收益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Y2=P2/S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Y3=(P1</w:t>
            </w:r>
            <w:r>
              <w:rPr>
                <w:color w:val="000000"/>
                <w:spacing w:val="0"/>
                <w:w w:val="100"/>
                <w:position w:val="0"/>
              </w:rPr>
              <w:t>+</w:t>
            </w:r>
            <w:r>
              <w:rPr>
                <w:rFonts w:ascii="Times New Roman" w:eastAsia="Times New Roman" w:hAnsi="Times New Roman" w:cs="Times New Roman"/>
                <w:color w:val="000000"/>
                <w:spacing w:val="0"/>
                <w:w w:val="100"/>
                <w:position w:val="0"/>
              </w:rPr>
              <w:t>P3)/X2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扣除非经常性损益后归属于公司普通股股东的稀释 每股收益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Y4=(P2</w:t>
            </w:r>
            <w:r>
              <w:rPr>
                <w:color w:val="000000"/>
                <w:spacing w:val="0"/>
                <w:w w:val="100"/>
                <w:position w:val="0"/>
              </w:rPr>
              <w:t>+</w:t>
            </w:r>
            <w:r>
              <w:rPr>
                <w:rFonts w:ascii="Times New Roman" w:eastAsia="Times New Roman" w:hAnsi="Times New Roman" w:cs="Times New Roman"/>
                <w:color w:val="000000"/>
                <w:spacing w:val="0"/>
                <w:w w:val="100"/>
                <w:position w:val="0"/>
              </w:rPr>
              <w:t>P4)/X2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r>
    </w:tbl>
    <w:p>
      <w:pPr>
        <w:widowControl w:val="0"/>
        <w:spacing w:after="619" w:line="1" w:lineRule="exact"/>
      </w:pPr>
    </w:p>
    <w:p>
      <w:pPr>
        <w:pStyle w:val="Style48"/>
        <w:keepNext/>
        <w:keepLines/>
        <w:widowControl w:val="0"/>
        <w:shd w:val="clear" w:color="auto" w:fill="auto"/>
        <w:bidi w:val="0"/>
        <w:spacing w:before="0" w:after="360" w:line="240" w:lineRule="auto"/>
        <w:ind w:left="0" w:right="0" w:firstLine="0"/>
        <w:jc w:val="left"/>
      </w:pPr>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38</w:t>
      </w:r>
      <w:r>
        <w:rPr>
          <w:color w:val="000000"/>
          <w:spacing w:val="0"/>
          <w:w w:val="100"/>
          <w:position w:val="0"/>
        </w:rPr>
        <w:t>、现金流量表附注</w:t>
      </w:r>
      <w:bookmarkEnd w:id="748"/>
      <w:bookmarkEnd w:id="749"/>
      <w:bookmarkEnd w:id="750"/>
    </w:p>
    <w:p>
      <w:pPr>
        <w:pStyle w:val="Style48"/>
        <w:keepNext/>
        <w:keepLines/>
        <w:widowControl w:val="0"/>
        <w:shd w:val="clear" w:color="auto" w:fill="auto"/>
        <w:bidi w:val="0"/>
        <w:spacing w:before="0" w:after="360" w:line="240" w:lineRule="auto"/>
        <w:ind w:left="0" w:right="0" w:firstLine="0"/>
        <w:jc w:val="left"/>
      </w:pPr>
      <w:bookmarkStart w:id="748" w:name="bookmark748"/>
      <w:bookmarkStart w:id="749" w:name="bookmark749"/>
      <w:bookmarkStart w:id="751" w:name="bookmark751"/>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748"/>
      <w:bookmarkEnd w:id="749"/>
      <w:bookmarkEnd w:id="751"/>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5592"/>
        <w:gridCol w:w="3994"/>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pPr>
            <w:r>
              <w:rPr>
                <w:rFonts w:ascii="Times New Roman" w:eastAsia="Times New Roman" w:hAnsi="Times New Roman" w:cs="Times New Roman"/>
                <w:color w:val="000000"/>
                <w:spacing w:val="0"/>
                <w:w w:val="100"/>
                <w:position w:val="0"/>
              </w:rPr>
              <w:t>4,528,198.65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pPr>
            <w:r>
              <w:rPr>
                <w:rFonts w:ascii="Times New Roman" w:eastAsia="Times New Roman" w:hAnsi="Times New Roman" w:cs="Times New Roman"/>
                <w:color w:val="000000"/>
                <w:spacing w:val="0"/>
                <w:w w:val="100"/>
                <w:position w:val="0"/>
              </w:rPr>
              <w:t>1,037,800.00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pPr>
            <w:r>
              <w:rPr>
                <w:rFonts w:ascii="Times New Roman" w:eastAsia="Times New Roman" w:hAnsi="Times New Roman" w:cs="Times New Roman"/>
                <w:color w:val="000000"/>
                <w:spacing w:val="0"/>
                <w:w w:val="100"/>
                <w:position w:val="0"/>
              </w:rPr>
              <w:t>1,590,793.02</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318,456.42</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pPr>
            <w:r>
              <w:rPr>
                <w:rFonts w:ascii="Times New Roman" w:eastAsia="Times New Roman" w:hAnsi="Times New Roman" w:cs="Times New Roman"/>
                <w:color w:val="000000"/>
                <w:spacing w:val="0"/>
                <w:w w:val="100"/>
                <w:position w:val="0"/>
              </w:rPr>
              <w:t>7,475,248.09</w:t>
            </w:r>
          </w:p>
        </w:tc>
      </w:tr>
    </w:tbl>
    <w:p>
      <w:pPr>
        <w:sectPr>
          <w:headerReference w:type="default" r:id="rId235"/>
          <w:footerReference w:type="default" r:id="rId236"/>
          <w:headerReference w:type="even" r:id="rId237"/>
          <w:footerReference w:type="even" r:id="rId238"/>
          <w:headerReference w:type="first" r:id="rId239"/>
          <w:footerReference w:type="first" r:id="rId240"/>
          <w:footnotePr>
            <w:pos w:val="pageBottom"/>
            <w:numFmt w:val="decimal"/>
            <w:numRestart w:val="continuous"/>
          </w:footnotePr>
          <w:pgSz w:w="11900" w:h="16840"/>
          <w:pgMar w:top="1127" w:right="931" w:bottom="1211" w:left="975" w:header="0" w:footer="3" w:gutter="0"/>
          <w:cols w:space="720"/>
          <w:noEndnote/>
          <w:titlePg/>
          <w:rtlGutter w:val="0"/>
          <w:docGrid w:linePitch="360"/>
        </w:sectPr>
      </w:pP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支付的其他与经营活动有关的现金</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5592"/>
        <w:gridCol w:w="3994"/>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4,517,065.68</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8,195,214.45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支付银行手续费、汇兑损益等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842,456.09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支付备用金，往来款等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2,168,049.53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1,123,645.16</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16,846,430.91</w:t>
            </w:r>
          </w:p>
        </w:tc>
      </w:tr>
    </w:tbl>
    <w:p>
      <w:pPr>
        <w:pStyle w:val="Style3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w:t>
      </w:r>
      <w:r>
        <w:rPr>
          <w:b/>
          <w:bCs/>
          <w:color w:val="000000"/>
          <w:spacing w:val="0"/>
          <w:w w:val="100"/>
          <w:position w:val="0"/>
        </w:rPr>
        <w:t>本报告期无收到的其他与投资活动有关的现金</w:t>
      </w:r>
    </w:p>
    <w:p>
      <w:pPr>
        <w:widowControl w:val="0"/>
        <w:spacing w:after="359" w:line="1" w:lineRule="exact"/>
      </w:pPr>
    </w:p>
    <w:p>
      <w:pPr>
        <w:pStyle w:val="Style35"/>
        <w:keepNext w:val="0"/>
        <w:keepLines w:val="0"/>
        <w:widowControl w:val="0"/>
        <w:numPr>
          <w:ilvl w:val="0"/>
          <w:numId w:val="49"/>
        </w:numPr>
        <w:shd w:val="clear" w:color="auto" w:fill="auto"/>
        <w:tabs>
          <w:tab w:pos="430" w:val="left"/>
        </w:tabs>
        <w:bidi w:val="0"/>
        <w:spacing w:before="0" w:after="360" w:line="240" w:lineRule="auto"/>
        <w:ind w:left="0" w:right="0" w:firstLine="0"/>
        <w:jc w:val="left"/>
      </w:pPr>
      <w:bookmarkStart w:id="752" w:name="bookmark752"/>
      <w:bookmarkEnd w:id="752"/>
      <w:r>
        <w:rPr>
          <w:b/>
          <w:bCs/>
          <w:color w:val="000000"/>
          <w:spacing w:val="0"/>
          <w:w w:val="100"/>
          <w:position w:val="0"/>
        </w:rPr>
        <w:t>本报告期无支付的其他与投资活动有关的现金</w:t>
      </w:r>
    </w:p>
    <w:p>
      <w:pPr>
        <w:pStyle w:val="Style35"/>
        <w:keepNext w:val="0"/>
        <w:keepLines w:val="0"/>
        <w:widowControl w:val="0"/>
        <w:numPr>
          <w:ilvl w:val="0"/>
          <w:numId w:val="49"/>
        </w:numPr>
        <w:shd w:val="clear" w:color="auto" w:fill="auto"/>
        <w:tabs>
          <w:tab w:pos="430" w:val="left"/>
        </w:tabs>
        <w:bidi w:val="0"/>
        <w:spacing w:before="0" w:after="360" w:line="240" w:lineRule="auto"/>
        <w:ind w:left="0" w:right="0" w:firstLine="0"/>
        <w:jc w:val="left"/>
      </w:pPr>
      <w:bookmarkStart w:id="753" w:name="bookmark753"/>
      <w:bookmarkEnd w:id="753"/>
      <w:r>
        <w:rPr>
          <w:b/>
          <w:bCs/>
          <w:color w:val="000000"/>
          <w:spacing w:val="0"/>
          <w:w w:val="100"/>
          <w:position w:val="0"/>
        </w:rPr>
        <w:t>本报告期无收到的其他与筹资活动有关的现金</w:t>
      </w:r>
    </w:p>
    <w:p>
      <w:pPr>
        <w:pStyle w:val="Style35"/>
        <w:keepNext w:val="0"/>
        <w:keepLines w:val="0"/>
        <w:widowControl w:val="0"/>
        <w:numPr>
          <w:ilvl w:val="0"/>
          <w:numId w:val="49"/>
        </w:numPr>
        <w:shd w:val="clear" w:color="auto" w:fill="auto"/>
        <w:tabs>
          <w:tab w:pos="430" w:val="left"/>
        </w:tabs>
        <w:bidi w:val="0"/>
        <w:spacing w:before="0" w:after="360" w:line="240" w:lineRule="auto"/>
        <w:ind w:left="0" w:right="0" w:firstLine="0"/>
        <w:jc w:val="left"/>
      </w:pPr>
      <w:bookmarkStart w:id="754" w:name="bookmark754"/>
      <w:bookmarkEnd w:id="754"/>
      <w:r>
        <w:rPr>
          <w:b/>
          <w:bCs/>
          <w:color w:val="000000"/>
          <w:spacing w:val="0"/>
          <w:w w:val="100"/>
          <w:position w:val="0"/>
        </w:rPr>
        <w:t>本报告期无支付的其他与筹资活动有关的现金</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39</w:t>
      </w:r>
      <w:r>
        <w:rPr>
          <w:b/>
          <w:bCs/>
          <w:color w:val="000000"/>
          <w:spacing w:val="0"/>
          <w:w w:val="100"/>
          <w:position w:val="0"/>
        </w:rPr>
        <w:t>、现金流量表补充资料</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现金流量表补充资料</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 元</w:t>
      </w:r>
    </w:p>
    <w:tbl>
      <w:tblPr>
        <w:tblOverlap w:val="never"/>
        <w:jc w:val="center"/>
        <w:tblLayout w:type="fixed"/>
      </w:tblPr>
      <w:tblGrid>
        <w:gridCol w:w="6490"/>
        <w:gridCol w:w="1618"/>
        <w:gridCol w:w="1478"/>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上期金额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90,625,042.03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65,553,926.28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78,136.18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-89,287.92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21,801,963.53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18,575,923.10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959,990.04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1,146,214.69</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297,190.24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336,638.22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w:t>
            </w:r>
            <w:r>
              <w:rPr>
                <w:rFonts w:ascii="Times New Roman" w:eastAsia="Times New Roman" w:hAnsi="Times New Roman" w:cs="Times New Roman"/>
                <w:color w:val="000000"/>
                <w:spacing w:val="0"/>
                <w:w w:val="100"/>
                <w:position w:val="0"/>
              </w:rPr>
              <w:t>(</w:t>
            </w:r>
            <w:r>
              <w:rPr>
                <w:color w:val="000000"/>
                <w:spacing w:val="0"/>
                <w:w w:val="100"/>
                <w:position w:val="0"/>
              </w:rPr>
              <w:t>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1,393,323.98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5,124,120.14</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rPr>
              <w:t>(</w:t>
            </w:r>
            <w:r>
              <w:rPr>
                <w:color w:val="000000"/>
                <w:spacing w:val="0"/>
                <w:w w:val="100"/>
                <w:position w:val="0"/>
              </w:rPr>
              <w:t>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11,334,325.52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17,189,008.76</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w:t>
            </w:r>
            <w:r>
              <w:rPr>
                <w:rFonts w:ascii="Times New Roman" w:eastAsia="Times New Roman" w:hAnsi="Times New Roman" w:cs="Times New Roman"/>
                <w:color w:val="000000"/>
                <w:spacing w:val="0"/>
                <w:w w:val="100"/>
                <w:position w:val="0"/>
              </w:rPr>
              <w:t>(</w:t>
            </w:r>
            <w:r>
              <w:rPr>
                <w:color w:val="000000"/>
                <w:spacing w:val="0"/>
                <w:w w:val="100"/>
                <w:position w:val="0"/>
              </w:rPr>
              <w:t>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133,652.52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-66,103.14</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w:t>
            </w:r>
            <w:r>
              <w:rPr>
                <w:rFonts w:ascii="Times New Roman" w:eastAsia="Times New Roman" w:hAnsi="Times New Roman" w:cs="Times New Roman"/>
                <w:color w:val="000000"/>
                <w:spacing w:val="0"/>
                <w:w w:val="100"/>
                <w:position w:val="0"/>
              </w:rPr>
              <w:t>(</w:t>
            </w:r>
            <w:r>
              <w:rPr>
                <w:color w:val="000000"/>
                <w:spacing w:val="0"/>
                <w:w w:val="100"/>
                <w:position w:val="0"/>
              </w:rPr>
              <w:t>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-45,099,878.27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-60,621,258.91</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w:t>
            </w:r>
            <w:r>
              <w:rPr>
                <w:rFonts w:ascii="Times New Roman" w:eastAsia="Times New Roman" w:hAnsi="Times New Roman" w:cs="Times New Roman"/>
                <w:color w:val="000000"/>
                <w:spacing w:val="0"/>
                <w:w w:val="100"/>
                <w:position w:val="0"/>
              </w:rPr>
              <w:t>(</w:t>
            </w:r>
            <w:r>
              <w:rPr>
                <w:color w:val="000000"/>
                <w:spacing w:val="0"/>
                <w:w w:val="100"/>
                <w:position w:val="0"/>
              </w:rPr>
              <w:t>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-232,867,777.74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118,184,638.32</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w:t>
            </w:r>
            <w:r>
              <w:rPr>
                <w:rFonts w:ascii="Times New Roman" w:eastAsia="Times New Roman" w:hAnsi="Times New Roman" w:cs="Times New Roman"/>
                <w:color w:val="000000"/>
                <w:spacing w:val="0"/>
                <w:w w:val="100"/>
                <w:position w:val="0"/>
              </w:rPr>
              <w:t>(</w:t>
            </w:r>
            <w:r>
              <w:rPr>
                <w:color w:val="000000"/>
                <w:spacing w:val="0"/>
                <w:w w:val="100"/>
                <w:position w:val="0"/>
              </w:rPr>
              <w:t>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95,540,703.31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-44,311,377.72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-55,803,328.66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121,022,441.82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bl>
    <w:p>
      <w:pPr>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127" w:right="931" w:bottom="1211" w:left="975" w:header="0" w:footer="3" w:gutter="0"/>
          <w:cols w:space="720"/>
          <w:noEndnote/>
          <w:rtlGutter w:val="0"/>
          <w:docGrid w:linePitch="360"/>
        </w:sectPr>
      </w:pPr>
    </w:p>
    <w:tbl>
      <w:tblPr>
        <w:tblOverlap w:val="never"/>
        <w:jc w:val="center"/>
        <w:tblLayout w:type="fixed"/>
      </w:tblPr>
      <w:tblGrid>
        <w:gridCol w:w="6490"/>
        <w:gridCol w:w="1618"/>
        <w:gridCol w:w="147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104,821,059.35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158,112,077.34</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158,112,077.34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107,801,574.11</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-53,291,017.99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50,310,503.23</w:t>
            </w:r>
          </w:p>
        </w:tc>
      </w:tr>
    </w:tbl>
    <w:p>
      <w:pPr>
        <w:widowControl w:val="0"/>
        <w:spacing w:after="339" w:line="1" w:lineRule="exact"/>
      </w:pPr>
    </w:p>
    <w:p>
      <w:pPr>
        <w:pStyle w:val="Style48"/>
        <w:keepNext/>
        <w:keepLines/>
        <w:widowControl w:val="0"/>
        <w:numPr>
          <w:ilvl w:val="0"/>
          <w:numId w:val="51"/>
        </w:numPr>
        <w:shd w:val="clear" w:color="auto" w:fill="auto"/>
        <w:tabs>
          <w:tab w:pos="430" w:val="left"/>
        </w:tabs>
        <w:bidi w:val="0"/>
        <w:spacing w:before="0" w:after="340" w:line="240" w:lineRule="auto"/>
        <w:ind w:left="0" w:right="0" w:firstLine="0"/>
        <w:jc w:val="left"/>
      </w:pPr>
      <w:bookmarkStart w:id="755" w:name="bookmark755"/>
      <w:bookmarkStart w:id="756" w:name="bookmark756"/>
      <w:bookmarkStart w:id="757" w:name="bookmark757"/>
      <w:bookmarkStart w:id="758" w:name="bookmark758"/>
      <w:bookmarkEnd w:id="757"/>
      <w:r>
        <w:rPr>
          <w:color w:val="000000"/>
          <w:spacing w:val="0"/>
          <w:w w:val="100"/>
          <w:position w:val="0"/>
        </w:rPr>
        <w:t>本报告期无取得或处置子公司及其他营业单位</w:t>
      </w:r>
      <w:bookmarkEnd w:id="755"/>
      <w:bookmarkEnd w:id="756"/>
      <w:bookmarkEnd w:id="758"/>
    </w:p>
    <w:p>
      <w:pPr>
        <w:pStyle w:val="Style48"/>
        <w:keepNext/>
        <w:keepLines/>
        <w:widowControl w:val="0"/>
        <w:numPr>
          <w:ilvl w:val="0"/>
          <w:numId w:val="51"/>
        </w:numPr>
        <w:shd w:val="clear" w:color="auto" w:fill="auto"/>
        <w:tabs>
          <w:tab w:pos="430" w:val="left"/>
        </w:tabs>
        <w:bidi w:val="0"/>
        <w:spacing w:before="0" w:after="340" w:line="240" w:lineRule="auto"/>
        <w:ind w:left="0" w:right="0" w:firstLine="0"/>
        <w:jc w:val="left"/>
      </w:pPr>
      <w:bookmarkStart w:id="755" w:name="bookmark755"/>
      <w:bookmarkStart w:id="756" w:name="bookmark756"/>
      <w:bookmarkStart w:id="759" w:name="bookmark759"/>
      <w:bookmarkStart w:id="760" w:name="bookmark760"/>
      <w:bookmarkEnd w:id="759"/>
      <w:r>
        <w:rPr>
          <w:color w:val="000000"/>
          <w:spacing w:val="0"/>
          <w:w w:val="100"/>
          <w:position w:val="0"/>
        </w:rPr>
        <w:t>现金和现金等价物的构成</w:t>
      </w:r>
      <w:bookmarkEnd w:id="755"/>
      <w:bookmarkEnd w:id="756"/>
      <w:bookmarkEnd w:id="760"/>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4397"/>
        <w:gridCol w:w="2525"/>
        <w:gridCol w:w="2664"/>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104,821,059.35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158,112,077.34</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21,882.46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104,812,917.83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158,083,777.02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6,417.86</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104,821,059.35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158,112,077.34</w:t>
            </w:r>
          </w:p>
        </w:tc>
      </w:tr>
    </w:tbl>
    <w:p>
      <w:pPr>
        <w:widowControl w:val="0"/>
        <w:spacing w:after="8619" w:line="1" w:lineRule="exact"/>
      </w:pPr>
    </w:p>
    <w:p>
      <w:pPr>
        <w:widowControl w:val="0"/>
        <w:jc w:val="center"/>
        <w:rPr>
          <w:sz w:val="2"/>
          <w:szCs w:val="2"/>
        </w:rPr>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441" w:right="1196" w:bottom="1" w:left="1109" w:header="0" w:footer="3" w:gutter="0"/>
          <w:cols w:space="720"/>
          <w:noEndnote/>
          <w:rtlGutter w:val="0"/>
          <w:docGrid w:linePitch="360"/>
        </w:sectPr>
      </w:pPr>
      <w:r>
        <w:drawing>
          <wp:inline>
            <wp:extent cx="1718945" cy="981710"/>
            <wp:docPr id="625" name="Picutre 625"/>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249"/>
                    <a:stretch/>
                  </pic:blipFill>
                  <pic:spPr>
                    <a:xfrm>
                      <a:ext cx="1718945" cy="981710"/>
                    </a:xfrm>
                    <a:prstGeom prst="rect"/>
                  </pic:spPr>
                </pic:pic>
              </a:graphicData>
            </a:graphic>
          </wp:inline>
        </w:drawing>
      </w:r>
    </w:p>
    <w:p>
      <w:pPr>
        <w:pStyle w:val="Style30"/>
        <w:keepNext/>
        <w:keepLines/>
        <w:widowControl w:val="0"/>
        <w:shd w:val="clear" w:color="auto" w:fill="auto"/>
        <w:bidi w:val="0"/>
        <w:spacing w:before="0" w:after="34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八</w:t>
      </w:r>
      <w:bookmarkEnd w:id="763"/>
      <w:r>
        <w:rPr>
          <w:color w:val="000000"/>
          <w:spacing w:val="0"/>
          <w:w w:val="100"/>
          <w:position w:val="0"/>
          <w:sz w:val="24"/>
          <w:szCs w:val="24"/>
        </w:rPr>
        <w:t>、关联方及关联交易</w:t>
      </w:r>
      <w:bookmarkEnd w:id="761"/>
      <w:bookmarkEnd w:id="762"/>
      <w:bookmarkEnd w:id="764"/>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450"/>
        <w:gridCol w:w="720"/>
        <w:gridCol w:w="720"/>
        <w:gridCol w:w="720"/>
        <w:gridCol w:w="754"/>
        <w:gridCol w:w="1406"/>
        <w:gridCol w:w="898"/>
        <w:gridCol w:w="1622"/>
        <w:gridCol w:w="1800"/>
        <w:gridCol w:w="1800"/>
        <w:gridCol w:w="21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 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 的持股比例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华声</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实际控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对工业</w:t>
            </w:r>
            <w:r>
              <w:rPr>
                <w:color w:val="000000"/>
                <w:spacing w:val="0"/>
                <w:w w:val="100"/>
                <w:position w:val="0"/>
              </w:rPr>
              <w:t>，</w:t>
            </w:r>
            <w:r>
              <w:rPr>
                <w:color w:val="000000"/>
                <w:spacing w:val="0"/>
                <w:w w:val="100"/>
                <w:position w:val="0"/>
              </w:rPr>
              <w:t>商业企 业进行投资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HKD1.00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罗桥胜、冯倩红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16796792-000-03-09-6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佛山锐达投资 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实际控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罗桥胜、冯倩红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55915065-9</w:t>
            </w:r>
          </w:p>
        </w:tc>
      </w:tr>
    </w:tbl>
    <w:p>
      <w:pPr>
        <w:widowControl w:val="0"/>
        <w:spacing w:after="79" w:line="1" w:lineRule="exact"/>
      </w:pPr>
    </w:p>
    <w:p>
      <w:pPr>
        <w:pStyle w:val="Style3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本企业的母公司情况的说明：华声</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有限公司、佛山锐达投资发展有限公司股东均为罗桥胜和冯倩红，持股比例均分别为</w:t>
      </w:r>
      <w:r>
        <w:rPr>
          <w:rFonts w:ascii="Times New Roman" w:eastAsia="Times New Roman" w:hAnsi="Times New Roman" w:cs="Times New Roman"/>
          <w:color w:val="000000"/>
          <w:spacing w:val="0"/>
          <w:w w:val="100"/>
          <w:position w:val="0"/>
        </w:rPr>
        <w:t>66.67%</w:t>
      </w:r>
      <w:r>
        <w:rPr>
          <w:color w:val="000000"/>
          <w:spacing w:val="0"/>
          <w:w w:val="100"/>
          <w:position w:val="0"/>
        </w:rPr>
        <w:t>、</w:t>
      </w:r>
      <w:r>
        <w:rPr>
          <w:rFonts w:ascii="Times New Roman" w:eastAsia="Times New Roman" w:hAnsi="Times New Roman" w:cs="Times New Roman"/>
          <w:color w:val="000000"/>
          <w:spacing w:val="0"/>
          <w:w w:val="100"/>
          <w:position w:val="0"/>
        </w:rPr>
        <w:t>33.33%</w:t>
      </w:r>
      <w:r>
        <w:rPr>
          <w:color w:val="000000"/>
          <w:spacing w:val="0"/>
          <w:w w:val="100"/>
          <w:position w:val="0"/>
        </w:rPr>
        <w:t>,罗桥胜和 冯倩红为夫妻关系。</w:t>
      </w:r>
    </w:p>
    <w:p>
      <w:pPr>
        <w:pStyle w:val="Style35"/>
        <w:keepNext w:val="0"/>
        <w:keepLines w:val="0"/>
        <w:widowControl w:val="0"/>
        <w:shd w:val="clear" w:color="auto" w:fill="auto"/>
        <w:bidi w:val="0"/>
        <w:spacing w:before="0" w:after="240" w:line="331"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、本企业的子公司情况</w:t>
      </w:r>
    </w:p>
    <w:tbl>
      <w:tblPr>
        <w:tblOverlap w:val="never"/>
        <w:jc w:val="center"/>
        <w:tblLayout w:type="fixed"/>
      </w:tblPr>
      <w:tblGrid>
        <w:gridCol w:w="2707"/>
        <w:gridCol w:w="1262"/>
        <w:gridCol w:w="1440"/>
        <w:gridCol w:w="720"/>
        <w:gridCol w:w="720"/>
        <w:gridCol w:w="3600"/>
        <w:gridCol w:w="898"/>
        <w:gridCol w:w="720"/>
        <w:gridCol w:w="902"/>
        <w:gridCol w:w="10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 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表决权比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扬州华声电子实业有限公司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冯倩红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家用电器配线组件的研发、生产、销售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66328841-2</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、本企业的合营和联营企业情况</w:t>
      </w:r>
    </w:p>
    <w:p>
      <w:pPr>
        <w:widowControl w:val="0"/>
        <w:spacing w:after="2199" w:line="1" w:lineRule="exact"/>
      </w:pPr>
    </w:p>
    <w:p>
      <w:pPr>
        <w:widowControl w:val="0"/>
        <w:jc w:val="center"/>
        <w:rPr>
          <w:sz w:val="2"/>
          <w:szCs w:val="2"/>
        </w:rPr>
        <w:sectPr>
          <w:headerReference w:type="default" r:id="rId251"/>
          <w:footerReference w:type="default" r:id="rId252"/>
          <w:headerReference w:type="even" r:id="rId253"/>
          <w:footerReference w:type="even" r:id="rId254"/>
          <w:footnotePr>
            <w:pos w:val="pageBottom"/>
            <w:numFmt w:val="decimal"/>
            <w:numRestart w:val="continuous"/>
          </w:footnotePr>
          <w:pgSz w:w="16840" w:h="11900" w:orient="landscape"/>
          <w:pgMar w:top="1398" w:right="1350" w:bottom="0" w:left="1417" w:header="0" w:footer="3" w:gutter="0"/>
          <w:cols w:space="720"/>
          <w:noEndnote/>
          <w:rtlGutter w:val="0"/>
          <w:docGrid w:linePitch="360"/>
        </w:sectPr>
      </w:pPr>
      <w:r>
        <w:drawing>
          <wp:inline>
            <wp:extent cx="1718945" cy="981710"/>
            <wp:docPr id="632" name="Picutre 632"/>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255"/>
                    <a:stretch/>
                  </pic:blipFill>
                  <pic:spPr>
                    <a:xfrm>
                      <a:ext cx="1718945" cy="981710"/>
                    </a:xfrm>
                    <a:prstGeom prst="rect"/>
                  </pic:spPr>
                </pic:pic>
              </a:graphicData>
            </a:graphic>
          </wp:inline>
        </w:drawing>
      </w: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、本企业的其他关联方情况</w:t>
      </w:r>
    </w:p>
    <w:tbl>
      <w:tblPr>
        <w:tblOverlap w:val="never"/>
        <w:jc w:val="center"/>
        <w:tblLayout w:type="fixed"/>
      </w:tblPr>
      <w:tblGrid>
        <w:gridCol w:w="3197"/>
        <w:gridCol w:w="3192"/>
        <w:gridCol w:w="3197"/>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其他关联方名称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远茂化工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公司股东，持股比例</w:t>
            </w:r>
            <w:r>
              <w:rPr>
                <w:rFonts w:ascii="Times New Roman" w:eastAsia="Times New Roman" w:hAnsi="Times New Roman" w:cs="Times New Roman"/>
                <w:color w:val="000000"/>
                <w:spacing w:val="0"/>
                <w:w w:val="100"/>
                <w:position w:val="0"/>
              </w:rPr>
              <w:t>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23195732-8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诚众投资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公司股东，持股比例</w:t>
            </w: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55557735-6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罗桥胜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卢锡球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冯倩红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董事、总经理、董事会秘书</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谢基柱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吴东昕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孙颖楷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何国英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卢惠全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、关联方交易</w:t>
      </w:r>
    </w:p>
    <w:p>
      <w:pPr>
        <w:widowControl w:val="0"/>
        <w:spacing w:after="359" w:line="1" w:lineRule="exact"/>
      </w:pP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 xml:space="preserve">本报告期无采购商品、接受劳务 </w:t>
      </w:r>
      <w:r>
        <w:rPr>
          <w:rFonts w:ascii="Times New Roman" w:eastAsia="Times New Roman" w:hAnsi="Times New Roman" w:cs="Times New Roman"/>
          <w:b/>
          <w:bCs/>
          <w:color w:val="000000"/>
          <w:spacing w:val="0"/>
          <w:w w:val="100"/>
          <w:position w:val="0"/>
        </w:rPr>
        <w:t>(2)</w:t>
      </w:r>
      <w:r>
        <w:rPr>
          <w:b/>
          <w:bCs/>
          <w:color w:val="000000"/>
          <w:spacing w:val="0"/>
          <w:w w:val="100"/>
          <w:position w:val="0"/>
        </w:rPr>
        <w:t>本报告期无关联托管</w:t>
      </w:r>
      <w:r>
        <w:rPr>
          <w:rFonts w:ascii="Times New Roman" w:eastAsia="Times New Roman" w:hAnsi="Times New Roman" w:cs="Times New Roman"/>
          <w:b/>
          <w:bCs/>
          <w:color w:val="000000"/>
          <w:spacing w:val="0"/>
          <w:w w:val="100"/>
          <w:position w:val="0"/>
        </w:rPr>
        <w:t>/</w:t>
      </w:r>
      <w:r>
        <w:rPr>
          <w:b/>
          <w:bCs/>
          <w:color w:val="000000"/>
          <w:spacing w:val="0"/>
          <w:w w:val="100"/>
          <w:position w:val="0"/>
        </w:rPr>
        <w:t>承包</w:t>
      </w:r>
    </w:p>
    <w:p>
      <w:pPr>
        <w:pStyle w:val="Style35"/>
        <w:keepNext w:val="0"/>
        <w:keepLines w:val="0"/>
        <w:widowControl w:val="0"/>
        <w:numPr>
          <w:ilvl w:val="0"/>
          <w:numId w:val="47"/>
        </w:numPr>
        <w:shd w:val="clear" w:color="auto" w:fill="auto"/>
        <w:bidi w:val="0"/>
        <w:spacing w:before="0" w:after="360" w:line="240" w:lineRule="auto"/>
        <w:ind w:left="0" w:right="0" w:firstLine="0"/>
        <w:jc w:val="left"/>
      </w:pPr>
      <w:bookmarkStart w:id="765" w:name="bookmark765"/>
      <w:bookmarkEnd w:id="765"/>
      <w:r>
        <w:rPr>
          <w:b/>
          <w:bCs/>
          <w:color w:val="000000"/>
          <w:spacing w:val="0"/>
          <w:w w:val="100"/>
          <w:position w:val="0"/>
        </w:rPr>
        <w:t>本报告期无关联租赁</w:t>
      </w:r>
    </w:p>
    <w:p>
      <w:pPr>
        <w:pStyle w:val="Style35"/>
        <w:keepNext w:val="0"/>
        <w:keepLines w:val="0"/>
        <w:widowControl w:val="0"/>
        <w:numPr>
          <w:ilvl w:val="0"/>
          <w:numId w:val="47"/>
        </w:numPr>
        <w:shd w:val="clear" w:color="auto" w:fill="auto"/>
        <w:bidi w:val="0"/>
        <w:spacing w:before="0" w:after="360" w:line="240" w:lineRule="auto"/>
        <w:ind w:left="0" w:right="0" w:firstLine="0"/>
        <w:jc w:val="left"/>
      </w:pPr>
      <w:bookmarkStart w:id="766" w:name="bookmark766"/>
      <w:bookmarkEnd w:id="766"/>
      <w:r>
        <w:rPr>
          <w:b/>
          <w:bCs/>
          <w:color w:val="000000"/>
          <w:spacing w:val="0"/>
          <w:w w:val="100"/>
          <w:position w:val="0"/>
        </w:rPr>
        <w:t>本报告期无关联担保</w:t>
      </w:r>
    </w:p>
    <w:p>
      <w:pPr>
        <w:pStyle w:val="Style35"/>
        <w:keepNext w:val="0"/>
        <w:keepLines w:val="0"/>
        <w:widowControl w:val="0"/>
        <w:numPr>
          <w:ilvl w:val="0"/>
          <w:numId w:val="47"/>
        </w:numPr>
        <w:shd w:val="clear" w:color="auto" w:fill="auto"/>
        <w:bidi w:val="0"/>
        <w:spacing w:before="0" w:after="360" w:line="240" w:lineRule="auto"/>
        <w:ind w:left="0" w:right="0" w:firstLine="0"/>
        <w:jc w:val="left"/>
      </w:pPr>
      <w:bookmarkStart w:id="767" w:name="bookmark767"/>
      <w:bookmarkEnd w:id="767"/>
      <w:r>
        <w:rPr>
          <w:b/>
          <w:bCs/>
          <w:color w:val="000000"/>
          <w:spacing w:val="0"/>
          <w:w w:val="100"/>
          <w:position w:val="0"/>
        </w:rPr>
        <w:t>本报告期无关联方资金拆借</w:t>
      </w:r>
    </w:p>
    <w:p>
      <w:pPr>
        <w:pStyle w:val="Style35"/>
        <w:keepNext w:val="0"/>
        <w:keepLines w:val="0"/>
        <w:widowControl w:val="0"/>
        <w:numPr>
          <w:ilvl w:val="0"/>
          <w:numId w:val="47"/>
        </w:numPr>
        <w:shd w:val="clear" w:color="auto" w:fill="auto"/>
        <w:bidi w:val="0"/>
        <w:spacing w:before="0" w:after="360" w:line="240" w:lineRule="auto"/>
        <w:ind w:left="0" w:right="0" w:firstLine="0"/>
        <w:jc w:val="left"/>
      </w:pPr>
      <w:bookmarkStart w:id="768" w:name="bookmark768"/>
      <w:bookmarkEnd w:id="768"/>
      <w:r>
        <w:rPr>
          <w:b/>
          <w:bCs/>
          <w:color w:val="000000"/>
          <w:spacing w:val="0"/>
          <w:w w:val="100"/>
          <w:position w:val="0"/>
        </w:rPr>
        <w:t>本报告期无关联方资产转让、债务重组</w:t>
      </w:r>
    </w:p>
    <w:p>
      <w:pPr>
        <w:pStyle w:val="Style35"/>
        <w:keepNext w:val="0"/>
        <w:keepLines w:val="0"/>
        <w:widowControl w:val="0"/>
        <w:numPr>
          <w:ilvl w:val="0"/>
          <w:numId w:val="47"/>
        </w:numPr>
        <w:shd w:val="clear" w:color="auto" w:fill="auto"/>
        <w:bidi w:val="0"/>
        <w:spacing w:before="0" w:after="360" w:line="240" w:lineRule="auto"/>
        <w:ind w:left="0" w:right="0" w:firstLine="0"/>
        <w:jc w:val="left"/>
      </w:pPr>
      <w:bookmarkStart w:id="769" w:name="bookmark769"/>
      <w:bookmarkEnd w:id="769"/>
      <w:r>
        <w:rPr>
          <w:b/>
          <w:bCs/>
          <w:color w:val="000000"/>
          <w:spacing w:val="0"/>
          <w:w w:val="100"/>
          <w:position w:val="0"/>
        </w:rPr>
        <w:t xml:space="preserve">本报告期无其他关联交易 </w:t>
      </w:r>
      <w:bookmarkStart w:id="770" w:name="bookmark770"/>
      <w:r>
        <w:rPr>
          <w:rFonts w:ascii="Times New Roman" w:eastAsia="Times New Roman" w:hAnsi="Times New Roman" w:cs="Times New Roman"/>
          <w:b/>
          <w:bCs/>
          <w:color w:val="000000"/>
          <w:spacing w:val="0"/>
          <w:w w:val="100"/>
          <w:position w:val="0"/>
        </w:rPr>
        <w:t>6</w:t>
      </w:r>
      <w:bookmarkEnd w:id="770"/>
      <w:r>
        <w:rPr>
          <w:b/>
          <w:bCs/>
          <w:color w:val="000000"/>
          <w:spacing w:val="0"/>
          <w:w w:val="100"/>
          <w:position w:val="0"/>
        </w:rPr>
        <w:t>、期末无关联方应收应付款项</w:t>
      </w:r>
    </w:p>
    <w:p>
      <w:pPr>
        <w:pStyle w:val="Style30"/>
        <w:keepNext/>
        <w:keepLines/>
        <w:widowControl w:val="0"/>
        <w:shd w:val="clear" w:color="auto" w:fill="auto"/>
        <w:bidi w:val="0"/>
        <w:spacing w:before="0" w:after="36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sz w:val="24"/>
          <w:szCs w:val="24"/>
        </w:rPr>
        <w:t>九</w:t>
      </w:r>
      <w:bookmarkEnd w:id="773"/>
      <w:r>
        <w:rPr>
          <w:color w:val="000000"/>
          <w:spacing w:val="0"/>
          <w:w w:val="100"/>
          <w:position w:val="0"/>
          <w:sz w:val="24"/>
          <w:szCs w:val="24"/>
        </w:rPr>
        <w:t>、股份支付</w:t>
      </w:r>
      <w:bookmarkEnd w:id="771"/>
      <w:bookmarkEnd w:id="772"/>
      <w:bookmarkEnd w:id="774"/>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本公司无需要披露的股份支付事项。</w:t>
      </w:r>
    </w:p>
    <w:p>
      <w:pPr>
        <w:pStyle w:val="Style30"/>
        <w:keepNext/>
        <w:keepLines/>
        <w:widowControl w:val="0"/>
        <w:shd w:val="clear" w:color="auto" w:fill="auto"/>
        <w:bidi w:val="0"/>
        <w:spacing w:before="0" w:after="360" w:line="240" w:lineRule="auto"/>
        <w:ind w:left="0" w:right="0" w:firstLine="0"/>
        <w:jc w:val="both"/>
      </w:pPr>
      <w:bookmarkStart w:id="775" w:name="bookmark775"/>
      <w:bookmarkStart w:id="776" w:name="bookmark776"/>
      <w:bookmarkStart w:id="777" w:name="bookmark777"/>
      <w:r>
        <w:rPr>
          <w:color w:val="000000"/>
          <w:spacing w:val="0"/>
          <w:w w:val="100"/>
          <w:position w:val="0"/>
          <w:sz w:val="24"/>
          <w:szCs w:val="24"/>
        </w:rPr>
        <w:t>十、或有事项</w:t>
      </w:r>
      <w:bookmarkEnd w:id="775"/>
      <w:bookmarkEnd w:id="776"/>
      <w:bookmarkEnd w:id="777"/>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本公司无需要披露的或有事项。</w:t>
      </w:r>
    </w:p>
    <w:p>
      <w:pPr>
        <w:pStyle w:val="Style30"/>
        <w:keepNext/>
        <w:keepLines/>
        <w:widowControl w:val="0"/>
        <w:shd w:val="clear" w:color="auto" w:fill="auto"/>
        <w:bidi w:val="0"/>
        <w:spacing w:before="0" w:after="360" w:line="240" w:lineRule="auto"/>
        <w:ind w:left="0" w:right="0" w:firstLine="0"/>
        <w:jc w:val="both"/>
      </w:pPr>
      <w:bookmarkStart w:id="778" w:name="bookmark778"/>
      <w:bookmarkStart w:id="779" w:name="bookmark779"/>
      <w:bookmarkStart w:id="780" w:name="bookmark780"/>
      <w:r>
        <w:rPr>
          <w:color w:val="000000"/>
          <w:spacing w:val="0"/>
          <w:w w:val="100"/>
          <w:position w:val="0"/>
          <w:sz w:val="24"/>
          <w:szCs w:val="24"/>
        </w:rPr>
        <w:t>十一、承诺事项</w:t>
      </w:r>
      <w:bookmarkEnd w:id="778"/>
      <w:bookmarkEnd w:id="779"/>
      <w:bookmarkEnd w:id="780"/>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本公司无需要披露的承诺事项。</w:t>
      </w:r>
    </w:p>
    <w:p>
      <w:pPr>
        <w:pStyle w:val="Style30"/>
        <w:keepNext/>
        <w:keepLines/>
        <w:widowControl w:val="0"/>
        <w:shd w:val="clear" w:color="auto" w:fill="auto"/>
        <w:bidi w:val="0"/>
        <w:spacing w:before="0" w:after="360" w:line="240" w:lineRule="auto"/>
        <w:ind w:left="0" w:right="0" w:firstLine="0"/>
        <w:jc w:val="both"/>
      </w:pPr>
      <w:bookmarkStart w:id="781" w:name="bookmark781"/>
      <w:bookmarkStart w:id="782" w:name="bookmark782"/>
      <w:bookmarkStart w:id="783" w:name="bookmark783"/>
      <w:r>
        <w:rPr>
          <w:color w:val="000000"/>
          <w:spacing w:val="0"/>
          <w:w w:val="100"/>
          <w:position w:val="0"/>
          <w:sz w:val="24"/>
          <w:szCs w:val="24"/>
        </w:rPr>
        <w:t>十二、资产负债表日后事项</w:t>
      </w:r>
      <w:bookmarkEnd w:id="781"/>
      <w:bookmarkEnd w:id="782"/>
      <w:bookmarkEnd w:id="783"/>
    </w:p>
    <w:p>
      <w:pPr>
        <w:pStyle w:val="Style48"/>
        <w:keepNext/>
        <w:keepLines/>
        <w:widowControl w:val="0"/>
        <w:shd w:val="clear" w:color="auto" w:fill="auto"/>
        <w:bidi w:val="0"/>
        <w:spacing w:before="0" w:after="360" w:line="240" w:lineRule="auto"/>
        <w:ind w:left="0" w:right="0" w:firstLine="0"/>
        <w:jc w:val="both"/>
      </w:pPr>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784"/>
      <w:bookmarkEnd w:id="785"/>
      <w:bookmarkEnd w:id="78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8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both"/>
      </w:pPr>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787"/>
      <w:bookmarkEnd w:id="788"/>
      <w:bookmarkEnd w:id="789"/>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本公司无需要披露的资产负债表日后事项。</w:t>
      </w:r>
    </w:p>
    <w:p>
      <w:pPr>
        <w:pStyle w:val="Style30"/>
        <w:keepNext/>
        <w:keepLines/>
        <w:widowControl w:val="0"/>
        <w:shd w:val="clear" w:color="auto" w:fill="auto"/>
        <w:bidi w:val="0"/>
        <w:spacing w:before="0" w:after="360" w:line="240" w:lineRule="auto"/>
        <w:ind w:left="0" w:right="0" w:firstLine="0"/>
        <w:jc w:val="both"/>
      </w:pPr>
      <w:bookmarkStart w:id="790" w:name="bookmark790"/>
      <w:bookmarkStart w:id="791" w:name="bookmark791"/>
      <w:bookmarkStart w:id="792" w:name="bookmark792"/>
      <w:r>
        <w:rPr>
          <w:color w:val="000000"/>
          <w:spacing w:val="0"/>
          <w:w w:val="100"/>
          <w:position w:val="0"/>
          <w:sz w:val="24"/>
          <w:szCs w:val="24"/>
        </w:rPr>
        <w:t>十三、其他重要事项</w:t>
      </w:r>
      <w:bookmarkEnd w:id="790"/>
      <w:bookmarkEnd w:id="791"/>
      <w:bookmarkEnd w:id="792"/>
    </w:p>
    <w:p>
      <w:pPr>
        <w:pStyle w:val="Style3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本公司无需要披露的其他重要事项。</w:t>
      </w:r>
    </w:p>
    <w:p>
      <w:pPr>
        <w:pStyle w:val="Style30"/>
        <w:keepNext/>
        <w:keepLines/>
        <w:widowControl w:val="0"/>
        <w:shd w:val="clear" w:color="auto" w:fill="auto"/>
        <w:bidi w:val="0"/>
        <w:spacing w:before="0" w:after="360" w:line="240" w:lineRule="auto"/>
        <w:ind w:left="0" w:right="0" w:firstLine="0"/>
        <w:jc w:val="both"/>
      </w:pPr>
      <w:bookmarkStart w:id="793" w:name="bookmark793"/>
      <w:bookmarkStart w:id="794" w:name="bookmark794"/>
      <w:bookmarkStart w:id="795" w:name="bookmark795"/>
      <w:r>
        <w:rPr>
          <w:color w:val="000000"/>
          <w:spacing w:val="0"/>
          <w:w w:val="100"/>
          <w:position w:val="0"/>
          <w:sz w:val="24"/>
          <w:szCs w:val="24"/>
        </w:rPr>
        <w:t>十四、母公司财务报表主要项目注释</w:t>
      </w:r>
      <w:bookmarkEnd w:id="793"/>
      <w:bookmarkEnd w:id="794"/>
      <w:bookmarkEnd w:id="795"/>
    </w:p>
    <w:p>
      <w:pPr>
        <w:pStyle w:val="Style48"/>
        <w:keepNext/>
        <w:keepLines/>
        <w:widowControl w:val="0"/>
        <w:shd w:val="clear" w:color="auto" w:fill="auto"/>
        <w:bidi w:val="0"/>
        <w:spacing w:before="0" w:after="360" w:line="240" w:lineRule="auto"/>
        <w:ind w:left="0" w:right="0" w:firstLine="0"/>
        <w:jc w:val="both"/>
      </w:pPr>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796"/>
      <w:bookmarkEnd w:id="797"/>
      <w:bookmarkEnd w:id="798"/>
    </w:p>
    <w:p>
      <w:pPr>
        <w:pStyle w:val="Style48"/>
        <w:keepNext/>
        <w:keepLines/>
        <w:widowControl w:val="0"/>
        <w:shd w:val="clear" w:color="auto" w:fill="auto"/>
        <w:bidi w:val="0"/>
        <w:spacing w:before="0" w:after="360" w:line="240" w:lineRule="auto"/>
        <w:ind w:left="0" w:right="0" w:firstLine="0"/>
        <w:jc w:val="both"/>
      </w:pPr>
      <w:bookmarkStart w:id="796" w:name="bookmark796"/>
      <w:bookmarkStart w:id="797" w:name="bookmark797"/>
      <w:bookmarkStart w:id="799" w:name="bookmark79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796"/>
      <w:bookmarkEnd w:id="797"/>
      <w:bookmarkEnd w:id="799"/>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 元</w:t>
      </w:r>
    </w:p>
    <w:tbl>
      <w:tblPr>
        <w:tblOverlap w:val="never"/>
        <w:jc w:val="center"/>
        <w:tblLayout w:type="fixed"/>
      </w:tblPr>
      <w:tblGrid>
        <w:gridCol w:w="1622"/>
        <w:gridCol w:w="1445"/>
        <w:gridCol w:w="720"/>
        <w:gridCol w:w="1080"/>
        <w:gridCol w:w="720"/>
        <w:gridCol w:w="1440"/>
        <w:gridCol w:w="720"/>
        <w:gridCol w:w="1166"/>
        <w:gridCol w:w="672"/>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67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圭备的应收账款</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：账龄分析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323,322,707.36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287,440.67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232,909,495.54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194,002.48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323,322,707.36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287,440.67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232,909,495.54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194,002.48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323,322,707.36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287,440.67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232,909,495.54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194,002.48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tabs>
          <w:tab w:pos="7742" w:val="left"/>
        </w:tabs>
        <w:bidi w:val="0"/>
        <w:spacing w:before="0" w:after="100" w:line="240" w:lineRule="auto"/>
        <w:ind w:left="0" w:right="0" w:firstLine="0"/>
        <w:jc w:val="left"/>
      </w:pPr>
      <w:r>
        <w:rPr>
          <w:color w:val="000000"/>
          <w:spacing w:val="0"/>
          <w:w w:val="100"/>
          <w:position w:val="0"/>
        </w:rPr>
        <w:t>期末单项金额重大并单项计提坏账准备的应收账款</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组合中，采用账龄分析法计提坏账准备的应收账款</w:t>
      </w:r>
    </w:p>
    <w:p>
      <w:pPr>
        <w:widowControl w:val="0"/>
        <w:spacing w:after="7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 元</w:t>
      </w:r>
    </w:p>
    <w:tbl>
      <w:tblPr>
        <w:tblOverlap w:val="never"/>
        <w:jc w:val="center"/>
        <w:tblLayout w:type="fixed"/>
      </w:tblPr>
      <w:tblGrid>
        <w:gridCol w:w="2530"/>
        <w:gridCol w:w="3600"/>
        <w:gridCol w:w="3456"/>
      </w:tblGrid>
      <w:tr>
        <w:trPr>
          <w:trHeight w:val="38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sectPr>
          <w:headerReference w:type="default" r:id="rId257"/>
          <w:footerReference w:type="default" r:id="rId258"/>
          <w:headerReference w:type="even" r:id="rId259"/>
          <w:footerReference w:type="even" r:id="rId260"/>
          <w:headerReference w:type="first" r:id="rId261"/>
          <w:footerReference w:type="first" r:id="rId262"/>
          <w:footnotePr>
            <w:pos w:val="pageBottom"/>
            <w:numFmt w:val="decimal"/>
            <w:numRestart w:val="continuous"/>
          </w:footnotePr>
          <w:pgSz w:w="11900" w:h="16840"/>
          <w:pgMar w:top="1441" w:right="1200" w:bottom="1667" w:left="1100" w:header="0" w:footer="3" w:gutter="0"/>
          <w:cols w:space="720"/>
          <w:noEndnote/>
          <w:titlePg/>
          <w:rtlGutter w:val="0"/>
          <w:docGrid w:linePitch="360"/>
        </w:sectPr>
      </w:pPr>
    </w:p>
    <w:tbl>
      <w:tblPr>
        <w:tblOverlap w:val="never"/>
        <w:jc w:val="left"/>
        <w:tblLayout w:type="fixed"/>
      </w:tblPr>
      <w:tblGrid>
        <w:gridCol w:w="2530"/>
        <w:gridCol w:w="1618"/>
        <w:gridCol w:w="902"/>
        <w:gridCol w:w="1080"/>
        <w:gridCol w:w="1440"/>
        <w:gridCol w:w="898"/>
        <w:gridCol w:w="1118"/>
      </w:tblGrid>
      <w:tr>
        <w:trPr>
          <w:trHeight w:val="374" w:hRule="exact"/>
        </w:trPr>
        <w:tc>
          <w:tcPr>
            <w:vMerge w:val="restart"/>
            <w:tcBorders>
              <w:top w:val="single" w:sz="4"/>
              <w:left w:val="single" w:sz="4"/>
            </w:tcBorders>
            <w:shd w:val="clear" w:color="auto" w:fill="D3D3D3"/>
            <w:vAlign w:val="top"/>
          </w:tcPr>
          <w:p>
            <w:pPr>
              <w:framePr w:w="9586" w:h="3706" w:vSpace="346" w:wrap="notBeside" w:vAnchor="text" w:hAnchor="text" w:x="8" w:y="1"/>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365" w:hRule="exact"/>
        </w:trPr>
        <w:tc>
          <w:tcPr>
            <w:vMerge/>
            <w:tcBorders>
              <w:left w:val="single" w:sz="4"/>
            </w:tcBorders>
            <w:shd w:val="clear" w:color="auto" w:fill="D3D3D3"/>
            <w:vAlign w:val="top"/>
          </w:tcPr>
          <w:p>
            <w:pPr>
              <w:framePr w:w="9586" w:h="3706" w:vSpace="346" w:wrap="notBeside" w:vAnchor="text" w:hAnchor="text" w:x="8" w:y="1"/>
            </w:pPr>
          </w:p>
        </w:tc>
        <w:tc>
          <w:tcPr>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framePr w:w="9586" w:h="3706" w:vSpace="346" w:wrap="notBeside" w:vAnchor="text" w:hAnchor="text" w:x="8" w:y="1"/>
            </w:pPr>
          </w:p>
        </w:tc>
        <w:tc>
          <w:tcPr>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framePr w:w="9586" w:h="3706" w:vSpace="346" w:wrap="notBeside" w:vAnchor="text" w:hAnchor="text" w:x="8" w:y="1"/>
            </w:pPr>
          </w:p>
        </w:tc>
      </w:tr>
      <w:tr>
        <w:trPr>
          <w:trHeight w:val="370" w:hRule="exact"/>
        </w:trPr>
        <w:tc>
          <w:tcPr>
            <w:gridSpan w:val="7"/>
            <w:tcBorders>
              <w:top w:val="single" w:sz="4"/>
              <w:left w:val="single" w:sz="4"/>
              <w:righ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70" w:hRule="exact"/>
        </w:trPr>
        <w:tc>
          <w:tcPr>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个月</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319,803,759.85</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98.92%</w:t>
            </w:r>
          </w:p>
        </w:tc>
        <w:tc>
          <w:tcPr>
            <w:tcBorders>
              <w:top w:val="single" w:sz="4"/>
              <w:left w:val="single" w:sz="4"/>
            </w:tcBorders>
            <w:shd w:val="clear" w:color="auto" w:fill="FFFFFF"/>
            <w:vAlign w:val="top"/>
          </w:tcPr>
          <w:p>
            <w:pPr>
              <w:framePr w:w="9586" w:h="3706" w:vSpace="346"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231,051,067.16</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w:t>
            </w:r>
          </w:p>
        </w:tc>
        <w:tc>
          <w:tcPr>
            <w:tcBorders>
              <w:top w:val="single" w:sz="4"/>
              <w:left w:val="single" w:sz="4"/>
              <w:right w:val="single" w:sz="4"/>
            </w:tcBorders>
            <w:shd w:val="clear" w:color="auto" w:fill="FFFFFF"/>
            <w:vAlign w:val="top"/>
          </w:tcPr>
          <w:p>
            <w:pPr>
              <w:framePr w:w="9586" w:h="3706" w:vSpace="346" w:wrap="notBeside" w:vAnchor="text" w:hAnchor="text" w:x="8" w:y="1"/>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个月至</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3,377,470.37</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168,873.52</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1,633,803.79</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0.7%</w:t>
            </w:r>
          </w:p>
        </w:tc>
        <w:tc>
          <w:tcPr>
            <w:tcBorders>
              <w:top w:val="single" w:sz="4"/>
              <w:left w:val="single" w:sz="4"/>
              <w:righ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81,690.19</w:t>
            </w:r>
          </w:p>
        </w:tc>
      </w:tr>
      <w:tr>
        <w:trPr>
          <w:trHeight w:val="370" w:hRule="exact"/>
        </w:trPr>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45,819.97</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22,909.98</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224,624.59</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112,312.29</w:t>
            </w:r>
          </w:p>
        </w:tc>
      </w:tr>
      <w:tr>
        <w:trPr>
          <w:trHeight w:val="370" w:hRule="exact"/>
        </w:trPr>
        <w:tc>
          <w:tcPr>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323,227,050.19</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99.97%</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191,783.50</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232,909,495.54</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194,002.48</w:t>
            </w:r>
          </w:p>
        </w:tc>
      </w:tr>
      <w:tr>
        <w:trPr>
          <w:trHeight w:val="370" w:hRule="exact"/>
        </w:trPr>
        <w:tc>
          <w:tcPr>
            <w:tcBorders>
              <w:top w:val="single" w:sz="4"/>
              <w:left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95,657.17</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95,657.17</w:t>
            </w:r>
          </w:p>
        </w:tc>
        <w:tc>
          <w:tcPr>
            <w:tcBorders>
              <w:top w:val="single" w:sz="4"/>
              <w:left w:val="single" w:sz="4"/>
            </w:tcBorders>
            <w:shd w:val="clear" w:color="auto" w:fill="FFFFFF"/>
            <w:vAlign w:val="top"/>
          </w:tcPr>
          <w:p>
            <w:pPr>
              <w:framePr w:w="9586" w:h="3706" w:vSpace="346" w:wrap="notBeside" w:vAnchor="text" w:hAnchor="text" w:x="8" w:y="1"/>
              <w:widowControl w:val="0"/>
              <w:rPr>
                <w:sz w:val="10"/>
                <w:szCs w:val="10"/>
              </w:rPr>
            </w:pPr>
          </w:p>
        </w:tc>
        <w:tc>
          <w:tcPr>
            <w:tcBorders>
              <w:top w:val="single" w:sz="4"/>
              <w:left w:val="single" w:sz="4"/>
            </w:tcBorders>
            <w:shd w:val="clear" w:color="auto" w:fill="FFFFFF"/>
            <w:vAlign w:val="top"/>
          </w:tcPr>
          <w:p>
            <w:pPr>
              <w:framePr w:w="9586" w:h="3706" w:vSpace="346"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9586" w:h="3706" w:vSpace="346" w:wrap="notBeside" w:vAnchor="text" w:hAnchor="text" w:x="8" w:y="1"/>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323,322,707.36</w:t>
            </w:r>
          </w:p>
        </w:tc>
        <w:tc>
          <w:tcPr>
            <w:tcBorders>
              <w:top w:val="single" w:sz="4"/>
              <w:left w:val="single" w:sz="4"/>
              <w:bottom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287,440.67</w:t>
            </w:r>
          </w:p>
        </w:tc>
        <w:tc>
          <w:tcPr>
            <w:tcBorders>
              <w:top w:val="single" w:sz="4"/>
              <w:left w:val="single" w:sz="4"/>
              <w:bottom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232,909,495.54</w:t>
            </w:r>
          </w:p>
        </w:tc>
        <w:tc>
          <w:tcPr>
            <w:tcBorders>
              <w:top w:val="single" w:sz="4"/>
              <w:left w:val="single" w:sz="4"/>
              <w:bottom w:val="single" w:sz="4"/>
            </w:tcBorders>
            <w:shd w:val="clear" w:color="auto" w:fill="D3D3D3"/>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framePr w:w="9586" w:h="3706" w:vSpace="346" w:wrap="notBeside" w:vAnchor="text" w:hAnchor="text" w:x="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194,002.48</w:t>
            </w:r>
          </w:p>
        </w:tc>
      </w:tr>
    </w:tbl>
    <w:p>
      <w:pPr>
        <w:pStyle w:val="Style38"/>
        <w:keepNext w:val="0"/>
        <w:keepLines w:val="0"/>
        <w:framePr w:w="1642" w:h="298" w:hSpace="7" w:wrap="notBeside" w:vAnchor="text" w:hAnchor="text" w:x="7779" w:y="375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line="1" w:lineRule="exact"/>
      </w:pPr>
    </w:p>
    <w:p>
      <w:pPr>
        <w:pStyle w:val="Style35"/>
        <w:keepNext w:val="0"/>
        <w:keepLines w:val="0"/>
        <w:widowControl w:val="0"/>
        <w:numPr>
          <w:ilvl w:val="0"/>
          <w:numId w:val="53"/>
        </w:numPr>
        <w:shd w:val="clear" w:color="auto" w:fill="auto"/>
        <w:tabs>
          <w:tab w:pos="430" w:val="left"/>
        </w:tabs>
        <w:bidi w:val="0"/>
        <w:spacing w:before="360" w:after="360" w:line="240" w:lineRule="auto"/>
        <w:ind w:left="0" w:right="0" w:firstLine="0"/>
        <w:jc w:val="left"/>
      </w:pPr>
      <w:r>
        <mc:AlternateContent>
          <mc:Choice Requires="wps">
            <w:drawing>
              <wp:anchor distT="0" distB="0" distL="0" distR="0" simplePos="0" relativeHeight="125829414" behindDoc="0" locked="0" layoutInCell="1" allowOverlap="1">
                <wp:simplePos x="0" y="0"/>
                <wp:positionH relativeFrom="page">
                  <wp:posOffset>698500</wp:posOffset>
                </wp:positionH>
                <wp:positionV relativeFrom="margin">
                  <wp:posOffset>2355850</wp:posOffset>
                </wp:positionV>
                <wp:extent cx="3227705" cy="692150"/>
                <wp:wrapSquare wrapText="bothSides"/>
                <wp:docPr id="654" name="Shape 654"/>
                <a:graphic xmlns:a="http://schemas.openxmlformats.org/drawingml/2006/main">
                  <a:graphicData uri="http://schemas.microsoft.com/office/word/2010/wordprocessingShape">
                    <wps:wsp>
                      <wps:cNvSpPr txBox="1"/>
                      <wps:spPr>
                        <a:xfrm>
                          <a:ext cx="3227705" cy="692150"/>
                        </a:xfrm>
                        <a:prstGeom prst="rect"/>
                        <a:noFill/>
                      </wps:spPr>
                      <wps:txbx>
                        <w:txbxContent>
                          <w:p>
                            <w:pPr>
                              <w:pStyle w:val="Style35"/>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组合中，采用余额百分比法计提坏账准备的应收账款</w:t>
                            </w:r>
                          </w:p>
                          <w:p>
                            <w:pPr>
                              <w:pStyle w:val="Style35"/>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组合中，采用其他方法计提坏账准备的应收账款 期末单项金额虽不重大但单项计提坏账准备的应收账款</w:t>
                            </w:r>
                          </w:p>
                        </w:txbxContent>
                      </wps:txbx>
                      <wps:bodyPr lIns="0" tIns="0" rIns="0" bIns="0">
                        <a:noAutoFit/>
                      </wps:bodyPr>
                    </wps:wsp>
                  </a:graphicData>
                </a:graphic>
              </wp:anchor>
            </w:drawing>
          </mc:Choice>
          <mc:Fallback>
            <w:pict>
              <v:shape id="_x0000_s1680" type="#_x0000_t202" style="position:absolute;margin-left:55.pt;margin-top:185.5pt;width:254.15000000000001pt;height:54.5pt;z-index:-125829339;mso-wrap-distance-left:0;mso-wrap-distance-right:0;mso-position-horizontal-relative:page;mso-position-vertical-relative:margin" filled="f" stroked="f">
                <v:textbox inset="0,0,0,0">
                  <w:txbxContent>
                    <w:p>
                      <w:pPr>
                        <w:pStyle w:val="Style35"/>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组合中，采用余额百分比法计提坏账准备的应收账款</w:t>
                      </w:r>
                    </w:p>
                    <w:p>
                      <w:pPr>
                        <w:pStyle w:val="Style35"/>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组合中，采用其他方法计提坏账准备的应收账款 期末单项金额虽不重大但单项计提坏账准备的应收账款</w:t>
                      </w:r>
                    </w:p>
                  </w:txbxContent>
                </v:textbox>
                <w10:wrap type="square" anchorx="page" anchory="margin"/>
              </v:shape>
            </w:pict>
          </mc:Fallback>
        </mc:AlternateContent>
      </w:r>
      <w:r>
        <mc:AlternateContent>
          <mc:Choice Requires="wps">
            <w:drawing>
              <wp:anchor distT="0" distB="225425" distL="114300" distR="116840" simplePos="0" relativeHeight="125829416" behindDoc="0" locked="0" layoutInCell="1" allowOverlap="1">
                <wp:simplePos x="0" y="0"/>
                <wp:positionH relativeFrom="page">
                  <wp:posOffset>5636260</wp:posOffset>
                </wp:positionH>
                <wp:positionV relativeFrom="margin">
                  <wp:posOffset>2606040</wp:posOffset>
                </wp:positionV>
                <wp:extent cx="1042670" cy="189230"/>
                <wp:wrapTopAndBottom/>
                <wp:docPr id="656" name="Shape 656"/>
                <a:graphic xmlns:a="http://schemas.openxmlformats.org/drawingml/2006/main">
                  <a:graphicData uri="http://schemas.microsoft.com/office/word/2010/wordprocessingShape">
                    <wps:wsp>
                      <wps:cNvSpPr txBox="1"/>
                      <wps:spPr>
                        <a:xfrm>
                          <a:ext cx="1042670" cy="1892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682" type="#_x0000_t202" style="position:absolute;margin-left:443.80000000000001pt;margin-top:205.20000000000002pt;width:82.100000000000009pt;height:14.9pt;z-index:-125829337;mso-wrap-distance-left:9.pt;mso-wrap-distance-right:9.2000000000000011pt;mso-wrap-distance-bottom:17.7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v:textbox>
                <w10:wrap type="topAndBottom" anchorx="page" anchory="margin"/>
              </v:shape>
            </w:pict>
          </mc:Fallback>
        </mc:AlternateContent>
      </w:r>
      <w:r>
        <mc:AlternateContent>
          <mc:Choice Requires="wps">
            <w:drawing>
              <wp:anchor distT="225425" distB="0" distL="117475" distR="113665" simplePos="0" relativeHeight="125829418" behindDoc="0" locked="0" layoutInCell="1" allowOverlap="1">
                <wp:simplePos x="0" y="0"/>
                <wp:positionH relativeFrom="page">
                  <wp:posOffset>5639435</wp:posOffset>
                </wp:positionH>
                <wp:positionV relativeFrom="margin">
                  <wp:posOffset>2831465</wp:posOffset>
                </wp:positionV>
                <wp:extent cx="1042670" cy="189230"/>
                <wp:wrapTopAndBottom/>
                <wp:docPr id="658" name="Shape 658"/>
                <a:graphic xmlns:a="http://schemas.openxmlformats.org/drawingml/2006/main">
                  <a:graphicData uri="http://schemas.microsoft.com/office/word/2010/wordprocessingShape">
                    <wps:wsp>
                      <wps:cNvSpPr txBox="1"/>
                      <wps:spPr>
                        <a:xfrm>
                          <a:ext cx="1042670" cy="1892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684" type="#_x0000_t202" style="position:absolute;margin-left:444.05000000000001pt;margin-top:222.95000000000002pt;width:82.100000000000009pt;height:14.9pt;z-index:-125829335;mso-wrap-distance-left:9.25pt;mso-wrap-distance-top:17.75pt;mso-wrap-distance-right:8.950000000000001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v:textbox>
                <w10:wrap type="topAndBottom" anchorx="page" anchory="margin"/>
              </v:shape>
            </w:pict>
          </mc:Fallback>
        </mc:AlternateContent>
      </w:r>
      <w:bookmarkStart w:id="800" w:name="bookmark800"/>
      <w:bookmarkEnd w:id="800"/>
      <w:r>
        <w:rPr>
          <w:b/>
          <w:bCs/>
          <w:color w:val="000000"/>
          <w:spacing w:val="0"/>
          <w:w w:val="100"/>
          <w:position w:val="0"/>
        </w:rPr>
        <w:t>本报告期无转回或收回的应收账款</w:t>
      </w:r>
    </w:p>
    <w:p>
      <w:pPr>
        <w:pStyle w:val="Style35"/>
        <w:keepNext w:val="0"/>
        <w:keepLines w:val="0"/>
        <w:widowControl w:val="0"/>
        <w:numPr>
          <w:ilvl w:val="0"/>
          <w:numId w:val="53"/>
        </w:numPr>
        <w:shd w:val="clear" w:color="auto" w:fill="auto"/>
        <w:tabs>
          <w:tab w:pos="430" w:val="left"/>
        </w:tabs>
        <w:bidi w:val="0"/>
        <w:spacing w:before="0" w:after="360" w:line="240" w:lineRule="auto"/>
        <w:ind w:left="0" w:right="0" w:firstLine="0"/>
        <w:jc w:val="left"/>
      </w:pPr>
      <w:bookmarkStart w:id="801" w:name="bookmark801"/>
      <w:bookmarkEnd w:id="801"/>
      <w:r>
        <w:rPr>
          <w:b/>
          <w:bCs/>
          <w:color w:val="000000"/>
          <w:spacing w:val="0"/>
          <w:w w:val="100"/>
          <w:position w:val="0"/>
        </w:rPr>
        <w:t>本报告期无实际核销的应收账款</w:t>
      </w:r>
    </w:p>
    <w:p>
      <w:pPr>
        <w:pStyle w:val="Style35"/>
        <w:keepNext w:val="0"/>
        <w:keepLines w:val="0"/>
        <w:widowControl w:val="0"/>
        <w:numPr>
          <w:ilvl w:val="0"/>
          <w:numId w:val="53"/>
        </w:numPr>
        <w:shd w:val="clear" w:color="auto" w:fill="auto"/>
        <w:tabs>
          <w:tab w:pos="430" w:val="left"/>
        </w:tabs>
        <w:bidi w:val="0"/>
        <w:spacing w:before="0" w:after="360" w:line="240" w:lineRule="auto"/>
        <w:ind w:left="0" w:right="0" w:firstLine="0"/>
        <w:jc w:val="left"/>
      </w:pPr>
      <w:bookmarkStart w:id="802" w:name="bookmark802"/>
      <w:bookmarkEnd w:id="802"/>
      <w:r>
        <w:rPr>
          <w:b/>
          <w:bCs/>
          <w:color w:val="000000"/>
          <w:spacing w:val="0"/>
          <w:w w:val="100"/>
          <w:position w:val="0"/>
        </w:rPr>
        <w:t>本报告期应收账款中无持有公司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以上表决权股份的股东单位</w:t>
      </w:r>
    </w:p>
    <w:p>
      <w:pPr>
        <w:pStyle w:val="Style35"/>
        <w:keepNext w:val="0"/>
        <w:keepLines w:val="0"/>
        <w:widowControl w:val="0"/>
        <w:numPr>
          <w:ilvl w:val="0"/>
          <w:numId w:val="53"/>
        </w:numPr>
        <w:shd w:val="clear" w:color="auto" w:fill="auto"/>
        <w:tabs>
          <w:tab w:pos="430" w:val="left"/>
        </w:tabs>
        <w:bidi w:val="0"/>
        <w:spacing w:before="0" w:after="360" w:line="240" w:lineRule="auto"/>
        <w:ind w:left="0" w:right="0" w:firstLine="0"/>
        <w:jc w:val="left"/>
      </w:pPr>
      <w:bookmarkStart w:id="803" w:name="bookmark803"/>
      <w:bookmarkEnd w:id="803"/>
      <w:r>
        <w:rPr>
          <w:b/>
          <w:bCs/>
          <w:color w:val="000000"/>
          <w:spacing w:val="0"/>
          <w:w w:val="100"/>
          <w:position w:val="0"/>
        </w:rPr>
        <w:t>期末无金额较大的其他的应收账款</w:t>
      </w:r>
    </w:p>
    <w:p>
      <w:pPr>
        <w:pStyle w:val="Style35"/>
        <w:keepNext w:val="0"/>
        <w:keepLines w:val="0"/>
        <w:widowControl w:val="0"/>
        <w:numPr>
          <w:ilvl w:val="0"/>
          <w:numId w:val="53"/>
        </w:numPr>
        <w:shd w:val="clear" w:color="auto" w:fill="auto"/>
        <w:tabs>
          <w:tab w:pos="430" w:val="left"/>
        </w:tabs>
        <w:bidi w:val="0"/>
        <w:spacing w:before="0" w:after="360" w:line="240" w:lineRule="auto"/>
        <w:ind w:left="0" w:right="0" w:firstLine="0"/>
        <w:jc w:val="left"/>
      </w:pPr>
      <w:r>
        <w:drawing>
          <wp:anchor distT="2209800" distB="0" distL="114300" distR="114300" simplePos="0" relativeHeight="125829420" behindDoc="0" locked="0" layoutInCell="1" allowOverlap="1">
            <wp:simplePos x="0" y="0"/>
            <wp:positionH relativeFrom="page">
              <wp:posOffset>5843270</wp:posOffset>
            </wp:positionH>
            <wp:positionV relativeFrom="margin">
              <wp:posOffset>9509760</wp:posOffset>
            </wp:positionV>
            <wp:extent cx="402590" cy="146050"/>
            <wp:wrapTopAndBottom/>
            <wp:docPr id="660" name="Shape 660"/>
            <a:graphic xmlns:a="http://schemas.openxmlformats.org/drawingml/2006/main">
              <a:graphicData uri="http://schemas.openxmlformats.org/drawingml/2006/picture">
                <pic:pic xmlns:pic="http://schemas.openxmlformats.org/drawingml/2006/picture">
                  <pic:nvPicPr>
                    <pic:cNvPr id="661" name="Picture box 661"/>
                    <pic:cNvPicPr/>
                  </pic:nvPicPr>
                  <pic:blipFill>
                    <a:blip r:embed="rId263"/>
                    <a:stretch/>
                  </pic:blipFill>
                  <pic:spPr>
                    <a:xfrm>
                      <a:ext cx="402590" cy="146050"/>
                    </a:xfrm>
                    <a:prstGeom prst="rect"/>
                  </pic:spPr>
                </pic:pic>
              </a:graphicData>
            </a:graphic>
          </wp:anchor>
        </w:drawing>
      </w:r>
      <w:bookmarkStart w:id="804" w:name="bookmark804"/>
      <w:bookmarkEnd w:id="804"/>
      <w:r>
        <w:rPr>
          <w:b/>
          <w:bCs/>
          <w:color w:val="000000"/>
          <w:spacing w:val="0"/>
          <w:w w:val="100"/>
          <w:position w:val="0"/>
        </w:rPr>
        <w:t>应收账款中金额前五名单位情况</w:t>
      </w: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占应收账款总额的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42,883,868.93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33,436,111.45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29,948,897.77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29,395,833.85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22,980,152.10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158,644,864.10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49.06%</w:t>
            </w:r>
          </w:p>
        </w:tc>
      </w:tr>
    </w:tbl>
    <w:p>
      <w:pPr>
        <w:spacing w:lineRule="exact" w:line="1"/>
        <w:rPr>
          <w:sz w:val="2"/>
          <w:szCs w:val="2"/>
        </w:rPr>
      </w:pPr>
      <w:r>
        <w:br w:type="page"/>
      </w:r>
    </w:p>
    <w:p>
      <w:pPr>
        <w:pStyle w:val="Style35"/>
        <w:keepNext w:val="0"/>
        <w:keepLines w:val="0"/>
        <w:widowControl w:val="0"/>
        <w:numPr>
          <w:ilvl w:val="0"/>
          <w:numId w:val="53"/>
        </w:numPr>
        <w:shd w:val="clear" w:color="auto" w:fill="auto"/>
        <w:bidi w:val="0"/>
        <w:spacing w:before="0" w:after="360" w:line="240" w:lineRule="auto"/>
        <w:ind w:left="0" w:right="0" w:firstLine="0"/>
        <w:jc w:val="left"/>
      </w:pPr>
      <w:bookmarkStart w:id="805" w:name="bookmark805"/>
      <w:bookmarkEnd w:id="805"/>
      <w:r>
        <w:rPr>
          <w:b/>
          <w:bCs/>
          <w:color w:val="000000"/>
          <w:spacing w:val="0"/>
          <w:w w:val="100"/>
          <w:position w:val="0"/>
        </w:rPr>
        <w:t>期末无应收关联方账款</w:t>
      </w:r>
    </w:p>
    <w:p>
      <w:pPr>
        <w:pStyle w:val="Style35"/>
        <w:keepNext w:val="0"/>
        <w:keepLines w:val="0"/>
        <w:widowControl w:val="0"/>
        <w:numPr>
          <w:ilvl w:val="0"/>
          <w:numId w:val="53"/>
        </w:numPr>
        <w:shd w:val="clear" w:color="auto" w:fill="auto"/>
        <w:bidi w:val="0"/>
        <w:spacing w:before="0" w:after="360" w:line="240" w:lineRule="auto"/>
        <w:ind w:left="0" w:right="0" w:firstLine="0"/>
        <w:jc w:val="left"/>
      </w:pPr>
      <w:bookmarkStart w:id="806" w:name="bookmark806"/>
      <w:bookmarkEnd w:id="806"/>
      <w:r>
        <w:rPr>
          <w:b/>
          <w:bCs/>
          <w:color w:val="000000"/>
          <w:spacing w:val="0"/>
          <w:w w:val="100"/>
          <w:position w:val="0"/>
        </w:rPr>
        <w:t>期末以应收款项为标的资产进行资产证券化</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xml:space="preserve">、其他应收款 </w:t>
      </w: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其他应收款</w:t>
      </w: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单位：元</w:t>
      </w:r>
    </w:p>
    <w:tbl>
      <w:tblPr>
        <w:tblOverlap w:val="never"/>
        <w:jc w:val="center"/>
        <w:tblLayout w:type="fixed"/>
      </w:tblPr>
      <w:tblGrid>
        <w:gridCol w:w="2170"/>
        <w:gridCol w:w="1258"/>
        <w:gridCol w:w="720"/>
        <w:gridCol w:w="1080"/>
        <w:gridCol w:w="782"/>
        <w:gridCol w:w="1200"/>
        <w:gridCol w:w="648"/>
        <w:gridCol w:w="965"/>
        <w:gridCol w:w="763"/>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圭备</w:t>
            </w:r>
          </w:p>
        </w:tc>
      </w:tr>
      <w:tr>
        <w:trPr>
          <w:trHeight w:val="68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65"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：账龄分析法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416,496.72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653,013.21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3.08%</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416,496.72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653,013.21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3.08%</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416,496.72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4,822.99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653,013.21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期末单项金额重大并单项计提坏账准备的其他应收款</w:t>
      </w:r>
    </w:p>
    <w:p>
      <w:pPr>
        <w:pStyle w:val="Style3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0"/>
        <w:jc w:val="left"/>
      </w:pPr>
      <w:r>
        <mc:AlternateContent>
          <mc:Choice Requires="wps">
            <w:drawing>
              <wp:anchor distT="0" distB="0" distL="0" distR="0" simplePos="0" relativeHeight="125829421" behindDoc="0" locked="0" layoutInCell="1" allowOverlap="1">
                <wp:simplePos x="0" y="0"/>
                <wp:positionH relativeFrom="page">
                  <wp:posOffset>701675</wp:posOffset>
                </wp:positionH>
                <wp:positionV relativeFrom="margin">
                  <wp:posOffset>7144385</wp:posOffset>
                </wp:positionV>
                <wp:extent cx="3361690" cy="685800"/>
                <wp:wrapSquare wrapText="right"/>
                <wp:docPr id="662" name="Shape 662"/>
                <a:graphic xmlns:a="http://schemas.openxmlformats.org/drawingml/2006/main">
                  <a:graphicData uri="http://schemas.microsoft.com/office/word/2010/wordprocessingShape">
                    <wps:wsp>
                      <wps:cNvSpPr txBox="1"/>
                      <wps:spPr>
                        <a:xfrm>
                          <a:ext cx="3361690" cy="685800"/>
                        </a:xfrm>
                        <a:prstGeom prst="rect"/>
                        <a:noFill/>
                      </wps:spPr>
                      <wps:txbx>
                        <w:txbxContent>
                          <w:p>
                            <w:pPr>
                              <w:pStyle w:val="Style35"/>
                              <w:keepNext w:val="0"/>
                              <w:keepLines w:val="0"/>
                              <w:widowControl w:val="0"/>
                              <w:shd w:val="clear" w:color="auto" w:fill="auto"/>
                              <w:bidi w:val="0"/>
                              <w:spacing w:before="0" w:after="0" w:line="353" w:lineRule="exact"/>
                              <w:ind w:left="0" w:right="0" w:firstLine="0"/>
                              <w:jc w:val="left"/>
                            </w:pPr>
                            <w:r>
                              <w:rPr>
                                <w:color w:val="000000"/>
                                <w:spacing w:val="0"/>
                                <w:w w:val="100"/>
                                <w:position w:val="0"/>
                              </w:rPr>
                              <w:t>组合中，采用余额百分比法计提坏账准备的其他应收款 组合中，采用其他方法计提坏账准备的其他应收款 期末单项金额虽不重大但单项计提坏账准备的其他应收款</w:t>
                            </w:r>
                          </w:p>
                        </w:txbxContent>
                      </wps:txbx>
                      <wps:bodyPr lIns="0" tIns="0" rIns="0" bIns="0">
                        <a:noAutoFit/>
                      </wps:bodyPr>
                    </wps:wsp>
                  </a:graphicData>
                </a:graphic>
              </wp:anchor>
            </w:drawing>
          </mc:Choice>
          <mc:Fallback>
            <w:pict>
              <v:shape id="_x0000_s1688" type="#_x0000_t202" style="position:absolute;margin-left:55.25pt;margin-top:562.55000000000007pt;width:264.69999999999999pt;height:54.pt;z-index:-125829332;mso-wrap-distance-left:0;mso-wrap-distance-right:0;mso-position-horizontal-relative:page;mso-position-vertical-relative:margin" filled="f" stroked="f">
                <v:textbox inset="0,0,0,0">
                  <w:txbxContent>
                    <w:p>
                      <w:pPr>
                        <w:pStyle w:val="Style35"/>
                        <w:keepNext w:val="0"/>
                        <w:keepLines w:val="0"/>
                        <w:widowControl w:val="0"/>
                        <w:shd w:val="clear" w:color="auto" w:fill="auto"/>
                        <w:bidi w:val="0"/>
                        <w:spacing w:before="0" w:after="0" w:line="353" w:lineRule="exact"/>
                        <w:ind w:left="0" w:right="0" w:firstLine="0"/>
                        <w:jc w:val="left"/>
                      </w:pPr>
                      <w:r>
                        <w:rPr>
                          <w:color w:val="000000"/>
                          <w:spacing w:val="0"/>
                          <w:w w:val="100"/>
                          <w:position w:val="0"/>
                        </w:rPr>
                        <w:t>组合中，采用余额百分比法计提坏账准备的其他应收款 组合中，采用其他方法计提坏账准备的其他应收款 期末单项金额虽不重大但单项计提坏账准备的其他应收款</w:t>
                      </w:r>
                    </w:p>
                  </w:txbxContent>
                </v:textbox>
                <w10:wrap type="square" side="right" anchorx="page" anchory="margin"/>
              </v:shape>
            </w:pict>
          </mc:Fallback>
        </mc:AlternateContent>
      </w:r>
      <w:r>
        <mc:AlternateContent>
          <mc:Choice Requires="wps">
            <w:drawing>
              <wp:anchor distT="0" distB="222250" distL="114300" distR="117475" simplePos="0" relativeHeight="125829423" behindDoc="0" locked="0" layoutInCell="1" allowOverlap="1">
                <wp:simplePos x="0" y="0"/>
                <wp:positionH relativeFrom="page">
                  <wp:posOffset>5575300</wp:posOffset>
                </wp:positionH>
                <wp:positionV relativeFrom="margin">
                  <wp:posOffset>7397750</wp:posOffset>
                </wp:positionV>
                <wp:extent cx="1039495" cy="189230"/>
                <wp:wrapTopAndBottom/>
                <wp:docPr id="664" name="Shape 664"/>
                <a:graphic xmlns:a="http://schemas.openxmlformats.org/drawingml/2006/main">
                  <a:graphicData uri="http://schemas.microsoft.com/office/word/2010/wordprocessingShape">
                    <wps:wsp>
                      <wps:cNvSpPr txBox="1"/>
                      <wps:spPr>
                        <a:xfrm>
                          <a:ext cx="1039495" cy="1892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690" type="#_x0000_t202" style="position:absolute;margin-left:439.pt;margin-top:582.5pt;width:81.850000000000009pt;height:14.9pt;z-index:-125829330;mso-wrap-distance-left:9.pt;mso-wrap-distance-right:9.25pt;mso-wrap-distance-bottom:17.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v:textbox>
                <w10:wrap type="topAndBottom" anchorx="page" anchory="margin"/>
              </v:shape>
            </w:pict>
          </mc:Fallback>
        </mc:AlternateContent>
      </w:r>
      <w:r>
        <mc:AlternateContent>
          <mc:Choice Requires="wps">
            <w:drawing>
              <wp:anchor distT="222250" distB="0" distL="114300" distR="114300" simplePos="0" relativeHeight="125829425" behindDoc="0" locked="0" layoutInCell="1" allowOverlap="1">
                <wp:simplePos x="0" y="0"/>
                <wp:positionH relativeFrom="page">
                  <wp:posOffset>5575300</wp:posOffset>
                </wp:positionH>
                <wp:positionV relativeFrom="margin">
                  <wp:posOffset>7620000</wp:posOffset>
                </wp:positionV>
                <wp:extent cx="1042670" cy="189230"/>
                <wp:wrapTopAndBottom/>
                <wp:docPr id="666" name="Shape 666"/>
                <a:graphic xmlns:a="http://schemas.openxmlformats.org/drawingml/2006/main">
                  <a:graphicData uri="http://schemas.microsoft.com/office/word/2010/wordprocessingShape">
                    <wps:wsp>
                      <wps:cNvSpPr txBox="1"/>
                      <wps:spPr>
                        <a:xfrm>
                          <a:ext cx="1042670" cy="1892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wps:txbx>
                      <wps:bodyPr wrap="none" lIns="0" tIns="0" rIns="0" bIns="0">
                        <a:noAutoFit/>
                      </wps:bodyPr>
                    </wps:wsp>
                  </a:graphicData>
                </a:graphic>
              </wp:anchor>
            </w:drawing>
          </mc:Choice>
          <mc:Fallback>
            <w:pict>
              <v:shape id="_x0000_s1692" type="#_x0000_t202" style="position:absolute;margin-left:439.pt;margin-top:600.pt;width:82.100000000000009pt;height:14.9pt;z-index:-125829328;mso-wrap-distance-left:9.pt;mso-wrap-distance-top:17.5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txbxContent>
                </v:textbox>
                <w10:wrap type="topAndBottom" anchorx="page" anchory="margin"/>
              </v:shape>
            </w:pict>
          </mc:Fallback>
        </mc:AlternateContent>
      </w:r>
      <w:r>
        <w:drawing>
          <wp:anchor distT="1028700" distB="0" distL="114300" distR="114300" simplePos="0" relativeHeight="125829427" behindDoc="0" locked="0" layoutInCell="1" allowOverlap="1">
            <wp:simplePos x="0" y="0"/>
            <wp:positionH relativeFrom="page">
              <wp:posOffset>5840730</wp:posOffset>
            </wp:positionH>
            <wp:positionV relativeFrom="margin">
              <wp:posOffset>8799830</wp:posOffset>
            </wp:positionV>
            <wp:extent cx="1718945" cy="981710"/>
            <wp:wrapTopAndBottom/>
            <wp:docPr id="668" name="Shape 668"/>
            <a:graphic xmlns:a="http://schemas.openxmlformats.org/drawingml/2006/main">
              <a:graphicData uri="http://schemas.openxmlformats.org/drawingml/2006/picture">
                <pic:pic xmlns:pic="http://schemas.openxmlformats.org/drawingml/2006/picture">
                  <pic:nvPicPr>
                    <pic:cNvPr id="669" name="Picture box 669"/>
                    <pic:cNvPicPr/>
                  </pic:nvPicPr>
                  <pic:blipFill>
                    <a:blip r:embed="rId265"/>
                    <a:stretch/>
                  </pic:blipFill>
                  <pic:spPr>
                    <a:xfrm>
                      <a:ext cx="1718945" cy="981710"/>
                    </a:xfrm>
                    <a:prstGeom prst="rect"/>
                  </pic:spPr>
                </pic:pic>
              </a:graphicData>
            </a:graphic>
          </wp:anchor>
        </w:drawing>
      </w:r>
      <w:r>
        <w:rPr>
          <w:color w:val="000000"/>
          <w:spacing w:val="0"/>
          <w:w w:val="100"/>
          <w:position w:val="0"/>
        </w:rPr>
        <w:t>组合中，采用账龄分析法计提坏账准备的其他应收款</w:t>
      </w:r>
    </w:p>
    <w:tbl>
      <w:tblPr>
        <w:tblOverlap w:val="never"/>
        <w:jc w:val="left"/>
        <w:tblLayout w:type="fixed"/>
      </w:tblPr>
      <w:tblGrid>
        <w:gridCol w:w="2707"/>
        <w:gridCol w:w="1440"/>
        <w:gridCol w:w="902"/>
        <w:gridCol w:w="1080"/>
        <w:gridCol w:w="1258"/>
        <w:gridCol w:w="902"/>
        <w:gridCol w:w="1296"/>
      </w:tblGrid>
      <w:tr>
        <w:trPr>
          <w:trHeight w:val="374" w:hRule="exact"/>
        </w:trPr>
        <w:tc>
          <w:tcPr>
            <w:vMerge w:val="restart"/>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vMerge/>
            <w:tcBorders>
              <w:left w:val="single" w:sz="4"/>
            </w:tcBorders>
            <w:shd w:val="clear" w:color="auto" w:fill="D3D3D3"/>
            <w:vAlign w:val="center"/>
          </w:tcPr>
          <w:p>
            <w:pPr>
              <w:framePr w:w="9586" w:h="4445" w:vSpace="317" w:wrap="notBeside" w:vAnchor="text" w:hAnchor="text" w:x="8" w:y="318"/>
            </w:pPr>
          </w:p>
        </w:tc>
        <w:tc>
          <w:tcPr>
            <w:gridSpan w:val="2"/>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70" w:hRule="exact"/>
        </w:trPr>
        <w:tc>
          <w:tcPr>
            <w:vMerge/>
            <w:tcBorders>
              <w:left w:val="single" w:sz="4"/>
            </w:tcBorders>
            <w:shd w:val="clear" w:color="auto" w:fill="D3D3D3"/>
            <w:vAlign w:val="center"/>
          </w:tcPr>
          <w:p>
            <w:pPr>
              <w:framePr w:w="9586" w:h="4445" w:vSpace="317" w:wrap="notBeside" w:vAnchor="text" w:hAnchor="text" w:x="8" w:y="318"/>
            </w:pPr>
          </w:p>
        </w:tc>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framePr w:w="9586" w:h="4445" w:vSpace="317" w:wrap="notBeside" w:vAnchor="text" w:hAnchor="text" w:x="8" w:y="318"/>
            </w:pPr>
          </w:p>
        </w:tc>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framePr w:w="9586" w:h="4445" w:vSpace="317" w:wrap="notBeside" w:vAnchor="text" w:hAnchor="text" w:x="8" w:y="318"/>
            </w:pPr>
          </w:p>
        </w:tc>
      </w:tr>
      <w:tr>
        <w:trPr>
          <w:trHeight w:val="370" w:hRule="exact"/>
        </w:trPr>
        <w:tc>
          <w:tcPr>
            <w:gridSpan w:val="7"/>
            <w:tcBorders>
              <w:top w:val="single" w:sz="4"/>
              <w:left w:val="single" w:sz="4"/>
              <w:righ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70" w:hRule="exact"/>
        </w:trPr>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个月</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308,104.55</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73.97%</w:t>
            </w:r>
          </w:p>
        </w:tc>
        <w:tc>
          <w:tcPr>
            <w:tcBorders>
              <w:top w:val="single" w:sz="4"/>
              <w:left w:val="single" w:sz="4"/>
            </w:tcBorders>
            <w:shd w:val="clear" w:color="auto" w:fill="FFFFFF"/>
            <w:vAlign w:val="top"/>
          </w:tcPr>
          <w:p>
            <w:pPr>
              <w:framePr w:w="9586" w:h="4445" w:vSpace="317" w:wrap="notBeside" w:vAnchor="text" w:hAnchor="text" w:x="8" w:y="318"/>
              <w:widowControl w:val="0"/>
              <w:rPr>
                <w:sz w:val="10"/>
                <w:szCs w:val="10"/>
              </w:rPr>
            </w:pP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335,553.21</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51.38%</w:t>
            </w:r>
          </w:p>
        </w:tc>
        <w:tc>
          <w:tcPr>
            <w:tcBorders>
              <w:top w:val="single" w:sz="4"/>
              <w:left w:val="single" w:sz="4"/>
              <w:right w:val="single" w:sz="4"/>
            </w:tcBorders>
            <w:shd w:val="clear" w:color="auto" w:fill="FFFFFF"/>
            <w:vAlign w:val="top"/>
          </w:tcPr>
          <w:p>
            <w:pPr>
              <w:framePr w:w="9586" w:h="4445" w:vSpace="317" w:wrap="notBeside" w:vAnchor="text" w:hAnchor="text" w:x="8" w:y="318"/>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个月至</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18,932.32</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4.55%</w:t>
            </w:r>
          </w:p>
        </w:tc>
        <w:tc>
          <w:tcPr>
            <w:tcBorders>
              <w:top w:val="single" w:sz="4"/>
              <w:left w:val="single" w:sz="4"/>
            </w:tcBorders>
            <w:shd w:val="clear" w:color="auto" w:fill="FFFFFF"/>
            <w:vAlign w:val="top"/>
          </w:tcPr>
          <w:p>
            <w:pPr>
              <w:framePr w:w="9586" w:h="4445" w:vSpace="317" w:wrap="notBeside" w:vAnchor="text" w:hAnchor="text" w:x="8" w:y="318"/>
              <w:widowControl w:val="0"/>
              <w:rPr>
                <w:sz w:val="10"/>
                <w:szCs w:val="10"/>
              </w:rPr>
            </w:pP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14,600.00</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c>
          <w:tcPr>
            <w:tcBorders>
              <w:top w:val="single" w:sz="4"/>
              <w:left w:val="single" w:sz="4"/>
              <w:right w:val="single" w:sz="4"/>
            </w:tcBorders>
            <w:shd w:val="clear" w:color="auto" w:fill="FFFFFF"/>
            <w:vAlign w:val="top"/>
          </w:tcPr>
          <w:p>
            <w:pPr>
              <w:framePr w:w="9586" w:h="4445" w:vSpace="317" w:wrap="notBeside" w:vAnchor="text" w:hAnchor="text" w:x="8" w:y="318"/>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82,459.85</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4,122.99</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208,500.00</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31.93%</w:t>
            </w:r>
          </w:p>
        </w:tc>
        <w:tc>
          <w:tcPr>
            <w:tcBorders>
              <w:top w:val="single" w:sz="4"/>
              <w:left w:val="single" w:sz="4"/>
              <w:righ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10,425.00</w:t>
            </w:r>
          </w:p>
        </w:tc>
      </w:tr>
      <w:tr>
        <w:trPr>
          <w:trHeight w:val="370" w:hRule="exact"/>
        </w:trPr>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409,496.72</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98.32%</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4,122.99</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558,653.21</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85.55%</w:t>
            </w:r>
          </w:p>
        </w:tc>
        <w:tc>
          <w:tcPr>
            <w:tcBorders>
              <w:top w:val="single" w:sz="4"/>
              <w:left w:val="single" w:sz="4"/>
              <w:righ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10,425.00</w:t>
            </w:r>
          </w:p>
        </w:tc>
      </w:tr>
      <w:tr>
        <w:trPr>
          <w:trHeight w:val="370" w:hRule="exact"/>
        </w:trPr>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93,700.00</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14.35%</w:t>
            </w:r>
          </w:p>
        </w:tc>
        <w:tc>
          <w:tcPr>
            <w:tcBorders>
              <w:top w:val="single" w:sz="4"/>
              <w:left w:val="single" w:sz="4"/>
              <w:righ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9,370.00</w:t>
            </w:r>
          </w:p>
        </w:tc>
      </w:tr>
      <w:tr>
        <w:trPr>
          <w:trHeight w:val="370" w:hRule="exact"/>
        </w:trPr>
        <w:tc>
          <w:tcPr>
            <w:tcBorders>
              <w:top w:val="single" w:sz="4"/>
              <w:left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framePr w:w="9586" w:h="4445" w:vSpace="317" w:wrap="notBeside" w:vAnchor="text" w:hAnchor="text" w:x="8" w:y="318"/>
              <w:widowControl w:val="0"/>
              <w:rPr>
                <w:sz w:val="10"/>
                <w:szCs w:val="10"/>
              </w:rPr>
            </w:pPr>
          </w:p>
        </w:tc>
        <w:tc>
          <w:tcPr>
            <w:tcBorders>
              <w:top w:val="single" w:sz="4"/>
              <w:left w:val="single" w:sz="4"/>
            </w:tcBorders>
            <w:shd w:val="clear" w:color="auto" w:fill="FFFFFF"/>
            <w:vAlign w:val="top"/>
          </w:tcPr>
          <w:p>
            <w:pPr>
              <w:framePr w:w="9586" w:h="4445" w:vSpace="317" w:wrap="notBeside" w:vAnchor="text" w:hAnchor="text" w:x="8" w:y="318"/>
              <w:widowControl w:val="0"/>
              <w:rPr>
                <w:sz w:val="10"/>
                <w:szCs w:val="10"/>
              </w:rPr>
            </w:pPr>
          </w:p>
        </w:tc>
        <w:tc>
          <w:tcPr>
            <w:tcBorders>
              <w:top w:val="single" w:sz="4"/>
              <w:left w:val="single" w:sz="4"/>
            </w:tcBorders>
            <w:shd w:val="clear" w:color="auto" w:fill="FFFFFF"/>
            <w:vAlign w:val="top"/>
          </w:tcPr>
          <w:p>
            <w:pPr>
              <w:framePr w:w="9586" w:h="4445" w:vSpace="317" w:wrap="notBeside" w:vAnchor="text" w:hAnchor="text" w:x="8" w:y="318"/>
              <w:widowControl w:val="0"/>
              <w:rPr>
                <w:sz w:val="10"/>
                <w:szCs w:val="10"/>
              </w:rPr>
            </w:pP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660.00</w:t>
            </w:r>
          </w:p>
        </w:tc>
        <w:tc>
          <w:tcPr>
            <w:tcBorders>
              <w:top w:val="single" w:sz="4"/>
              <w:lef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416,496.72</w:t>
            </w:r>
          </w:p>
        </w:tc>
        <w:tc>
          <w:tcPr>
            <w:tcBorders>
              <w:top w:val="single" w:sz="4"/>
              <w:left w:val="single" w:sz="4"/>
              <w:bottom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4,822.99</w:t>
            </w:r>
          </w:p>
        </w:tc>
        <w:tc>
          <w:tcPr>
            <w:tcBorders>
              <w:top w:val="single" w:sz="4"/>
              <w:left w:val="single" w:sz="4"/>
              <w:bottom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653,013.21</w:t>
            </w:r>
          </w:p>
        </w:tc>
        <w:tc>
          <w:tcPr>
            <w:tcBorders>
              <w:top w:val="single" w:sz="4"/>
              <w:left w:val="single" w:sz="4"/>
              <w:bottom w:val="single" w:sz="4"/>
            </w:tcBorders>
            <w:shd w:val="clear" w:color="auto" w:fill="D3D3D3"/>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framePr w:w="9586" w:h="4445" w:vSpace="317" w:wrap="notBeside" w:vAnchor="text" w:hAnchor="text" w:x="8" w:y="318"/>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20,125.00</w:t>
            </w:r>
          </w:p>
        </w:tc>
      </w:tr>
    </w:tbl>
    <w:p>
      <w:pPr>
        <w:pStyle w:val="Style38"/>
        <w:keepNext w:val="0"/>
        <w:keepLines w:val="0"/>
        <w:framePr w:w="979" w:h="254" w:hSpace="7" w:wrap="notBeside" w:vAnchor="text" w:hAnchor="text" w:x="8384" w:y="1"/>
        <w:widowControl w:val="0"/>
        <w:shd w:val="clear" w:color="auto" w:fill="auto"/>
        <w:bidi w:val="0"/>
        <w:spacing w:before="0" w:after="0" w:line="240" w:lineRule="auto"/>
        <w:ind w:left="0" w:right="0" w:firstLine="0"/>
        <w:jc w:val="left"/>
      </w:pPr>
      <w:r>
        <w:rPr>
          <w:color w:val="000000"/>
          <w:spacing w:val="0"/>
          <w:w w:val="100"/>
          <w:position w:val="0"/>
        </w:rPr>
        <w:t>单位： 元</w:t>
      </w:r>
    </w:p>
    <w:p>
      <w:pPr>
        <w:pStyle w:val="Style38"/>
        <w:keepNext w:val="0"/>
        <w:keepLines w:val="0"/>
        <w:framePr w:w="1642" w:h="298" w:hSpace="7" w:wrap="notBeside" w:vAnchor="text" w:hAnchor="text" w:x="7674" w:y="481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widowControl w:val="0"/>
        <w:spacing w:line="1" w:lineRule="exact"/>
        <w:sectPr>
          <w:headerReference w:type="default" r:id="rId267"/>
          <w:footerReference w:type="default" r:id="rId268"/>
          <w:headerReference w:type="even" r:id="rId269"/>
          <w:footerReference w:type="even" r:id="rId270"/>
          <w:headerReference w:type="first" r:id="rId271"/>
          <w:footerReference w:type="first" r:id="rId272"/>
          <w:footnotePr>
            <w:pos w:val="pageBottom"/>
            <w:numFmt w:val="decimal"/>
            <w:numRestart w:val="continuous"/>
          </w:footnotePr>
          <w:pgSz w:w="11900" w:h="16840"/>
          <w:pgMar w:top="1441" w:right="1200" w:bottom="1667" w:left="1100" w:header="0" w:footer="3" w:gutter="0"/>
          <w:cols w:space="720"/>
          <w:noEndnote/>
          <w:titlePg/>
          <w:rtlGutter w:val="0"/>
          <w:docGrid w:linePitch="360"/>
        </w:sectPr>
      </w:pPr>
    </w:p>
    <w:p>
      <w:pPr>
        <w:pStyle w:val="Style3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本报告期无转回或收回的其他应收款</w:t>
      </w:r>
    </w:p>
    <w:p>
      <w:pPr>
        <w:pStyle w:val="Style35"/>
        <w:keepNext w:val="0"/>
        <w:keepLines w:val="0"/>
        <w:widowControl w:val="0"/>
        <w:numPr>
          <w:ilvl w:val="0"/>
          <w:numId w:val="55"/>
        </w:numPr>
        <w:shd w:val="clear" w:color="auto" w:fill="auto"/>
        <w:tabs>
          <w:tab w:pos="430" w:val="left"/>
        </w:tabs>
        <w:bidi w:val="0"/>
        <w:spacing w:before="0" w:after="360" w:line="240" w:lineRule="auto"/>
        <w:ind w:left="0" w:right="0" w:firstLine="0"/>
        <w:jc w:val="both"/>
      </w:pPr>
      <w:bookmarkStart w:id="807" w:name="bookmark807"/>
      <w:bookmarkEnd w:id="807"/>
      <w:r>
        <w:rPr>
          <w:b/>
          <w:bCs/>
          <w:color w:val="000000"/>
          <w:spacing w:val="0"/>
          <w:w w:val="100"/>
          <w:position w:val="0"/>
        </w:rPr>
        <w:t>本报告期无实际核销的其他应收款</w:t>
      </w:r>
    </w:p>
    <w:p>
      <w:pPr>
        <w:pStyle w:val="Style35"/>
        <w:keepNext w:val="0"/>
        <w:keepLines w:val="0"/>
        <w:widowControl w:val="0"/>
        <w:numPr>
          <w:ilvl w:val="0"/>
          <w:numId w:val="55"/>
        </w:numPr>
        <w:shd w:val="clear" w:color="auto" w:fill="auto"/>
        <w:tabs>
          <w:tab w:pos="430" w:val="left"/>
        </w:tabs>
        <w:bidi w:val="0"/>
        <w:spacing w:before="0" w:after="360" w:line="240" w:lineRule="auto"/>
        <w:ind w:left="0" w:right="0" w:firstLine="0"/>
        <w:jc w:val="both"/>
      </w:pPr>
      <w:bookmarkStart w:id="808" w:name="bookmark808"/>
      <w:bookmarkEnd w:id="808"/>
      <w:r>
        <w:rPr>
          <w:b/>
          <w:bCs/>
          <w:color w:val="000000"/>
          <w:spacing w:val="0"/>
          <w:w w:val="100"/>
          <w:position w:val="0"/>
        </w:rPr>
        <w:t>本报告期其他应收款中无持有公司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以上表决权股份的股东单位</w:t>
      </w:r>
    </w:p>
    <w:p>
      <w:pPr>
        <w:pStyle w:val="Style35"/>
        <w:keepNext w:val="0"/>
        <w:keepLines w:val="0"/>
        <w:widowControl w:val="0"/>
        <w:numPr>
          <w:ilvl w:val="0"/>
          <w:numId w:val="55"/>
        </w:numPr>
        <w:shd w:val="clear" w:color="auto" w:fill="auto"/>
        <w:tabs>
          <w:tab w:pos="430" w:val="left"/>
        </w:tabs>
        <w:bidi w:val="0"/>
        <w:spacing w:before="0" w:after="360" w:line="240" w:lineRule="auto"/>
        <w:ind w:left="0" w:right="0" w:firstLine="0"/>
        <w:jc w:val="both"/>
      </w:pPr>
      <w:bookmarkStart w:id="809" w:name="bookmark809"/>
      <w:bookmarkEnd w:id="809"/>
      <w:r>
        <w:rPr>
          <w:b/>
          <w:bCs/>
          <w:color w:val="000000"/>
          <w:spacing w:val="0"/>
          <w:w w:val="100"/>
          <w:position w:val="0"/>
        </w:rPr>
        <w:t>期末无金额较大的其他应收款</w:t>
      </w:r>
    </w:p>
    <w:p>
      <w:pPr>
        <w:pStyle w:val="Style35"/>
        <w:keepNext w:val="0"/>
        <w:keepLines w:val="0"/>
        <w:widowControl w:val="0"/>
        <w:numPr>
          <w:ilvl w:val="0"/>
          <w:numId w:val="55"/>
        </w:numPr>
        <w:shd w:val="clear" w:color="auto" w:fill="auto"/>
        <w:tabs>
          <w:tab w:pos="430" w:val="left"/>
        </w:tabs>
        <w:bidi w:val="0"/>
        <w:spacing w:before="0" w:after="360" w:line="240" w:lineRule="auto"/>
        <w:ind w:left="0" w:right="0" w:firstLine="0"/>
        <w:jc w:val="both"/>
      </w:pPr>
      <w:bookmarkStart w:id="810" w:name="bookmark810"/>
      <w:bookmarkEnd w:id="810"/>
      <w:r>
        <w:rPr>
          <w:b/>
          <w:bCs/>
          <w:color w:val="000000"/>
          <w:spacing w:val="0"/>
          <w:w w:val="100"/>
          <w:position w:val="0"/>
        </w:rPr>
        <w:t>其他应收款金额前五名单位情况</w:t>
      </w: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单位：元</w:t>
      </w:r>
    </w:p>
    <w:tbl>
      <w:tblPr>
        <w:tblOverlap w:val="never"/>
        <w:jc w:val="center"/>
        <w:tblLayout w:type="fixed"/>
      </w:tblPr>
      <w:tblGrid>
        <w:gridCol w:w="1925"/>
        <w:gridCol w:w="1910"/>
        <w:gridCol w:w="1915"/>
        <w:gridCol w:w="2179"/>
        <w:gridCol w:w="1661"/>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占其他应收款总 额的比例</w:t>
            </w:r>
            <w:r>
              <w:rPr>
                <w:rFonts w:ascii="Times New Roman" w:eastAsia="Times New Roman" w:hAnsi="Times New Roman" w:cs="Times New Roman"/>
                <w:color w:val="000000"/>
                <w:spacing w:val="0"/>
                <w:w w:val="100"/>
                <w:position w:val="0"/>
              </w:rPr>
              <w:t>(%)</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284,539.97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年以内为</w:t>
            </w:r>
            <w:r>
              <w:rPr>
                <w:rFonts w:ascii="Times New Roman" w:eastAsia="Times New Roman" w:hAnsi="Times New Roman" w:cs="Times New Roman"/>
                <w:color w:val="000000"/>
                <w:spacing w:val="0"/>
                <w:w w:val="100"/>
                <w:position w:val="0"/>
              </w:rPr>
              <w:t>277,539.97</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年为 </w:t>
            </w: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68.32%</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416,496.72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59" w:line="1" w:lineRule="exact"/>
      </w:pPr>
    </w:p>
    <w:p>
      <w:pPr>
        <w:pStyle w:val="Style35"/>
        <w:keepNext w:val="0"/>
        <w:keepLines w:val="0"/>
        <w:widowControl w:val="0"/>
        <w:numPr>
          <w:ilvl w:val="0"/>
          <w:numId w:val="55"/>
        </w:numPr>
        <w:shd w:val="clear" w:color="auto" w:fill="auto"/>
        <w:tabs>
          <w:tab w:pos="430" w:val="left"/>
        </w:tabs>
        <w:bidi w:val="0"/>
        <w:spacing w:before="0" w:after="360" w:line="240" w:lineRule="auto"/>
        <w:ind w:left="0" w:right="0" w:firstLine="0"/>
        <w:jc w:val="both"/>
      </w:pPr>
      <w:bookmarkStart w:id="811" w:name="bookmark811"/>
      <w:bookmarkEnd w:id="811"/>
      <w:r>
        <w:rPr>
          <w:b/>
          <w:bCs/>
          <w:color w:val="000000"/>
          <w:spacing w:val="0"/>
          <w:w w:val="100"/>
          <w:position w:val="0"/>
        </w:rPr>
        <w:t>期末无其他应收关联方账款</w:t>
      </w:r>
    </w:p>
    <w:p>
      <w:pPr>
        <w:pStyle w:val="Style35"/>
        <w:keepNext w:val="0"/>
        <w:keepLines w:val="0"/>
        <w:widowControl w:val="0"/>
        <w:numPr>
          <w:ilvl w:val="0"/>
          <w:numId w:val="55"/>
        </w:numPr>
        <w:shd w:val="clear" w:color="auto" w:fill="auto"/>
        <w:tabs>
          <w:tab w:pos="430" w:val="left"/>
        </w:tabs>
        <w:bidi w:val="0"/>
        <w:spacing w:before="0" w:after="360" w:line="240" w:lineRule="auto"/>
        <w:ind w:left="0" w:right="0" w:firstLine="0"/>
        <w:jc w:val="both"/>
      </w:pPr>
      <w:bookmarkStart w:id="812" w:name="bookmark812"/>
      <w:bookmarkEnd w:id="812"/>
      <w:r>
        <w:rPr>
          <w:b/>
          <w:bCs/>
          <w:color w:val="000000"/>
          <w:spacing w:val="0"/>
          <w:w w:val="100"/>
          <w:position w:val="0"/>
        </w:rPr>
        <w:t>期末无以其他应收款项为标的资产进行资产证券化</w:t>
      </w:r>
    </w:p>
    <w:p>
      <w:pPr>
        <w:pStyle w:val="Style3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rPr>
        <w:t>3</w:t>
      </w:r>
      <w:r>
        <w:rPr>
          <w:b/>
          <w:bCs/>
          <w:color w:val="000000"/>
          <w:spacing w:val="0"/>
          <w:w w:val="100"/>
          <w:position w:val="0"/>
        </w:rPr>
        <w:t>、长期股权投资</w:t>
      </w: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单位：元</w:t>
      </w:r>
    </w:p>
    <w:tbl>
      <w:tblPr>
        <w:tblOverlap w:val="never"/>
        <w:jc w:val="center"/>
        <w:tblLayout w:type="fixed"/>
      </w:tblPr>
      <w:tblGrid>
        <w:gridCol w:w="730"/>
        <w:gridCol w:w="360"/>
        <w:gridCol w:w="1080"/>
        <w:gridCol w:w="1258"/>
        <w:gridCol w:w="360"/>
        <w:gridCol w:w="1262"/>
        <w:gridCol w:w="720"/>
        <w:gridCol w:w="720"/>
        <w:gridCol w:w="1080"/>
        <w:gridCol w:w="360"/>
        <w:gridCol w:w="538"/>
        <w:gridCol w:w="1123"/>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核 算 方 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 减 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 xml:space="preserve">在被投 资单位 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 值 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 计提 减值 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本期现金红 利</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扬州华 声电子 实业有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成 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119,012,700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119,012,700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119,012,700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119,012,700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bl>
    <w:p>
      <w:pPr>
        <w:widowControl w:val="0"/>
        <w:spacing w:after="1699" w:line="1" w:lineRule="exact"/>
      </w:pPr>
    </w:p>
    <w:p>
      <w:pPr>
        <w:widowControl w:val="0"/>
        <w:jc w:val="center"/>
        <w:rPr>
          <w:sz w:val="2"/>
          <w:szCs w:val="2"/>
        </w:rPr>
        <w:sectPr>
          <w:footnotePr>
            <w:pos w:val="pageBottom"/>
            <w:numFmt w:val="decimal"/>
            <w:numRestart w:val="continuous"/>
          </w:footnotePr>
          <w:pgSz w:w="11900" w:h="16840"/>
          <w:pgMar w:top="1470" w:right="1190" w:bottom="1" w:left="1104" w:header="0" w:footer="3" w:gutter="0"/>
          <w:cols w:space="720"/>
          <w:noEndnote/>
          <w:rtlGutter w:val="0"/>
          <w:docGrid w:linePitch="360"/>
        </w:sectPr>
      </w:pPr>
      <w:r>
        <w:drawing>
          <wp:inline>
            <wp:extent cx="1718945" cy="981710"/>
            <wp:docPr id="681" name="Picutre 681"/>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273"/>
                    <a:stretch/>
                  </pic:blipFill>
                  <pic:spPr>
                    <a:xfrm>
                      <a:ext cx="1718945" cy="981710"/>
                    </a:xfrm>
                    <a:prstGeom prst="rect"/>
                  </pic:spPr>
                </pic:pic>
              </a:graphicData>
            </a:graphic>
          </wp:inline>
        </w:drawing>
      </w:r>
    </w:p>
    <w:p>
      <w:pPr>
        <w:pStyle w:val="Style35"/>
        <w:keepNext w:val="0"/>
        <w:keepLines w:val="0"/>
        <w:widowControl w:val="0"/>
        <w:shd w:val="clear" w:color="auto" w:fill="auto"/>
        <w:bidi w:val="0"/>
        <w:spacing w:before="0" w:after="380" w:line="240" w:lineRule="auto"/>
        <w:ind w:left="0" w:right="0" w:firstLine="0"/>
        <w:jc w:val="left"/>
      </w:pPr>
      <w:bookmarkStart w:id="813" w:name="bookmark813"/>
      <w:r>
        <w:rPr>
          <w:rFonts w:ascii="Times New Roman" w:eastAsia="Times New Roman" w:hAnsi="Times New Roman" w:cs="Times New Roman"/>
          <w:b/>
          <w:bCs/>
          <w:color w:val="000000"/>
          <w:spacing w:val="0"/>
          <w:w w:val="100"/>
          <w:position w:val="0"/>
        </w:rPr>
        <w:t>4</w:t>
      </w:r>
      <w:bookmarkEnd w:id="813"/>
      <w:r>
        <w:rPr>
          <w:b/>
          <w:bCs/>
          <w:color w:val="000000"/>
          <w:spacing w:val="0"/>
          <w:w w:val="100"/>
          <w:position w:val="0"/>
        </w:rPr>
        <w:t>、营业收入和营业成本</w:t>
      </w:r>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营业收入</w:t>
      </w: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单位：元</w:t>
      </w:r>
    </w:p>
    <w:tbl>
      <w:tblPr>
        <w:tblOverlap w:val="never"/>
        <w:jc w:val="center"/>
        <w:tblLayout w:type="fixed"/>
      </w:tblPr>
      <w:tblGrid>
        <w:gridCol w:w="2534"/>
        <w:gridCol w:w="3456"/>
        <w:gridCol w:w="3595"/>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1,445,741,080.16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1,268,245,181.32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39,872,395.24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29,103,599.33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1,485,613,475.40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1,297,348,780.65</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1,331,684,065.14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1,174,930,645.80</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主营业务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分行业</w:t>
      </w:r>
      <w:r>
        <w:rPr>
          <w:rFonts w:ascii="Times New Roman" w:eastAsia="Times New Roman" w:hAnsi="Times New Roman" w:cs="Times New Roman"/>
          <w:b/>
          <w:bCs/>
          <w:color w:val="000000"/>
          <w:spacing w:val="0"/>
          <w:w w:val="100"/>
          <w:position w:val="0"/>
        </w:rPr>
        <w:t>)</w:t>
      </w:r>
    </w:p>
    <w:p>
      <w:pPr>
        <w:widowControl w:val="0"/>
        <w:spacing w:after="339" w:line="1" w:lineRule="exact"/>
      </w:pP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单位：元</w:t>
      </w:r>
    </w:p>
    <w:tbl>
      <w:tblPr>
        <w:tblOverlap w:val="never"/>
        <w:jc w:val="center"/>
        <w:tblLayout w:type="fixed"/>
      </w:tblPr>
      <w:tblGrid>
        <w:gridCol w:w="2530"/>
        <w:gridCol w:w="1800"/>
        <w:gridCol w:w="1661"/>
        <w:gridCol w:w="1862"/>
        <w:gridCol w:w="1733"/>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1,445,741,080.16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1,292,148,524.45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1,268,245,181.32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1,145,729,750.43</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1,445,741,080.16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1,292,148,524.45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1,268,245,181.32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1,145,729,750.43</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主营业务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分产品</w:t>
      </w:r>
      <w:r>
        <w:rPr>
          <w:rFonts w:ascii="Times New Roman" w:eastAsia="Times New Roman" w:hAnsi="Times New Roman" w:cs="Times New Roman"/>
          <w:b/>
          <w:bCs/>
          <w:color w:val="000000"/>
          <w:spacing w:val="0"/>
          <w:w w:val="100"/>
          <w:position w:val="0"/>
        </w:rPr>
        <w:t>)</w:t>
      </w:r>
    </w:p>
    <w:p>
      <w:pPr>
        <w:widowControl w:val="0"/>
        <w:spacing w:after="339" w:line="1" w:lineRule="exact"/>
      </w:pP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空调连接组件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960,080,474.51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858,369,833.33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913,166,940.11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823,304,560.56</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空调电源输入组件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363,106,973.23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330,773,052.92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252,157,245.67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231,314,186.37</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电热电器电源输入组件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64,497,044.44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54,408,250.67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62,038,303.15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53,821,851.54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冰洗电器电源输入组件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23,578,902.26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20,390,947.08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22,938,384.56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20,015,461.00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其他家电电源输入组件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34,477,685.72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28,206,440.45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17,944,307.83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17,273,690.96</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1,445,741,080.16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1,292,148,524.45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1,268,245,181.32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1,145,729,750.43</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主营业务</w:t>
      </w:r>
      <w:r>
        <w:rPr>
          <w:rFonts w:ascii="Times New Roman" w:eastAsia="Times New Roman" w:hAnsi="Times New Roman" w:cs="Times New Roman"/>
          <w:b/>
          <w:bCs/>
          <w:color w:val="000000"/>
          <w:spacing w:val="0"/>
          <w:w w:val="100"/>
          <w:position w:val="0"/>
        </w:rPr>
        <w:t>(</w:t>
      </w:r>
      <w:r>
        <w:rPr>
          <w:b/>
          <w:bCs/>
          <w:color w:val="000000"/>
          <w:spacing w:val="0"/>
          <w:w w:val="100"/>
          <w:position w:val="0"/>
        </w:rPr>
        <w:t>分地区</w:t>
      </w:r>
      <w:r>
        <w:rPr>
          <w:rFonts w:ascii="Times New Roman" w:eastAsia="Times New Roman" w:hAnsi="Times New Roman" w:cs="Times New Roman"/>
          <w:b/>
          <w:bCs/>
          <w:color w:val="000000"/>
          <w:spacing w:val="0"/>
          <w:w w:val="100"/>
          <w:position w:val="0"/>
        </w:rPr>
        <w:t>)</w:t>
      </w:r>
    </w:p>
    <w:p>
      <w:pPr>
        <w:widowControl w:val="0"/>
        <w:spacing w:after="339" w:line="1" w:lineRule="exact"/>
      </w:pP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438,282,108.05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371,998,047.47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469,005,857.38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402,703,623.53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956,396,044.24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878,118,609.72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749,573,042.42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700,388,475.53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51,062,927.87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42,031,867.26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49,666,281.52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42,637,651.37</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1,445,741,080.16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1,292,148,524.45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1,268,245,181.32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1,145,729,750.43</w:t>
            </w:r>
          </w:p>
        </w:tc>
      </w:tr>
    </w:tbl>
    <w:p>
      <w:pPr>
        <w:spacing w:lineRule="exact" w:line="1"/>
        <w:rPr>
          <w:sz w:val="2"/>
          <w:szCs w:val="2"/>
        </w:rPr>
      </w:pPr>
      <w:r>
        <w:br w:type="page"/>
      </w:r>
    </w:p>
    <w:p>
      <w:pPr>
        <w:pStyle w:val="Style35"/>
        <w:keepNext w:val="0"/>
        <w:keepLines w:val="0"/>
        <w:widowControl w:val="0"/>
        <w:numPr>
          <w:ilvl w:val="0"/>
          <w:numId w:val="57"/>
        </w:numPr>
        <w:shd w:val="clear" w:color="auto" w:fill="auto"/>
        <w:bidi w:val="0"/>
        <w:spacing w:before="0" w:after="340" w:line="240" w:lineRule="auto"/>
        <w:ind w:left="0" w:right="0" w:firstLine="0"/>
        <w:jc w:val="left"/>
      </w:pPr>
      <w:bookmarkStart w:id="814" w:name="bookmark814"/>
      <w:bookmarkEnd w:id="814"/>
      <w:r>
        <w:rPr>
          <w:b/>
          <w:bCs/>
          <w:color w:val="000000"/>
          <w:spacing w:val="0"/>
          <w:w w:val="100"/>
          <w:position w:val="0"/>
        </w:rPr>
        <w:t>公司来自前五名客户的营业收入情况</w:t>
      </w: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单位：元</w:t>
      </w:r>
    </w:p>
    <w:tbl>
      <w:tblPr>
        <w:tblOverlap w:val="never"/>
        <w:jc w:val="center"/>
        <w:tblLayout w:type="fixed"/>
      </w:tblPr>
      <w:tblGrid>
        <w:gridCol w:w="2347"/>
        <w:gridCol w:w="3600"/>
        <w:gridCol w:w="36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811,748,128.59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54.64%</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217,581,689.60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123,354,336.39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99,484,686.69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39,239,290.05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1,291,408,131.31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86.93%</w:t>
            </w:r>
          </w:p>
        </w:tc>
      </w:tr>
    </w:tbl>
    <w:p>
      <w:pPr>
        <w:widowControl w:val="0"/>
        <w:spacing w:after="339" w:line="1" w:lineRule="exact"/>
      </w:pPr>
    </w:p>
    <w:p>
      <w:pPr>
        <w:pStyle w:val="Style35"/>
        <w:keepNext w:val="0"/>
        <w:keepLines w:val="0"/>
        <w:widowControl w:val="0"/>
        <w:shd w:val="clear" w:color="auto" w:fill="auto"/>
        <w:bidi w:val="0"/>
        <w:spacing w:before="0" w:after="340" w:line="240" w:lineRule="auto"/>
        <w:ind w:left="0" w:right="0" w:firstLine="0"/>
        <w:jc w:val="left"/>
      </w:pPr>
      <w:bookmarkStart w:id="815" w:name="bookmark815"/>
      <w:r>
        <w:rPr>
          <w:rFonts w:ascii="Times New Roman" w:eastAsia="Times New Roman" w:hAnsi="Times New Roman" w:cs="Times New Roman"/>
          <w:b/>
          <w:bCs/>
          <w:color w:val="000000"/>
          <w:spacing w:val="0"/>
          <w:w w:val="100"/>
          <w:position w:val="0"/>
        </w:rPr>
        <w:t>5</w:t>
      </w:r>
      <w:bookmarkEnd w:id="815"/>
      <w:r>
        <w:rPr>
          <w:b/>
          <w:bCs/>
          <w:color w:val="000000"/>
          <w:spacing w:val="0"/>
          <w:w w:val="100"/>
          <w:position w:val="0"/>
        </w:rPr>
        <w:t>、投资收益</w:t>
      </w:r>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投资收益明细</w:t>
      </w: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 元</w:t>
      </w:r>
    </w:p>
    <w:tbl>
      <w:tblPr>
        <w:tblOverlap w:val="never"/>
        <w:jc w:val="center"/>
        <w:tblLayout w:type="fixed"/>
      </w:tblPr>
      <w:tblGrid>
        <w:gridCol w:w="4531"/>
        <w:gridCol w:w="2520"/>
        <w:gridCol w:w="2534"/>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按成本法核算的长期股权投资收益</w:t>
      </w:r>
    </w:p>
    <w:p>
      <w:pPr>
        <w:widowControl w:val="0"/>
        <w:spacing w:after="339" w:line="1" w:lineRule="exact"/>
      </w:pP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扬州华声电子实业有限公司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48"/>
        <w:keepNext/>
        <w:keepLines/>
        <w:widowControl w:val="0"/>
        <w:numPr>
          <w:ilvl w:val="0"/>
          <w:numId w:val="59"/>
        </w:numPr>
        <w:shd w:val="clear" w:color="auto" w:fill="auto"/>
        <w:bidi w:val="0"/>
        <w:spacing w:before="0" w:after="340" w:line="240" w:lineRule="auto"/>
        <w:ind w:left="0" w:right="0" w:firstLine="0"/>
        <w:jc w:val="left"/>
      </w:pPr>
      <w:bookmarkStart w:id="816" w:name="bookmark816"/>
      <w:bookmarkStart w:id="817" w:name="bookmark817"/>
      <w:bookmarkStart w:id="818" w:name="bookmark818"/>
      <w:bookmarkStart w:id="819" w:name="bookmark819"/>
      <w:bookmarkEnd w:id="818"/>
      <w:r>
        <w:rPr>
          <w:color w:val="000000"/>
          <w:spacing w:val="0"/>
          <w:w w:val="100"/>
          <w:position w:val="0"/>
        </w:rPr>
        <w:t>本期无按权益法核算的长期股权投资收益</w:t>
      </w:r>
      <w:bookmarkEnd w:id="816"/>
      <w:bookmarkEnd w:id="817"/>
      <w:bookmarkEnd w:id="819"/>
    </w:p>
    <w:p>
      <w:pPr>
        <w:pStyle w:val="Style48"/>
        <w:keepNext/>
        <w:keepLines/>
        <w:widowControl w:val="0"/>
        <w:shd w:val="clear" w:color="auto" w:fill="auto"/>
        <w:bidi w:val="0"/>
        <w:spacing w:before="0" w:after="340" w:line="240" w:lineRule="auto"/>
        <w:ind w:left="0" w:right="0" w:firstLine="0"/>
        <w:jc w:val="left"/>
      </w:pPr>
      <w:bookmarkStart w:id="816" w:name="bookmark816"/>
      <w:bookmarkStart w:id="817" w:name="bookmark817"/>
      <w:bookmarkStart w:id="820" w:name="bookmark820"/>
      <w:bookmarkStart w:id="821" w:name="bookmark821"/>
      <w:r>
        <w:rPr>
          <w:rFonts w:ascii="Times New Roman" w:eastAsia="Times New Roman" w:hAnsi="Times New Roman" w:cs="Times New Roman"/>
          <w:color w:val="000000"/>
          <w:spacing w:val="0"/>
          <w:w w:val="100"/>
          <w:position w:val="0"/>
        </w:rPr>
        <w:t>6</w:t>
      </w:r>
      <w:bookmarkEnd w:id="820"/>
      <w:r>
        <w:rPr>
          <w:color w:val="000000"/>
          <w:spacing w:val="0"/>
          <w:w w:val="100"/>
          <w:position w:val="0"/>
        </w:rPr>
        <w:t>、现金流量表补充资料</w:t>
      </w:r>
      <w:bookmarkEnd w:id="816"/>
      <w:bookmarkEnd w:id="817"/>
      <w:bookmarkEnd w:id="821"/>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 元</w:t>
      </w:r>
    </w:p>
    <w:tbl>
      <w:tblPr>
        <w:tblOverlap w:val="never"/>
        <w:jc w:val="center"/>
        <w:tblLayout w:type="fixed"/>
      </w:tblPr>
      <w:tblGrid>
        <w:gridCol w:w="6490"/>
        <w:gridCol w:w="1618"/>
        <w:gridCol w:w="147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上期金额</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76,250,241.20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56,635,322.62</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78,136.18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-88,891.92</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13,429,500.06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10,987,752.34</w:t>
            </w: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399,990.00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586,214.65</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136,552.48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175,998.94</w:t>
            </w:r>
          </w:p>
        </w:tc>
      </w:tr>
      <w:tr>
        <w:trPr>
          <w:trHeight w:val="365"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w:t>
            </w:r>
            <w:r>
              <w:rPr>
                <w:rFonts w:ascii="Times New Roman" w:eastAsia="Times New Roman" w:hAnsi="Times New Roman" w:cs="Times New Roman"/>
                <w:color w:val="000000"/>
                <w:spacing w:val="0"/>
                <w:w w:val="100"/>
                <w:position w:val="0"/>
              </w:rPr>
              <w:t>(</w:t>
            </w:r>
            <w:r>
              <w:rPr>
                <w:color w:val="000000"/>
                <w:spacing w:val="0"/>
                <w:w w:val="100"/>
                <w:position w:val="0"/>
              </w:rPr>
              <w:t>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1,405,694.44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5,115,622.35</w:t>
            </w:r>
          </w:p>
        </w:tc>
      </w:tr>
    </w:tbl>
    <w:p>
      <w:pPr>
        <w:spacing w:lineRule="exact" w:line="1"/>
        <w:rPr>
          <w:sz w:val="2"/>
          <w:szCs w:val="2"/>
        </w:rPr>
      </w:pPr>
      <w:r>
        <w:br w:type="page"/>
      </w:r>
    </w:p>
    <w:tbl>
      <w:tblPr>
        <w:tblOverlap w:val="never"/>
        <w:jc w:val="center"/>
        <w:tblLayout w:type="fixed"/>
      </w:tblPr>
      <w:tblGrid>
        <w:gridCol w:w="6490"/>
        <w:gridCol w:w="1618"/>
        <w:gridCol w:w="1478"/>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rPr>
              <w:t>（</w:t>
            </w:r>
            <w:r>
              <w:rPr>
                <w:color w:val="000000"/>
                <w:spacing w:val="0"/>
                <w:w w:val="100"/>
                <w:position w:val="0"/>
              </w:rPr>
              <w:t>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8,893,544.27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15,715,910.45</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w:t>
            </w:r>
            <w:r>
              <w:rPr>
                <w:rFonts w:ascii="Times New Roman" w:eastAsia="Times New Roman" w:hAnsi="Times New Roman" w:cs="Times New Roman"/>
                <w:color w:val="000000"/>
                <w:spacing w:val="0"/>
                <w:w w:val="100"/>
                <w:position w:val="0"/>
              </w:rPr>
              <w:t>（</w:t>
            </w:r>
            <w:r>
              <w:rPr>
                <w:color w:val="000000"/>
                <w:spacing w:val="0"/>
                <w:w w:val="100"/>
                <w:position w:val="0"/>
              </w:rPr>
              <w:t>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w:t>
            </w:r>
            <w:r>
              <w:rPr>
                <w:rFonts w:ascii="Times New Roman" w:eastAsia="Times New Roman" w:hAnsi="Times New Roman" w:cs="Times New Roman"/>
                <w:color w:val="000000"/>
                <w:spacing w:val="0"/>
                <w:w w:val="100"/>
                <w:position w:val="0"/>
              </w:rPr>
              <w:t>（</w:t>
            </w:r>
            <w:r>
              <w:rPr>
                <w:color w:val="000000"/>
                <w:spacing w:val="0"/>
                <w:w w:val="100"/>
                <w:position w:val="0"/>
              </w:rPr>
              <w:t>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13,333.79</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w:t>
            </w:r>
            <w:r>
              <w:rPr>
                <w:rFonts w:ascii="Times New Roman" w:eastAsia="Times New Roman" w:hAnsi="Times New Roman" w:cs="Times New Roman"/>
                <w:color w:val="000000"/>
                <w:spacing w:val="0"/>
                <w:w w:val="100"/>
                <w:position w:val="0"/>
              </w:rPr>
              <w:t>（</w:t>
            </w:r>
            <w:r>
              <w:rPr>
                <w:color w:val="000000"/>
                <w:spacing w:val="0"/>
                <w:w w:val="100"/>
                <w:position w:val="0"/>
              </w:rPr>
              <w:t>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-25,743,366.90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-60,374,126.03</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w:t>
            </w:r>
            <w:r>
              <w:rPr>
                <w:rFonts w:ascii="Times New Roman" w:eastAsia="Times New Roman" w:hAnsi="Times New Roman" w:cs="Times New Roman"/>
                <w:color w:val="000000"/>
                <w:spacing w:val="0"/>
                <w:w w:val="100"/>
                <w:position w:val="0"/>
              </w:rPr>
              <w:t>（</w:t>
            </w:r>
            <w:r>
              <w:rPr>
                <w:color w:val="000000"/>
                <w:spacing w:val="0"/>
                <w:w w:val="100"/>
                <w:position w:val="0"/>
              </w:rPr>
              <w:t>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-225,445,286.56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128,550,304.22</w:t>
            </w: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w:t>
            </w:r>
            <w:r>
              <w:rPr>
                <w:rFonts w:ascii="Times New Roman" w:eastAsia="Times New Roman" w:hAnsi="Times New Roman" w:cs="Times New Roman"/>
                <w:color w:val="000000"/>
                <w:spacing w:val="0"/>
                <w:w w:val="100"/>
                <w:position w:val="0"/>
              </w:rPr>
              <w:t>（</w:t>
            </w:r>
            <w:r>
              <w:rPr>
                <w:color w:val="000000"/>
                <w:spacing w:val="0"/>
                <w:w w:val="100"/>
                <w:position w:val="0"/>
              </w:rPr>
              <w:t>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128,314,477.32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-25,154,641.21</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-42,292,237.94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112,162,800.20</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100,268,453.65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157,099,037.97</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157,099,037.97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102,701,417.87</w:t>
            </w:r>
          </w:p>
        </w:tc>
      </w:tr>
      <w:tr>
        <w:trPr>
          <w:trHeight w:val="365"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-56,830,584.32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54,397,620.10</w:t>
            </w:r>
          </w:p>
        </w:tc>
      </w:tr>
    </w:tbl>
    <w:p>
      <w:pPr>
        <w:widowControl w:val="0"/>
        <w:spacing w:after="339" w:line="1" w:lineRule="exact"/>
      </w:pPr>
    </w:p>
    <w:p>
      <w:pPr>
        <w:pStyle w:val="Style35"/>
        <w:keepNext w:val="0"/>
        <w:keepLines w:val="0"/>
        <w:widowControl w:val="0"/>
        <w:shd w:val="clear" w:color="auto" w:fill="auto"/>
        <w:bidi w:val="0"/>
        <w:spacing w:before="0" w:after="340" w:line="240" w:lineRule="auto"/>
        <w:ind w:left="0" w:right="0" w:firstLine="0"/>
        <w:jc w:val="left"/>
      </w:pPr>
      <w:bookmarkStart w:id="822" w:name="bookmark822"/>
      <w:r>
        <w:rPr>
          <w:rFonts w:ascii="Times New Roman" w:eastAsia="Times New Roman" w:hAnsi="Times New Roman" w:cs="Times New Roman"/>
          <w:b/>
          <w:bCs/>
          <w:color w:val="000000"/>
          <w:spacing w:val="0"/>
          <w:w w:val="100"/>
          <w:position w:val="0"/>
        </w:rPr>
        <w:t>7</w:t>
      </w:r>
      <w:bookmarkEnd w:id="822"/>
      <w:r>
        <w:rPr>
          <w:b/>
          <w:bCs/>
          <w:color w:val="000000"/>
          <w:spacing w:val="0"/>
          <w:w w:val="100"/>
          <w:position w:val="0"/>
        </w:rPr>
        <w:t>、本期无反向购买下以评估值入账的资产、负债</w:t>
      </w:r>
    </w:p>
    <w:p>
      <w:pPr>
        <w:pStyle w:val="Style30"/>
        <w:keepNext/>
        <w:keepLines/>
        <w:widowControl w:val="0"/>
        <w:shd w:val="clear" w:color="auto" w:fill="auto"/>
        <w:bidi w:val="0"/>
        <w:spacing w:before="0" w:after="340" w:line="240" w:lineRule="auto"/>
        <w:ind w:left="0" w:right="0" w:firstLine="0"/>
        <w:jc w:val="left"/>
      </w:pPr>
      <w:bookmarkStart w:id="823" w:name="bookmark823"/>
      <w:bookmarkStart w:id="824" w:name="bookmark824"/>
      <w:bookmarkStart w:id="825" w:name="bookmark825"/>
      <w:r>
        <w:rPr>
          <w:color w:val="000000"/>
          <w:spacing w:val="0"/>
          <w:w w:val="100"/>
          <w:position w:val="0"/>
          <w:sz w:val="24"/>
          <w:szCs w:val="24"/>
        </w:rPr>
        <w:t>十五、补充资料</w:t>
      </w:r>
      <w:bookmarkEnd w:id="823"/>
      <w:bookmarkEnd w:id="824"/>
      <w:bookmarkEnd w:id="825"/>
    </w:p>
    <w:p>
      <w:pPr>
        <w:pStyle w:val="Style48"/>
        <w:keepNext/>
        <w:keepLines/>
        <w:widowControl w:val="0"/>
        <w:shd w:val="clear" w:color="auto" w:fill="auto"/>
        <w:bidi w:val="0"/>
        <w:spacing w:before="0" w:after="340" w:line="240" w:lineRule="auto"/>
        <w:ind w:left="0" w:right="0" w:firstLine="0"/>
        <w:jc w:val="left"/>
      </w:pPr>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826"/>
      <w:bookmarkEnd w:id="827"/>
      <w:bookmarkEnd w:id="828"/>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单位：元</w:t>
      </w:r>
    </w:p>
    <w:tbl>
      <w:tblPr>
        <w:tblOverlap w:val="never"/>
        <w:jc w:val="center"/>
        <w:tblLayout w:type="fixed"/>
      </w:tblPr>
      <w:tblGrid>
        <w:gridCol w:w="5947"/>
        <w:gridCol w:w="1800"/>
        <w:gridCol w:w="1838"/>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7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-1,393,323.98</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计入当期损益的政府补助（与企业业务密切相关，按照国家统一 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1,037,800.00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-449,977.02</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-118,617.29</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-686,883.71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tabs>
          <w:tab w:pos="7560" w:val="left"/>
        </w:tabs>
        <w:bidi w:val="0"/>
        <w:spacing w:before="0" w:after="0" w:line="240" w:lineRule="auto"/>
        <w:ind w:left="0" w:right="0" w:firstLine="0"/>
        <w:jc w:val="center"/>
      </w:pPr>
      <w:r>
        <w:rPr>
          <w:color w:val="000000"/>
          <w:spacing w:val="0"/>
          <w:w w:val="100"/>
          <w:position w:val="0"/>
        </w:rPr>
        <w:t>计入当期损益的政府补助为经常性损益项目，应说明逐项披露认定理由。</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339" w:line="1" w:lineRule="exact"/>
      </w:pPr>
    </w:p>
    <w:p>
      <w:pPr>
        <w:pStyle w:val="Style3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、境内外会计准则下会计数据差异</w:t>
      </w:r>
    </w:p>
    <w:p>
      <w:pPr>
        <w:pStyle w:val="Style35"/>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）同时按照国际会计准则与按照中国会计准则披露的财务报告中净利润和净资产差异情况</w:t>
      </w:r>
    </w:p>
    <w:p>
      <w:pPr>
        <w:pStyle w:val="Style38"/>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90,625,042.03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65,553,926.28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793,065,531.59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752,440,489.56</w:t>
            </w:r>
          </w:p>
        </w:tc>
      </w:tr>
    </w:tbl>
    <w:p>
      <w:pPr>
        <w:pStyle w:val="Style38"/>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）同时按照境外会计准则与按照中国会计准则披露的财务报告中净利润和净资产差异情况</w:t>
      </w:r>
    </w:p>
    <w:p>
      <w:pPr>
        <w:widowControl w:val="0"/>
        <w:spacing w:after="339" w:line="1" w:lineRule="exact"/>
      </w:pPr>
    </w:p>
    <w:p>
      <w:pPr>
        <w:pStyle w:val="Style35"/>
        <w:keepNext w:val="0"/>
        <w:keepLines w:val="0"/>
        <w:widowControl w:val="0"/>
        <w:shd w:val="clear" w:color="auto" w:fill="auto"/>
        <w:bidi w:val="0"/>
        <w:spacing w:before="0" w:after="340" w:line="240" w:lineRule="auto"/>
        <w:ind w:left="0" w:right="240" w:firstLine="0"/>
        <w:jc w:val="right"/>
        <w:sectPr>
          <w:headerReference w:type="default" r:id="rId275"/>
          <w:footerReference w:type="default" r:id="rId276"/>
          <w:headerReference w:type="even" r:id="rId277"/>
          <w:footerReference w:type="even" r:id="rId278"/>
          <w:footnotePr>
            <w:pos w:val="pageBottom"/>
            <w:numFmt w:val="decimal"/>
            <w:numRestart w:val="continuous"/>
          </w:footnotePr>
          <w:pgSz w:w="11900" w:h="16840"/>
          <w:pgMar w:top="1441" w:right="1195" w:bottom="1494" w:left="1105"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90,625,042.03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65,553,926.28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793,065,531.59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752,440,489.56</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、净资产收益率及每股收益</w:t>
      </w:r>
    </w:p>
    <w:p>
      <w:pPr>
        <w:widowControl w:val="0"/>
        <w:spacing w:after="319" w:line="1" w:lineRule="exact"/>
      </w:pPr>
    </w:p>
    <w:p>
      <w:pPr>
        <w:pStyle w:val="Style3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单位：元</w:t>
      </w:r>
    </w:p>
    <w:tbl>
      <w:tblPr>
        <w:tblOverlap w:val="never"/>
        <w:jc w:val="center"/>
        <w:tblLayout w:type="fixed"/>
      </w:tblPr>
      <w:tblGrid>
        <w:gridCol w:w="5059"/>
        <w:gridCol w:w="1598"/>
        <w:gridCol w:w="1450"/>
        <w:gridCol w:w="1478"/>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0.4531</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0.4566</w:t>
            </w:r>
          </w:p>
        </w:tc>
      </w:tr>
    </w:tbl>
    <w:p>
      <w:pPr>
        <w:widowControl w:val="0"/>
        <w:spacing w:after="319" w:line="1" w:lineRule="exact"/>
      </w:pP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、公司主要会计报表项目的异常情况及原因的说明</w:t>
      </w:r>
    </w:p>
    <w:tbl>
      <w:tblPr>
        <w:tblOverlap w:val="never"/>
        <w:jc w:val="center"/>
        <w:tblLayout w:type="fixed"/>
      </w:tblPr>
      <w:tblGrid>
        <w:gridCol w:w="1589"/>
        <w:gridCol w:w="1483"/>
        <w:gridCol w:w="1440"/>
        <w:gridCol w:w="898"/>
        <w:gridCol w:w="4171"/>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期末余额 （或本期金额）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年初余额 （或上期金额）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329,352,067.96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201,156,586.88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银承贴现利率上升，公司减少银承贴现增加贷 款以降低财务费用。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333,108,382.37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237,428,720.32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进入生产经营旺季，信用期内应收账款增加。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12,354,906.44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9,275,345.03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预付款增加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503,365.15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778,559.62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往来款减少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3,945,522.96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期末销项税金大于进项税金所致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58,027,099.27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22,806,124.34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实施募投项目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107,197.03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240,849.55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期末计提所得税资产减少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12,698,481.36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23,408,938.89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固定资产预付款减少</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银承贴现利率上升，公司减少银承贴现增加贷 款以降低财务费用。</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99,568,124.87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63,099,326.19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期末采购量增加，货款结算期延长所致。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3,555,901.69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7,828,359.55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期末预收款结算业务减少</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4,684,233.54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3,520,711.77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进入生产经营旺季，产量增加，业绩达标奖励 增加所致。</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7,353,920.21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406,249.04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销售及利润增加，税费增加。</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银承贴现利率上升，公司减少银承贴现增加贷 款以降低财务费用。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22,386,945.56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14,761,921.44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提取</w:t>
            </w:r>
            <w:r>
              <w:rPr>
                <w:rFonts w:ascii="Times New Roman" w:eastAsia="Times New Roman" w:hAnsi="Times New Roman" w:cs="Times New Roman"/>
                <w:color w:val="000000"/>
                <w:spacing w:val="0"/>
                <w:w w:val="100"/>
                <w:position w:val="0"/>
              </w:rPr>
              <w:t>2013</w:t>
            </w:r>
            <w:r>
              <w:rPr>
                <w:color w:val="000000"/>
                <w:spacing w:val="0"/>
                <w:w w:val="100"/>
                <w:position w:val="0"/>
              </w:rPr>
              <w:t>的盈余公积</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141,588,806.36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108,588,788.45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年净利润增加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78,136.18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-89,287.92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应收账款账龄变动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1,293,510.20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10,458,058.65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本期收到的政府补助减少</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2,099,011.20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5,203,443.63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非流动资产处置损失减少</w:t>
            </w:r>
          </w:p>
        </w:tc>
      </w:tr>
    </w:tbl>
    <w:p>
      <w:pPr>
        <w:sectPr>
          <w:headerReference w:type="default" r:id="rId279"/>
          <w:footerReference w:type="default" r:id="rId280"/>
          <w:headerReference w:type="even" r:id="rId281"/>
          <w:footerReference w:type="even" r:id="rId282"/>
          <w:footnotePr>
            <w:pos w:val="pageBottom"/>
            <w:numFmt w:val="decimal"/>
            <w:numRestart w:val="continuous"/>
          </w:footnotePr>
          <w:pgSz w:w="11900" w:h="16840"/>
          <w:pgMar w:top="1441" w:right="1195" w:bottom="1494" w:left="1105" w:header="0" w:footer="3" w:gutter="0"/>
          <w:cols w:space="720"/>
          <w:noEndnote/>
          <w:rtlGutter w:val="0"/>
          <w:docGrid w:linePitch="360"/>
        </w:sectPr>
      </w:pPr>
    </w:p>
    <w:p>
      <w:pPr>
        <w:pStyle w:val="Style14"/>
        <w:keepNext/>
        <w:keepLines/>
        <w:widowControl w:val="0"/>
        <w:shd w:val="clear" w:color="auto" w:fill="auto"/>
        <w:bidi w:val="0"/>
        <w:spacing w:before="0" w:after="580" w:line="240" w:lineRule="auto"/>
        <w:ind w:left="0" w:right="0" w:firstLine="0"/>
        <w:jc w:val="center"/>
      </w:pPr>
      <w:bookmarkStart w:id="829" w:name="bookmark829"/>
      <w:bookmarkStart w:id="830" w:name="bookmark830"/>
      <w:bookmarkStart w:id="831" w:name="bookmark831"/>
      <w:r>
        <w:rPr>
          <w:color w:val="000000"/>
          <w:spacing w:val="0"/>
          <w:w w:val="100"/>
          <w:position w:val="0"/>
        </w:rPr>
        <w:t>第十一节备查文件目录</w:t>
      </w:r>
      <w:bookmarkEnd w:id="829"/>
      <w:bookmarkEnd w:id="830"/>
      <w:bookmarkEnd w:id="831"/>
    </w:p>
    <w:p>
      <w:pPr>
        <w:pStyle w:val="Style35"/>
        <w:keepNext w:val="0"/>
        <w:keepLines w:val="0"/>
        <w:widowControl w:val="0"/>
        <w:shd w:val="clear" w:color="auto" w:fill="auto"/>
        <w:tabs>
          <w:tab w:pos="469" w:val="left"/>
        </w:tabs>
        <w:bidi w:val="0"/>
        <w:spacing w:before="0" w:after="80" w:line="240" w:lineRule="auto"/>
        <w:ind w:left="0" w:right="0" w:firstLine="0"/>
        <w:jc w:val="left"/>
      </w:pPr>
      <w:bookmarkStart w:id="832" w:name="bookmark832"/>
      <w:r>
        <w:rPr>
          <w:color w:val="000000"/>
          <w:spacing w:val="0"/>
          <w:w w:val="100"/>
          <w:position w:val="0"/>
        </w:rPr>
        <w:t>一</w:t>
      </w:r>
      <w:bookmarkEnd w:id="832"/>
      <w:r>
        <w:rPr>
          <w:color w:val="000000"/>
          <w:spacing w:val="0"/>
          <w:w w:val="100"/>
          <w:position w:val="0"/>
        </w:rPr>
        <w:t>、</w:t>
        <w:tab/>
        <w:t>载有公司法定代表人签名的一季年度报告文本。</w:t>
      </w:r>
    </w:p>
    <w:p>
      <w:pPr>
        <w:pStyle w:val="Style35"/>
        <w:keepNext w:val="0"/>
        <w:keepLines w:val="0"/>
        <w:widowControl w:val="0"/>
        <w:shd w:val="clear" w:color="auto" w:fill="auto"/>
        <w:tabs>
          <w:tab w:pos="469" w:val="left"/>
        </w:tabs>
        <w:bidi w:val="0"/>
        <w:spacing w:before="0" w:after="80" w:line="240" w:lineRule="auto"/>
        <w:ind w:left="0" w:right="0" w:firstLine="0"/>
        <w:jc w:val="left"/>
      </w:pPr>
      <w:bookmarkStart w:id="833" w:name="bookmark833"/>
      <w:r>
        <w:rPr>
          <w:color w:val="000000"/>
          <w:spacing w:val="0"/>
          <w:w w:val="100"/>
          <w:position w:val="0"/>
        </w:rPr>
        <w:t>二</w:t>
      </w:r>
      <w:bookmarkEnd w:id="833"/>
      <w:r>
        <w:rPr>
          <w:color w:val="000000"/>
          <w:spacing w:val="0"/>
          <w:w w:val="100"/>
          <w:position w:val="0"/>
        </w:rPr>
        <w:t>、</w:t>
        <w:tab/>
        <w:t>载有公司负责人、主管会计工作的负责人、会计机构负责人签名并盖章的财务报表。</w:t>
      </w:r>
    </w:p>
    <w:p>
      <w:pPr>
        <w:pStyle w:val="Style35"/>
        <w:keepNext w:val="0"/>
        <w:keepLines w:val="0"/>
        <w:widowControl w:val="0"/>
        <w:shd w:val="clear" w:color="auto" w:fill="auto"/>
        <w:tabs>
          <w:tab w:pos="474" w:val="left"/>
        </w:tabs>
        <w:bidi w:val="0"/>
        <w:spacing w:before="0" w:after="80" w:line="240" w:lineRule="auto"/>
        <w:ind w:left="0" w:right="0" w:firstLine="0"/>
        <w:jc w:val="left"/>
      </w:pPr>
      <w:bookmarkStart w:id="834" w:name="bookmark834"/>
      <w:r>
        <w:rPr>
          <w:color w:val="000000"/>
          <w:spacing w:val="0"/>
          <w:w w:val="100"/>
          <w:position w:val="0"/>
        </w:rPr>
        <w:t>三</w:t>
      </w:r>
      <w:bookmarkEnd w:id="834"/>
      <w:r>
        <w:rPr>
          <w:color w:val="000000"/>
          <w:spacing w:val="0"/>
          <w:w w:val="100"/>
          <w:position w:val="0"/>
        </w:rPr>
        <w:t>、</w:t>
        <w:tab/>
        <w:t>报告期内在中国证监会指定报纸上公开披露过的所有公司文件的正文及公告的原稿。</w:t>
      </w:r>
    </w:p>
    <w:p>
      <w:pPr>
        <w:pStyle w:val="Style35"/>
        <w:keepNext w:val="0"/>
        <w:keepLines w:val="0"/>
        <w:widowControl w:val="0"/>
        <w:shd w:val="clear" w:color="auto" w:fill="auto"/>
        <w:tabs>
          <w:tab w:pos="474" w:val="left"/>
        </w:tabs>
        <w:bidi w:val="0"/>
        <w:spacing w:before="0" w:after="700" w:line="240" w:lineRule="auto"/>
        <w:ind w:left="0" w:right="0" w:firstLine="0"/>
        <w:jc w:val="left"/>
      </w:pPr>
      <w:bookmarkStart w:id="835" w:name="bookmark835"/>
      <w:r>
        <w:rPr>
          <w:color w:val="000000"/>
          <w:spacing w:val="0"/>
          <w:w w:val="100"/>
          <w:position w:val="0"/>
        </w:rPr>
        <w:t>四</w:t>
      </w:r>
      <w:bookmarkEnd w:id="835"/>
      <w:r>
        <w:rPr>
          <w:color w:val="000000"/>
          <w:spacing w:val="0"/>
          <w:w w:val="100"/>
          <w:position w:val="0"/>
        </w:rPr>
        <w:t>、</w:t>
        <w:tab/>
        <w:t>有关其他资料。</w:t>
      </w:r>
    </w:p>
    <w:p>
      <w:pPr>
        <w:pStyle w:val="Style30"/>
        <w:keepNext/>
        <w:keepLines/>
        <w:widowControl w:val="0"/>
        <w:shd w:val="clear" w:color="auto" w:fill="auto"/>
        <w:bidi w:val="0"/>
        <w:spacing w:before="0" w:after="480" w:line="240" w:lineRule="auto"/>
        <w:ind w:left="0" w:right="0" w:firstLine="0"/>
        <w:jc w:val="center"/>
      </w:pPr>
      <w:bookmarkStart w:id="836" w:name="bookmark836"/>
      <w:bookmarkStart w:id="837" w:name="bookmark837"/>
      <w:bookmarkStart w:id="838" w:name="bookmark838"/>
      <w:r>
        <w:rPr>
          <w:color w:val="000000"/>
          <w:spacing w:val="0"/>
          <w:w w:val="100"/>
          <w:position w:val="0"/>
          <w:sz w:val="24"/>
          <w:szCs w:val="24"/>
        </w:rPr>
        <w:t>董事长：罗桥胜</w:t>
      </w:r>
      <w:bookmarkEnd w:id="836"/>
      <w:bookmarkEnd w:id="837"/>
      <w:bookmarkEnd w:id="838"/>
    </w:p>
    <w:p>
      <w:pPr>
        <w:pStyle w:val="Style30"/>
        <w:keepNext/>
        <w:keepLines/>
        <w:widowControl w:val="0"/>
        <w:shd w:val="clear" w:color="auto" w:fill="auto"/>
        <w:bidi w:val="0"/>
        <w:spacing w:before="0" w:after="9440" w:line="240" w:lineRule="auto"/>
        <w:ind w:left="0" w:right="0" w:firstLine="0"/>
        <w:jc w:val="right"/>
      </w:pPr>
      <w:bookmarkStart w:id="836" w:name="bookmark836"/>
      <w:bookmarkStart w:id="837" w:name="bookmark837"/>
      <w:bookmarkStart w:id="839" w:name="bookmark839"/>
      <w:r>
        <w:rPr>
          <w:color w:val="000000"/>
          <w:spacing w:val="0"/>
          <w:w w:val="100"/>
          <w:position w:val="0"/>
          <w:sz w:val="24"/>
          <w:szCs w:val="24"/>
        </w:rPr>
        <w:t>董事会批准报送日期</w:t>
      </w:r>
      <w:r>
        <w:rPr>
          <w:color w:val="000000"/>
          <w:spacing w:val="0"/>
          <w:w w:val="100"/>
          <w:position w:val="0"/>
          <w:sz w:val="24"/>
          <w:szCs w:val="24"/>
        </w:rPr>
        <w:t>：2014</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23</w:t>
      </w:r>
      <w:r>
        <w:rPr>
          <w:color w:val="000000"/>
          <w:spacing w:val="0"/>
          <w:w w:val="100"/>
          <w:position w:val="0"/>
          <w:sz w:val="24"/>
          <w:szCs w:val="24"/>
        </w:rPr>
        <w:t>日</w:t>
      </w:r>
      <w:bookmarkEnd w:id="836"/>
      <w:bookmarkEnd w:id="837"/>
      <w:bookmarkEnd w:id="839"/>
    </w:p>
    <w:p>
      <w:pPr>
        <w:widowControl w:val="0"/>
        <w:jc w:val="center"/>
        <w:rPr>
          <w:sz w:val="2"/>
          <w:szCs w:val="2"/>
        </w:rPr>
      </w:pPr>
      <w:r>
        <w:drawing>
          <wp:inline>
            <wp:extent cx="1718945" cy="981710"/>
            <wp:docPr id="710" name="Picutre 710"/>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283"/>
                    <a:stretch/>
                  </pic:blipFill>
                  <pic:spPr>
                    <a:xfrm>
                      <a:ext cx="1718945" cy="981710"/>
                    </a:xfrm>
                    <a:prstGeom prst="rect"/>
                  </pic:spPr>
                </pic:pic>
              </a:graphicData>
            </a:graphic>
          </wp:inline>
        </w:drawing>
      </w:r>
    </w:p>
    <w:sectPr>
      <w:headerReference w:type="default" r:id="rId285"/>
      <w:footerReference w:type="default" r:id="rId286"/>
      <w:headerReference w:type="even" r:id="rId287"/>
      <w:footerReference w:type="even" r:id="rId288"/>
      <w:footnotePr>
        <w:pos w:val="pageBottom"/>
        <w:numFmt w:val="decimal"/>
        <w:numRestart w:val="continuous"/>
      </w:footnotePr>
      <w:pgSz w:w="11900" w:h="16840"/>
      <w:pgMar w:top="1930" w:right="1435" w:bottom="0"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6724650</wp:posOffset>
              </wp:positionH>
              <wp:positionV relativeFrom="page">
                <wp:posOffset>9966325</wp:posOffset>
              </wp:positionV>
              <wp:extent cx="97790" cy="79375"/>
              <wp:wrapNone/>
              <wp:docPr id="61" name="Shape 6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29.5pt;margin-top:784.75pt;width:7.7000000000000002pt;height:6.25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6861810</wp:posOffset>
              </wp:positionH>
              <wp:positionV relativeFrom="page">
                <wp:posOffset>10448290</wp:posOffset>
              </wp:positionV>
              <wp:extent cx="42545" cy="97790"/>
              <wp:wrapNone/>
              <wp:docPr id="63" name="Shape 6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89" type="#_x0000_t202" style="position:absolute;margin-left:540.29999999999995pt;margin-top:822.70000000000005pt;width:3.3500000000000001pt;height:7.7000000000000002pt;z-index:-1887440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6727190</wp:posOffset>
              </wp:positionH>
              <wp:positionV relativeFrom="page">
                <wp:posOffset>9955530</wp:posOffset>
              </wp:positionV>
              <wp:extent cx="100330" cy="79375"/>
              <wp:wrapNone/>
              <wp:docPr id="636" name="Shape 63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wps:txbx>
                    <wps:bodyPr wrap="none" lIns="0" tIns="0" rIns="0" bIns="0">
                      <a:spAutoFit/>
                    </wps:bodyPr>
                  </wps:wsp>
                </a:graphicData>
              </a:graphic>
            </wp:anchor>
          </w:drawing>
        </mc:Choice>
        <mc:Fallback>
          <w:pict>
            <v:shape id="_x0000_s1662" type="#_x0000_t202" style="position:absolute;margin-left:529.70000000000005pt;margin-top:783.89999999999998pt;width:7.9000000000000004pt;height:6.25pt;z-index:-18874358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2" behindDoc="1" locked="0" layoutInCell="1" allowOverlap="1">
              <wp:simplePos x="0" y="0"/>
              <wp:positionH relativeFrom="page">
                <wp:posOffset>6968490</wp:posOffset>
              </wp:positionH>
              <wp:positionV relativeFrom="page">
                <wp:posOffset>10436860</wp:posOffset>
              </wp:positionV>
              <wp:extent cx="45720" cy="97790"/>
              <wp:wrapNone/>
              <wp:docPr id="638" name="Shape 63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64" type="#_x0000_t202" style="position:absolute;margin-left:548.70000000000005pt;margin-top:821.80000000000007pt;width:3.6000000000000001pt;height:7.7000000000000002pt;z-index:-1887435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6727190</wp:posOffset>
              </wp:positionH>
              <wp:positionV relativeFrom="page">
                <wp:posOffset>9955530</wp:posOffset>
              </wp:positionV>
              <wp:extent cx="100330" cy="79375"/>
              <wp:wrapNone/>
              <wp:docPr id="643" name="Shape 64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wps:txbx>
                    <wps:bodyPr wrap="none" lIns="0" tIns="0" rIns="0" bIns="0">
                      <a:spAutoFit/>
                    </wps:bodyPr>
                  </wps:wsp>
                </a:graphicData>
              </a:graphic>
            </wp:anchor>
          </w:drawing>
        </mc:Choice>
        <mc:Fallback>
          <w:pict>
            <v:shape id="_x0000_s1669" type="#_x0000_t202" style="position:absolute;margin-left:529.70000000000005pt;margin-top:783.89999999999998pt;width:7.9000000000000004pt;height:6.25pt;z-index:-18874357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8" behindDoc="1" locked="0" layoutInCell="1" allowOverlap="1">
              <wp:simplePos x="0" y="0"/>
              <wp:positionH relativeFrom="page">
                <wp:posOffset>6968490</wp:posOffset>
              </wp:positionH>
              <wp:positionV relativeFrom="page">
                <wp:posOffset>10436860</wp:posOffset>
              </wp:positionV>
              <wp:extent cx="45720" cy="97790"/>
              <wp:wrapNone/>
              <wp:docPr id="645" name="Shape 64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1" type="#_x0000_t202" style="position:absolute;margin-left:548.70000000000005pt;margin-top:821.80000000000007pt;width:3.6000000000000001pt;height:7.7000000000000002pt;z-index:-1887435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6729095</wp:posOffset>
              </wp:positionH>
              <wp:positionV relativeFrom="page">
                <wp:posOffset>9955530</wp:posOffset>
              </wp:positionV>
              <wp:extent cx="106680" cy="79375"/>
              <wp:wrapNone/>
              <wp:docPr id="650" name="Shape 65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wps:txbx>
                    <wps:bodyPr wrap="none" lIns="0" tIns="0" rIns="0" bIns="0">
                      <a:spAutoFit/>
                    </wps:bodyPr>
                  </wps:wsp>
                </a:graphicData>
              </a:graphic>
            </wp:anchor>
          </w:drawing>
        </mc:Choice>
        <mc:Fallback>
          <w:pict>
            <v:shape id="_x0000_s1676" type="#_x0000_t202" style="position:absolute;margin-left:529.85000000000002pt;margin-top:783.89999999999998pt;width:8.4000000000000004pt;height:6.25pt;z-index:-18874357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5842000</wp:posOffset>
              </wp:positionH>
              <wp:positionV relativeFrom="page">
                <wp:posOffset>10436860</wp:posOffset>
              </wp:positionV>
              <wp:extent cx="133985" cy="103505"/>
              <wp:wrapNone/>
              <wp:docPr id="652" name="Shape 6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78" type="#_x0000_t202" style="position:absolute;margin-left:460.pt;margin-top:821.80000000000007pt;width:10.550000000000001pt;height:8.1500000000000004pt;z-index:-1887435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6724650</wp:posOffset>
              </wp:positionH>
              <wp:positionV relativeFrom="page">
                <wp:posOffset>9955530</wp:posOffset>
              </wp:positionV>
              <wp:extent cx="103505" cy="79375"/>
              <wp:wrapNone/>
              <wp:docPr id="679" name="Shape 6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wps:txbx>
                    <wps:bodyPr wrap="none" lIns="0" tIns="0" rIns="0" bIns="0">
                      <a:spAutoFit/>
                    </wps:bodyPr>
                  </wps:wsp>
                </a:graphicData>
              </a:graphic>
            </wp:anchor>
          </w:drawing>
        </mc:Choice>
        <mc:Fallback>
          <w:pict>
            <v:shape id="_x0000_s1705" type="#_x0000_t202" style="position:absolute;margin-left:529.5pt;margin-top:783.89999999999998pt;width:8.1500000000000004pt;height:6.25pt;z-index:-18874356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6700520</wp:posOffset>
              </wp:positionH>
              <wp:positionV relativeFrom="page">
                <wp:posOffset>10006330</wp:posOffset>
              </wp:positionV>
              <wp:extent cx="94615" cy="79375"/>
              <wp:wrapNone/>
              <wp:docPr id="68" name="Shape 6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527.60000000000002pt;margin-top:787.89999999999998pt;width:7.4500000000000002pt;height:6.25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5789295</wp:posOffset>
              </wp:positionH>
              <wp:positionV relativeFrom="page">
                <wp:posOffset>10487660</wp:posOffset>
              </wp:positionV>
              <wp:extent cx="133985" cy="103505"/>
              <wp:wrapNone/>
              <wp:docPr id="70" name="Shape 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96" type="#_x0000_t202" style="position:absolute;margin-left:455.85000000000002pt;margin-top:825.80000000000007pt;width:10.550000000000001pt;height:8.1500000000000004pt;z-index:-1887440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6729095</wp:posOffset>
              </wp:positionH>
              <wp:positionV relativeFrom="page">
                <wp:posOffset>9955530</wp:posOffset>
              </wp:positionV>
              <wp:extent cx="106680" cy="79375"/>
              <wp:wrapNone/>
              <wp:docPr id="685" name="Shape 68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wps:txbx>
                    <wps:bodyPr wrap="none" lIns="0" tIns="0" rIns="0" bIns="0">
                      <a:spAutoFit/>
                    </wps:bodyPr>
                  </wps:wsp>
                </a:graphicData>
              </a:graphic>
            </wp:anchor>
          </w:drawing>
        </mc:Choice>
        <mc:Fallback>
          <w:pict>
            <v:shape id="_x0000_s1711" type="#_x0000_t202" style="position:absolute;margin-left:529.85000000000002pt;margin-top:783.89999999999998pt;width:8.4000000000000004pt;height:6.25pt;z-index:-18874355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8" behindDoc="1" locked="0" layoutInCell="1" allowOverlap="1">
              <wp:simplePos x="0" y="0"/>
              <wp:positionH relativeFrom="page">
                <wp:posOffset>5842000</wp:posOffset>
              </wp:positionH>
              <wp:positionV relativeFrom="page">
                <wp:posOffset>10436860</wp:posOffset>
              </wp:positionV>
              <wp:extent cx="133985" cy="103505"/>
              <wp:wrapNone/>
              <wp:docPr id="687" name="Shape 68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13" type="#_x0000_t202" style="position:absolute;margin-left:460.pt;margin-top:821.80000000000007pt;width:10.550000000000001pt;height:8.1500000000000004pt;z-index:-1887435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6730365</wp:posOffset>
              </wp:positionH>
              <wp:positionV relativeFrom="page">
                <wp:posOffset>9955530</wp:posOffset>
              </wp:positionV>
              <wp:extent cx="103505" cy="79375"/>
              <wp:wrapNone/>
              <wp:docPr id="692" name="Shape 69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wps:txbx>
                    <wps:bodyPr wrap="none" lIns="0" tIns="0" rIns="0" bIns="0">
                      <a:spAutoFit/>
                    </wps:bodyPr>
                  </wps:wsp>
                </a:graphicData>
              </a:graphic>
            </wp:anchor>
          </w:drawing>
        </mc:Choice>
        <mc:Fallback>
          <w:pict>
            <v:shape id="_x0000_s1718" type="#_x0000_t202" style="position:absolute;margin-left:529.95000000000005pt;margin-top:783.89999999999998pt;width:8.1500000000000004pt;height:6.25pt;z-index:-18874355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4" behindDoc="1" locked="0" layoutInCell="1" allowOverlap="1">
              <wp:simplePos x="0" y="0"/>
              <wp:positionH relativeFrom="page">
                <wp:posOffset>6892290</wp:posOffset>
              </wp:positionH>
              <wp:positionV relativeFrom="page">
                <wp:posOffset>10436860</wp:posOffset>
              </wp:positionV>
              <wp:extent cx="42545" cy="97790"/>
              <wp:wrapNone/>
              <wp:docPr id="694" name="Shape 69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20" type="#_x0000_t202" style="position:absolute;margin-left:542.70000000000005pt;margin-top:821.80000000000007pt;width:3.3500000000000001pt;height:7.7000000000000002pt;z-index:-1887435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6678930</wp:posOffset>
              </wp:positionH>
              <wp:positionV relativeFrom="page">
                <wp:posOffset>9952355</wp:posOffset>
              </wp:positionV>
              <wp:extent cx="155575" cy="82550"/>
              <wp:wrapNone/>
              <wp:docPr id="699" name="Shape 69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wps:txbx>
                    <wps:bodyPr wrap="none" lIns="0" tIns="0" rIns="0" bIns="0">
                      <a:spAutoFit/>
                    </wps:bodyPr>
                  </wps:wsp>
                </a:graphicData>
              </a:graphic>
            </wp:anchor>
          </w:drawing>
        </mc:Choice>
        <mc:Fallback>
          <w:pict>
            <v:shape id="_x0000_s1725" type="#_x0000_t202" style="position:absolute;margin-left:525.89999999999998pt;margin-top:783.64999999999998pt;width:12.25pt;height:6.5pt;z-index:-18874354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6971665</wp:posOffset>
              </wp:positionH>
              <wp:positionV relativeFrom="page">
                <wp:posOffset>10436860</wp:posOffset>
              </wp:positionV>
              <wp:extent cx="45720" cy="97790"/>
              <wp:wrapNone/>
              <wp:docPr id="701" name="Shape 70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27" type="#_x0000_t202" style="position:absolute;margin-left:548.95000000000005pt;margin-top:821.80000000000007pt;width:3.6000000000000001pt;height:7.7000000000000002pt;z-index:-1887435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6678930</wp:posOffset>
              </wp:positionH>
              <wp:positionV relativeFrom="page">
                <wp:posOffset>9952355</wp:posOffset>
              </wp:positionV>
              <wp:extent cx="155575" cy="82550"/>
              <wp:wrapNone/>
              <wp:docPr id="706" name="Shape 70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wps:txbx>
                    <wps:bodyPr wrap="none" lIns="0" tIns="0" rIns="0" bIns="0">
                      <a:spAutoFit/>
                    </wps:bodyPr>
                  </wps:wsp>
                </a:graphicData>
              </a:graphic>
            </wp:anchor>
          </w:drawing>
        </mc:Choice>
        <mc:Fallback>
          <w:pict>
            <v:shape id="_x0000_s1732" type="#_x0000_t202" style="position:absolute;margin-left:525.89999999999998pt;margin-top:783.64999999999998pt;width:12.25pt;height:6.5pt;z-index:-18874353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B5B5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6971665</wp:posOffset>
              </wp:positionH>
              <wp:positionV relativeFrom="page">
                <wp:posOffset>10436860</wp:posOffset>
              </wp:positionV>
              <wp:extent cx="45720" cy="97790"/>
              <wp:wrapNone/>
              <wp:docPr id="708" name="Shape 70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34" type="#_x0000_t202" style="position:absolute;margin-left:548.95000000000005pt;margin-top:821.80000000000007pt;width:3.6000000000000001pt;height:7.7000000000000002pt;z-index:-1887435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9678035</wp:posOffset>
              </wp:positionH>
              <wp:positionV relativeFrom="page">
                <wp:posOffset>6821170</wp:posOffset>
              </wp:positionV>
              <wp:extent cx="97790" cy="79375"/>
              <wp:wrapNone/>
              <wp:docPr id="74" name="Shape 7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B5B5B"/>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762.05000000000007pt;margin-top:537.10000000000002pt;width:7.7000000000000002pt;height:6.25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B5B5B"/>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9678035</wp:posOffset>
              </wp:positionH>
              <wp:positionV relativeFrom="page">
                <wp:posOffset>6821170</wp:posOffset>
              </wp:positionV>
              <wp:extent cx="97790" cy="79375"/>
              <wp:wrapNone/>
              <wp:docPr id="78" name="Shape 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B5B5B"/>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762.05000000000007pt;margin-top:537.10000000000002pt;width:7.7000000000000002pt;height:6.25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B5B5B"/>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5857240</wp:posOffset>
              </wp:positionH>
              <wp:positionV relativeFrom="page">
                <wp:posOffset>10301605</wp:posOffset>
              </wp:positionV>
              <wp:extent cx="133985" cy="103505"/>
              <wp:wrapNone/>
              <wp:docPr id="95" name="Shape 9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21" type="#_x0000_t202" style="position:absolute;margin-left:461.19999999999999pt;margin-top:811.14999999999998pt;width:10.550000000000001pt;height:8.1500000000000004pt;z-index:-1887439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5857240</wp:posOffset>
              </wp:positionH>
              <wp:positionV relativeFrom="page">
                <wp:posOffset>10301605</wp:posOffset>
              </wp:positionV>
              <wp:extent cx="133985" cy="103505"/>
              <wp:wrapNone/>
              <wp:docPr id="100" name="Shape 10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26" type="#_x0000_t202" style="position:absolute;margin-left:461.19999999999999pt;margin-top:811.14999999999998pt;width:10.550000000000001pt;height:8.1500000000000004pt;z-index:-1887439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5871210</wp:posOffset>
              </wp:positionH>
              <wp:positionV relativeFrom="page">
                <wp:posOffset>9955530</wp:posOffset>
              </wp:positionV>
              <wp:extent cx="1005840" cy="603250"/>
              <wp:wrapNone/>
              <wp:docPr id="7" name="Shape 7"/>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33" type="#_x0000_t202" style="position:absolute;margin-left:462.30000000000001pt;margin-top:783.89999999999998pt;width:79.200000000000003pt;height:47.5pt;z-index:-1887440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6704330</wp:posOffset>
              </wp:positionH>
              <wp:positionV relativeFrom="page">
                <wp:posOffset>10006330</wp:posOffset>
              </wp:positionV>
              <wp:extent cx="109855" cy="79375"/>
              <wp:wrapNone/>
              <wp:docPr id="114" name="Shape 1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140" type="#_x0000_t202" style="position:absolute;margin-left:527.89999999999998pt;margin-top:787.89999999999998pt;width:8.6500000000000004pt;height:6.25pt;z-index:-18874397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6742430</wp:posOffset>
              </wp:positionH>
              <wp:positionV relativeFrom="page">
                <wp:posOffset>10006330</wp:posOffset>
              </wp:positionV>
              <wp:extent cx="106680" cy="79375"/>
              <wp:wrapNone/>
              <wp:docPr id="119" name="Shape 11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530.89999999999998pt;margin-top:787.89999999999998pt;width:8.4000000000000004pt;height:6.25pt;z-index:-18874397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3" behindDoc="1" locked="0" layoutInCell="1" allowOverlap="1">
              <wp:simplePos x="0" y="0"/>
              <wp:positionH relativeFrom="page">
                <wp:posOffset>6910070</wp:posOffset>
              </wp:positionH>
              <wp:positionV relativeFrom="page">
                <wp:posOffset>10487660</wp:posOffset>
              </wp:positionV>
              <wp:extent cx="42545" cy="97790"/>
              <wp:wrapNone/>
              <wp:docPr id="121" name="Shape 12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7" type="#_x0000_t202" style="position:absolute;margin-left:544.10000000000002pt;margin-top:825.80000000000007pt;width:3.3500000000000001pt;height:7.7000000000000002pt;z-index:-1887439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6742430</wp:posOffset>
              </wp:positionH>
              <wp:positionV relativeFrom="page">
                <wp:posOffset>10006330</wp:posOffset>
              </wp:positionV>
              <wp:extent cx="106680" cy="79375"/>
              <wp:wrapNone/>
              <wp:docPr id="126" name="Shape 12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530.89999999999998pt;margin-top:787.89999999999998pt;width:8.4000000000000004pt;height:6.25pt;z-index:-18874396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9" behindDoc="1" locked="0" layoutInCell="1" allowOverlap="1">
              <wp:simplePos x="0" y="0"/>
              <wp:positionH relativeFrom="page">
                <wp:posOffset>6910070</wp:posOffset>
              </wp:positionH>
              <wp:positionV relativeFrom="page">
                <wp:posOffset>10487660</wp:posOffset>
              </wp:positionV>
              <wp:extent cx="42545" cy="97790"/>
              <wp:wrapNone/>
              <wp:docPr id="128" name="Shape 12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4" type="#_x0000_t202" style="position:absolute;margin-left:544.10000000000002pt;margin-top:825.80000000000007pt;width:3.3500000000000001pt;height:7.7000000000000002pt;z-index:-1887439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6706235</wp:posOffset>
              </wp:positionH>
              <wp:positionV relativeFrom="page">
                <wp:posOffset>10004425</wp:posOffset>
              </wp:positionV>
              <wp:extent cx="109855" cy="82550"/>
              <wp:wrapNone/>
              <wp:docPr id="133" name="Shape 13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528.04999999999995pt;margin-top:787.75pt;width:8.6500000000000004pt;height:6.5pt;z-index:-18874396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5" behindDoc="1" locked="0" layoutInCell="1" allowOverlap="1">
              <wp:simplePos x="0" y="0"/>
              <wp:positionH relativeFrom="page">
                <wp:posOffset>6953250</wp:posOffset>
              </wp:positionH>
              <wp:positionV relativeFrom="page">
                <wp:posOffset>10488930</wp:posOffset>
              </wp:positionV>
              <wp:extent cx="45720" cy="97790"/>
              <wp:wrapNone/>
              <wp:docPr id="135" name="Shape 13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1" type="#_x0000_t202" style="position:absolute;margin-left:547.5pt;margin-top:825.89999999999998pt;width:3.6000000000000001pt;height:7.7000000000000002pt;z-index:-1887439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6700520</wp:posOffset>
              </wp:positionH>
              <wp:positionV relativeFrom="page">
                <wp:posOffset>10006330</wp:posOffset>
              </wp:positionV>
              <wp:extent cx="94615" cy="79375"/>
              <wp:wrapNone/>
              <wp:docPr id="144" name="Shape 14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170" type="#_x0000_t202" style="position:absolute;margin-left:527.60000000000002pt;margin-top:787.89999999999998pt;width:7.4500000000000002pt;height:6.25pt;z-index:-18874395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1" behindDoc="1" locked="0" layoutInCell="1" allowOverlap="1">
              <wp:simplePos x="0" y="0"/>
              <wp:positionH relativeFrom="page">
                <wp:posOffset>5789295</wp:posOffset>
              </wp:positionH>
              <wp:positionV relativeFrom="page">
                <wp:posOffset>10487660</wp:posOffset>
              </wp:positionV>
              <wp:extent cx="133985" cy="103505"/>
              <wp:wrapNone/>
              <wp:docPr id="146" name="Shape 14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2" type="#_x0000_t202" style="position:absolute;margin-left:455.85000000000002pt;margin-top:825.80000000000007pt;width:10.550000000000001pt;height:8.1500000000000004pt;z-index:-1887439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6700520</wp:posOffset>
              </wp:positionH>
              <wp:positionV relativeFrom="page">
                <wp:posOffset>10006330</wp:posOffset>
              </wp:positionV>
              <wp:extent cx="94615" cy="79375"/>
              <wp:wrapNone/>
              <wp:docPr id="151" name="Shape 15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527.60000000000002pt;margin-top:787.89999999999998pt;width:7.4500000000000002pt;height:6.25pt;z-index:-18874394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7" behindDoc="1" locked="0" layoutInCell="1" allowOverlap="1">
              <wp:simplePos x="0" y="0"/>
              <wp:positionH relativeFrom="page">
                <wp:posOffset>5789295</wp:posOffset>
              </wp:positionH>
              <wp:positionV relativeFrom="page">
                <wp:posOffset>10487660</wp:posOffset>
              </wp:positionV>
              <wp:extent cx="133985" cy="103505"/>
              <wp:wrapNone/>
              <wp:docPr id="153" name="Shape 15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9" type="#_x0000_t202" style="position:absolute;margin-left:455.85000000000002pt;margin-top:825.80000000000007pt;width:10.550000000000001pt;height:8.1500000000000004pt;z-index:-1887439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6704330</wp:posOffset>
              </wp:positionH>
              <wp:positionV relativeFrom="page">
                <wp:posOffset>10006330</wp:posOffset>
              </wp:positionV>
              <wp:extent cx="109855" cy="79375"/>
              <wp:wrapNone/>
              <wp:docPr id="158" name="Shape 15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527.89999999999998pt;margin-top:787.89999999999998pt;width:8.6500000000000004pt;height:6.25pt;z-index:-18874394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6704330</wp:posOffset>
              </wp:positionH>
              <wp:positionV relativeFrom="page">
                <wp:posOffset>10006330</wp:posOffset>
              </wp:positionV>
              <wp:extent cx="109855" cy="79375"/>
              <wp:wrapNone/>
              <wp:docPr id="178" name="Shape 17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527.89999999999998pt;margin-top:787.89999999999998pt;width:8.6500000000000004pt;height:6.25pt;z-index:-18874393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6704330</wp:posOffset>
              </wp:positionH>
              <wp:positionV relativeFrom="page">
                <wp:posOffset>10006330</wp:posOffset>
              </wp:positionV>
              <wp:extent cx="109855" cy="79375"/>
              <wp:wrapNone/>
              <wp:docPr id="183" name="Shape 18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527.89999999999998pt;margin-top:787.89999999999998pt;width:8.6500000000000004pt;height:6.25pt;z-index:-18874393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6751955</wp:posOffset>
              </wp:positionH>
              <wp:positionV relativeFrom="page">
                <wp:posOffset>9955530</wp:posOffset>
              </wp:positionV>
              <wp:extent cx="250190" cy="597535"/>
              <wp:wrapNone/>
              <wp:docPr id="14" name="Shape 14"/>
              <a:graphic xmlns:a="http://schemas.openxmlformats.org/drawingml/2006/main">
                <a:graphicData uri="http://schemas.microsoft.com/office/word/2010/wordprocessingShape">
                  <wps:wsp>
                    <wps:cNvSpPr txBox="1"/>
                    <wps:spPr>
                      <a:xfrm>
                        <a:ext cx="250190" cy="597535"/>
                      </a:xfrm>
                      <a:prstGeom prst="rect"/>
                      <a:noFill/>
                    </wps:spPr>
                    <wps:txbx>
                      <w:txbxContent>
                        <w:p>
                          <w:pPr>
                            <w:widowControl w:val="0"/>
                          </w:pPr>
                        </w:p>
                      </w:txbxContent>
                    </wps:txbx>
                    <wps:bodyPr wrap="none" lIns="0" tIns="0" rIns="0" bIns="0">
                      <a:spAutoFit/>
                    </wps:bodyPr>
                  </wps:wsp>
                </a:graphicData>
              </a:graphic>
            </wp:anchor>
          </w:drawing>
        </mc:Choice>
        <mc:Fallback>
          <w:pict>
            <v:shape id="_x0000_s1040" type="#_x0000_t202" style="position:absolute;margin-left:531.64999999999998pt;margin-top:783.89999999999998pt;width:19.699999999999999pt;height:47.050000000000004pt;z-index:-1887440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6966585</wp:posOffset>
              </wp:positionH>
              <wp:positionV relativeFrom="page">
                <wp:posOffset>10299065</wp:posOffset>
              </wp:positionV>
              <wp:extent cx="45720" cy="97790"/>
              <wp:wrapNone/>
              <wp:docPr id="189" name="Shape 18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15" type="#_x0000_t202" style="position:absolute;margin-left:548.55000000000007pt;margin-top:810.95000000000005pt;width:3.6000000000000001pt;height:7.7000000000000002pt;z-index:-1887439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6966585</wp:posOffset>
              </wp:positionH>
              <wp:positionV relativeFrom="page">
                <wp:posOffset>10299065</wp:posOffset>
              </wp:positionV>
              <wp:extent cx="45720" cy="97790"/>
              <wp:wrapNone/>
              <wp:docPr id="194" name="Shape 19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0" type="#_x0000_t202" style="position:absolute;margin-left:548.55000000000007pt;margin-top:810.95000000000005pt;width:3.6000000000000001pt;height:7.7000000000000002pt;z-index:-1887439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6700520</wp:posOffset>
              </wp:positionH>
              <wp:positionV relativeFrom="page">
                <wp:posOffset>10006330</wp:posOffset>
              </wp:positionV>
              <wp:extent cx="94615" cy="79375"/>
              <wp:wrapNone/>
              <wp:docPr id="199" name="Shape 19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225" type="#_x0000_t202" style="position:absolute;margin-left:527.60000000000002pt;margin-top:787.89999999999998pt;width:7.4500000000000002pt;height:6.25pt;z-index:-18874392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3" behindDoc="1" locked="0" layoutInCell="1" allowOverlap="1">
              <wp:simplePos x="0" y="0"/>
              <wp:positionH relativeFrom="page">
                <wp:posOffset>5789295</wp:posOffset>
              </wp:positionH>
              <wp:positionV relativeFrom="page">
                <wp:posOffset>10487660</wp:posOffset>
              </wp:positionV>
              <wp:extent cx="133985" cy="103505"/>
              <wp:wrapNone/>
              <wp:docPr id="201" name="Shape 20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27" type="#_x0000_t202" style="position:absolute;margin-left:455.85000000000002pt;margin-top:825.80000000000007pt;width:10.550000000000001pt;height:8.1500000000000004pt;z-index:-1887439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6700520</wp:posOffset>
              </wp:positionH>
              <wp:positionV relativeFrom="page">
                <wp:posOffset>10006330</wp:posOffset>
              </wp:positionV>
              <wp:extent cx="94615" cy="79375"/>
              <wp:wrapNone/>
              <wp:docPr id="206" name="Shape 20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232" type="#_x0000_t202" style="position:absolute;margin-left:527.60000000000002pt;margin-top:787.89999999999998pt;width:7.4500000000000002pt;height:6.25pt;z-index:-18874391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9" behindDoc="1" locked="0" layoutInCell="1" allowOverlap="1">
              <wp:simplePos x="0" y="0"/>
              <wp:positionH relativeFrom="page">
                <wp:posOffset>5789295</wp:posOffset>
              </wp:positionH>
              <wp:positionV relativeFrom="page">
                <wp:posOffset>10487660</wp:posOffset>
              </wp:positionV>
              <wp:extent cx="133985" cy="103505"/>
              <wp:wrapNone/>
              <wp:docPr id="208" name="Shape 2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34" type="#_x0000_t202" style="position:absolute;margin-left:455.85000000000002pt;margin-top:825.80000000000007pt;width:10.550000000000001pt;height:8.1500000000000004pt;z-index:-1887439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6700520</wp:posOffset>
              </wp:positionH>
              <wp:positionV relativeFrom="page">
                <wp:posOffset>10006330</wp:posOffset>
              </wp:positionV>
              <wp:extent cx="94615" cy="79375"/>
              <wp:wrapNone/>
              <wp:docPr id="213" name="Shape 21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527.60000000000002pt;margin-top:787.89999999999998pt;width:7.4500000000000002pt;height:6.25pt;z-index:-18874391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5" behindDoc="1" locked="0" layoutInCell="1" allowOverlap="1">
              <wp:simplePos x="0" y="0"/>
              <wp:positionH relativeFrom="page">
                <wp:posOffset>5789295</wp:posOffset>
              </wp:positionH>
              <wp:positionV relativeFrom="page">
                <wp:posOffset>10487660</wp:posOffset>
              </wp:positionV>
              <wp:extent cx="133985" cy="103505"/>
              <wp:wrapNone/>
              <wp:docPr id="215" name="Shape 2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1" type="#_x0000_t202" style="position:absolute;margin-left:455.85000000000002pt;margin-top:825.80000000000007pt;width:10.550000000000001pt;height:8.1500000000000004pt;z-index:-1887439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6694805</wp:posOffset>
              </wp:positionH>
              <wp:positionV relativeFrom="page">
                <wp:posOffset>9984740</wp:posOffset>
              </wp:positionV>
              <wp:extent cx="103505" cy="79375"/>
              <wp:wrapNone/>
              <wp:docPr id="220" name="Shape 2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246" type="#_x0000_t202" style="position:absolute;margin-left:527.14999999999998pt;margin-top:786.20000000000005pt;width:8.1500000000000004pt;height:6.25pt;z-index:-18874390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1" behindDoc="1" locked="0" layoutInCell="1" allowOverlap="1">
              <wp:simplePos x="0" y="0"/>
              <wp:positionH relativeFrom="page">
                <wp:posOffset>6936105</wp:posOffset>
              </wp:positionH>
              <wp:positionV relativeFrom="page">
                <wp:posOffset>10466705</wp:posOffset>
              </wp:positionV>
              <wp:extent cx="45720" cy="97790"/>
              <wp:wrapNone/>
              <wp:docPr id="222" name="Shape 22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48" type="#_x0000_t202" style="position:absolute;margin-left:546.14999999999998pt;margin-top:824.14999999999998pt;width:3.6000000000000001pt;height:7.7000000000000002pt;z-index:-1887439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6727190</wp:posOffset>
              </wp:positionH>
              <wp:positionV relativeFrom="page">
                <wp:posOffset>9984740</wp:posOffset>
              </wp:positionV>
              <wp:extent cx="100330" cy="79375"/>
              <wp:wrapNone/>
              <wp:docPr id="227" name="Shape 22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253" type="#_x0000_t202" style="position:absolute;margin-left:529.70000000000005pt;margin-top:786.20000000000005pt;width:7.9000000000000004pt;height:6.25pt;z-index:-18874389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7" behindDoc="1" locked="0" layoutInCell="1" allowOverlap="1">
              <wp:simplePos x="0" y="0"/>
              <wp:positionH relativeFrom="page">
                <wp:posOffset>6888480</wp:posOffset>
              </wp:positionH>
              <wp:positionV relativeFrom="page">
                <wp:posOffset>10466705</wp:posOffset>
              </wp:positionV>
              <wp:extent cx="42545" cy="97790"/>
              <wp:wrapNone/>
              <wp:docPr id="229" name="Shape 22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55" type="#_x0000_t202" style="position:absolute;margin-left:542.39999999999998pt;margin-top:824.14999999999998pt;width:3.3500000000000001pt;height:7.7000000000000002pt;z-index:-1887438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6727190</wp:posOffset>
              </wp:positionH>
              <wp:positionV relativeFrom="page">
                <wp:posOffset>9984740</wp:posOffset>
              </wp:positionV>
              <wp:extent cx="100330" cy="79375"/>
              <wp:wrapNone/>
              <wp:docPr id="234" name="Shape 23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260" type="#_x0000_t202" style="position:absolute;margin-left:529.70000000000005pt;margin-top:786.20000000000005pt;width:7.9000000000000004pt;height:6.25pt;z-index:-18874389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3" behindDoc="1" locked="0" layoutInCell="1" allowOverlap="1">
              <wp:simplePos x="0" y="0"/>
              <wp:positionH relativeFrom="page">
                <wp:posOffset>6888480</wp:posOffset>
              </wp:positionH>
              <wp:positionV relativeFrom="page">
                <wp:posOffset>10466705</wp:posOffset>
              </wp:positionV>
              <wp:extent cx="42545" cy="97790"/>
              <wp:wrapNone/>
              <wp:docPr id="236" name="Shape 23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2" type="#_x0000_t202" style="position:absolute;margin-left:542.39999999999998pt;margin-top:824.14999999999998pt;width:3.3500000000000001pt;height:7.7000000000000002pt;z-index:-1887438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6724650</wp:posOffset>
              </wp:positionH>
              <wp:positionV relativeFrom="page">
                <wp:posOffset>9966325</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9.5pt;margin-top:784.75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6861810</wp:posOffset>
              </wp:positionH>
              <wp:positionV relativeFrom="page">
                <wp:posOffset>10448290</wp:posOffset>
              </wp:positionV>
              <wp:extent cx="42545" cy="97790"/>
              <wp:wrapNone/>
              <wp:docPr id="21" name="Shape 2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47" type="#_x0000_t202" style="position:absolute;margin-left:540.29999999999995pt;margin-top:822.70000000000005pt;width:3.3500000000000001pt;height:7.7000000000000002pt;z-index:-1887440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6704330</wp:posOffset>
              </wp:positionH>
              <wp:positionV relativeFrom="page">
                <wp:posOffset>10006330</wp:posOffset>
              </wp:positionV>
              <wp:extent cx="109855" cy="79375"/>
              <wp:wrapNone/>
              <wp:docPr id="249" name="Shape 24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275" type="#_x0000_t202" style="position:absolute;margin-left:527.89999999999998pt;margin-top:787.89999999999998pt;width:8.6500000000000004pt;height:6.25pt;z-index:-18874388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6694805</wp:posOffset>
              </wp:positionH>
              <wp:positionV relativeFrom="page">
                <wp:posOffset>9984740</wp:posOffset>
              </wp:positionV>
              <wp:extent cx="103505" cy="79375"/>
              <wp:wrapNone/>
              <wp:docPr id="254" name="Shape 25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280" type="#_x0000_t202" style="position:absolute;margin-left:527.14999999999998pt;margin-top:786.20000000000005pt;width:8.1500000000000004pt;height:6.25pt;z-index:-18874387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7" behindDoc="1" locked="0" layoutInCell="1" allowOverlap="1">
              <wp:simplePos x="0" y="0"/>
              <wp:positionH relativeFrom="page">
                <wp:posOffset>6936105</wp:posOffset>
              </wp:positionH>
              <wp:positionV relativeFrom="page">
                <wp:posOffset>10466705</wp:posOffset>
              </wp:positionV>
              <wp:extent cx="45720" cy="97790"/>
              <wp:wrapNone/>
              <wp:docPr id="256" name="Shape 25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82" type="#_x0000_t202" style="position:absolute;margin-left:546.14999999999998pt;margin-top:824.14999999999998pt;width:3.6000000000000001pt;height:7.7000000000000002pt;z-index:-1887438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6700520</wp:posOffset>
              </wp:positionH>
              <wp:positionV relativeFrom="page">
                <wp:posOffset>10006330</wp:posOffset>
              </wp:positionV>
              <wp:extent cx="94615" cy="79375"/>
              <wp:wrapNone/>
              <wp:docPr id="262" name="Shape 26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288" type="#_x0000_t202" style="position:absolute;margin-left:527.60000000000002pt;margin-top:787.89999999999998pt;width:7.4500000000000002pt;height:6.25pt;z-index:-18874387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3" behindDoc="1" locked="0" layoutInCell="1" allowOverlap="1">
              <wp:simplePos x="0" y="0"/>
              <wp:positionH relativeFrom="page">
                <wp:posOffset>5789295</wp:posOffset>
              </wp:positionH>
              <wp:positionV relativeFrom="page">
                <wp:posOffset>10487660</wp:posOffset>
              </wp:positionV>
              <wp:extent cx="133985" cy="103505"/>
              <wp:wrapNone/>
              <wp:docPr id="264" name="Shape 26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90" type="#_x0000_t202" style="position:absolute;margin-left:455.85000000000002pt;margin-top:825.80000000000007pt;width:10.550000000000001pt;height:8.1500000000000004pt;z-index:-1887438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6700520</wp:posOffset>
              </wp:positionH>
              <wp:positionV relativeFrom="page">
                <wp:posOffset>10006330</wp:posOffset>
              </wp:positionV>
              <wp:extent cx="94615" cy="79375"/>
              <wp:wrapNone/>
              <wp:docPr id="269" name="Shape 26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295" type="#_x0000_t202" style="position:absolute;margin-left:527.60000000000002pt;margin-top:787.89999999999998pt;width:7.4500000000000002pt;height:6.25pt;z-index:-18874386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9" behindDoc="1" locked="0" layoutInCell="1" allowOverlap="1">
              <wp:simplePos x="0" y="0"/>
              <wp:positionH relativeFrom="page">
                <wp:posOffset>5789295</wp:posOffset>
              </wp:positionH>
              <wp:positionV relativeFrom="page">
                <wp:posOffset>10487660</wp:posOffset>
              </wp:positionV>
              <wp:extent cx="133985" cy="103505"/>
              <wp:wrapNone/>
              <wp:docPr id="271" name="Shape 27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97" type="#_x0000_t202" style="position:absolute;margin-left:455.85000000000002pt;margin-top:825.80000000000007pt;width:10.550000000000001pt;height:8.1500000000000004pt;z-index:-1887438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6694805</wp:posOffset>
              </wp:positionH>
              <wp:positionV relativeFrom="page">
                <wp:posOffset>9984740</wp:posOffset>
              </wp:positionV>
              <wp:extent cx="103505" cy="79375"/>
              <wp:wrapNone/>
              <wp:docPr id="276" name="Shape 2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302" type="#_x0000_t202" style="position:absolute;margin-left:527.14999999999998pt;margin-top:786.20000000000005pt;width:8.1500000000000004pt;height:6.25pt;z-index:-18874386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5" behindDoc="1" locked="0" layoutInCell="1" allowOverlap="1">
              <wp:simplePos x="0" y="0"/>
              <wp:positionH relativeFrom="page">
                <wp:posOffset>6936105</wp:posOffset>
              </wp:positionH>
              <wp:positionV relativeFrom="page">
                <wp:posOffset>10466705</wp:posOffset>
              </wp:positionV>
              <wp:extent cx="45720" cy="97790"/>
              <wp:wrapNone/>
              <wp:docPr id="278" name="Shape 27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04" type="#_x0000_t202" style="position:absolute;margin-left:546.14999999999998pt;margin-top:824.14999999999998pt;width:3.6000000000000001pt;height:7.7000000000000002pt;z-index:-1887438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6694805</wp:posOffset>
              </wp:positionH>
              <wp:positionV relativeFrom="page">
                <wp:posOffset>9984740</wp:posOffset>
              </wp:positionV>
              <wp:extent cx="103505" cy="79375"/>
              <wp:wrapNone/>
              <wp:docPr id="283" name="Shape 2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309" type="#_x0000_t202" style="position:absolute;margin-left:527.14999999999998pt;margin-top:786.20000000000005pt;width:8.1500000000000004pt;height:6.25pt;z-index:-18874385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1" behindDoc="1" locked="0" layoutInCell="1" allowOverlap="1">
              <wp:simplePos x="0" y="0"/>
              <wp:positionH relativeFrom="page">
                <wp:posOffset>6936105</wp:posOffset>
              </wp:positionH>
              <wp:positionV relativeFrom="page">
                <wp:posOffset>10466705</wp:posOffset>
              </wp:positionV>
              <wp:extent cx="45720" cy="97790"/>
              <wp:wrapNone/>
              <wp:docPr id="285" name="Shape 28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1" type="#_x0000_t202" style="position:absolute;margin-left:546.14999999999998pt;margin-top:824.14999999999998pt;width:3.6000000000000001pt;height:7.7000000000000002pt;z-index:-1887438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6704330</wp:posOffset>
              </wp:positionH>
              <wp:positionV relativeFrom="page">
                <wp:posOffset>10006330</wp:posOffset>
              </wp:positionV>
              <wp:extent cx="109855" cy="79375"/>
              <wp:wrapNone/>
              <wp:docPr id="290" name="Shape 29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316" type="#_x0000_t202" style="position:absolute;margin-left:527.89999999999998pt;margin-top:787.89999999999998pt;width:8.6500000000000004pt;height:6.25pt;z-index:-18874384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6694805</wp:posOffset>
              </wp:positionH>
              <wp:positionV relativeFrom="page">
                <wp:posOffset>9984740</wp:posOffset>
              </wp:positionV>
              <wp:extent cx="103505" cy="79375"/>
              <wp:wrapNone/>
              <wp:docPr id="295" name="Shape 29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321" type="#_x0000_t202" style="position:absolute;margin-left:527.14999999999998pt;margin-top:786.20000000000005pt;width:8.1500000000000004pt;height:6.25pt;z-index:-18874384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1" behindDoc="1" locked="0" layoutInCell="1" allowOverlap="1">
              <wp:simplePos x="0" y="0"/>
              <wp:positionH relativeFrom="page">
                <wp:posOffset>6936105</wp:posOffset>
              </wp:positionH>
              <wp:positionV relativeFrom="page">
                <wp:posOffset>10466705</wp:posOffset>
              </wp:positionV>
              <wp:extent cx="45720" cy="97790"/>
              <wp:wrapNone/>
              <wp:docPr id="297" name="Shape 29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23" type="#_x0000_t202" style="position:absolute;margin-left:546.14999999999998pt;margin-top:824.14999999999998pt;width:3.6000000000000001pt;height:7.7000000000000002pt;z-index:-1887438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6725285</wp:posOffset>
              </wp:positionH>
              <wp:positionV relativeFrom="page">
                <wp:posOffset>9955530</wp:posOffset>
              </wp:positionV>
              <wp:extent cx="106680" cy="79375"/>
              <wp:wrapNone/>
              <wp:docPr id="304" name="Shape 30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330" type="#_x0000_t202" style="position:absolute;margin-left:529.54999999999995pt;margin-top:783.89999999999998pt;width:8.4000000000000004pt;height:6.25pt;z-index:-18874383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7" behindDoc="1" locked="0" layoutInCell="1" allowOverlap="1">
              <wp:simplePos x="0" y="0"/>
              <wp:positionH relativeFrom="page">
                <wp:posOffset>6892925</wp:posOffset>
              </wp:positionH>
              <wp:positionV relativeFrom="page">
                <wp:posOffset>10436860</wp:posOffset>
              </wp:positionV>
              <wp:extent cx="42545" cy="97790"/>
              <wp:wrapNone/>
              <wp:docPr id="306" name="Shape 30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32" type="#_x0000_t202" style="position:absolute;margin-left:542.75pt;margin-top:821.80000000000007pt;width:3.3500000000000001pt;height:7.7000000000000002pt;z-index:-1887438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6700520</wp:posOffset>
              </wp:positionH>
              <wp:positionV relativeFrom="page">
                <wp:posOffset>10006330</wp:posOffset>
              </wp:positionV>
              <wp:extent cx="94615" cy="79375"/>
              <wp:wrapNone/>
              <wp:docPr id="311" name="Shape 31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337" type="#_x0000_t202" style="position:absolute;margin-left:527.60000000000002pt;margin-top:787.89999999999998pt;width:7.4500000000000002pt;height:6.25pt;z-index:-18874383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3" behindDoc="1" locked="0" layoutInCell="1" allowOverlap="1">
              <wp:simplePos x="0" y="0"/>
              <wp:positionH relativeFrom="page">
                <wp:posOffset>5789295</wp:posOffset>
              </wp:positionH>
              <wp:positionV relativeFrom="page">
                <wp:posOffset>10487660</wp:posOffset>
              </wp:positionV>
              <wp:extent cx="133985" cy="103505"/>
              <wp:wrapNone/>
              <wp:docPr id="313" name="Shape 3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9" type="#_x0000_t202" style="position:absolute;margin-left:455.85000000000002pt;margin-top:825.80000000000007pt;width:10.550000000000001pt;height:8.1500000000000004pt;z-index:-1887438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6700520</wp:posOffset>
              </wp:positionH>
              <wp:positionV relativeFrom="page">
                <wp:posOffset>10006330</wp:posOffset>
              </wp:positionV>
              <wp:extent cx="94615" cy="79375"/>
              <wp:wrapNone/>
              <wp:docPr id="26" name="Shape 2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527.60000000000002pt;margin-top:787.89999999999998pt;width:7.4500000000000002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5789295</wp:posOffset>
              </wp:positionH>
              <wp:positionV relativeFrom="page">
                <wp:posOffset>10487660</wp:posOffset>
              </wp:positionV>
              <wp:extent cx="133985" cy="103505"/>
              <wp:wrapNone/>
              <wp:docPr id="28" name="Shape 2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54" type="#_x0000_t202" style="position:absolute;margin-left:455.85000000000002pt;margin-top:825.80000000000007pt;width:10.550000000000001pt;height:8.1500000000000004pt;z-index:-1887440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6700520</wp:posOffset>
              </wp:positionH>
              <wp:positionV relativeFrom="page">
                <wp:posOffset>10006330</wp:posOffset>
              </wp:positionV>
              <wp:extent cx="94615" cy="79375"/>
              <wp:wrapNone/>
              <wp:docPr id="318" name="Shape 31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344" type="#_x0000_t202" style="position:absolute;margin-left:527.60000000000002pt;margin-top:787.89999999999998pt;width:7.4500000000000002pt;height:6.25pt;z-index:-18874382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9" behindDoc="1" locked="0" layoutInCell="1" allowOverlap="1">
              <wp:simplePos x="0" y="0"/>
              <wp:positionH relativeFrom="page">
                <wp:posOffset>5789295</wp:posOffset>
              </wp:positionH>
              <wp:positionV relativeFrom="page">
                <wp:posOffset>10487660</wp:posOffset>
              </wp:positionV>
              <wp:extent cx="133985" cy="103505"/>
              <wp:wrapNone/>
              <wp:docPr id="320" name="Shape 3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46" type="#_x0000_t202" style="position:absolute;margin-left:455.85000000000002pt;margin-top:825.80000000000007pt;width:10.550000000000001pt;height:8.1500000000000004pt;z-index:-1887438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6700520</wp:posOffset>
              </wp:positionH>
              <wp:positionV relativeFrom="page">
                <wp:posOffset>10006330</wp:posOffset>
              </wp:positionV>
              <wp:extent cx="94615" cy="79375"/>
              <wp:wrapNone/>
              <wp:docPr id="325" name="Shape 3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351" type="#_x0000_t202" style="position:absolute;margin-left:527.60000000000002pt;margin-top:787.89999999999998pt;width:7.4500000000000002pt;height:6.25pt;z-index:-18874382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5" behindDoc="1" locked="0" layoutInCell="1" allowOverlap="1">
              <wp:simplePos x="0" y="0"/>
              <wp:positionH relativeFrom="page">
                <wp:posOffset>5789295</wp:posOffset>
              </wp:positionH>
              <wp:positionV relativeFrom="page">
                <wp:posOffset>10487660</wp:posOffset>
              </wp:positionV>
              <wp:extent cx="133985" cy="103505"/>
              <wp:wrapNone/>
              <wp:docPr id="327" name="Shape 3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53" type="#_x0000_t202" style="position:absolute;margin-left:455.85000000000002pt;margin-top:825.80000000000007pt;width:10.550000000000001pt;height:8.1500000000000004pt;z-index:-1887438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9665970</wp:posOffset>
              </wp:positionH>
              <wp:positionV relativeFrom="page">
                <wp:posOffset>6821805</wp:posOffset>
              </wp:positionV>
              <wp:extent cx="109855" cy="79375"/>
              <wp:wrapNone/>
              <wp:docPr id="339" name="Shape 33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365" type="#_x0000_t202" style="position:absolute;margin-left:761.10000000000002pt;margin-top:537.14999999999998pt;width:8.6500000000000004pt;height:6.25pt;z-index:-18874381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9665970</wp:posOffset>
              </wp:positionH>
              <wp:positionV relativeFrom="page">
                <wp:posOffset>6821805</wp:posOffset>
              </wp:positionV>
              <wp:extent cx="109855" cy="79375"/>
              <wp:wrapNone/>
              <wp:docPr id="344" name="Shape 34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370" type="#_x0000_t202" style="position:absolute;margin-left:761.10000000000002pt;margin-top:537.14999999999998pt;width:8.6500000000000004pt;height:6.25pt;z-index:-18874380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9665970</wp:posOffset>
              </wp:positionH>
              <wp:positionV relativeFrom="page">
                <wp:posOffset>6821805</wp:posOffset>
              </wp:positionV>
              <wp:extent cx="109855" cy="79375"/>
              <wp:wrapNone/>
              <wp:docPr id="362" name="Shape 36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388" type="#_x0000_t202" style="position:absolute;margin-left:761.10000000000002pt;margin-top:537.14999999999998pt;width:8.6500000000000004pt;height:6.25pt;z-index:-18874379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9665970</wp:posOffset>
              </wp:positionH>
              <wp:positionV relativeFrom="page">
                <wp:posOffset>6821805</wp:posOffset>
              </wp:positionV>
              <wp:extent cx="109855" cy="79375"/>
              <wp:wrapNone/>
              <wp:docPr id="367" name="Shape 36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393" type="#_x0000_t202" style="position:absolute;margin-left:761.10000000000002pt;margin-top:537.14999999999998pt;width:8.6500000000000004pt;height:6.25pt;z-index:-18874379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6700520</wp:posOffset>
              </wp:positionH>
              <wp:positionV relativeFrom="page">
                <wp:posOffset>10006330</wp:posOffset>
              </wp:positionV>
              <wp:extent cx="94615" cy="79375"/>
              <wp:wrapNone/>
              <wp:docPr id="33" name="Shape 3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27.60000000000002pt;margin-top:787.89999999999998pt;width:7.4500000000000002pt;height:6.25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5789295</wp:posOffset>
              </wp:positionH>
              <wp:positionV relativeFrom="page">
                <wp:posOffset>10487660</wp:posOffset>
              </wp:positionV>
              <wp:extent cx="133985" cy="103505"/>
              <wp:wrapNone/>
              <wp:docPr id="35" name="Shape 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1" type="#_x0000_t202" style="position:absolute;margin-left:455.85000000000002pt;margin-top:825.80000000000007pt;width:10.550000000000001pt;height:8.1500000000000004pt;z-index:-1887440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6725285</wp:posOffset>
              </wp:positionH>
              <wp:positionV relativeFrom="page">
                <wp:posOffset>9958705</wp:posOffset>
              </wp:positionV>
              <wp:extent cx="103505" cy="79375"/>
              <wp:wrapNone/>
              <wp:docPr id="380" name="Shape 38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406" type="#_x0000_t202" style="position:absolute;margin-left:529.54999999999995pt;margin-top:784.14999999999998pt;width:8.1500000000000004pt;height:6.25pt;z-index:-18874378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6965950</wp:posOffset>
              </wp:positionH>
              <wp:positionV relativeFrom="page">
                <wp:posOffset>10440670</wp:posOffset>
              </wp:positionV>
              <wp:extent cx="45720" cy="97790"/>
              <wp:wrapNone/>
              <wp:docPr id="382" name="Shape 38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08" type="#_x0000_t202" style="position:absolute;margin-left:548.5pt;margin-top:822.10000000000002pt;width:3.6000000000000001pt;height:7.7000000000000002pt;z-index:-1887437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6725285</wp:posOffset>
              </wp:positionH>
              <wp:positionV relativeFrom="page">
                <wp:posOffset>9958705</wp:posOffset>
              </wp:positionV>
              <wp:extent cx="103505" cy="79375"/>
              <wp:wrapNone/>
              <wp:docPr id="387" name="Shape 38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413" type="#_x0000_t202" style="position:absolute;margin-left:529.54999999999995pt;margin-top:784.14999999999998pt;width:8.1500000000000004pt;height:6.25pt;z-index:-18874377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6965950</wp:posOffset>
              </wp:positionH>
              <wp:positionV relativeFrom="page">
                <wp:posOffset>10440670</wp:posOffset>
              </wp:positionV>
              <wp:extent cx="45720" cy="97790"/>
              <wp:wrapNone/>
              <wp:docPr id="389" name="Shape 38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15" type="#_x0000_t202" style="position:absolute;margin-left:548.5pt;margin-top:822.10000000000002pt;width:3.6000000000000001pt;height:7.7000000000000002pt;z-index:-1887437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5822950</wp:posOffset>
              </wp:positionH>
              <wp:positionV relativeFrom="page">
                <wp:posOffset>10273030</wp:posOffset>
              </wp:positionV>
              <wp:extent cx="133985" cy="103505"/>
              <wp:wrapNone/>
              <wp:docPr id="394" name="Shape 39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0" type="#_x0000_t202" style="position:absolute;margin-left:458.5pt;margin-top:808.89999999999998pt;width:10.550000000000001pt;height:8.1500000000000004pt;z-index:-1887437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6728460</wp:posOffset>
              </wp:positionH>
              <wp:positionV relativeFrom="page">
                <wp:posOffset>9958705</wp:posOffset>
              </wp:positionV>
              <wp:extent cx="106680" cy="79375"/>
              <wp:wrapNone/>
              <wp:docPr id="399" name="Shape 39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425" type="#_x0000_t202" style="position:absolute;margin-left:529.79999999999995pt;margin-top:784.14999999999998pt;width:8.4000000000000004pt;height:6.25pt;z-index:-18874376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5841365</wp:posOffset>
              </wp:positionH>
              <wp:positionV relativeFrom="page">
                <wp:posOffset>10440670</wp:posOffset>
              </wp:positionV>
              <wp:extent cx="133985" cy="103505"/>
              <wp:wrapNone/>
              <wp:docPr id="401" name="Shape 40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7" type="#_x0000_t202" style="position:absolute;margin-left:459.94999999999999pt;margin-top:822.10000000000002pt;width:10.550000000000001pt;height:8.1500000000000004pt;z-index:-1887437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6728460</wp:posOffset>
              </wp:positionH>
              <wp:positionV relativeFrom="page">
                <wp:posOffset>9958705</wp:posOffset>
              </wp:positionV>
              <wp:extent cx="106680" cy="79375"/>
              <wp:wrapNone/>
              <wp:docPr id="406" name="Shape 40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432" type="#_x0000_t202" style="position:absolute;margin-left:529.79999999999995pt;margin-top:784.14999999999998pt;width:8.4000000000000004pt;height:6.25pt;z-index:-18874376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5841365</wp:posOffset>
              </wp:positionH>
              <wp:positionV relativeFrom="page">
                <wp:posOffset>10440670</wp:posOffset>
              </wp:positionV>
              <wp:extent cx="133985" cy="103505"/>
              <wp:wrapNone/>
              <wp:docPr id="408" name="Shape 4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34" type="#_x0000_t202" style="position:absolute;margin-left:459.94999999999999pt;margin-top:822.10000000000002pt;width:10.550000000000001pt;height:8.1500000000000004pt;z-index:-1887437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6725285</wp:posOffset>
              </wp:positionH>
              <wp:positionV relativeFrom="page">
                <wp:posOffset>9958705</wp:posOffset>
              </wp:positionV>
              <wp:extent cx="103505" cy="79375"/>
              <wp:wrapNone/>
              <wp:docPr id="413" name="Shape 41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439" type="#_x0000_t202" style="position:absolute;margin-left:529.54999999999995pt;margin-top:784.14999999999998pt;width:8.1500000000000004pt;height:6.25pt;z-index:-18874375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6965950</wp:posOffset>
              </wp:positionH>
              <wp:positionV relativeFrom="page">
                <wp:posOffset>10440670</wp:posOffset>
              </wp:positionV>
              <wp:extent cx="45720" cy="97790"/>
              <wp:wrapNone/>
              <wp:docPr id="415" name="Shape 41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41" type="#_x0000_t202" style="position:absolute;margin-left:548.5pt;margin-top:822.10000000000002pt;width:3.6000000000000001pt;height:7.7000000000000002pt;z-index:-1887437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6725285</wp:posOffset>
              </wp:positionH>
              <wp:positionV relativeFrom="page">
                <wp:posOffset>9958705</wp:posOffset>
              </wp:positionV>
              <wp:extent cx="103505" cy="79375"/>
              <wp:wrapNone/>
              <wp:docPr id="420" name="Shape 4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446" type="#_x0000_t202" style="position:absolute;margin-left:529.54999999999995pt;margin-top:784.14999999999998pt;width:8.1500000000000004pt;height:6.25pt;z-index:-18874375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4" behindDoc="1" locked="0" layoutInCell="1" allowOverlap="1">
              <wp:simplePos x="0" y="0"/>
              <wp:positionH relativeFrom="page">
                <wp:posOffset>6965950</wp:posOffset>
              </wp:positionH>
              <wp:positionV relativeFrom="page">
                <wp:posOffset>10440670</wp:posOffset>
              </wp:positionV>
              <wp:extent cx="45720" cy="97790"/>
              <wp:wrapNone/>
              <wp:docPr id="422" name="Shape 42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48" type="#_x0000_t202" style="position:absolute;margin-left:548.5pt;margin-top:822.10000000000002pt;width:3.6000000000000001pt;height:7.7000000000000002pt;z-index:-1887437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6729730</wp:posOffset>
              </wp:positionH>
              <wp:positionV relativeFrom="page">
                <wp:posOffset>9902825</wp:posOffset>
              </wp:positionV>
              <wp:extent cx="125095" cy="191770"/>
              <wp:wrapNone/>
              <wp:docPr id="427" name="Shape 427"/>
              <a:graphic xmlns:a="http://schemas.openxmlformats.org/drawingml/2006/main">
                <a:graphicData uri="http://schemas.microsoft.com/office/word/2010/wordprocessingShape">
                  <wps:wsp>
                    <wps:cNvSpPr txBox="1"/>
                    <wps:spPr>
                      <a:xfrm>
                        <a:ext cx="125095" cy="19177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5B5B5B"/>
                              <w:spacing w:val="0"/>
                              <w:w w:val="100"/>
                              <w:position w:val="0"/>
                              <w:sz w:val="18"/>
                              <w:szCs w:val="18"/>
                            </w:rPr>
                            <w:t>6</w:t>
                          </w:r>
                          <w:r>
                            <w:rPr>
                              <w:color w:val="5B5B5B"/>
                              <w:spacing w:val="0"/>
                              <w:w w:val="100"/>
                              <w:position w:val="0"/>
                              <w:sz w:val="34"/>
                              <w:szCs w:val="34"/>
                            </w:rPr>
                            <w:t>』</w:t>
                          </w:r>
                        </w:p>
                      </w:txbxContent>
                    </wps:txbx>
                    <wps:bodyPr wrap="none" lIns="0" tIns="0" rIns="0" bIns="0">
                      <a:spAutoFit/>
                    </wps:bodyPr>
                  </wps:wsp>
                </a:graphicData>
              </a:graphic>
            </wp:anchor>
          </w:drawing>
        </mc:Choice>
        <mc:Fallback>
          <w:pict>
            <v:shape id="_x0000_s1453" type="#_x0000_t202" style="position:absolute;margin-left:529.89999999999998pt;margin-top:779.75pt;width:9.8499999999999996pt;height:15.1pt;z-index:-18874374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5B5B5B"/>
                        <w:spacing w:val="0"/>
                        <w:w w:val="100"/>
                        <w:position w:val="0"/>
                        <w:sz w:val="18"/>
                        <w:szCs w:val="18"/>
                      </w:rPr>
                      <w:t>6</w:t>
                    </w:r>
                    <w:r>
                      <w:rPr>
                        <w:color w:val="5B5B5B"/>
                        <w:spacing w:val="0"/>
                        <w:w w:val="100"/>
                        <w:position w:val="0"/>
                        <w:sz w:val="34"/>
                        <w:szCs w:val="34"/>
                      </w:rPr>
                      <w:t>』</w:t>
                    </w:r>
                  </w:p>
                </w:txbxContent>
              </v:textbox>
              <w10:wrap anchorx="page" anchory="page"/>
            </v:shape>
          </w:pict>
        </mc:Fallback>
      </mc:AlternateContent>
    </w:r>
    <w:r>
      <mc:AlternateContent>
        <mc:Choice Requires="wps">
          <w:drawing>
            <wp:anchor distT="0" distB="0" distL="0" distR="0" simplePos="0" relativeHeight="62915010" behindDoc="1" locked="0" layoutInCell="1" allowOverlap="1">
              <wp:simplePos x="0" y="0"/>
              <wp:positionH relativeFrom="page">
                <wp:posOffset>5848985</wp:posOffset>
              </wp:positionH>
              <wp:positionV relativeFrom="page">
                <wp:posOffset>10497185</wp:posOffset>
              </wp:positionV>
              <wp:extent cx="133985" cy="103505"/>
              <wp:wrapNone/>
              <wp:docPr id="429" name="Shape 42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55" type="#_x0000_t202" style="position:absolute;margin-left:460.55000000000001pt;margin-top:826.55000000000007pt;width:10.550000000000001pt;height:8.1500000000000004pt;z-index:-1887437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6724650</wp:posOffset>
              </wp:positionH>
              <wp:positionV relativeFrom="page">
                <wp:posOffset>9966325</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29.5pt;margin-top:784.75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6861810</wp:posOffset>
              </wp:positionH>
              <wp:positionV relativeFrom="page">
                <wp:posOffset>10448290</wp:posOffset>
              </wp:positionV>
              <wp:extent cx="42545" cy="97790"/>
              <wp:wrapNone/>
              <wp:docPr id="42" name="Shape 4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8" type="#_x0000_t202" style="position:absolute;margin-left:540.29999999999995pt;margin-top:822.70000000000005pt;width:3.3500000000000001pt;height:7.7000000000000002pt;z-index:-1887440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6729730</wp:posOffset>
              </wp:positionH>
              <wp:positionV relativeFrom="page">
                <wp:posOffset>9902825</wp:posOffset>
              </wp:positionV>
              <wp:extent cx="125095" cy="191770"/>
              <wp:wrapNone/>
              <wp:docPr id="434" name="Shape 434"/>
              <a:graphic xmlns:a="http://schemas.openxmlformats.org/drawingml/2006/main">
                <a:graphicData uri="http://schemas.microsoft.com/office/word/2010/wordprocessingShape">
                  <wps:wsp>
                    <wps:cNvSpPr txBox="1"/>
                    <wps:spPr>
                      <a:xfrm>
                        <a:ext cx="125095" cy="19177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5B5B5B"/>
                              <w:spacing w:val="0"/>
                              <w:w w:val="100"/>
                              <w:position w:val="0"/>
                              <w:sz w:val="18"/>
                              <w:szCs w:val="18"/>
                            </w:rPr>
                            <w:t>6</w:t>
                          </w:r>
                          <w:r>
                            <w:rPr>
                              <w:color w:val="5B5B5B"/>
                              <w:spacing w:val="0"/>
                              <w:w w:val="100"/>
                              <w:position w:val="0"/>
                              <w:sz w:val="34"/>
                              <w:szCs w:val="34"/>
                            </w:rPr>
                            <w:t>』</w:t>
                          </w:r>
                        </w:p>
                      </w:txbxContent>
                    </wps:txbx>
                    <wps:bodyPr wrap="none" lIns="0" tIns="0" rIns="0" bIns="0">
                      <a:spAutoFit/>
                    </wps:bodyPr>
                  </wps:wsp>
                </a:graphicData>
              </a:graphic>
            </wp:anchor>
          </w:drawing>
        </mc:Choice>
        <mc:Fallback>
          <w:pict>
            <v:shape id="_x0000_s1460" type="#_x0000_t202" style="position:absolute;margin-left:529.89999999999998pt;margin-top:779.75pt;width:9.8499999999999996pt;height:15.1pt;z-index:-18874373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5B5B5B"/>
                        <w:spacing w:val="0"/>
                        <w:w w:val="100"/>
                        <w:position w:val="0"/>
                        <w:sz w:val="18"/>
                        <w:szCs w:val="18"/>
                      </w:rPr>
                      <w:t>6</w:t>
                    </w:r>
                    <w:r>
                      <w:rPr>
                        <w:color w:val="5B5B5B"/>
                        <w:spacing w:val="0"/>
                        <w:w w:val="100"/>
                        <w:position w:val="0"/>
                        <w:sz w:val="34"/>
                        <w:szCs w:val="34"/>
                      </w:rPr>
                      <w:t>』</w:t>
                    </w:r>
                  </w:p>
                </w:txbxContent>
              </v:textbox>
              <w10:wrap anchorx="page" anchory="page"/>
            </v:shape>
          </w:pict>
        </mc:Fallback>
      </mc:AlternateContent>
    </w:r>
    <w:r>
      <mc:AlternateContent>
        <mc:Choice Requires="wps">
          <w:drawing>
            <wp:anchor distT="0" distB="0" distL="0" distR="0" simplePos="0" relativeHeight="62915016" behindDoc="1" locked="0" layoutInCell="1" allowOverlap="1">
              <wp:simplePos x="0" y="0"/>
              <wp:positionH relativeFrom="page">
                <wp:posOffset>5848985</wp:posOffset>
              </wp:positionH>
              <wp:positionV relativeFrom="page">
                <wp:posOffset>10497185</wp:posOffset>
              </wp:positionV>
              <wp:extent cx="133985" cy="103505"/>
              <wp:wrapNone/>
              <wp:docPr id="436" name="Shape 43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62" type="#_x0000_t202" style="position:absolute;margin-left:460.55000000000001pt;margin-top:826.55000000000007pt;width:10.550000000000001pt;height:8.1500000000000004pt;z-index:-1887437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6728460</wp:posOffset>
              </wp:positionH>
              <wp:positionV relativeFrom="page">
                <wp:posOffset>9958705</wp:posOffset>
              </wp:positionV>
              <wp:extent cx="106680" cy="79375"/>
              <wp:wrapNone/>
              <wp:docPr id="441" name="Shape 4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467" type="#_x0000_t202" style="position:absolute;margin-left:529.79999999999995pt;margin-top:784.14999999999998pt;width:8.4000000000000004pt;height:6.25pt;z-index:-18874373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2" behindDoc="1" locked="0" layoutInCell="1" allowOverlap="1">
              <wp:simplePos x="0" y="0"/>
              <wp:positionH relativeFrom="page">
                <wp:posOffset>5841365</wp:posOffset>
              </wp:positionH>
              <wp:positionV relativeFrom="page">
                <wp:posOffset>10440670</wp:posOffset>
              </wp:positionV>
              <wp:extent cx="133985" cy="103505"/>
              <wp:wrapNone/>
              <wp:docPr id="443" name="Shape 44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69" type="#_x0000_t202" style="position:absolute;margin-left:459.94999999999999pt;margin-top:822.10000000000002pt;width:10.550000000000001pt;height:8.1500000000000004pt;z-index:-1887437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6728460</wp:posOffset>
              </wp:positionH>
              <wp:positionV relativeFrom="page">
                <wp:posOffset>9958705</wp:posOffset>
              </wp:positionV>
              <wp:extent cx="106680" cy="79375"/>
              <wp:wrapNone/>
              <wp:docPr id="448" name="Shape 44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474" type="#_x0000_t202" style="position:absolute;margin-left:529.79999999999995pt;margin-top:784.14999999999998pt;width:8.4000000000000004pt;height:6.25pt;z-index:-18874372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8" behindDoc="1" locked="0" layoutInCell="1" allowOverlap="1">
              <wp:simplePos x="0" y="0"/>
              <wp:positionH relativeFrom="page">
                <wp:posOffset>5841365</wp:posOffset>
              </wp:positionH>
              <wp:positionV relativeFrom="page">
                <wp:posOffset>10440670</wp:posOffset>
              </wp:positionV>
              <wp:extent cx="133985" cy="103505"/>
              <wp:wrapNone/>
              <wp:docPr id="450" name="Shape 45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76" type="#_x0000_t202" style="position:absolute;margin-left:459.94999999999999pt;margin-top:822.10000000000002pt;width:10.550000000000001pt;height:8.1500000000000004pt;z-index:-1887437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6728460</wp:posOffset>
              </wp:positionH>
              <wp:positionV relativeFrom="page">
                <wp:posOffset>9958705</wp:posOffset>
              </wp:positionV>
              <wp:extent cx="106680" cy="79375"/>
              <wp:wrapNone/>
              <wp:docPr id="455" name="Shape 45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481" type="#_x0000_t202" style="position:absolute;margin-left:529.79999999999995pt;margin-top:784.14999999999998pt;width:8.4000000000000004pt;height:6.25pt;z-index:-18874372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4" behindDoc="1" locked="0" layoutInCell="1" allowOverlap="1">
              <wp:simplePos x="0" y="0"/>
              <wp:positionH relativeFrom="page">
                <wp:posOffset>5841365</wp:posOffset>
              </wp:positionH>
              <wp:positionV relativeFrom="page">
                <wp:posOffset>10440670</wp:posOffset>
              </wp:positionV>
              <wp:extent cx="133985" cy="103505"/>
              <wp:wrapNone/>
              <wp:docPr id="457" name="Shape 45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83" type="#_x0000_t202" style="position:absolute;margin-left:459.94999999999999pt;margin-top:822.10000000000002pt;width:10.550000000000001pt;height:8.1500000000000004pt;z-index:-1887437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6725285</wp:posOffset>
              </wp:positionH>
              <wp:positionV relativeFrom="page">
                <wp:posOffset>9958705</wp:posOffset>
              </wp:positionV>
              <wp:extent cx="103505" cy="79375"/>
              <wp:wrapNone/>
              <wp:docPr id="462" name="Shape 46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488" type="#_x0000_t202" style="position:absolute;margin-left:529.54999999999995pt;margin-top:784.14999999999998pt;width:8.1500000000000004pt;height:6.25pt;z-index:-18874371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0" behindDoc="1" locked="0" layoutInCell="1" allowOverlap="1">
              <wp:simplePos x="0" y="0"/>
              <wp:positionH relativeFrom="page">
                <wp:posOffset>6965950</wp:posOffset>
              </wp:positionH>
              <wp:positionV relativeFrom="page">
                <wp:posOffset>10440670</wp:posOffset>
              </wp:positionV>
              <wp:extent cx="45720" cy="97790"/>
              <wp:wrapNone/>
              <wp:docPr id="464" name="Shape 46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90" type="#_x0000_t202" style="position:absolute;margin-left:548.5pt;margin-top:822.10000000000002pt;width:3.6000000000000001pt;height:7.7000000000000002pt;z-index:-1887437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6724650</wp:posOffset>
              </wp:positionH>
              <wp:positionV relativeFrom="page">
                <wp:posOffset>9966325</wp:posOffset>
              </wp:positionV>
              <wp:extent cx="97790" cy="79375"/>
              <wp:wrapNone/>
              <wp:docPr id="47" name="Shape 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29.5pt;margin-top:784.75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6861810</wp:posOffset>
              </wp:positionH>
              <wp:positionV relativeFrom="page">
                <wp:posOffset>10448290</wp:posOffset>
              </wp:positionV>
              <wp:extent cx="42545" cy="97790"/>
              <wp:wrapNone/>
              <wp:docPr id="49" name="Shape 4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75" type="#_x0000_t202" style="position:absolute;margin-left:540.29999999999995pt;margin-top:822.70000000000005pt;width:3.3500000000000001pt;height:7.7000000000000002pt;z-index:-1887440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6858000</wp:posOffset>
              </wp:positionH>
              <wp:positionV relativeFrom="page">
                <wp:posOffset>9965055</wp:posOffset>
              </wp:positionV>
              <wp:extent cx="106680" cy="79375"/>
              <wp:wrapNone/>
              <wp:docPr id="496" name="Shape 49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522" type="#_x0000_t202" style="position:absolute;margin-left:540.pt;margin-top:784.64999999999998pt;width:8.4000000000000004pt;height:6.25pt;z-index:-18874369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5843270</wp:posOffset>
              </wp:positionH>
              <wp:positionV relativeFrom="page">
                <wp:posOffset>10446385</wp:posOffset>
              </wp:positionV>
              <wp:extent cx="133985" cy="103505"/>
              <wp:wrapNone/>
              <wp:docPr id="498" name="Shape 4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24" type="#_x0000_t202" style="position:absolute;margin-left:460.10000000000002pt;margin-top:822.55000000000007pt;width:10.550000000000001pt;height:8.1500000000000004pt;z-index:-1887436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6858000</wp:posOffset>
              </wp:positionH>
              <wp:positionV relativeFrom="page">
                <wp:posOffset>9965055</wp:posOffset>
              </wp:positionV>
              <wp:extent cx="106680" cy="79375"/>
              <wp:wrapNone/>
              <wp:docPr id="503" name="Shape 50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529" type="#_x0000_t202" style="position:absolute;margin-left:540.pt;margin-top:784.64999999999998pt;width:8.4000000000000004pt;height:6.25pt;z-index:-18874369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5843270</wp:posOffset>
              </wp:positionH>
              <wp:positionV relativeFrom="page">
                <wp:posOffset>10446385</wp:posOffset>
              </wp:positionV>
              <wp:extent cx="133985" cy="103505"/>
              <wp:wrapNone/>
              <wp:docPr id="505" name="Shape 5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31" type="#_x0000_t202" style="position:absolute;margin-left:460.10000000000002pt;margin-top:822.55000000000007pt;width:10.550000000000001pt;height:8.1500000000000004pt;z-index:-1887436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6858000</wp:posOffset>
              </wp:positionH>
              <wp:positionV relativeFrom="page">
                <wp:posOffset>9955530</wp:posOffset>
              </wp:positionV>
              <wp:extent cx="97790" cy="79375"/>
              <wp:wrapNone/>
              <wp:docPr id="510" name="Shape 5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536" type="#_x0000_t202" style="position:absolute;margin-left:540.pt;margin-top:783.89999999999998pt;width:7.7000000000000002pt;height:6.25pt;z-index:-18874368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6858000</wp:posOffset>
              </wp:positionH>
              <wp:positionV relativeFrom="page">
                <wp:posOffset>9955530</wp:posOffset>
              </wp:positionV>
              <wp:extent cx="97790" cy="79375"/>
              <wp:wrapNone/>
              <wp:docPr id="515" name="Shape 5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541" type="#_x0000_t202" style="position:absolute;margin-left:540.pt;margin-top:783.89999999999998pt;width:7.7000000000000002pt;height:6.25pt;z-index:-18874368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6858000</wp:posOffset>
              </wp:positionH>
              <wp:positionV relativeFrom="page">
                <wp:posOffset>9965055</wp:posOffset>
              </wp:positionV>
              <wp:extent cx="106680" cy="79375"/>
              <wp:wrapNone/>
              <wp:docPr id="521" name="Shape 5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547" type="#_x0000_t202" style="position:absolute;margin-left:540.pt;margin-top:784.64999999999998pt;width:8.4000000000000004pt;height:6.25pt;z-index:-18874367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8" behindDoc="1" locked="0" layoutInCell="1" allowOverlap="1">
              <wp:simplePos x="0" y="0"/>
              <wp:positionH relativeFrom="page">
                <wp:posOffset>5843270</wp:posOffset>
              </wp:positionH>
              <wp:positionV relativeFrom="page">
                <wp:posOffset>10446385</wp:posOffset>
              </wp:positionV>
              <wp:extent cx="133985" cy="103505"/>
              <wp:wrapNone/>
              <wp:docPr id="523" name="Shape 5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49" type="#_x0000_t202" style="position:absolute;margin-left:460.10000000000002pt;margin-top:822.55000000000007pt;width:10.550000000000001pt;height:8.1500000000000004pt;z-index:-1887436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6858000</wp:posOffset>
              </wp:positionH>
              <wp:positionV relativeFrom="page">
                <wp:posOffset>9965055</wp:posOffset>
              </wp:positionV>
              <wp:extent cx="106680" cy="79375"/>
              <wp:wrapNone/>
              <wp:docPr id="528" name="Shape 52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554" type="#_x0000_t202" style="position:absolute;margin-left:540.pt;margin-top:784.64999999999998pt;width:8.4000000000000004pt;height:6.25pt;z-index:-18874367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4" behindDoc="1" locked="0" layoutInCell="1" allowOverlap="1">
              <wp:simplePos x="0" y="0"/>
              <wp:positionH relativeFrom="page">
                <wp:posOffset>5843270</wp:posOffset>
              </wp:positionH>
              <wp:positionV relativeFrom="page">
                <wp:posOffset>10446385</wp:posOffset>
              </wp:positionV>
              <wp:extent cx="133985" cy="103505"/>
              <wp:wrapNone/>
              <wp:docPr id="530" name="Shape 53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56" type="#_x0000_t202" style="position:absolute;margin-left:460.10000000000002pt;margin-top:822.55000000000007pt;width:10.550000000000001pt;height:8.1500000000000004pt;z-index:-1887436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6858000</wp:posOffset>
              </wp:positionH>
              <wp:positionV relativeFrom="page">
                <wp:posOffset>9965055</wp:posOffset>
              </wp:positionV>
              <wp:extent cx="106680" cy="79375"/>
              <wp:wrapNone/>
              <wp:docPr id="535" name="Shape 53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561" type="#_x0000_t202" style="position:absolute;margin-left:540.pt;margin-top:784.64999999999998pt;width:8.4000000000000004pt;height:6.25pt;z-index:-18874366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0" behindDoc="1" locked="0" layoutInCell="1" allowOverlap="1">
              <wp:simplePos x="0" y="0"/>
              <wp:positionH relativeFrom="page">
                <wp:posOffset>5843270</wp:posOffset>
              </wp:positionH>
              <wp:positionV relativeFrom="page">
                <wp:posOffset>10446385</wp:posOffset>
              </wp:positionV>
              <wp:extent cx="133985" cy="103505"/>
              <wp:wrapNone/>
              <wp:docPr id="537" name="Shape 53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63" type="#_x0000_t202" style="position:absolute;margin-left:460.10000000000002pt;margin-top:822.55000000000007pt;width:10.550000000000001pt;height:8.1500000000000004pt;z-index:-1887436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6858000</wp:posOffset>
              </wp:positionH>
              <wp:positionV relativeFrom="page">
                <wp:posOffset>9965055</wp:posOffset>
              </wp:positionV>
              <wp:extent cx="106680" cy="79375"/>
              <wp:wrapNone/>
              <wp:docPr id="542" name="Shape 54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568" type="#_x0000_t202" style="position:absolute;margin-left:540.pt;margin-top:784.64999999999998pt;width:8.4000000000000004pt;height:6.25pt;z-index:-18874365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6" behindDoc="1" locked="0" layoutInCell="1" allowOverlap="1">
              <wp:simplePos x="0" y="0"/>
              <wp:positionH relativeFrom="page">
                <wp:posOffset>5843270</wp:posOffset>
              </wp:positionH>
              <wp:positionV relativeFrom="page">
                <wp:posOffset>10446385</wp:posOffset>
              </wp:positionV>
              <wp:extent cx="133985" cy="103505"/>
              <wp:wrapNone/>
              <wp:docPr id="544" name="Shape 54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70" type="#_x0000_t202" style="position:absolute;margin-left:460.10000000000002pt;margin-top:822.55000000000007pt;width:10.550000000000001pt;height:8.1500000000000004pt;z-index:-1887436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6901180</wp:posOffset>
              </wp:positionH>
              <wp:positionV relativeFrom="page">
                <wp:posOffset>9963785</wp:posOffset>
              </wp:positionV>
              <wp:extent cx="106680" cy="79375"/>
              <wp:wrapNone/>
              <wp:docPr id="549" name="Shape 54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575" type="#_x0000_t202" style="position:absolute;margin-left:543.39999999999998pt;margin-top:784.55000000000007pt;width:8.4000000000000004pt;height:6.25pt;z-index:-18874365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2" behindDoc="1" locked="0" layoutInCell="1" allowOverlap="1">
              <wp:simplePos x="0" y="0"/>
              <wp:positionH relativeFrom="page">
                <wp:posOffset>7014210</wp:posOffset>
              </wp:positionH>
              <wp:positionV relativeFrom="page">
                <wp:posOffset>10445115</wp:posOffset>
              </wp:positionV>
              <wp:extent cx="45720" cy="97790"/>
              <wp:wrapNone/>
              <wp:docPr id="551" name="Shape 55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7" type="#_x0000_t202" style="position:absolute;margin-left:552.30000000000007pt;margin-top:822.45000000000005pt;width:3.6000000000000001pt;height:7.7000000000000002pt;z-index:-1887436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6724650</wp:posOffset>
              </wp:positionH>
              <wp:positionV relativeFrom="page">
                <wp:posOffset>9966325</wp:posOffset>
              </wp:positionV>
              <wp:extent cx="97790" cy="79375"/>
              <wp:wrapNone/>
              <wp:docPr id="54" name="Shape 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29.5pt;margin-top:784.75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6861810</wp:posOffset>
              </wp:positionH>
              <wp:positionV relativeFrom="page">
                <wp:posOffset>10448290</wp:posOffset>
              </wp:positionV>
              <wp:extent cx="42545" cy="97790"/>
              <wp:wrapNone/>
              <wp:docPr id="56" name="Shape 5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82" type="#_x0000_t202" style="position:absolute;margin-left:540.29999999999995pt;margin-top:822.70000000000005pt;width:3.3500000000000001pt;height:7.7000000000000002pt;z-index:-1887440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6858000</wp:posOffset>
              </wp:positionH>
              <wp:positionV relativeFrom="page">
                <wp:posOffset>9965055</wp:posOffset>
              </wp:positionV>
              <wp:extent cx="106680" cy="79375"/>
              <wp:wrapNone/>
              <wp:docPr id="556" name="Shape 55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582" type="#_x0000_t202" style="position:absolute;margin-left:540.pt;margin-top:784.64999999999998pt;width:8.4000000000000004pt;height:6.25pt;z-index:-18874364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8" behindDoc="1" locked="0" layoutInCell="1" allowOverlap="1">
              <wp:simplePos x="0" y="0"/>
              <wp:positionH relativeFrom="page">
                <wp:posOffset>5843270</wp:posOffset>
              </wp:positionH>
              <wp:positionV relativeFrom="page">
                <wp:posOffset>10446385</wp:posOffset>
              </wp:positionV>
              <wp:extent cx="133985" cy="103505"/>
              <wp:wrapNone/>
              <wp:docPr id="558" name="Shape 55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84" type="#_x0000_t202" style="position:absolute;margin-left:460.10000000000002pt;margin-top:822.55000000000007pt;width:10.550000000000001pt;height:8.1500000000000004pt;z-index:-1887436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6773545</wp:posOffset>
              </wp:positionH>
              <wp:positionV relativeFrom="page">
                <wp:posOffset>9963785</wp:posOffset>
              </wp:positionV>
              <wp:extent cx="106680" cy="79375"/>
              <wp:wrapNone/>
              <wp:docPr id="563" name="Shape 56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589" type="#_x0000_t202" style="position:absolute;margin-left:533.35000000000002pt;margin-top:784.55000000000007pt;width:8.4000000000000004pt;height:6.25pt;z-index:-18874364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4" behindDoc="1" locked="0" layoutInCell="1" allowOverlap="1">
              <wp:simplePos x="0" y="0"/>
              <wp:positionH relativeFrom="page">
                <wp:posOffset>6806565</wp:posOffset>
              </wp:positionH>
              <wp:positionV relativeFrom="page">
                <wp:posOffset>10445115</wp:posOffset>
              </wp:positionV>
              <wp:extent cx="42545" cy="97790"/>
              <wp:wrapNone/>
              <wp:docPr id="565" name="Shape 56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91" type="#_x0000_t202" style="position:absolute;margin-left:535.95000000000005pt;margin-top:822.45000000000005pt;width:3.3500000000000001pt;height:7.7000000000000002pt;z-index:-1887436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6858000</wp:posOffset>
              </wp:positionH>
              <wp:positionV relativeFrom="page">
                <wp:posOffset>9965055</wp:posOffset>
              </wp:positionV>
              <wp:extent cx="106680" cy="79375"/>
              <wp:wrapNone/>
              <wp:docPr id="573" name="Shape 57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599" type="#_x0000_t202" style="position:absolute;margin-left:540.pt;margin-top:784.64999999999998pt;width:8.4000000000000004pt;height:6.25pt;z-index:-18874363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2" behindDoc="1" locked="0" layoutInCell="1" allowOverlap="1">
              <wp:simplePos x="0" y="0"/>
              <wp:positionH relativeFrom="page">
                <wp:posOffset>5843270</wp:posOffset>
              </wp:positionH>
              <wp:positionV relativeFrom="page">
                <wp:posOffset>10446385</wp:posOffset>
              </wp:positionV>
              <wp:extent cx="133985" cy="103505"/>
              <wp:wrapNone/>
              <wp:docPr id="575" name="Shape 57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01" type="#_x0000_t202" style="position:absolute;margin-left:460.10000000000002pt;margin-top:822.55000000000007pt;width:10.550000000000001pt;height:8.1500000000000004pt;z-index:-1887436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6858000</wp:posOffset>
              </wp:positionH>
              <wp:positionV relativeFrom="page">
                <wp:posOffset>9965055</wp:posOffset>
              </wp:positionV>
              <wp:extent cx="106680" cy="79375"/>
              <wp:wrapNone/>
              <wp:docPr id="580" name="Shape 58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606" type="#_x0000_t202" style="position:absolute;margin-left:540.pt;margin-top:784.64999999999998pt;width:8.4000000000000004pt;height:6.25pt;z-index:-18874362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5843270</wp:posOffset>
              </wp:positionH>
              <wp:positionV relativeFrom="page">
                <wp:posOffset>10446385</wp:posOffset>
              </wp:positionV>
              <wp:extent cx="133985" cy="103505"/>
              <wp:wrapNone/>
              <wp:docPr id="582" name="Shape 58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08" type="#_x0000_t202" style="position:absolute;margin-left:460.10000000000002pt;margin-top:822.55000000000007pt;width:10.550000000000001pt;height:8.1500000000000004pt;z-index:-1887436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6858000</wp:posOffset>
              </wp:positionH>
              <wp:positionV relativeFrom="page">
                <wp:posOffset>9965055</wp:posOffset>
              </wp:positionV>
              <wp:extent cx="106680" cy="79375"/>
              <wp:wrapNone/>
              <wp:docPr id="587" name="Shape 58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613" type="#_x0000_t202" style="position:absolute;margin-left:540.pt;margin-top:784.64999999999998pt;width:8.4000000000000004pt;height:6.25pt;z-index:-18874362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4" behindDoc="1" locked="0" layoutInCell="1" allowOverlap="1">
              <wp:simplePos x="0" y="0"/>
              <wp:positionH relativeFrom="page">
                <wp:posOffset>5843270</wp:posOffset>
              </wp:positionH>
              <wp:positionV relativeFrom="page">
                <wp:posOffset>10446385</wp:posOffset>
              </wp:positionV>
              <wp:extent cx="133985" cy="103505"/>
              <wp:wrapNone/>
              <wp:docPr id="589" name="Shape 58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15" type="#_x0000_t202" style="position:absolute;margin-left:460.10000000000002pt;margin-top:822.55000000000007pt;width:10.550000000000001pt;height:8.1500000000000004pt;z-index:-1887436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6858000</wp:posOffset>
              </wp:positionH>
              <wp:positionV relativeFrom="page">
                <wp:posOffset>9965055</wp:posOffset>
              </wp:positionV>
              <wp:extent cx="106680" cy="79375"/>
              <wp:wrapNone/>
              <wp:docPr id="594" name="Shape 59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620" type="#_x0000_t202" style="position:absolute;margin-left:540.pt;margin-top:784.64999999999998pt;width:8.4000000000000004pt;height:6.25pt;z-index:-18874361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0" behindDoc="1" locked="0" layoutInCell="1" allowOverlap="1">
              <wp:simplePos x="0" y="0"/>
              <wp:positionH relativeFrom="page">
                <wp:posOffset>5843270</wp:posOffset>
              </wp:positionH>
              <wp:positionV relativeFrom="page">
                <wp:posOffset>10446385</wp:posOffset>
              </wp:positionV>
              <wp:extent cx="133985" cy="103505"/>
              <wp:wrapNone/>
              <wp:docPr id="596" name="Shape 59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22" type="#_x0000_t202" style="position:absolute;margin-left:460.10000000000002pt;margin-top:822.55000000000007pt;width:10.550000000000001pt;height:8.1500000000000004pt;z-index:-1887436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6773545</wp:posOffset>
              </wp:positionH>
              <wp:positionV relativeFrom="page">
                <wp:posOffset>9963785</wp:posOffset>
              </wp:positionV>
              <wp:extent cx="106680" cy="79375"/>
              <wp:wrapNone/>
              <wp:docPr id="601" name="Shape 60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627" type="#_x0000_t202" style="position:absolute;margin-left:533.35000000000002pt;margin-top:784.55000000000007pt;width:8.4000000000000004pt;height:6.25pt;z-index:-18874360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6" behindDoc="1" locked="0" layoutInCell="1" allowOverlap="1">
              <wp:simplePos x="0" y="0"/>
              <wp:positionH relativeFrom="page">
                <wp:posOffset>6806565</wp:posOffset>
              </wp:positionH>
              <wp:positionV relativeFrom="page">
                <wp:posOffset>10445115</wp:posOffset>
              </wp:positionV>
              <wp:extent cx="42545" cy="97790"/>
              <wp:wrapNone/>
              <wp:docPr id="603" name="Shape 60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9" type="#_x0000_t202" style="position:absolute;margin-left:535.95000000000005pt;margin-top:822.45000000000005pt;width:3.3500000000000001pt;height:7.7000000000000002pt;z-index:-1887436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6904355</wp:posOffset>
              </wp:positionH>
              <wp:positionV relativeFrom="page">
                <wp:posOffset>9963785</wp:posOffset>
              </wp:positionV>
              <wp:extent cx="103505" cy="79375"/>
              <wp:wrapNone/>
              <wp:docPr id="608" name="Shape 60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634" type="#_x0000_t202" style="position:absolute;margin-left:543.64999999999998pt;margin-top:784.55000000000007pt;width:8.1500000000000004pt;height:6.25pt;z-index:-18874360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2" behindDoc="1" locked="0" layoutInCell="1" allowOverlap="1">
              <wp:simplePos x="0" y="0"/>
              <wp:positionH relativeFrom="page">
                <wp:posOffset>7014210</wp:posOffset>
              </wp:positionH>
              <wp:positionV relativeFrom="page">
                <wp:posOffset>10445115</wp:posOffset>
              </wp:positionV>
              <wp:extent cx="45720" cy="97790"/>
              <wp:wrapNone/>
              <wp:docPr id="610" name="Shape 61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6" type="#_x0000_t202" style="position:absolute;margin-left:552.30000000000007pt;margin-top:822.45000000000005pt;width:3.6000000000000001pt;height:7.7000000000000002pt;z-index:-1887436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6904355</wp:posOffset>
              </wp:positionH>
              <wp:positionV relativeFrom="page">
                <wp:posOffset>9963785</wp:posOffset>
              </wp:positionV>
              <wp:extent cx="103505" cy="79375"/>
              <wp:wrapNone/>
              <wp:docPr id="615" name="Shape 61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wps:txbx>
                    <wps:bodyPr wrap="none" lIns="0" tIns="0" rIns="0" bIns="0">
                      <a:spAutoFit/>
                    </wps:bodyPr>
                  </wps:wsp>
                </a:graphicData>
              </a:graphic>
            </wp:anchor>
          </w:drawing>
        </mc:Choice>
        <mc:Fallback>
          <w:pict>
            <v:shape id="_x0000_s1641" type="#_x0000_t202" style="position:absolute;margin-left:543.64999999999998pt;margin-top:784.55000000000007pt;width:8.1500000000000004pt;height:6.25pt;z-index:-18874359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C6B6B"/>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7014210</wp:posOffset>
              </wp:positionH>
              <wp:positionV relativeFrom="page">
                <wp:posOffset>10445115</wp:posOffset>
              </wp:positionV>
              <wp:extent cx="45720" cy="97790"/>
              <wp:wrapNone/>
              <wp:docPr id="617" name="Shape 61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43" type="#_x0000_t202" style="position:absolute;margin-left:552.30000000000007pt;margin-top:822.45000000000005pt;width:3.6000000000000001pt;height:7.7000000000000002pt;z-index:-1887435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101600</wp:posOffset>
              </wp:positionV>
              <wp:extent cx="2334895" cy="106680"/>
              <wp:wrapNone/>
              <wp:docPr id="1" name="Shape 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25pt;margin-top:8.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4551680</wp:posOffset>
              </wp:positionH>
              <wp:positionV relativeFrom="page">
                <wp:posOffset>570865</wp:posOffset>
              </wp:positionV>
              <wp:extent cx="2334895" cy="106680"/>
              <wp:wrapNone/>
              <wp:docPr id="58" name="Shape 5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4" type="#_x0000_t202" style="position:absolute;margin-left:358.40000000000003pt;margin-top:44.950000000000003pt;width:183.84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716915</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850000000000001pt;margin-top:56.450000000000003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4498975</wp:posOffset>
              </wp:positionH>
              <wp:positionV relativeFrom="page">
                <wp:posOffset>386715</wp:posOffset>
              </wp:positionV>
              <wp:extent cx="2334895" cy="106680"/>
              <wp:wrapNone/>
              <wp:docPr id="619" name="Shape 61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5" type="#_x0000_t202" style="position:absolute;margin-left:354.25pt;margin-top:30.449999999999999pt;width:183.84999999999999pt;height:8.4000000000000004pt;z-index:-18874359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21" name="Shape 6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4498975</wp:posOffset>
              </wp:positionH>
              <wp:positionV relativeFrom="page">
                <wp:posOffset>386715</wp:posOffset>
              </wp:positionV>
              <wp:extent cx="2334895" cy="106680"/>
              <wp:wrapNone/>
              <wp:docPr id="622" name="Shape 6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8" type="#_x0000_t202" style="position:absolute;margin-left:354.25pt;margin-top:30.449999999999999pt;width:183.84999999999999pt;height:8.4000000000000004pt;z-index:-18874359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24" name="Shape 6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7440930</wp:posOffset>
              </wp:positionH>
              <wp:positionV relativeFrom="page">
                <wp:posOffset>554990</wp:posOffset>
              </wp:positionV>
              <wp:extent cx="2334895" cy="106680"/>
              <wp:wrapNone/>
              <wp:docPr id="626" name="Shape 62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2" type="#_x0000_t202" style="position:absolute;margin-left:585.89999999999998pt;margin-top:43.700000000000003pt;width:183.84999999999999pt;height:8.4000000000000004pt;z-index:-18874358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628" name="Shape 62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7440930</wp:posOffset>
              </wp:positionH>
              <wp:positionV relativeFrom="page">
                <wp:posOffset>554990</wp:posOffset>
              </wp:positionV>
              <wp:extent cx="2334895" cy="106680"/>
              <wp:wrapNone/>
              <wp:docPr id="629" name="Shape 6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5" type="#_x0000_t202" style="position:absolute;margin-left:585.89999999999998pt;margin-top:43.700000000000003pt;width:183.84999999999999pt;height:8.4000000000000004pt;z-index:-18874358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631" name="Shape 63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4496435</wp:posOffset>
              </wp:positionH>
              <wp:positionV relativeFrom="page">
                <wp:posOffset>561340</wp:posOffset>
              </wp:positionV>
              <wp:extent cx="2334895" cy="106680"/>
              <wp:wrapNone/>
              <wp:docPr id="633" name="Shape 63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9" type="#_x0000_t202" style="position:absolute;margin-left:354.05000000000001pt;margin-top:44.200000000000003pt;width:183.84999999999999pt;height:8.4000000000000004pt;z-index:-18874358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35" name="Shape 6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4496435</wp:posOffset>
              </wp:positionH>
              <wp:positionV relativeFrom="page">
                <wp:posOffset>561340</wp:posOffset>
              </wp:positionV>
              <wp:extent cx="2334895" cy="106680"/>
              <wp:wrapNone/>
              <wp:docPr id="640" name="Shape 64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6" type="#_x0000_t202" style="position:absolute;margin-left:354.05000000000001pt;margin-top:44.200000000000003pt;width:183.84999999999999pt;height:8.4000000000000004pt;z-index:-18874357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42" name="Shape 6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4497705</wp:posOffset>
              </wp:positionH>
              <wp:positionV relativeFrom="page">
                <wp:posOffset>561340</wp:posOffset>
              </wp:positionV>
              <wp:extent cx="2334895" cy="106680"/>
              <wp:wrapNone/>
              <wp:docPr id="647" name="Shape 64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3" type="#_x0000_t202" style="position:absolute;margin-left:354.15000000000003pt;margin-top:44.200000000000003pt;width:183.84999999999999pt;height:8.4000000000000004pt;z-index:-18874357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649" name="Shape 6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4498975</wp:posOffset>
              </wp:positionH>
              <wp:positionV relativeFrom="page">
                <wp:posOffset>386715</wp:posOffset>
              </wp:positionV>
              <wp:extent cx="2334895" cy="106680"/>
              <wp:wrapNone/>
              <wp:docPr id="670" name="Shape 6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6" type="#_x0000_t202" style="position:absolute;margin-left:354.25pt;margin-top:30.449999999999999pt;width:183.84999999999999pt;height:8.4000000000000004pt;z-index:-18874356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72" name="Shape 6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4498975</wp:posOffset>
              </wp:positionH>
              <wp:positionV relativeFrom="page">
                <wp:posOffset>386715</wp:posOffset>
              </wp:positionV>
              <wp:extent cx="2334895" cy="106680"/>
              <wp:wrapNone/>
              <wp:docPr id="673" name="Shape 67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9" type="#_x0000_t202" style="position:absolute;margin-left:354.25pt;margin-top:30.449999999999999pt;width:183.84999999999999pt;height:8.4000000000000004pt;z-index:-18874356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75" name="Shape 6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4493260</wp:posOffset>
              </wp:positionH>
              <wp:positionV relativeFrom="page">
                <wp:posOffset>561340</wp:posOffset>
              </wp:positionV>
              <wp:extent cx="2334895" cy="106680"/>
              <wp:wrapNone/>
              <wp:docPr id="676" name="Shape 6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2" type="#_x0000_t202" style="position:absolute;margin-left:353.80000000000001pt;margin-top:44.200000000000003pt;width:183.84999999999999pt;height:8.4000000000000004pt;z-index:-18874356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678" name="Shape 6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4554855</wp:posOffset>
              </wp:positionH>
              <wp:positionV relativeFrom="page">
                <wp:posOffset>561340</wp:posOffset>
              </wp:positionV>
              <wp:extent cx="2334895" cy="106680"/>
              <wp:wrapNone/>
              <wp:docPr id="65" name="Shape 6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1" type="#_x0000_t202" style="position:absolute;margin-left:358.65000000000003pt;margin-top:44.200000000000003pt;width:183.8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4497705</wp:posOffset>
              </wp:positionH>
              <wp:positionV relativeFrom="page">
                <wp:posOffset>561340</wp:posOffset>
              </wp:positionV>
              <wp:extent cx="2334895" cy="106680"/>
              <wp:wrapNone/>
              <wp:docPr id="682" name="Shape 6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8" type="#_x0000_t202" style="position:absolute;margin-left:354.15000000000003pt;margin-top:44.200000000000003pt;width:183.84999999999999pt;height:8.4000000000000004pt;z-index:-18874355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684" name="Shape 6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4499610</wp:posOffset>
              </wp:positionH>
              <wp:positionV relativeFrom="page">
                <wp:posOffset>561340</wp:posOffset>
              </wp:positionV>
              <wp:extent cx="2334895" cy="106680"/>
              <wp:wrapNone/>
              <wp:docPr id="689" name="Shape 68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5" type="#_x0000_t202" style="position:absolute;margin-left:354.30000000000001pt;margin-top:44.200000000000003pt;width:183.84999999999999pt;height:8.4000000000000004pt;z-index:-18874355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91" name="Shape 6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4499610</wp:posOffset>
              </wp:positionH>
              <wp:positionV relativeFrom="page">
                <wp:posOffset>561340</wp:posOffset>
              </wp:positionV>
              <wp:extent cx="2334895" cy="106680"/>
              <wp:wrapNone/>
              <wp:docPr id="696" name="Shape 69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2" type="#_x0000_t202" style="position:absolute;margin-left:354.30000000000001pt;margin-top:44.200000000000003pt;width:183.84999999999999pt;height:8.4000000000000004pt;z-index:-18874354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98" name="Shape 6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4499610</wp:posOffset>
              </wp:positionH>
              <wp:positionV relativeFrom="page">
                <wp:posOffset>561340</wp:posOffset>
              </wp:positionV>
              <wp:extent cx="2334895" cy="106680"/>
              <wp:wrapNone/>
              <wp:docPr id="703" name="Shape 70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9" type="#_x0000_t202" style="position:absolute;margin-left:354.30000000000001pt;margin-top:44.200000000000003pt;width:183.84999999999999pt;height:8.4000000000000004pt;z-index:-18874354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05" name="Shape 7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4498975</wp:posOffset>
              </wp:positionH>
              <wp:positionV relativeFrom="page">
                <wp:posOffset>386715</wp:posOffset>
              </wp:positionV>
              <wp:extent cx="2334895" cy="106680"/>
              <wp:wrapNone/>
              <wp:docPr id="711" name="Shape 71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7" type="#_x0000_t202" style="position:absolute;margin-left:354.25pt;margin-top:30.449999999999999pt;width:183.84999999999999pt;height:8.4000000000000004pt;z-index:-18874353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13" name="Shape 7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4498975</wp:posOffset>
              </wp:positionH>
              <wp:positionV relativeFrom="page">
                <wp:posOffset>386715</wp:posOffset>
              </wp:positionV>
              <wp:extent cx="2334895" cy="106680"/>
              <wp:wrapNone/>
              <wp:docPr id="714" name="Shape 71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0" type="#_x0000_t202" style="position:absolute;margin-left:354.25pt;margin-top:30.449999999999999pt;width:183.84999999999999pt;height:8.4000000000000004pt;z-index:-18874353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16" name="Shape 7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7440930</wp:posOffset>
              </wp:positionH>
              <wp:positionV relativeFrom="page">
                <wp:posOffset>554355</wp:posOffset>
              </wp:positionV>
              <wp:extent cx="2334895" cy="106680"/>
              <wp:wrapNone/>
              <wp:docPr id="72" name="Shape 7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8" type="#_x0000_t202" style="position:absolute;margin-left:585.89999999999998pt;margin-top:43.649999999999999pt;width:183.84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7440930</wp:posOffset>
              </wp:positionH>
              <wp:positionV relativeFrom="page">
                <wp:posOffset>554355</wp:posOffset>
              </wp:positionV>
              <wp:extent cx="2334895" cy="106680"/>
              <wp:wrapNone/>
              <wp:docPr id="76" name="Shape 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2" type="#_x0000_t202" style="position:absolute;margin-left:585.89999999999998pt;margin-top:43.649999999999999pt;width:183.84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7440930</wp:posOffset>
              </wp:positionH>
              <wp:positionV relativeFrom="page">
                <wp:posOffset>554355</wp:posOffset>
              </wp:positionV>
              <wp:extent cx="2334895" cy="106680"/>
              <wp:wrapNone/>
              <wp:docPr id="84" name="Shape 8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0" type="#_x0000_t202" style="position:absolute;margin-left:585.89999999999998pt;margin-top:43.649999999999999pt;width:183.84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7440930</wp:posOffset>
              </wp:positionH>
              <wp:positionV relativeFrom="page">
                <wp:posOffset>554355</wp:posOffset>
              </wp:positionV>
              <wp:extent cx="2334895" cy="106680"/>
              <wp:wrapNone/>
              <wp:docPr id="86" name="Shape 8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2" type="#_x0000_t202" style="position:absolute;margin-left:585.89999999999998pt;margin-top:43.649999999999999pt;width:183.84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4512945</wp:posOffset>
              </wp:positionH>
              <wp:positionV relativeFrom="page">
                <wp:posOffset>426085</wp:posOffset>
              </wp:positionV>
              <wp:extent cx="2334895" cy="106680"/>
              <wp:wrapNone/>
              <wp:docPr id="92" name="Shape 9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8" type="#_x0000_t202" style="position:absolute;margin-left:355.35000000000002pt;margin-top:33.549999999999997pt;width:183.84999999999999pt;height:8.4000000000000004pt;z-index:-18874399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570865</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44.95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4512945</wp:posOffset>
              </wp:positionH>
              <wp:positionV relativeFrom="page">
                <wp:posOffset>426085</wp:posOffset>
              </wp:positionV>
              <wp:extent cx="2334895" cy="106680"/>
              <wp:wrapNone/>
              <wp:docPr id="97" name="Shape 9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3" type="#_x0000_t202" style="position:absolute;margin-left:355.35000000000002pt;margin-top:33.549999999999997pt;width:183.84999999999999pt;height:8.4000000000000004pt;z-index:-18874398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570865</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44.95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4498975</wp:posOffset>
              </wp:positionH>
              <wp:positionV relativeFrom="page">
                <wp:posOffset>101600</wp:posOffset>
              </wp:positionV>
              <wp:extent cx="2334895" cy="106680"/>
              <wp:wrapNone/>
              <wp:docPr id="102" name="Shape 10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8" type="#_x0000_t202" style="position:absolute;margin-left:354.25pt;margin-top:8.pt;width:183.84999999999999pt;height:8.4000000000000004pt;z-index:-18874398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04" name="Shape 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4498975</wp:posOffset>
              </wp:positionH>
              <wp:positionV relativeFrom="page">
                <wp:posOffset>101600</wp:posOffset>
              </wp:positionV>
              <wp:extent cx="2334895" cy="106680"/>
              <wp:wrapNone/>
              <wp:docPr id="105" name="Shape 1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1" type="#_x0000_t202" style="position:absolute;margin-left:354.25pt;margin-top:8.pt;width:183.84999999999999pt;height:8.4000000000000004pt;z-index:-18874398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4526915</wp:posOffset>
              </wp:positionH>
              <wp:positionV relativeFrom="page">
                <wp:posOffset>580390</wp:posOffset>
              </wp:positionV>
              <wp:extent cx="2334895" cy="106680"/>
              <wp:wrapNone/>
              <wp:docPr id="4" name="Shape 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0" type="#_x0000_t202" style="position:absolute;margin-left:356.44999999999999pt;margin-top:45.700000000000003pt;width:183.84999999999999pt;height:8.4000000000000004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724535</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57.050000000000004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4498975</wp:posOffset>
              </wp:positionH>
              <wp:positionV relativeFrom="page">
                <wp:posOffset>101600</wp:posOffset>
              </wp:positionV>
              <wp:extent cx="2334895" cy="106680"/>
              <wp:wrapNone/>
              <wp:docPr id="108" name="Shape 1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4" type="#_x0000_t202" style="position:absolute;margin-left:354.25pt;margin-top:8.pt;width:183.84999999999999pt;height:8.4000000000000004pt;z-index:-18874398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4479290</wp:posOffset>
              </wp:positionH>
              <wp:positionV relativeFrom="page">
                <wp:posOffset>561340</wp:posOffset>
              </wp:positionV>
              <wp:extent cx="2334895" cy="106680"/>
              <wp:wrapNone/>
              <wp:docPr id="111" name="Shape 11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7" type="#_x0000_t202" style="position:absolute;margin-left:352.69999999999999pt;margin-top:44.200000000000003pt;width:183.84999999999999pt;height:8.4000000000000004pt;z-index:-18874397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756920</wp:posOffset>
              </wp:positionV>
              <wp:extent cx="6163310" cy="0"/>
              <wp:wrapNone/>
              <wp:docPr id="113" name="Shape 1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9.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4517390</wp:posOffset>
              </wp:positionH>
              <wp:positionV relativeFrom="page">
                <wp:posOffset>612140</wp:posOffset>
              </wp:positionV>
              <wp:extent cx="2334895" cy="106680"/>
              <wp:wrapNone/>
              <wp:docPr id="116" name="Shape 1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2" type="#_x0000_t202" style="position:absolute;margin-left:355.69999999999999pt;margin-top:48.200000000000003pt;width:183.84999999999999pt;height:8.4000000000000004pt;z-index:-18874397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756920</wp:posOffset>
              </wp:positionV>
              <wp:extent cx="6163310" cy="0"/>
              <wp:wrapNone/>
              <wp:docPr id="118" name="Shape 1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59.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4517390</wp:posOffset>
              </wp:positionH>
              <wp:positionV relativeFrom="page">
                <wp:posOffset>612140</wp:posOffset>
              </wp:positionV>
              <wp:extent cx="2334895" cy="106680"/>
              <wp:wrapNone/>
              <wp:docPr id="123" name="Shape 1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9" type="#_x0000_t202" style="position:absolute;margin-left:355.69999999999999pt;margin-top:48.200000000000003pt;width:183.84999999999999pt;height:8.4000000000000004pt;z-index:-18874396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756920</wp:posOffset>
              </wp:positionV>
              <wp:extent cx="6163310" cy="0"/>
              <wp:wrapNone/>
              <wp:docPr id="125" name="Shape 1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59.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4481195</wp:posOffset>
              </wp:positionH>
              <wp:positionV relativeFrom="page">
                <wp:posOffset>613410</wp:posOffset>
              </wp:positionV>
              <wp:extent cx="2334895" cy="106680"/>
              <wp:wrapNone/>
              <wp:docPr id="130" name="Shape 13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6" type="#_x0000_t202" style="position:absolute;margin-left:352.85000000000002pt;margin-top:48.300000000000004pt;width:183.84999999999999pt;height:8.4000000000000004pt;z-index:-18874396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758190</wp:posOffset>
              </wp:positionV>
              <wp:extent cx="6163310" cy="0"/>
              <wp:wrapNone/>
              <wp:docPr id="132" name="Shape 1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9.700000000000003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4554855</wp:posOffset>
              </wp:positionH>
              <wp:positionV relativeFrom="page">
                <wp:posOffset>561340</wp:posOffset>
              </wp:positionV>
              <wp:extent cx="2334895" cy="106680"/>
              <wp:wrapNone/>
              <wp:docPr id="141" name="Shape 1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7" type="#_x0000_t202" style="position:absolute;margin-left:358.65000000000003pt;margin-top:44.200000000000003pt;width:183.84999999999999pt;height:8.4000000000000004pt;z-index:-18874395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143" name="Shape 1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4554855</wp:posOffset>
              </wp:positionH>
              <wp:positionV relativeFrom="page">
                <wp:posOffset>561340</wp:posOffset>
              </wp:positionV>
              <wp:extent cx="2334895" cy="106680"/>
              <wp:wrapNone/>
              <wp:docPr id="148" name="Shape 1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4" type="#_x0000_t202" style="position:absolute;margin-left:358.65000000000003pt;margin-top:44.200000000000003pt;width:183.84999999999999pt;height:8.4000000000000004pt;z-index:-18874395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150" name="Shape 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4479290</wp:posOffset>
              </wp:positionH>
              <wp:positionV relativeFrom="page">
                <wp:posOffset>561340</wp:posOffset>
              </wp:positionV>
              <wp:extent cx="2334895" cy="106680"/>
              <wp:wrapNone/>
              <wp:docPr id="155" name="Shape 1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1" type="#_x0000_t202" style="position:absolute;margin-left:352.69999999999999pt;margin-top:44.200000000000003pt;width:183.84999999999999pt;height:8.4000000000000004pt;z-index:-18874394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756920</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9.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4479290</wp:posOffset>
              </wp:positionH>
              <wp:positionV relativeFrom="page">
                <wp:posOffset>561340</wp:posOffset>
              </wp:positionV>
              <wp:extent cx="2334895" cy="106680"/>
              <wp:wrapNone/>
              <wp:docPr id="175" name="Shape 1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1" type="#_x0000_t202" style="position:absolute;margin-left:352.69999999999999pt;margin-top:44.200000000000003pt;width:183.84999999999999pt;height:8.4000000000000004pt;z-index:-18874394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756920</wp:posOffset>
              </wp:positionV>
              <wp:extent cx="6163310" cy="0"/>
              <wp:wrapNone/>
              <wp:docPr id="177" name="Shape 1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9.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4479290</wp:posOffset>
              </wp:positionH>
              <wp:positionV relativeFrom="page">
                <wp:posOffset>561340</wp:posOffset>
              </wp:positionV>
              <wp:extent cx="2334895" cy="106680"/>
              <wp:wrapNone/>
              <wp:docPr id="180" name="Shape 1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6" type="#_x0000_t202" style="position:absolute;margin-left:352.69999999999999pt;margin-top:44.200000000000003pt;width:183.84999999999999pt;height:8.4000000000000004pt;z-index:-18874393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756920</wp:posOffset>
              </wp:positionV>
              <wp:extent cx="6163310" cy="0"/>
              <wp:wrapNone/>
              <wp:docPr id="182" name="Shape 1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9.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4484370</wp:posOffset>
              </wp:positionH>
              <wp:positionV relativeFrom="page">
                <wp:posOffset>580390</wp:posOffset>
              </wp:positionV>
              <wp:extent cx="2334895" cy="106680"/>
              <wp:wrapNone/>
              <wp:docPr id="11" name="Shape 1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7" type="#_x0000_t202" style="position:absolute;margin-left:353.10000000000002pt;margin-top:45.700000000000003pt;width:183.84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724535</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7.050000000000004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4494530</wp:posOffset>
              </wp:positionH>
              <wp:positionV relativeFrom="page">
                <wp:posOffset>423545</wp:posOffset>
              </wp:positionV>
              <wp:extent cx="2334895" cy="106680"/>
              <wp:wrapNone/>
              <wp:docPr id="186" name="Shape 18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2" type="#_x0000_t202" style="position:absolute;margin-left:353.90000000000003pt;margin-top:33.350000000000001pt;width:183.84999999999999pt;height:8.4000000000000004pt;z-index:-18874393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568325</wp:posOffset>
              </wp:positionV>
              <wp:extent cx="6163310" cy="0"/>
              <wp:wrapNone/>
              <wp:docPr id="188" name="Shape 1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44.75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4494530</wp:posOffset>
              </wp:positionH>
              <wp:positionV relativeFrom="page">
                <wp:posOffset>423545</wp:posOffset>
              </wp:positionV>
              <wp:extent cx="2334895" cy="106680"/>
              <wp:wrapNone/>
              <wp:docPr id="191" name="Shape 19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7" type="#_x0000_t202" style="position:absolute;margin-left:353.90000000000003pt;margin-top:33.350000000000001pt;width:183.84999999999999pt;height:8.4000000000000004pt;z-index:-18874392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568325</wp:posOffset>
              </wp:positionV>
              <wp:extent cx="6163310" cy="0"/>
              <wp:wrapNone/>
              <wp:docPr id="193" name="Shape 1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44.75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4554855</wp:posOffset>
              </wp:positionH>
              <wp:positionV relativeFrom="page">
                <wp:posOffset>561340</wp:posOffset>
              </wp:positionV>
              <wp:extent cx="2334895" cy="106680"/>
              <wp:wrapNone/>
              <wp:docPr id="196" name="Shape 19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2" type="#_x0000_t202" style="position:absolute;margin-left:358.65000000000003pt;margin-top:44.200000000000003pt;width:183.84999999999999pt;height:8.4000000000000004pt;z-index:-18874392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198" name="Shape 1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4554855</wp:posOffset>
              </wp:positionH>
              <wp:positionV relativeFrom="page">
                <wp:posOffset>561340</wp:posOffset>
              </wp:positionV>
              <wp:extent cx="2334895" cy="106680"/>
              <wp:wrapNone/>
              <wp:docPr id="203" name="Shape 20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9" type="#_x0000_t202" style="position:absolute;margin-left:358.65000000000003pt;margin-top:44.200000000000003pt;width:183.84999999999999pt;height:8.4000000000000004pt;z-index:-18874391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205" name="Shape 2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4554855</wp:posOffset>
              </wp:positionH>
              <wp:positionV relativeFrom="page">
                <wp:posOffset>561340</wp:posOffset>
              </wp:positionV>
              <wp:extent cx="2334895" cy="106680"/>
              <wp:wrapNone/>
              <wp:docPr id="210" name="Shape 21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6" type="#_x0000_t202" style="position:absolute;margin-left:358.65000000000003pt;margin-top:44.200000000000003pt;width:183.84999999999999pt;height:8.4000000000000004pt;z-index:-18874391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212" name="Shape 2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4464050</wp:posOffset>
              </wp:positionH>
              <wp:positionV relativeFrom="page">
                <wp:posOffset>561340</wp:posOffset>
              </wp:positionV>
              <wp:extent cx="2334895" cy="106680"/>
              <wp:wrapNone/>
              <wp:docPr id="217" name="Shape 21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3" type="#_x0000_t202" style="position:absolute;margin-left:351.5pt;margin-top:44.200000000000003pt;width:183.84999999999999pt;height:8.4000000000000004pt;z-index:-18874390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659765</wp:posOffset>
              </wp:positionH>
              <wp:positionV relativeFrom="page">
                <wp:posOffset>735965</wp:posOffset>
              </wp:positionV>
              <wp:extent cx="6163310" cy="0"/>
              <wp:wrapNone/>
              <wp:docPr id="219" name="Shape 2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950000000000003pt;margin-top:57.950000000000003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4495800</wp:posOffset>
              </wp:positionH>
              <wp:positionV relativeFrom="page">
                <wp:posOffset>591185</wp:posOffset>
              </wp:positionV>
              <wp:extent cx="2334895" cy="106680"/>
              <wp:wrapNone/>
              <wp:docPr id="224" name="Shape 22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0" type="#_x0000_t202" style="position:absolute;margin-left:354.pt;margin-top:46.550000000000004pt;width:183.84999999999999pt;height:8.4000000000000004pt;z-index:-18874390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735965</wp:posOffset>
              </wp:positionV>
              <wp:extent cx="6163310" cy="0"/>
              <wp:wrapNone/>
              <wp:docPr id="226" name="Shape 2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7.950000000000003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4495800</wp:posOffset>
              </wp:positionH>
              <wp:positionV relativeFrom="page">
                <wp:posOffset>591185</wp:posOffset>
              </wp:positionV>
              <wp:extent cx="2334895" cy="106680"/>
              <wp:wrapNone/>
              <wp:docPr id="231" name="Shape 23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7" type="#_x0000_t202" style="position:absolute;margin-left:354.pt;margin-top:46.550000000000004pt;width:183.84999999999999pt;height:8.4000000000000004pt;z-index:-18874389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735965</wp:posOffset>
              </wp:positionV>
              <wp:extent cx="6163310" cy="0"/>
              <wp:wrapNone/>
              <wp:docPr id="233" name="Shape 2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7.950000000000003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4498975</wp:posOffset>
              </wp:positionH>
              <wp:positionV relativeFrom="page">
                <wp:posOffset>101600</wp:posOffset>
              </wp:positionV>
              <wp:extent cx="2334895" cy="106680"/>
              <wp:wrapNone/>
              <wp:docPr id="239" name="Shape 23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5" type="#_x0000_t202" style="position:absolute;margin-left:354.25pt;margin-top:8.pt;width:183.84999999999999pt;height:8.4000000000000004pt;z-index:-18874388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241" name="Shape 2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4498975</wp:posOffset>
              </wp:positionH>
              <wp:positionV relativeFrom="page">
                <wp:posOffset>101600</wp:posOffset>
              </wp:positionV>
              <wp:extent cx="2334895" cy="106680"/>
              <wp:wrapNone/>
              <wp:docPr id="242" name="Shape 24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8" type="#_x0000_t202" style="position:absolute;margin-left:354.25pt;margin-top:8.pt;width:183.84999999999999pt;height:8.4000000000000004pt;z-index:-18874388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244" name="Shape 2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4551680</wp:posOffset>
              </wp:positionH>
              <wp:positionV relativeFrom="page">
                <wp:posOffset>570865</wp:posOffset>
              </wp:positionV>
              <wp:extent cx="2334895" cy="106680"/>
              <wp:wrapNone/>
              <wp:docPr id="16" name="Shape 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2" type="#_x0000_t202" style="position:absolute;margin-left:358.40000000000003pt;margin-top:44.950000000000003pt;width:183.84999999999999pt;height:8.4000000000000004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716915</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850000000000001pt;margin-top:56.450000000000003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4479290</wp:posOffset>
              </wp:positionH>
              <wp:positionV relativeFrom="page">
                <wp:posOffset>561340</wp:posOffset>
              </wp:positionV>
              <wp:extent cx="2334895" cy="106680"/>
              <wp:wrapNone/>
              <wp:docPr id="246" name="Shape 24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2" type="#_x0000_t202" style="position:absolute;margin-left:352.69999999999999pt;margin-top:44.200000000000003pt;width:183.84999999999999pt;height:8.4000000000000004pt;z-index:-18874388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756920</wp:posOffset>
              </wp:positionV>
              <wp:extent cx="6163310" cy="0"/>
              <wp:wrapNone/>
              <wp:docPr id="248" name="Shape 2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9.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4464050</wp:posOffset>
              </wp:positionH>
              <wp:positionV relativeFrom="page">
                <wp:posOffset>561340</wp:posOffset>
              </wp:positionV>
              <wp:extent cx="2334895" cy="106680"/>
              <wp:wrapNone/>
              <wp:docPr id="251" name="Shape 2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7" type="#_x0000_t202" style="position:absolute;margin-left:351.5pt;margin-top:44.200000000000003pt;width:183.84999999999999pt;height:8.4000000000000004pt;z-index:-18874388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659765</wp:posOffset>
              </wp:positionH>
              <wp:positionV relativeFrom="page">
                <wp:posOffset>735965</wp:posOffset>
              </wp:positionV>
              <wp:extent cx="6163310" cy="0"/>
              <wp:wrapNone/>
              <wp:docPr id="253" name="Shape 2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950000000000003pt;margin-top:57.950000000000003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4554855</wp:posOffset>
              </wp:positionH>
              <wp:positionV relativeFrom="page">
                <wp:posOffset>561340</wp:posOffset>
              </wp:positionV>
              <wp:extent cx="2334895" cy="106680"/>
              <wp:wrapNone/>
              <wp:docPr id="259" name="Shape 25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5" type="#_x0000_t202" style="position:absolute;margin-left:358.65000000000003pt;margin-top:44.200000000000003pt;width:183.84999999999999pt;height:8.4000000000000004pt;z-index:-18874387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261" name="Shape 2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4554855</wp:posOffset>
              </wp:positionH>
              <wp:positionV relativeFrom="page">
                <wp:posOffset>561340</wp:posOffset>
              </wp:positionV>
              <wp:extent cx="2334895" cy="106680"/>
              <wp:wrapNone/>
              <wp:docPr id="266" name="Shape 26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2" type="#_x0000_t202" style="position:absolute;margin-left:358.65000000000003pt;margin-top:44.200000000000003pt;width:183.84999999999999pt;height:8.4000000000000004pt;z-index:-18874386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268" name="Shape 2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4464050</wp:posOffset>
              </wp:positionH>
              <wp:positionV relativeFrom="page">
                <wp:posOffset>561340</wp:posOffset>
              </wp:positionV>
              <wp:extent cx="2334895" cy="106680"/>
              <wp:wrapNone/>
              <wp:docPr id="273" name="Shape 27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9" type="#_x0000_t202" style="position:absolute;margin-left:351.5pt;margin-top:44.200000000000003pt;width:183.84999999999999pt;height:8.4000000000000004pt;z-index:-18874386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659765</wp:posOffset>
              </wp:positionH>
              <wp:positionV relativeFrom="page">
                <wp:posOffset>735965</wp:posOffset>
              </wp:positionV>
              <wp:extent cx="6163310" cy="0"/>
              <wp:wrapNone/>
              <wp:docPr id="275" name="Shape 2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950000000000003pt;margin-top:57.950000000000003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4464050</wp:posOffset>
              </wp:positionH>
              <wp:positionV relativeFrom="page">
                <wp:posOffset>561340</wp:posOffset>
              </wp:positionV>
              <wp:extent cx="2334895" cy="106680"/>
              <wp:wrapNone/>
              <wp:docPr id="280" name="Shape 2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6" type="#_x0000_t202" style="position:absolute;margin-left:351.5pt;margin-top:44.200000000000003pt;width:183.84999999999999pt;height:8.4000000000000004pt;z-index:-18874385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659765</wp:posOffset>
              </wp:positionH>
              <wp:positionV relativeFrom="page">
                <wp:posOffset>735965</wp:posOffset>
              </wp:positionV>
              <wp:extent cx="6163310" cy="0"/>
              <wp:wrapNone/>
              <wp:docPr id="282" name="Shape 2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950000000000003pt;margin-top:57.950000000000003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4479290</wp:posOffset>
              </wp:positionH>
              <wp:positionV relativeFrom="page">
                <wp:posOffset>561340</wp:posOffset>
              </wp:positionV>
              <wp:extent cx="2334895" cy="106680"/>
              <wp:wrapNone/>
              <wp:docPr id="287" name="Shape 2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3" type="#_x0000_t202" style="position:absolute;margin-left:352.69999999999999pt;margin-top:44.200000000000003pt;width:183.84999999999999pt;height:8.4000000000000004pt;z-index:-18874385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756920</wp:posOffset>
              </wp:positionV>
              <wp:extent cx="6163310" cy="0"/>
              <wp:wrapNone/>
              <wp:docPr id="289" name="Shape 2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9.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4464050</wp:posOffset>
              </wp:positionH>
              <wp:positionV relativeFrom="page">
                <wp:posOffset>561340</wp:posOffset>
              </wp:positionV>
              <wp:extent cx="2334895" cy="106680"/>
              <wp:wrapNone/>
              <wp:docPr id="292" name="Shape 29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8" type="#_x0000_t202" style="position:absolute;margin-left:351.5pt;margin-top:44.200000000000003pt;width:183.84999999999999pt;height:8.4000000000000004pt;z-index:-18874384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659765</wp:posOffset>
              </wp:positionH>
              <wp:positionV relativeFrom="page">
                <wp:posOffset>735965</wp:posOffset>
              </wp:positionV>
              <wp:extent cx="6163310" cy="0"/>
              <wp:wrapNone/>
              <wp:docPr id="294" name="Shape 2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950000000000003pt;margin-top:57.950000000000003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4500245</wp:posOffset>
              </wp:positionH>
              <wp:positionV relativeFrom="page">
                <wp:posOffset>561340</wp:posOffset>
              </wp:positionV>
              <wp:extent cx="2334895" cy="106680"/>
              <wp:wrapNone/>
              <wp:docPr id="301" name="Shape 3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7" type="#_x0000_t202" style="position:absolute;margin-left:354.35000000000002pt;margin-top:44.200000000000003pt;width:183.84999999999999pt;height:8.4000000000000004pt;z-index:-18874384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303" name="Shape 3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4554855</wp:posOffset>
              </wp:positionH>
              <wp:positionV relativeFrom="page">
                <wp:posOffset>561340</wp:posOffset>
              </wp:positionV>
              <wp:extent cx="2334895" cy="106680"/>
              <wp:wrapNone/>
              <wp:docPr id="308" name="Shape 3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34" type="#_x0000_t202" style="position:absolute;margin-left:358.65000000000003pt;margin-top:44.200000000000003pt;width:183.84999999999999pt;height:8.4000000000000004pt;z-index:-18874383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310" name="Shape 3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4554855</wp:posOffset>
              </wp:positionH>
              <wp:positionV relativeFrom="page">
                <wp:posOffset>561340</wp:posOffset>
              </wp:positionV>
              <wp:extent cx="2334895" cy="106680"/>
              <wp:wrapNone/>
              <wp:docPr id="23" name="Shape 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9" type="#_x0000_t202" style="position:absolute;margin-left:358.65000000000003pt;margin-top:44.200000000000003pt;width:183.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4554855</wp:posOffset>
              </wp:positionH>
              <wp:positionV relativeFrom="page">
                <wp:posOffset>561340</wp:posOffset>
              </wp:positionV>
              <wp:extent cx="2334895" cy="106680"/>
              <wp:wrapNone/>
              <wp:docPr id="315" name="Shape 3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1" type="#_x0000_t202" style="position:absolute;margin-left:358.65000000000003pt;margin-top:44.200000000000003pt;width:183.84999999999999pt;height:8.4000000000000004pt;z-index:-18874382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317" name="Shape 3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4554855</wp:posOffset>
              </wp:positionH>
              <wp:positionV relativeFrom="page">
                <wp:posOffset>561340</wp:posOffset>
              </wp:positionV>
              <wp:extent cx="2334895" cy="106680"/>
              <wp:wrapNone/>
              <wp:docPr id="322" name="Shape 3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8" type="#_x0000_t202" style="position:absolute;margin-left:358.65000000000003pt;margin-top:44.200000000000003pt;width:183.84999999999999pt;height:8.4000000000000004pt;z-index:-18874382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324" name="Shape 3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4498975</wp:posOffset>
              </wp:positionH>
              <wp:positionV relativeFrom="page">
                <wp:posOffset>101600</wp:posOffset>
              </wp:positionV>
              <wp:extent cx="2334895" cy="106680"/>
              <wp:wrapNone/>
              <wp:docPr id="329" name="Shape 3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5" type="#_x0000_t202" style="position:absolute;margin-left:354.25pt;margin-top:8.pt;width:183.84999999999999pt;height:8.4000000000000004pt;z-index:-18874381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31" name="Shape 3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4498975</wp:posOffset>
              </wp:positionH>
              <wp:positionV relativeFrom="page">
                <wp:posOffset>101600</wp:posOffset>
              </wp:positionV>
              <wp:extent cx="2334895" cy="106680"/>
              <wp:wrapNone/>
              <wp:docPr id="332" name="Shape 33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8" type="#_x0000_t202" style="position:absolute;margin-left:354.25pt;margin-top:8.pt;width:183.84999999999999pt;height:8.4000000000000004pt;z-index:-18874381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34" name="Shape 3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7440930</wp:posOffset>
              </wp:positionH>
              <wp:positionV relativeFrom="page">
                <wp:posOffset>558165</wp:posOffset>
              </wp:positionV>
              <wp:extent cx="2334895" cy="106680"/>
              <wp:wrapNone/>
              <wp:docPr id="336" name="Shape 33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2" type="#_x0000_t202" style="position:absolute;margin-left:585.89999999999998pt;margin-top:43.950000000000003pt;width:183.84999999999999pt;height:8.4000000000000004pt;z-index:-18874381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38" name="Shape 33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7440930</wp:posOffset>
              </wp:positionH>
              <wp:positionV relativeFrom="page">
                <wp:posOffset>558165</wp:posOffset>
              </wp:positionV>
              <wp:extent cx="2334895" cy="106680"/>
              <wp:wrapNone/>
              <wp:docPr id="341" name="Shape 3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7" type="#_x0000_t202" style="position:absolute;margin-left:585.89999999999998pt;margin-top:43.950000000000003pt;width:183.84999999999999pt;height:8.4000000000000004pt;z-index:-188743808;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43" name="Shape 34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7442200</wp:posOffset>
              </wp:positionH>
              <wp:positionV relativeFrom="page">
                <wp:posOffset>554990</wp:posOffset>
              </wp:positionV>
              <wp:extent cx="2334895" cy="106680"/>
              <wp:wrapNone/>
              <wp:docPr id="347" name="Shape 34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3" type="#_x0000_t202" style="position:absolute;margin-left:586.pt;margin-top:43.700000000000003pt;width:183.84999999999999pt;height:8.4000000000000004pt;z-index:-188743804;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7442200</wp:posOffset>
              </wp:positionH>
              <wp:positionV relativeFrom="page">
                <wp:posOffset>554990</wp:posOffset>
              </wp:positionV>
              <wp:extent cx="2334895" cy="106680"/>
              <wp:wrapNone/>
              <wp:docPr id="349" name="Shape 34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5" type="#_x0000_t202" style="position:absolute;margin-left:586.pt;margin-top:43.700000000000003pt;width:183.84999999999999pt;height:8.4000000000000004pt;z-index:-18874380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7440930</wp:posOffset>
              </wp:positionH>
              <wp:positionV relativeFrom="page">
                <wp:posOffset>558165</wp:posOffset>
              </wp:positionV>
              <wp:extent cx="2334895" cy="106680"/>
              <wp:wrapNone/>
              <wp:docPr id="359" name="Shape 35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5" type="#_x0000_t202" style="position:absolute;margin-left:585.89999999999998pt;margin-top:43.950000000000003pt;width:183.84999999999999pt;height:8.4000000000000004pt;z-index:-18874380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61" name="Shape 3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7440930</wp:posOffset>
              </wp:positionH>
              <wp:positionV relativeFrom="page">
                <wp:posOffset>558165</wp:posOffset>
              </wp:positionV>
              <wp:extent cx="2334895" cy="106680"/>
              <wp:wrapNone/>
              <wp:docPr id="364" name="Shape 36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0" type="#_x0000_t202" style="position:absolute;margin-left:585.89999999999998pt;margin-top:43.950000000000003pt;width:183.84999999999999pt;height:8.4000000000000004pt;z-index:-188743796;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66" name="Shape 36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4554855</wp:posOffset>
              </wp:positionH>
              <wp:positionV relativeFrom="page">
                <wp:posOffset>561340</wp:posOffset>
              </wp:positionV>
              <wp:extent cx="2334895" cy="106680"/>
              <wp:wrapNone/>
              <wp:docPr id="30" name="Shape 3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6" type="#_x0000_t202" style="position:absolute;margin-left:358.65000000000003pt;margin-top:44.200000000000003pt;width:183.8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715645</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56.35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7442200</wp:posOffset>
              </wp:positionH>
              <wp:positionV relativeFrom="page">
                <wp:posOffset>554990</wp:posOffset>
              </wp:positionV>
              <wp:extent cx="2334895" cy="106680"/>
              <wp:wrapNone/>
              <wp:docPr id="370" name="Shape 3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6" type="#_x0000_t202" style="position:absolute;margin-left:586.pt;margin-top:43.700000000000003pt;width:183.84999999999999pt;height:8.4000000000000004pt;z-index:-188743792;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7442200</wp:posOffset>
              </wp:positionH>
              <wp:positionV relativeFrom="page">
                <wp:posOffset>554990</wp:posOffset>
              </wp:positionV>
              <wp:extent cx="2334895" cy="106680"/>
              <wp:wrapNone/>
              <wp:docPr id="372" name="Shape 37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8" type="#_x0000_t202" style="position:absolute;margin-left:586.pt;margin-top:43.700000000000003pt;width:183.84999999999999pt;height:8.4000000000000004pt;z-index:-188743790;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4493895</wp:posOffset>
              </wp:positionH>
              <wp:positionV relativeFrom="page">
                <wp:posOffset>565150</wp:posOffset>
              </wp:positionV>
              <wp:extent cx="2334895" cy="106680"/>
              <wp:wrapNone/>
              <wp:docPr id="377" name="Shape 37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3" type="#_x0000_t202" style="position:absolute;margin-left:353.85000000000002pt;margin-top:44.5pt;width:183.84999999999999pt;height:8.4000000000000004pt;z-index:-18874378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709930</wp:posOffset>
              </wp:positionV>
              <wp:extent cx="6163310" cy="0"/>
              <wp:wrapNone/>
              <wp:docPr id="379" name="Shape 3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899999999999999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4493895</wp:posOffset>
              </wp:positionH>
              <wp:positionV relativeFrom="page">
                <wp:posOffset>565150</wp:posOffset>
              </wp:positionV>
              <wp:extent cx="2334895" cy="106680"/>
              <wp:wrapNone/>
              <wp:docPr id="384" name="Shape 38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0" type="#_x0000_t202" style="position:absolute;margin-left:353.85000000000002pt;margin-top:44.5pt;width:183.84999999999999pt;height:8.4000000000000004pt;z-index:-18874378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709930</wp:posOffset>
              </wp:positionV>
              <wp:extent cx="6163310" cy="0"/>
              <wp:wrapNone/>
              <wp:docPr id="386" name="Shape 3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899999999999999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4478655</wp:posOffset>
              </wp:positionH>
              <wp:positionV relativeFrom="page">
                <wp:posOffset>397510</wp:posOffset>
              </wp:positionV>
              <wp:extent cx="2334895" cy="106680"/>
              <wp:wrapNone/>
              <wp:docPr id="391" name="Shape 39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7" type="#_x0000_t202" style="position:absolute;margin-left:352.65000000000003pt;margin-top:31.300000000000001pt;width:183.84999999999999pt;height:8.4000000000000004pt;z-index:-18874377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542290</wp:posOffset>
              </wp:positionV>
              <wp:extent cx="6163310" cy="0"/>
              <wp:wrapNone/>
              <wp:docPr id="393" name="Shape 3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42.700000000000003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4497070</wp:posOffset>
              </wp:positionH>
              <wp:positionV relativeFrom="page">
                <wp:posOffset>565150</wp:posOffset>
              </wp:positionV>
              <wp:extent cx="2334895" cy="106680"/>
              <wp:wrapNone/>
              <wp:docPr id="396" name="Shape 39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2" type="#_x0000_t202" style="position:absolute;margin-left:354.10000000000002pt;margin-top:44.5pt;width:183.84999999999999pt;height:8.4000000000000004pt;z-index:-18874377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709930</wp:posOffset>
              </wp:positionV>
              <wp:extent cx="6163310" cy="0"/>
              <wp:wrapNone/>
              <wp:docPr id="398" name="Shape 3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899999999999999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4497070</wp:posOffset>
              </wp:positionH>
              <wp:positionV relativeFrom="page">
                <wp:posOffset>565150</wp:posOffset>
              </wp:positionV>
              <wp:extent cx="2334895" cy="106680"/>
              <wp:wrapNone/>
              <wp:docPr id="403" name="Shape 40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9" type="#_x0000_t202" style="position:absolute;margin-left:354.10000000000002pt;margin-top:44.5pt;width:183.84999999999999pt;height:8.4000000000000004pt;z-index:-18874376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709930</wp:posOffset>
              </wp:positionV>
              <wp:extent cx="6163310" cy="0"/>
              <wp:wrapNone/>
              <wp:docPr id="405" name="Shape 4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899999999999999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4493895</wp:posOffset>
              </wp:positionH>
              <wp:positionV relativeFrom="page">
                <wp:posOffset>565150</wp:posOffset>
              </wp:positionV>
              <wp:extent cx="2334895" cy="106680"/>
              <wp:wrapNone/>
              <wp:docPr id="410" name="Shape 41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6" type="#_x0000_t202" style="position:absolute;margin-left:353.85000000000002pt;margin-top:44.5pt;width:183.84999999999999pt;height:8.4000000000000004pt;z-index:-18874375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709930</wp:posOffset>
              </wp:positionV>
              <wp:extent cx="6163310" cy="0"/>
              <wp:wrapNone/>
              <wp:docPr id="412" name="Shape 4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899999999999999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4493895</wp:posOffset>
              </wp:positionH>
              <wp:positionV relativeFrom="page">
                <wp:posOffset>565150</wp:posOffset>
              </wp:positionV>
              <wp:extent cx="2334895" cy="106680"/>
              <wp:wrapNone/>
              <wp:docPr id="417" name="Shape 41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3" type="#_x0000_t202" style="position:absolute;margin-left:353.85000000000002pt;margin-top:44.5pt;width:183.84999999999999pt;height:8.4000000000000004pt;z-index:-18874375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709930</wp:posOffset>
              </wp:positionV>
              <wp:extent cx="6163310" cy="0"/>
              <wp:wrapNone/>
              <wp:docPr id="419" name="Shape 4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899999999999999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4504690</wp:posOffset>
              </wp:positionH>
              <wp:positionV relativeFrom="page">
                <wp:posOffset>621665</wp:posOffset>
              </wp:positionV>
              <wp:extent cx="2334895" cy="106680"/>
              <wp:wrapNone/>
              <wp:docPr id="424" name="Shape 42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0" type="#_x0000_t202" style="position:absolute;margin-left:354.69999999999999pt;margin-top:48.950000000000003pt;width:183.84999999999999pt;height:8.4000000000000004pt;z-index:-18874374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765810</wp:posOffset>
              </wp:positionV>
              <wp:extent cx="6163310" cy="0"/>
              <wp:wrapNone/>
              <wp:docPr id="426" name="Shape 4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0.300000000000004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4551680</wp:posOffset>
              </wp:positionH>
              <wp:positionV relativeFrom="page">
                <wp:posOffset>570865</wp:posOffset>
              </wp:positionV>
              <wp:extent cx="2334895" cy="106680"/>
              <wp:wrapNone/>
              <wp:docPr id="37" name="Shape 3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3" type="#_x0000_t202" style="position:absolute;margin-left:358.40000000000003pt;margin-top:44.950000000000003pt;width:183.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716915</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850000000000001pt;margin-top:56.450000000000003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4504690</wp:posOffset>
              </wp:positionH>
              <wp:positionV relativeFrom="page">
                <wp:posOffset>621665</wp:posOffset>
              </wp:positionV>
              <wp:extent cx="2334895" cy="106680"/>
              <wp:wrapNone/>
              <wp:docPr id="431" name="Shape 43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7" type="#_x0000_t202" style="position:absolute;margin-left:354.69999999999999pt;margin-top:48.950000000000003pt;width:183.84999999999999pt;height:8.4000000000000004pt;z-index:-18874374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765810</wp:posOffset>
              </wp:positionV>
              <wp:extent cx="6163310" cy="0"/>
              <wp:wrapNone/>
              <wp:docPr id="433" name="Shape 4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0.300000000000004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4497070</wp:posOffset>
              </wp:positionH>
              <wp:positionV relativeFrom="page">
                <wp:posOffset>565150</wp:posOffset>
              </wp:positionV>
              <wp:extent cx="2334895" cy="106680"/>
              <wp:wrapNone/>
              <wp:docPr id="438" name="Shape 43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4" type="#_x0000_t202" style="position:absolute;margin-left:354.10000000000002pt;margin-top:44.5pt;width:183.84999999999999pt;height:8.4000000000000004pt;z-index:-18874373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709930</wp:posOffset>
              </wp:positionV>
              <wp:extent cx="6163310" cy="0"/>
              <wp:wrapNone/>
              <wp:docPr id="440" name="Shape 4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899999999999999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4497070</wp:posOffset>
              </wp:positionH>
              <wp:positionV relativeFrom="page">
                <wp:posOffset>565150</wp:posOffset>
              </wp:positionV>
              <wp:extent cx="2334895" cy="106680"/>
              <wp:wrapNone/>
              <wp:docPr id="445" name="Shape 44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1" type="#_x0000_t202" style="position:absolute;margin-left:354.10000000000002pt;margin-top:44.5pt;width:183.84999999999999pt;height:8.4000000000000004pt;z-index:-18874372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709930</wp:posOffset>
              </wp:positionV>
              <wp:extent cx="6163310" cy="0"/>
              <wp:wrapNone/>
              <wp:docPr id="447" name="Shape 4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899999999999999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4497070</wp:posOffset>
              </wp:positionH>
              <wp:positionV relativeFrom="page">
                <wp:posOffset>565150</wp:posOffset>
              </wp:positionV>
              <wp:extent cx="2334895" cy="106680"/>
              <wp:wrapNone/>
              <wp:docPr id="452" name="Shape 45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8" type="#_x0000_t202" style="position:absolute;margin-left:354.10000000000002pt;margin-top:44.5pt;width:183.84999999999999pt;height:8.4000000000000004pt;z-index:-18874372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709930</wp:posOffset>
              </wp:positionV>
              <wp:extent cx="6163310" cy="0"/>
              <wp:wrapNone/>
              <wp:docPr id="454" name="Shape 4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899999999999999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4493895</wp:posOffset>
              </wp:positionH>
              <wp:positionV relativeFrom="page">
                <wp:posOffset>565150</wp:posOffset>
              </wp:positionV>
              <wp:extent cx="2334895" cy="106680"/>
              <wp:wrapNone/>
              <wp:docPr id="459" name="Shape 45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5" type="#_x0000_t202" style="position:absolute;margin-left:353.85000000000002pt;margin-top:44.5pt;width:183.84999999999999pt;height:8.4000000000000004pt;z-index:-18874371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709930</wp:posOffset>
              </wp:positionV>
              <wp:extent cx="6163310" cy="0"/>
              <wp:wrapNone/>
              <wp:docPr id="461" name="Shape 4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899999999999999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4498975</wp:posOffset>
              </wp:positionH>
              <wp:positionV relativeFrom="page">
                <wp:posOffset>386715</wp:posOffset>
              </wp:positionV>
              <wp:extent cx="2334895" cy="106680"/>
              <wp:wrapNone/>
              <wp:docPr id="466" name="Shape 46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2" type="#_x0000_t202" style="position:absolute;margin-left:354.25pt;margin-top:30.449999999999999pt;width:183.84999999999999pt;height:8.4000000000000004pt;z-index:-18874371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68" name="Shape 4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4498975</wp:posOffset>
              </wp:positionH>
              <wp:positionV relativeFrom="page">
                <wp:posOffset>386715</wp:posOffset>
              </wp:positionV>
              <wp:extent cx="2334895" cy="106680"/>
              <wp:wrapNone/>
              <wp:docPr id="469" name="Shape 46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5" type="#_x0000_t202" style="position:absolute;margin-left:354.25pt;margin-top:30.449999999999999pt;width:183.84999999999999pt;height:8.4000000000000004pt;z-index:-18874370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71" name="Shape 4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7440930</wp:posOffset>
              </wp:positionH>
              <wp:positionV relativeFrom="page">
                <wp:posOffset>554990</wp:posOffset>
              </wp:positionV>
              <wp:extent cx="2334895" cy="106680"/>
              <wp:wrapNone/>
              <wp:docPr id="473" name="Shape 47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9" type="#_x0000_t202" style="position:absolute;margin-left:585.89999999999998pt;margin-top:43.700000000000003pt;width:183.84999999999999pt;height:8.4000000000000004pt;z-index:-18874370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475" name="Shape 47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7440930</wp:posOffset>
              </wp:positionH>
              <wp:positionV relativeFrom="page">
                <wp:posOffset>554990</wp:posOffset>
              </wp:positionV>
              <wp:extent cx="2334895" cy="106680"/>
              <wp:wrapNone/>
              <wp:docPr id="476" name="Shape 4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2" type="#_x0000_t202" style="position:absolute;margin-left:585.89999999999998pt;margin-top:43.700000000000003pt;width:183.84999999999999pt;height:8.4000000000000004pt;z-index:-18874370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478" name="Shape 47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4498975</wp:posOffset>
              </wp:positionH>
              <wp:positionV relativeFrom="page">
                <wp:posOffset>386715</wp:posOffset>
              </wp:positionV>
              <wp:extent cx="2334895" cy="106680"/>
              <wp:wrapNone/>
              <wp:docPr id="487" name="Shape 4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3" type="#_x0000_t202" style="position:absolute;margin-left:354.25pt;margin-top:30.449999999999999pt;width:183.84999999999999pt;height:8.4000000000000004pt;z-index:-18874370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89" name="Shape 4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4551680</wp:posOffset>
              </wp:positionH>
              <wp:positionV relativeFrom="page">
                <wp:posOffset>570865</wp:posOffset>
              </wp:positionV>
              <wp:extent cx="2334895" cy="106680"/>
              <wp:wrapNone/>
              <wp:docPr id="44" name="Shape 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0" type="#_x0000_t202" style="position:absolute;margin-left:358.40000000000003pt;margin-top:44.950000000000003pt;width:183.84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716915</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850000000000001pt;margin-top:56.450000000000003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4498975</wp:posOffset>
              </wp:positionH>
              <wp:positionV relativeFrom="page">
                <wp:posOffset>386715</wp:posOffset>
              </wp:positionV>
              <wp:extent cx="2334895" cy="106680"/>
              <wp:wrapNone/>
              <wp:docPr id="490" name="Shape 4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6" type="#_x0000_t202" style="position:absolute;margin-left:354.25pt;margin-top:30.449999999999999pt;width:183.84999999999999pt;height:8.4000000000000004pt;z-index:-18874370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92" name="Shape 4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4632960</wp:posOffset>
              </wp:positionH>
              <wp:positionV relativeFrom="page">
                <wp:posOffset>561340</wp:posOffset>
              </wp:positionV>
              <wp:extent cx="2334895" cy="106680"/>
              <wp:wrapNone/>
              <wp:docPr id="493" name="Shape 49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9" type="#_x0000_t202" style="position:absolute;margin-left:364.80000000000001pt;margin-top:44.200000000000003pt;width:183.84999999999999pt;height:8.4000000000000004pt;z-index:-18874369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495" name="Shape 495"/>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4632960</wp:posOffset>
              </wp:positionH>
              <wp:positionV relativeFrom="page">
                <wp:posOffset>561340</wp:posOffset>
              </wp:positionV>
              <wp:extent cx="2334895" cy="106680"/>
              <wp:wrapNone/>
              <wp:docPr id="500" name="Shape 5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6" type="#_x0000_t202" style="position:absolute;margin-left:364.80000000000001pt;margin-top:44.200000000000003pt;width:183.84999999999999pt;height:8.4000000000000004pt;z-index:-18874369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502" name="Shape 502"/>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4632960</wp:posOffset>
              </wp:positionH>
              <wp:positionV relativeFrom="page">
                <wp:posOffset>561340</wp:posOffset>
              </wp:positionV>
              <wp:extent cx="2334895" cy="106680"/>
              <wp:wrapNone/>
              <wp:docPr id="507" name="Shape 50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3" type="#_x0000_t202" style="position:absolute;margin-left:364.80000000000001pt;margin-top:44.200000000000003pt;width:183.84999999999999pt;height:8.4000000000000004pt;z-index:-18874368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509" name="Shape 509"/>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4632960</wp:posOffset>
              </wp:positionH>
              <wp:positionV relativeFrom="page">
                <wp:posOffset>561340</wp:posOffset>
              </wp:positionV>
              <wp:extent cx="2334895" cy="106680"/>
              <wp:wrapNone/>
              <wp:docPr id="512" name="Shape 5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8" type="#_x0000_t202" style="position:absolute;margin-left:364.80000000000001pt;margin-top:44.200000000000003pt;width:183.84999999999999pt;height:8.4000000000000004pt;z-index:-18874368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514" name="Shape 514"/>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4632960</wp:posOffset>
              </wp:positionH>
              <wp:positionV relativeFrom="page">
                <wp:posOffset>561340</wp:posOffset>
              </wp:positionV>
              <wp:extent cx="2334895" cy="106680"/>
              <wp:wrapNone/>
              <wp:docPr id="518" name="Shape 51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4" type="#_x0000_t202" style="position:absolute;margin-left:364.80000000000001pt;margin-top:44.200000000000003pt;width:183.84999999999999pt;height:8.4000000000000004pt;z-index:-18874367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520" name="Shape 520"/>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4632960</wp:posOffset>
              </wp:positionH>
              <wp:positionV relativeFrom="page">
                <wp:posOffset>561340</wp:posOffset>
              </wp:positionV>
              <wp:extent cx="2334895" cy="106680"/>
              <wp:wrapNone/>
              <wp:docPr id="525" name="Shape 52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1" type="#_x0000_t202" style="position:absolute;margin-left:364.80000000000001pt;margin-top:44.200000000000003pt;width:183.84999999999999pt;height:8.4000000000000004pt;z-index:-18874367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527" name="Shape 527"/>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4632960</wp:posOffset>
              </wp:positionH>
              <wp:positionV relativeFrom="page">
                <wp:posOffset>561340</wp:posOffset>
              </wp:positionV>
              <wp:extent cx="2334895" cy="106680"/>
              <wp:wrapNone/>
              <wp:docPr id="532" name="Shape 53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8" type="#_x0000_t202" style="position:absolute;margin-left:364.80000000000001pt;margin-top:44.200000000000003pt;width:183.84999999999999pt;height:8.4000000000000004pt;z-index:-18874366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534" name="Shape 534"/>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4632960</wp:posOffset>
              </wp:positionH>
              <wp:positionV relativeFrom="page">
                <wp:posOffset>561340</wp:posOffset>
              </wp:positionV>
              <wp:extent cx="2334895" cy="106680"/>
              <wp:wrapNone/>
              <wp:docPr id="539" name="Shape 53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5" type="#_x0000_t202" style="position:absolute;margin-left:364.80000000000001pt;margin-top:44.200000000000003pt;width:183.84999999999999pt;height:8.4000000000000004pt;z-index:-18874366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541" name="Shape 541"/>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4676140</wp:posOffset>
              </wp:positionH>
              <wp:positionV relativeFrom="page">
                <wp:posOffset>569595</wp:posOffset>
              </wp:positionV>
              <wp:extent cx="2334895" cy="106680"/>
              <wp:wrapNone/>
              <wp:docPr id="546" name="Shape 54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2" type="#_x0000_t202" style="position:absolute;margin-left:368.19999999999999pt;margin-top:44.850000000000001pt;width:183.84999999999999pt;height:8.4000000000000004pt;z-index:-18874365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738505</wp:posOffset>
              </wp:positionH>
              <wp:positionV relativeFrom="page">
                <wp:posOffset>714375</wp:posOffset>
              </wp:positionV>
              <wp:extent cx="6294120" cy="0"/>
              <wp:wrapNone/>
              <wp:docPr id="548" name="Shape 548"/>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8.149999999999999pt;margin-top:56.25pt;width:495.60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4551680</wp:posOffset>
              </wp:positionH>
              <wp:positionV relativeFrom="page">
                <wp:posOffset>570865</wp:posOffset>
              </wp:positionV>
              <wp:extent cx="2334895" cy="106680"/>
              <wp:wrapNone/>
              <wp:docPr id="51" name="Shape 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7" type="#_x0000_t202" style="position:absolute;margin-left:358.40000000000003pt;margin-top:44.950000000000003pt;width:183.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广东华声电器股份有限公司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716915</wp:posOffset>
              </wp:positionV>
              <wp:extent cx="6163310" cy="0"/>
              <wp:wrapNone/>
              <wp:docPr id="53" name="Shape 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850000000000001pt;margin-top:56.450000000000003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4632960</wp:posOffset>
              </wp:positionH>
              <wp:positionV relativeFrom="page">
                <wp:posOffset>561340</wp:posOffset>
              </wp:positionV>
              <wp:extent cx="2334895" cy="106680"/>
              <wp:wrapNone/>
              <wp:docPr id="553" name="Shape 55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9" type="#_x0000_t202" style="position:absolute;margin-left:364.80000000000001pt;margin-top:44.200000000000003pt;width:183.84999999999999pt;height:8.4000000000000004pt;z-index:-18874364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555" name="Shape 555"/>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4548505</wp:posOffset>
              </wp:positionH>
              <wp:positionV relativeFrom="page">
                <wp:posOffset>569595</wp:posOffset>
              </wp:positionV>
              <wp:extent cx="2334895" cy="106680"/>
              <wp:wrapNone/>
              <wp:docPr id="560" name="Shape 56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6" type="#_x0000_t202" style="position:absolute;margin-left:358.15000000000003pt;margin-top:44.850000000000001pt;width:183.84999999999999pt;height:8.4000000000000004pt;z-index:-18874364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610235</wp:posOffset>
              </wp:positionH>
              <wp:positionV relativeFrom="page">
                <wp:posOffset>714375</wp:posOffset>
              </wp:positionV>
              <wp:extent cx="6294120" cy="0"/>
              <wp:wrapNone/>
              <wp:docPr id="562" name="Shape 562"/>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48.050000000000004pt;margin-top:56.25pt;width:495.60000000000002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4498975</wp:posOffset>
              </wp:positionH>
              <wp:positionV relativeFrom="page">
                <wp:posOffset>386715</wp:posOffset>
              </wp:positionV>
              <wp:extent cx="2334895" cy="106680"/>
              <wp:wrapNone/>
              <wp:docPr id="567" name="Shape 56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3" type="#_x0000_t202" style="position:absolute;margin-left:354.25pt;margin-top:30.449999999999999pt;width:183.84999999999999pt;height:8.4000000000000004pt;z-index:-18874363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69" name="Shape 5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4632960</wp:posOffset>
              </wp:positionH>
              <wp:positionV relativeFrom="page">
                <wp:posOffset>561340</wp:posOffset>
              </wp:positionV>
              <wp:extent cx="2334895" cy="106680"/>
              <wp:wrapNone/>
              <wp:docPr id="570" name="Shape 5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6" type="#_x0000_t202" style="position:absolute;margin-left:364.80000000000001pt;margin-top:44.200000000000003pt;width:183.84999999999999pt;height:8.4000000000000004pt;z-index:-18874363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572" name="Shape 572"/>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4632960</wp:posOffset>
              </wp:positionH>
              <wp:positionV relativeFrom="page">
                <wp:posOffset>561340</wp:posOffset>
              </wp:positionV>
              <wp:extent cx="2334895" cy="106680"/>
              <wp:wrapNone/>
              <wp:docPr id="577" name="Shape 57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3" type="#_x0000_t202" style="position:absolute;margin-left:364.80000000000001pt;margin-top:44.200000000000003pt;width:183.84999999999999pt;height:8.4000000000000004pt;z-index:-18874362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579" name="Shape 579"/>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4632960</wp:posOffset>
              </wp:positionH>
              <wp:positionV relativeFrom="page">
                <wp:posOffset>561340</wp:posOffset>
              </wp:positionV>
              <wp:extent cx="2334895" cy="106680"/>
              <wp:wrapNone/>
              <wp:docPr id="584" name="Shape 58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0" type="#_x0000_t202" style="position:absolute;margin-left:364.80000000000001pt;margin-top:44.200000000000003pt;width:183.84999999999999pt;height:8.4000000000000004pt;z-index:-18874362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586" name="Shape 586"/>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4632960</wp:posOffset>
              </wp:positionH>
              <wp:positionV relativeFrom="page">
                <wp:posOffset>561340</wp:posOffset>
              </wp:positionV>
              <wp:extent cx="2334895" cy="106680"/>
              <wp:wrapNone/>
              <wp:docPr id="591" name="Shape 59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7" type="#_x0000_t202" style="position:absolute;margin-left:364.80000000000001pt;margin-top:44.200000000000003pt;width:183.84999999999999pt;height:8.4000000000000004pt;z-index:-18874361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294120" cy="0"/>
              <wp:wrapNone/>
              <wp:docPr id="593" name="Shape 593"/>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95.60000000000002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4548505</wp:posOffset>
              </wp:positionH>
              <wp:positionV relativeFrom="page">
                <wp:posOffset>569595</wp:posOffset>
              </wp:positionV>
              <wp:extent cx="2334895" cy="106680"/>
              <wp:wrapNone/>
              <wp:docPr id="598" name="Shape 59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4" type="#_x0000_t202" style="position:absolute;margin-left:358.15000000000003pt;margin-top:44.850000000000001pt;width:183.84999999999999pt;height:8.4000000000000004pt;z-index:-18874361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610235</wp:posOffset>
              </wp:positionH>
              <wp:positionV relativeFrom="page">
                <wp:posOffset>714375</wp:posOffset>
              </wp:positionV>
              <wp:extent cx="6294120" cy="0"/>
              <wp:wrapNone/>
              <wp:docPr id="600" name="Shape 600"/>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48.050000000000004pt;margin-top:56.25pt;width:495.60000000000002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4676140</wp:posOffset>
              </wp:positionH>
              <wp:positionV relativeFrom="page">
                <wp:posOffset>569595</wp:posOffset>
              </wp:positionV>
              <wp:extent cx="2334895" cy="106680"/>
              <wp:wrapNone/>
              <wp:docPr id="605" name="Shape 6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1" type="#_x0000_t202" style="position:absolute;margin-left:368.19999999999999pt;margin-top:44.850000000000001pt;width:183.84999999999999pt;height:8.4000000000000004pt;z-index:-18874360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738505</wp:posOffset>
              </wp:positionH>
              <wp:positionV relativeFrom="page">
                <wp:posOffset>714375</wp:posOffset>
              </wp:positionV>
              <wp:extent cx="6294120" cy="0"/>
              <wp:wrapNone/>
              <wp:docPr id="607" name="Shape 607"/>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8.149999999999999pt;margin-top:56.25pt;width:495.60000000000002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4676140</wp:posOffset>
              </wp:positionH>
              <wp:positionV relativeFrom="page">
                <wp:posOffset>569595</wp:posOffset>
              </wp:positionV>
              <wp:extent cx="2334895" cy="106680"/>
              <wp:wrapNone/>
              <wp:docPr id="612" name="Shape 6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8" type="#_x0000_t202" style="position:absolute;margin-left:368.19999999999999pt;margin-top:44.850000000000001pt;width:183.84999999999999pt;height:8.4000000000000004pt;z-index:-18874359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广东华声电器股份有限公司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738505</wp:posOffset>
              </wp:positionH>
              <wp:positionV relativeFrom="page">
                <wp:posOffset>714375</wp:posOffset>
              </wp:positionV>
              <wp:extent cx="6294120" cy="0"/>
              <wp:wrapNone/>
              <wp:docPr id="614" name="Shape 614"/>
              <a:graphic xmlns:a="http://schemas.openxmlformats.org/drawingml/2006/main">
                <a:graphicData uri="http://schemas.microsoft.com/office/word/2010/wordprocessingShape">
                  <wps:wsp>
                    <wps:cNvCnPr/>
                    <wps:spPr>
                      <a:xfrm>
                        <a:ext cx="6294120" cy="0"/>
                      </a:xfrm>
                      <a:prstGeom prst="straightConnector1"/>
                      <a:ln w="12700">
                        <a:solidFill/>
                      </a:ln>
                    </wps:spPr>
                    <wps:bodyPr/>
                  </wps:wsp>
                </a:graphicData>
              </a:graphic>
            </wp:anchor>
          </w:drawing>
        </mc:Choice>
        <mc:Fallback>
          <w:pict>
            <v:shape o:spt="32" o:oned="true" path="m,l21600,21600e" style="position:absolute;margin-left:58.149999999999999pt;margin-top:56.25pt;width:495.6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52"/>
      <w:szCs w:val="52"/>
      <w:u w:val="none"/>
      <w:shd w:val="clear" w:color="auto" w:fill="auto"/>
    </w:rPr>
  </w:style>
  <w:style w:type="character" w:customStyle="1" w:styleId="CharStyle15">
    <w:name w:val="标题 #3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val="0"/>
      <w:bCs w:val="0"/>
      <w:i w:val="0"/>
      <w:iCs w:val="0"/>
      <w:smallCaps w:val="0"/>
      <w:strike w:val="0"/>
      <w:sz w:val="32"/>
      <w:szCs w:val="32"/>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28"/>
      <w:szCs w:val="28"/>
      <w:u w:val="none"/>
      <w:shd w:val="clear" w:color="auto" w:fill="auto"/>
    </w:rPr>
  </w:style>
  <w:style w:type="character" w:customStyle="1" w:styleId="CharStyle31">
    <w:name w:val="标题 #4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表格标题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标题 #5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65">
    <w:name w:val="标题 #2_"/>
    <w:basedOn w:val="DefaultParagraphFont"/>
    <w:link w:val="Style64"/>
    <w:rPr>
      <w:rFonts w:ascii="Arial" w:eastAsia="Arial" w:hAnsi="Arial" w:cs="Arial"/>
      <w:b/>
      <w:bCs/>
      <w:i w:val="0"/>
      <w:iCs w:val="0"/>
      <w:smallCaps w:val="0"/>
      <w:strike w:val="0"/>
      <w:color w:val="CFCFCF"/>
      <w:sz w:val="40"/>
      <w:szCs w:val="40"/>
      <w:u w:val="none"/>
      <w:shd w:val="clear" w:color="auto" w:fill="auto"/>
    </w:rPr>
  </w:style>
  <w:style w:type="character" w:customStyle="1" w:styleId="CharStyle69">
    <w:name w:val="正文文本 (4)_"/>
    <w:basedOn w:val="DefaultParagraphFont"/>
    <w:link w:val="Style68"/>
    <w:rPr>
      <w:rFonts w:ascii="SimSun" w:eastAsia="SimSun" w:hAnsi="SimSun" w:cs="SimSun"/>
      <w:b/>
      <w:bCs/>
      <w:i w:val="0"/>
      <w:iCs w:val="0"/>
      <w:smallCaps w:val="0"/>
      <w:strike w:val="0"/>
      <w:u w:val="none"/>
      <w:shd w:val="clear" w:color="auto" w:fill="auto"/>
    </w:rPr>
  </w:style>
  <w:style w:type="character" w:customStyle="1" w:styleId="CharStyle71">
    <w:name w:val="图片标题_"/>
    <w:basedOn w:val="DefaultParagraphFont"/>
    <w:link w:val="Style70"/>
    <w:rPr>
      <w:rFonts w:ascii="SimHei" w:eastAsia="SimHei" w:hAnsi="SimHei" w:cs="SimHei"/>
      <w:b w:val="0"/>
      <w:bCs w:val="0"/>
      <w:i w:val="0"/>
      <w:iCs w:val="0"/>
      <w:smallCaps w:val="0"/>
      <w:strike w:val="0"/>
      <w:color w:val="5B5B5B"/>
      <w:sz w:val="16"/>
      <w:szCs w:val="16"/>
      <w:u w:val="single"/>
      <w:shd w:val="clear" w:color="auto" w:fill="auto"/>
    </w:rPr>
  </w:style>
  <w:style w:type="character" w:customStyle="1" w:styleId="CharStyle79">
    <w:name w:val="页眉或页脚_"/>
    <w:basedOn w:val="DefaultParagraphFont"/>
    <w:link w:val="Style78"/>
    <w:rPr>
      <w:rFonts w:ascii="SimSun" w:eastAsia="SimSun" w:hAnsi="SimSun" w:cs="SimSun"/>
      <w:b w:val="0"/>
      <w:bCs w:val="0"/>
      <w:i w:val="0"/>
      <w:iCs w:val="0"/>
      <w:smallCaps w:val="0"/>
      <w:strike w:val="0"/>
      <w:sz w:val="17"/>
      <w:szCs w:val="17"/>
      <w:u w:val="none"/>
      <w:shd w:val="clear" w:color="auto" w:fill="auto"/>
    </w:rPr>
  </w:style>
  <w:style w:type="character" w:customStyle="1" w:styleId="CharStyle92">
    <w:name w:val="正文文本 (8)_"/>
    <w:basedOn w:val="DefaultParagraphFont"/>
    <w:link w:val="Style91"/>
    <w:rPr>
      <w:rFonts w:ascii="Times New Roman" w:eastAsia="Times New Roman" w:hAnsi="Times New Roman" w:cs="Times New Roman"/>
      <w:b w:val="0"/>
      <w:bCs w:val="0"/>
      <w:i w:val="0"/>
      <w:iCs w:val="0"/>
      <w:smallCaps w:val="0"/>
      <w:strike w:val="0"/>
      <w:color w:val="5B5B5B"/>
      <w:sz w:val="18"/>
      <w:szCs w:val="18"/>
      <w:u w:val="none"/>
      <w:shd w:val="clear" w:color="auto" w:fill="auto"/>
    </w:rPr>
  </w:style>
  <w:style w:type="character" w:customStyle="1" w:styleId="CharStyle94">
    <w:name w:val="正文文本 (7)_"/>
    <w:basedOn w:val="DefaultParagraphFont"/>
    <w:link w:val="Style93"/>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after="3230"/>
      <w:jc w:val="center"/>
      <w:outlineLvl w:val="0"/>
    </w:pPr>
    <w:rPr>
      <w:rFonts w:ascii="SimSun" w:eastAsia="SimSun" w:hAnsi="SimSun" w:cs="SimSun"/>
      <w:b/>
      <w:bCs/>
      <w:i w:val="0"/>
      <w:iCs w:val="0"/>
      <w:smallCaps w:val="0"/>
      <w:strike w:val="0"/>
      <w:sz w:val="52"/>
      <w:szCs w:val="52"/>
      <w:u w:val="none"/>
      <w:shd w:val="clear" w:color="auto" w:fill="auto"/>
    </w:rPr>
  </w:style>
  <w:style w:type="paragraph" w:customStyle="1" w:styleId="Style14">
    <w:name w:val="标题 #3"/>
    <w:basedOn w:val="Normal"/>
    <w:link w:val="CharStyle15"/>
    <w:pPr>
      <w:widowControl w:val="0"/>
      <w:shd w:val="clear" w:color="auto" w:fill="auto"/>
      <w:spacing w:after="53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6" w:lineRule="exact"/>
      <w:ind w:firstLine="660"/>
    </w:pPr>
    <w:rPr>
      <w:rFonts w:ascii="SimSun" w:eastAsia="SimSun" w:hAnsi="SimSun" w:cs="SimSun"/>
      <w:b w:val="0"/>
      <w:bCs w:val="0"/>
      <w:i w:val="0"/>
      <w:iCs w:val="0"/>
      <w:smallCaps w:val="0"/>
      <w:strike w:val="0"/>
      <w:sz w:val="32"/>
      <w:szCs w:val="32"/>
      <w:u w:val="none"/>
      <w:shd w:val="clear" w:color="auto" w:fill="auto"/>
    </w:rPr>
  </w:style>
  <w:style w:type="paragraph" w:customStyle="1" w:styleId="Style19">
    <w:name w:val="目录"/>
    <w:basedOn w:val="Normal"/>
    <w:link w:val="CharStyle20"/>
    <w:pPr>
      <w:widowControl w:val="0"/>
      <w:shd w:val="clear" w:color="auto" w:fill="auto"/>
      <w:spacing w:after="280"/>
      <w:jc w:val="right"/>
    </w:pPr>
    <w:rPr>
      <w:rFonts w:ascii="SimSun" w:eastAsia="SimSun" w:hAnsi="SimSun" w:cs="SimSun"/>
      <w:b/>
      <w:bCs/>
      <w:i w:val="0"/>
      <w:iCs w:val="0"/>
      <w:smallCaps w:val="0"/>
      <w:strike w:val="0"/>
      <w:sz w:val="32"/>
      <w:szCs w:val="32"/>
      <w:u w:val="none"/>
      <w:shd w:val="clear" w:color="auto" w:fill="auto"/>
    </w:rPr>
  </w:style>
  <w:style w:type="paragraph" w:customStyle="1" w:styleId="Style26">
    <w:name w:val="正文文本 (2)"/>
    <w:basedOn w:val="Normal"/>
    <w:link w:val="CharStyle27"/>
    <w:pPr>
      <w:widowControl w:val="0"/>
      <w:shd w:val="clear" w:color="auto" w:fill="auto"/>
      <w:spacing w:line="480"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30">
    <w:name w:val="标题 #4"/>
    <w:basedOn w:val="Normal"/>
    <w:link w:val="CharStyle31"/>
    <w:pPr>
      <w:widowControl w:val="0"/>
      <w:shd w:val="clear" w:color="auto" w:fill="auto"/>
      <w:spacing w:after="330"/>
      <w:outlineLvl w:val="3"/>
    </w:pPr>
    <w:rPr>
      <w:rFonts w:ascii="SimSun" w:eastAsia="SimSun" w:hAnsi="SimSun" w:cs="SimSun"/>
      <w:b/>
      <w:bCs/>
      <w:i w:val="0"/>
      <w:iCs w:val="0"/>
      <w:smallCaps w:val="0"/>
      <w:strike w:val="0"/>
      <w:u w:val="none"/>
      <w:shd w:val="clear" w:color="auto" w:fill="auto"/>
    </w:rPr>
  </w:style>
  <w:style w:type="paragraph" w:customStyle="1" w:styleId="Style35">
    <w:name w:val="正文文本"/>
    <w:basedOn w:val="Normal"/>
    <w:link w:val="CharStyle36"/>
    <w:pPr>
      <w:widowControl w:val="0"/>
      <w:shd w:val="clear" w:color="auto" w:fill="auto"/>
      <w:spacing w:after="12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表格标题"/>
    <w:basedOn w:val="Normal"/>
    <w:link w:val="CharStyle3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标题 #5"/>
    <w:basedOn w:val="Normal"/>
    <w:link w:val="CharStyle49"/>
    <w:pPr>
      <w:widowControl w:val="0"/>
      <w:shd w:val="clear" w:color="auto" w:fill="auto"/>
      <w:spacing w:after="210" w:line="324" w:lineRule="auto"/>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4">
    <w:name w:val="标题 #2"/>
    <w:basedOn w:val="Normal"/>
    <w:link w:val="CharStyle65"/>
    <w:pPr>
      <w:widowControl w:val="0"/>
      <w:shd w:val="clear" w:color="auto" w:fill="auto"/>
      <w:spacing w:after="360"/>
      <w:jc w:val="right"/>
      <w:outlineLvl w:val="1"/>
    </w:pPr>
    <w:rPr>
      <w:rFonts w:ascii="Arial" w:eastAsia="Arial" w:hAnsi="Arial" w:cs="Arial"/>
      <w:b/>
      <w:bCs/>
      <w:i w:val="0"/>
      <w:iCs w:val="0"/>
      <w:smallCaps w:val="0"/>
      <w:strike w:val="0"/>
      <w:color w:val="CFCFCF"/>
      <w:sz w:val="40"/>
      <w:szCs w:val="40"/>
      <w:u w:val="none"/>
      <w:shd w:val="clear" w:color="auto" w:fill="auto"/>
    </w:rPr>
  </w:style>
  <w:style w:type="paragraph" w:customStyle="1" w:styleId="Style68">
    <w:name w:val="正文文本 (4)"/>
    <w:basedOn w:val="Normal"/>
    <w:link w:val="CharStyle69"/>
    <w:pPr>
      <w:widowControl w:val="0"/>
      <w:shd w:val="clear" w:color="auto" w:fill="auto"/>
      <w:spacing w:after="320"/>
    </w:pPr>
    <w:rPr>
      <w:rFonts w:ascii="SimSun" w:eastAsia="SimSun" w:hAnsi="SimSun" w:cs="SimSun"/>
      <w:b/>
      <w:bCs/>
      <w:i w:val="0"/>
      <w:iCs w:val="0"/>
      <w:smallCaps w:val="0"/>
      <w:strike w:val="0"/>
      <w:u w:val="none"/>
      <w:shd w:val="clear" w:color="auto" w:fill="auto"/>
    </w:rPr>
  </w:style>
  <w:style w:type="paragraph" w:customStyle="1" w:styleId="Style70">
    <w:name w:val="图片标题"/>
    <w:basedOn w:val="Normal"/>
    <w:link w:val="CharStyle71"/>
    <w:pPr>
      <w:widowControl w:val="0"/>
      <w:shd w:val="clear" w:color="auto" w:fill="auto"/>
    </w:pPr>
    <w:rPr>
      <w:rFonts w:ascii="SimHei" w:eastAsia="SimHei" w:hAnsi="SimHei" w:cs="SimHei"/>
      <w:b w:val="0"/>
      <w:bCs w:val="0"/>
      <w:i w:val="0"/>
      <w:iCs w:val="0"/>
      <w:smallCaps w:val="0"/>
      <w:strike w:val="0"/>
      <w:color w:val="5B5B5B"/>
      <w:sz w:val="16"/>
      <w:szCs w:val="16"/>
      <w:u w:val="singl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1">
    <w:name w:val="正文文本 (8)"/>
    <w:basedOn w:val="Normal"/>
    <w:link w:val="CharStyle92"/>
    <w:pPr>
      <w:widowControl w:val="0"/>
      <w:shd w:val="clear" w:color="auto" w:fill="auto"/>
      <w:spacing w:after="300"/>
      <w:jc w:val="right"/>
    </w:pPr>
    <w:rPr>
      <w:rFonts w:ascii="Times New Roman" w:eastAsia="Times New Roman" w:hAnsi="Times New Roman" w:cs="Times New Roman"/>
      <w:b w:val="0"/>
      <w:bCs w:val="0"/>
      <w:i w:val="0"/>
      <w:iCs w:val="0"/>
      <w:smallCaps w:val="0"/>
      <w:strike w:val="0"/>
      <w:color w:val="5B5B5B"/>
      <w:sz w:val="18"/>
      <w:szCs w:val="18"/>
      <w:u w:val="none"/>
      <w:shd w:val="clear" w:color="auto" w:fill="auto"/>
    </w:rPr>
  </w:style>
  <w:style w:type="paragraph" w:customStyle="1" w:styleId="Style93">
    <w:name w:val="正文文本 (7)"/>
    <w:basedOn w:val="Normal"/>
    <w:link w:val="CharStyle94"/>
    <w:pPr>
      <w:widowControl w:val="0"/>
      <w:shd w:val="clear" w:color="auto" w:fill="auto"/>
      <w:spacing w:after="380"/>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image" Target="media/image3.jpeg"/><Relationship Id="rId40" Type="http://schemas.openxmlformats.org/officeDocument/2006/relationships/image" Target="media/image3.jpeg" TargetMode="Externa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image" Target="media/image4.jpeg"/><Relationship Id="rId66" Type="http://schemas.openxmlformats.org/officeDocument/2006/relationships/image" Target="media/image4.jpeg" TargetMode="External"/><Relationship Id="rId67" Type="http://schemas.openxmlformats.org/officeDocument/2006/relationships/header" Target="header28.xml"/><Relationship Id="rId68" Type="http://schemas.openxmlformats.org/officeDocument/2006/relationships/footer" Target="footer28.xml"/><Relationship Id="rId69" Type="http://schemas.openxmlformats.org/officeDocument/2006/relationships/header" Target="header29.xml"/><Relationship Id="rId70" Type="http://schemas.openxmlformats.org/officeDocument/2006/relationships/footer" Target="footer29.xml"/><Relationship Id="rId71" Type="http://schemas.openxmlformats.org/officeDocument/2006/relationships/image" Target="media/image5.jpeg"/><Relationship Id="rId72" Type="http://schemas.openxmlformats.org/officeDocument/2006/relationships/image" Target="media/image5.jpeg" TargetMode="External"/><Relationship Id="rId73" Type="http://schemas.openxmlformats.org/officeDocument/2006/relationships/header" Target="header30.xml"/><Relationship Id="rId74" Type="http://schemas.openxmlformats.org/officeDocument/2006/relationships/footer" Target="footer30.xm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header" Target="header32.xml"/><Relationship Id="rId78" Type="http://schemas.openxmlformats.org/officeDocument/2006/relationships/footer" Target="footer32.xml"/><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header" Target="header34.xml"/><Relationship Id="rId82" Type="http://schemas.openxmlformats.org/officeDocument/2006/relationships/footer" Target="footer34.xml"/><Relationship Id="rId83" Type="http://schemas.openxmlformats.org/officeDocument/2006/relationships/header" Target="header35.xml"/><Relationship Id="rId84" Type="http://schemas.openxmlformats.org/officeDocument/2006/relationships/footer" Target="footer35.xml"/><Relationship Id="rId85" Type="http://schemas.openxmlformats.org/officeDocument/2006/relationships/header" Target="header36.xml"/><Relationship Id="rId86" Type="http://schemas.openxmlformats.org/officeDocument/2006/relationships/footer" Target="footer36.xml"/><Relationship Id="rId87" Type="http://schemas.openxmlformats.org/officeDocument/2006/relationships/header" Target="header37.xml"/><Relationship Id="rId88" Type="http://schemas.openxmlformats.org/officeDocument/2006/relationships/footer" Target="footer37.xml"/><Relationship Id="rId89" Type="http://schemas.openxmlformats.org/officeDocument/2006/relationships/image" Target="media/image6.jpeg"/><Relationship Id="rId90" Type="http://schemas.openxmlformats.org/officeDocument/2006/relationships/image" Target="media/image6.jpeg" TargetMode="External"/><Relationship Id="rId91" Type="http://schemas.openxmlformats.org/officeDocument/2006/relationships/header" Target="header38.xml"/><Relationship Id="rId92" Type="http://schemas.openxmlformats.org/officeDocument/2006/relationships/footer" Target="footer38.xml"/><Relationship Id="rId93" Type="http://schemas.openxmlformats.org/officeDocument/2006/relationships/header" Target="header39.xml"/><Relationship Id="rId94" Type="http://schemas.openxmlformats.org/officeDocument/2006/relationships/footer" Target="footer39.xml"/><Relationship Id="rId95" Type="http://schemas.openxmlformats.org/officeDocument/2006/relationships/image" Target="media/image7.jpeg"/><Relationship Id="rId96" Type="http://schemas.openxmlformats.org/officeDocument/2006/relationships/image" Target="media/image7.jpeg" TargetMode="External"/><Relationship Id="rId97" Type="http://schemas.openxmlformats.org/officeDocument/2006/relationships/header" Target="header40.xml"/><Relationship Id="rId98" Type="http://schemas.openxmlformats.org/officeDocument/2006/relationships/footer" Target="footer40.xml"/><Relationship Id="rId99" Type="http://schemas.openxmlformats.org/officeDocument/2006/relationships/header" Target="header41.xml"/><Relationship Id="rId100" Type="http://schemas.openxmlformats.org/officeDocument/2006/relationships/footer" Target="footer41.xml"/><Relationship Id="rId101" Type="http://schemas.openxmlformats.org/officeDocument/2006/relationships/image" Target="media/image8.jpeg"/><Relationship Id="rId102" Type="http://schemas.openxmlformats.org/officeDocument/2006/relationships/image" Target="media/image8.jpeg" TargetMode="External"/><Relationship Id="rId103" Type="http://schemas.openxmlformats.org/officeDocument/2006/relationships/header" Target="header42.xml"/><Relationship Id="rId104" Type="http://schemas.openxmlformats.org/officeDocument/2006/relationships/footer" Target="footer42.xml"/><Relationship Id="rId105" Type="http://schemas.openxmlformats.org/officeDocument/2006/relationships/header" Target="header43.xml"/><Relationship Id="rId106" Type="http://schemas.openxmlformats.org/officeDocument/2006/relationships/footer" Target="footer43.xml"/><Relationship Id="rId107" Type="http://schemas.openxmlformats.org/officeDocument/2006/relationships/header" Target="header44.xml"/><Relationship Id="rId108" Type="http://schemas.openxmlformats.org/officeDocument/2006/relationships/footer" Target="footer44.xml"/><Relationship Id="rId109" Type="http://schemas.openxmlformats.org/officeDocument/2006/relationships/header" Target="header45.xml"/><Relationship Id="rId110" Type="http://schemas.openxmlformats.org/officeDocument/2006/relationships/footer" Target="footer45.xml"/><Relationship Id="rId111" Type="http://schemas.openxmlformats.org/officeDocument/2006/relationships/header" Target="header46.xml"/><Relationship Id="rId112" Type="http://schemas.openxmlformats.org/officeDocument/2006/relationships/footer" Target="footer46.xml"/><Relationship Id="rId113" Type="http://schemas.openxmlformats.org/officeDocument/2006/relationships/header" Target="header47.xml"/><Relationship Id="rId114" Type="http://schemas.openxmlformats.org/officeDocument/2006/relationships/footer" Target="footer47.xml"/><Relationship Id="rId115" Type="http://schemas.openxmlformats.org/officeDocument/2006/relationships/image" Target="media/image9.jpeg"/><Relationship Id="rId116" Type="http://schemas.openxmlformats.org/officeDocument/2006/relationships/image" Target="media/image9.jpeg" TargetMode="External"/><Relationship Id="rId117" Type="http://schemas.openxmlformats.org/officeDocument/2006/relationships/image" Target="media/image10.jpeg"/><Relationship Id="rId118" Type="http://schemas.openxmlformats.org/officeDocument/2006/relationships/image" Target="media/image10.jpeg" TargetMode="External"/><Relationship Id="rId119" Type="http://schemas.openxmlformats.org/officeDocument/2006/relationships/header" Target="header48.xml"/><Relationship Id="rId120" Type="http://schemas.openxmlformats.org/officeDocument/2006/relationships/footer" Target="footer48.xml"/><Relationship Id="rId121" Type="http://schemas.openxmlformats.org/officeDocument/2006/relationships/header" Target="header49.xml"/><Relationship Id="rId122" Type="http://schemas.openxmlformats.org/officeDocument/2006/relationships/footer" Target="footer49.xml"/><Relationship Id="rId123" Type="http://schemas.openxmlformats.org/officeDocument/2006/relationships/header" Target="header50.xml"/><Relationship Id="rId124" Type="http://schemas.openxmlformats.org/officeDocument/2006/relationships/footer" Target="footer50.xml"/><Relationship Id="rId125" Type="http://schemas.openxmlformats.org/officeDocument/2006/relationships/header" Target="header51.xml"/><Relationship Id="rId126" Type="http://schemas.openxmlformats.org/officeDocument/2006/relationships/footer" Target="footer51.xml"/><Relationship Id="rId127" Type="http://schemas.openxmlformats.org/officeDocument/2006/relationships/header" Target="header52.xml"/><Relationship Id="rId128" Type="http://schemas.openxmlformats.org/officeDocument/2006/relationships/footer" Target="footer52.xml"/><Relationship Id="rId129" Type="http://schemas.openxmlformats.org/officeDocument/2006/relationships/header" Target="header53.xml"/><Relationship Id="rId130" Type="http://schemas.openxmlformats.org/officeDocument/2006/relationships/footer" Target="footer53.xml"/><Relationship Id="rId131" Type="http://schemas.openxmlformats.org/officeDocument/2006/relationships/image" Target="media/image11.jpeg"/><Relationship Id="rId132" Type="http://schemas.openxmlformats.org/officeDocument/2006/relationships/image" Target="media/image11.jpeg" TargetMode="External"/><Relationship Id="rId133" Type="http://schemas.openxmlformats.org/officeDocument/2006/relationships/header" Target="header54.xml"/><Relationship Id="rId134" Type="http://schemas.openxmlformats.org/officeDocument/2006/relationships/footer" Target="footer54.xml"/><Relationship Id="rId135" Type="http://schemas.openxmlformats.org/officeDocument/2006/relationships/header" Target="header55.xml"/><Relationship Id="rId136" Type="http://schemas.openxmlformats.org/officeDocument/2006/relationships/footer" Target="footer55.xml"/><Relationship Id="rId137" Type="http://schemas.openxmlformats.org/officeDocument/2006/relationships/image" Target="media/image12.jpeg"/><Relationship Id="rId138" Type="http://schemas.openxmlformats.org/officeDocument/2006/relationships/image" Target="media/image12.jpeg" TargetMode="External"/><Relationship Id="rId139" Type="http://schemas.openxmlformats.org/officeDocument/2006/relationships/header" Target="header56.xml"/><Relationship Id="rId140" Type="http://schemas.openxmlformats.org/officeDocument/2006/relationships/footer" Target="footer56.xml"/><Relationship Id="rId141" Type="http://schemas.openxmlformats.org/officeDocument/2006/relationships/header" Target="header57.xml"/><Relationship Id="rId142" Type="http://schemas.openxmlformats.org/officeDocument/2006/relationships/footer" Target="footer57.xml"/><Relationship Id="rId143" Type="http://schemas.openxmlformats.org/officeDocument/2006/relationships/image" Target="media/image13.jpeg"/><Relationship Id="rId144" Type="http://schemas.openxmlformats.org/officeDocument/2006/relationships/image" Target="media/image13.jpeg" TargetMode="External"/><Relationship Id="rId145" Type="http://schemas.openxmlformats.org/officeDocument/2006/relationships/header" Target="header58.xml"/><Relationship Id="rId146" Type="http://schemas.openxmlformats.org/officeDocument/2006/relationships/footer" Target="footer58.xml"/><Relationship Id="rId147" Type="http://schemas.openxmlformats.org/officeDocument/2006/relationships/header" Target="header59.xml"/><Relationship Id="rId148" Type="http://schemas.openxmlformats.org/officeDocument/2006/relationships/footer" Target="footer59.xml"/><Relationship Id="rId149" Type="http://schemas.openxmlformats.org/officeDocument/2006/relationships/image" Target="media/image14.jpeg"/><Relationship Id="rId150" Type="http://schemas.openxmlformats.org/officeDocument/2006/relationships/image" Target="media/image14.jpeg" TargetMode="External"/><Relationship Id="rId151" Type="http://schemas.openxmlformats.org/officeDocument/2006/relationships/header" Target="header60.xml"/><Relationship Id="rId152" Type="http://schemas.openxmlformats.org/officeDocument/2006/relationships/footer" Target="footer60.xml"/><Relationship Id="rId153" Type="http://schemas.openxmlformats.org/officeDocument/2006/relationships/header" Target="header61.xml"/><Relationship Id="rId154" Type="http://schemas.openxmlformats.org/officeDocument/2006/relationships/footer" Target="footer61.xml"/><Relationship Id="rId155" Type="http://schemas.openxmlformats.org/officeDocument/2006/relationships/image" Target="media/image15.jpeg"/><Relationship Id="rId156" Type="http://schemas.openxmlformats.org/officeDocument/2006/relationships/image" Target="media/image15.jpeg" TargetMode="External"/><Relationship Id="rId157" Type="http://schemas.openxmlformats.org/officeDocument/2006/relationships/image" Target="media/image16.jpeg"/><Relationship Id="rId158" Type="http://schemas.openxmlformats.org/officeDocument/2006/relationships/image" Target="media/image16.jpeg" TargetMode="External"/><Relationship Id="rId159" Type="http://schemas.openxmlformats.org/officeDocument/2006/relationships/header" Target="header62.xml"/><Relationship Id="rId160" Type="http://schemas.openxmlformats.org/officeDocument/2006/relationships/footer" Target="footer62.xml"/><Relationship Id="rId161" Type="http://schemas.openxmlformats.org/officeDocument/2006/relationships/header" Target="header63.xml"/><Relationship Id="rId162" Type="http://schemas.openxmlformats.org/officeDocument/2006/relationships/footer" Target="footer63.xml"/><Relationship Id="rId163" Type="http://schemas.openxmlformats.org/officeDocument/2006/relationships/header" Target="header64.xml"/><Relationship Id="rId164" Type="http://schemas.openxmlformats.org/officeDocument/2006/relationships/footer" Target="footer64.xml"/><Relationship Id="rId165" Type="http://schemas.openxmlformats.org/officeDocument/2006/relationships/header" Target="header65.xml"/><Relationship Id="rId166" Type="http://schemas.openxmlformats.org/officeDocument/2006/relationships/footer" Target="footer65.xml"/><Relationship Id="rId167" Type="http://schemas.openxmlformats.org/officeDocument/2006/relationships/header" Target="header66.xml"/><Relationship Id="rId168" Type="http://schemas.openxmlformats.org/officeDocument/2006/relationships/footer" Target="footer66.xml"/><Relationship Id="rId169" Type="http://schemas.openxmlformats.org/officeDocument/2006/relationships/header" Target="header67.xml"/><Relationship Id="rId170" Type="http://schemas.openxmlformats.org/officeDocument/2006/relationships/footer" Target="footer67.xml"/><Relationship Id="rId171" Type="http://schemas.openxmlformats.org/officeDocument/2006/relationships/header" Target="header68.xml"/><Relationship Id="rId172" Type="http://schemas.openxmlformats.org/officeDocument/2006/relationships/footer" Target="footer68.xml"/><Relationship Id="rId173" Type="http://schemas.openxmlformats.org/officeDocument/2006/relationships/header" Target="header69.xml"/><Relationship Id="rId174" Type="http://schemas.openxmlformats.org/officeDocument/2006/relationships/footer" Target="footer69.xml"/><Relationship Id="rId175" Type="http://schemas.openxmlformats.org/officeDocument/2006/relationships/header" Target="header70.xml"/><Relationship Id="rId176" Type="http://schemas.openxmlformats.org/officeDocument/2006/relationships/footer" Target="footer70.xml"/><Relationship Id="rId177" Type="http://schemas.openxmlformats.org/officeDocument/2006/relationships/header" Target="header71.xml"/><Relationship Id="rId178" Type="http://schemas.openxmlformats.org/officeDocument/2006/relationships/footer" Target="footer71.xml"/><Relationship Id="rId179" Type="http://schemas.openxmlformats.org/officeDocument/2006/relationships/header" Target="header72.xml"/><Relationship Id="rId180" Type="http://schemas.openxmlformats.org/officeDocument/2006/relationships/footer" Target="footer72.xml"/><Relationship Id="rId181" Type="http://schemas.openxmlformats.org/officeDocument/2006/relationships/header" Target="header73.xml"/><Relationship Id="rId182" Type="http://schemas.openxmlformats.org/officeDocument/2006/relationships/footer" Target="footer73.xml"/><Relationship Id="rId183" Type="http://schemas.openxmlformats.org/officeDocument/2006/relationships/header" Target="header74.xml"/><Relationship Id="rId184" Type="http://schemas.openxmlformats.org/officeDocument/2006/relationships/footer" Target="footer74.xml"/><Relationship Id="rId185" Type="http://schemas.openxmlformats.org/officeDocument/2006/relationships/header" Target="header75.xml"/><Relationship Id="rId186" Type="http://schemas.openxmlformats.org/officeDocument/2006/relationships/footer" Target="footer75.xml"/><Relationship Id="rId187" Type="http://schemas.openxmlformats.org/officeDocument/2006/relationships/header" Target="header76.xml"/><Relationship Id="rId188" Type="http://schemas.openxmlformats.org/officeDocument/2006/relationships/footer" Target="footer76.xml"/><Relationship Id="rId189" Type="http://schemas.openxmlformats.org/officeDocument/2006/relationships/image" Target="media/image17.jpeg"/><Relationship Id="rId190" Type="http://schemas.openxmlformats.org/officeDocument/2006/relationships/image" Target="media/image17.jpeg" TargetMode="External"/><Relationship Id="rId191" Type="http://schemas.openxmlformats.org/officeDocument/2006/relationships/header" Target="header77.xml"/><Relationship Id="rId192" Type="http://schemas.openxmlformats.org/officeDocument/2006/relationships/footer" Target="footer77.xml"/><Relationship Id="rId193" Type="http://schemas.openxmlformats.org/officeDocument/2006/relationships/header" Target="header78.xml"/><Relationship Id="rId194" Type="http://schemas.openxmlformats.org/officeDocument/2006/relationships/footer" Target="footer78.xml"/><Relationship Id="rId195" Type="http://schemas.openxmlformats.org/officeDocument/2006/relationships/image" Target="media/image18.jpeg"/><Relationship Id="rId196" Type="http://schemas.openxmlformats.org/officeDocument/2006/relationships/image" Target="media/image18.jpeg" TargetMode="External"/><Relationship Id="rId197" Type="http://schemas.openxmlformats.org/officeDocument/2006/relationships/image" Target="media/image19.jpeg"/><Relationship Id="rId198" Type="http://schemas.openxmlformats.org/officeDocument/2006/relationships/image" Target="media/image19.jpeg" TargetMode="External"/><Relationship Id="rId199" Type="http://schemas.openxmlformats.org/officeDocument/2006/relationships/image" Target="media/image20.jpeg"/><Relationship Id="rId200" Type="http://schemas.openxmlformats.org/officeDocument/2006/relationships/image" Target="media/image20.jpeg" TargetMode="External"/><Relationship Id="rId201" Type="http://schemas.openxmlformats.org/officeDocument/2006/relationships/header" Target="header79.xml"/><Relationship Id="rId202" Type="http://schemas.openxmlformats.org/officeDocument/2006/relationships/footer" Target="footer79.xml"/><Relationship Id="rId203" Type="http://schemas.openxmlformats.org/officeDocument/2006/relationships/header" Target="header80.xml"/><Relationship Id="rId204" Type="http://schemas.openxmlformats.org/officeDocument/2006/relationships/footer" Target="footer80.xml"/><Relationship Id="rId205" Type="http://schemas.openxmlformats.org/officeDocument/2006/relationships/header" Target="header81.xml"/><Relationship Id="rId206" Type="http://schemas.openxmlformats.org/officeDocument/2006/relationships/footer" Target="footer81.xml"/><Relationship Id="rId207" Type="http://schemas.openxmlformats.org/officeDocument/2006/relationships/header" Target="header82.xml"/><Relationship Id="rId208" Type="http://schemas.openxmlformats.org/officeDocument/2006/relationships/footer" Target="footer82.xml"/><Relationship Id="rId209" Type="http://schemas.openxmlformats.org/officeDocument/2006/relationships/header" Target="header83.xml"/><Relationship Id="rId210" Type="http://schemas.openxmlformats.org/officeDocument/2006/relationships/footer" Target="footer83.xml"/><Relationship Id="rId211" Type="http://schemas.openxmlformats.org/officeDocument/2006/relationships/header" Target="header84.xml"/><Relationship Id="rId212" Type="http://schemas.openxmlformats.org/officeDocument/2006/relationships/footer" Target="footer84.xml"/><Relationship Id="rId213" Type="http://schemas.openxmlformats.org/officeDocument/2006/relationships/image" Target="media/image21.jpeg"/><Relationship Id="rId214" Type="http://schemas.openxmlformats.org/officeDocument/2006/relationships/image" Target="media/image21.jpeg" TargetMode="External"/><Relationship Id="rId215" Type="http://schemas.openxmlformats.org/officeDocument/2006/relationships/header" Target="header85.xml"/><Relationship Id="rId216" Type="http://schemas.openxmlformats.org/officeDocument/2006/relationships/footer" Target="footer85.xml"/><Relationship Id="rId217" Type="http://schemas.openxmlformats.org/officeDocument/2006/relationships/header" Target="header86.xml"/><Relationship Id="rId218" Type="http://schemas.openxmlformats.org/officeDocument/2006/relationships/footer" Target="footer86.xml"/><Relationship Id="rId219" Type="http://schemas.openxmlformats.org/officeDocument/2006/relationships/header" Target="header87.xml"/><Relationship Id="rId220" Type="http://schemas.openxmlformats.org/officeDocument/2006/relationships/footer" Target="footer87.xml"/><Relationship Id="rId221" Type="http://schemas.openxmlformats.org/officeDocument/2006/relationships/header" Target="header88.xml"/><Relationship Id="rId222" Type="http://schemas.openxmlformats.org/officeDocument/2006/relationships/footer" Target="footer88.xml"/><Relationship Id="rId223" Type="http://schemas.openxmlformats.org/officeDocument/2006/relationships/header" Target="header89.xml"/><Relationship Id="rId224" Type="http://schemas.openxmlformats.org/officeDocument/2006/relationships/footer" Target="footer89.xml"/><Relationship Id="rId225" Type="http://schemas.openxmlformats.org/officeDocument/2006/relationships/header" Target="header90.xml"/><Relationship Id="rId226" Type="http://schemas.openxmlformats.org/officeDocument/2006/relationships/footer" Target="footer90.xml"/><Relationship Id="rId227" Type="http://schemas.openxmlformats.org/officeDocument/2006/relationships/header" Target="header91.xml"/><Relationship Id="rId228" Type="http://schemas.openxmlformats.org/officeDocument/2006/relationships/footer" Target="footer91.xml"/><Relationship Id="rId229" Type="http://schemas.openxmlformats.org/officeDocument/2006/relationships/header" Target="header92.xml"/><Relationship Id="rId230" Type="http://schemas.openxmlformats.org/officeDocument/2006/relationships/footer" Target="footer92.xml"/><Relationship Id="rId231" Type="http://schemas.openxmlformats.org/officeDocument/2006/relationships/header" Target="header93.xml"/><Relationship Id="rId232" Type="http://schemas.openxmlformats.org/officeDocument/2006/relationships/footer" Target="footer93.xml"/><Relationship Id="rId233" Type="http://schemas.openxmlformats.org/officeDocument/2006/relationships/header" Target="header94.xml"/><Relationship Id="rId234" Type="http://schemas.openxmlformats.org/officeDocument/2006/relationships/footer" Target="footer94.xml"/><Relationship Id="rId235" Type="http://schemas.openxmlformats.org/officeDocument/2006/relationships/header" Target="header95.xml"/><Relationship Id="rId236" Type="http://schemas.openxmlformats.org/officeDocument/2006/relationships/footer" Target="footer95.xml"/><Relationship Id="rId237" Type="http://schemas.openxmlformats.org/officeDocument/2006/relationships/header" Target="header96.xml"/><Relationship Id="rId238" Type="http://schemas.openxmlformats.org/officeDocument/2006/relationships/footer" Target="footer96.xml"/><Relationship Id="rId239" Type="http://schemas.openxmlformats.org/officeDocument/2006/relationships/header" Target="header97.xml"/><Relationship Id="rId240" Type="http://schemas.openxmlformats.org/officeDocument/2006/relationships/footer" Target="footer97.xml"/><Relationship Id="rId241" Type="http://schemas.openxmlformats.org/officeDocument/2006/relationships/header" Target="header98.xml"/><Relationship Id="rId242" Type="http://schemas.openxmlformats.org/officeDocument/2006/relationships/footer" Target="footer98.xml"/><Relationship Id="rId243" Type="http://schemas.openxmlformats.org/officeDocument/2006/relationships/header" Target="header99.xml"/><Relationship Id="rId244" Type="http://schemas.openxmlformats.org/officeDocument/2006/relationships/footer" Target="footer99.xml"/><Relationship Id="rId245" Type="http://schemas.openxmlformats.org/officeDocument/2006/relationships/header" Target="header100.xml"/><Relationship Id="rId246" Type="http://schemas.openxmlformats.org/officeDocument/2006/relationships/footer" Target="footer100.xml"/><Relationship Id="rId247" Type="http://schemas.openxmlformats.org/officeDocument/2006/relationships/header" Target="header101.xml"/><Relationship Id="rId248" Type="http://schemas.openxmlformats.org/officeDocument/2006/relationships/footer" Target="footer101.xml"/><Relationship Id="rId249" Type="http://schemas.openxmlformats.org/officeDocument/2006/relationships/image" Target="media/image22.jpeg"/><Relationship Id="rId250" Type="http://schemas.openxmlformats.org/officeDocument/2006/relationships/image" Target="media/image22.jpeg" TargetMode="External"/><Relationship Id="rId251" Type="http://schemas.openxmlformats.org/officeDocument/2006/relationships/header" Target="header102.xml"/><Relationship Id="rId252" Type="http://schemas.openxmlformats.org/officeDocument/2006/relationships/footer" Target="footer102.xml"/><Relationship Id="rId253" Type="http://schemas.openxmlformats.org/officeDocument/2006/relationships/header" Target="header103.xml"/><Relationship Id="rId254" Type="http://schemas.openxmlformats.org/officeDocument/2006/relationships/footer" Target="footer103.xml"/><Relationship Id="rId255" Type="http://schemas.openxmlformats.org/officeDocument/2006/relationships/image" Target="media/image23.jpeg"/><Relationship Id="rId256" Type="http://schemas.openxmlformats.org/officeDocument/2006/relationships/image" Target="media/image23.jpeg" TargetMode="External"/><Relationship Id="rId257" Type="http://schemas.openxmlformats.org/officeDocument/2006/relationships/header" Target="header104.xml"/><Relationship Id="rId258" Type="http://schemas.openxmlformats.org/officeDocument/2006/relationships/footer" Target="footer104.xml"/><Relationship Id="rId259" Type="http://schemas.openxmlformats.org/officeDocument/2006/relationships/header" Target="header105.xml"/><Relationship Id="rId260" Type="http://schemas.openxmlformats.org/officeDocument/2006/relationships/footer" Target="footer105.xml"/><Relationship Id="rId261" Type="http://schemas.openxmlformats.org/officeDocument/2006/relationships/header" Target="header106.xml"/><Relationship Id="rId262" Type="http://schemas.openxmlformats.org/officeDocument/2006/relationships/footer" Target="footer106.xml"/><Relationship Id="rId263" Type="http://schemas.openxmlformats.org/officeDocument/2006/relationships/image" Target="media/image24.jpeg"/><Relationship Id="rId264" Type="http://schemas.openxmlformats.org/officeDocument/2006/relationships/image" Target="media/image24.jpeg" TargetMode="External"/><Relationship Id="rId265" Type="http://schemas.openxmlformats.org/officeDocument/2006/relationships/image" Target="media/image25.jpeg"/><Relationship Id="rId266" Type="http://schemas.openxmlformats.org/officeDocument/2006/relationships/image" Target="media/image25.jpeg" TargetMode="External"/><Relationship Id="rId267" Type="http://schemas.openxmlformats.org/officeDocument/2006/relationships/header" Target="header107.xml"/><Relationship Id="rId268" Type="http://schemas.openxmlformats.org/officeDocument/2006/relationships/footer" Target="footer107.xml"/><Relationship Id="rId269" Type="http://schemas.openxmlformats.org/officeDocument/2006/relationships/header" Target="header108.xml"/><Relationship Id="rId270" Type="http://schemas.openxmlformats.org/officeDocument/2006/relationships/footer" Target="footer108.xml"/><Relationship Id="rId271" Type="http://schemas.openxmlformats.org/officeDocument/2006/relationships/header" Target="header109.xml"/><Relationship Id="rId272" Type="http://schemas.openxmlformats.org/officeDocument/2006/relationships/footer" Target="footer109.xml"/><Relationship Id="rId273" Type="http://schemas.openxmlformats.org/officeDocument/2006/relationships/image" Target="media/image26.jpeg"/><Relationship Id="rId274" Type="http://schemas.openxmlformats.org/officeDocument/2006/relationships/image" Target="media/image26.jpeg" TargetMode="External"/><Relationship Id="rId275" Type="http://schemas.openxmlformats.org/officeDocument/2006/relationships/header" Target="header110.xml"/><Relationship Id="rId276" Type="http://schemas.openxmlformats.org/officeDocument/2006/relationships/footer" Target="footer110.xml"/><Relationship Id="rId277" Type="http://schemas.openxmlformats.org/officeDocument/2006/relationships/header" Target="header111.xml"/><Relationship Id="rId278" Type="http://schemas.openxmlformats.org/officeDocument/2006/relationships/footer" Target="footer111.xml"/><Relationship Id="rId279" Type="http://schemas.openxmlformats.org/officeDocument/2006/relationships/header" Target="header112.xml"/><Relationship Id="rId280" Type="http://schemas.openxmlformats.org/officeDocument/2006/relationships/footer" Target="footer112.xml"/><Relationship Id="rId281" Type="http://schemas.openxmlformats.org/officeDocument/2006/relationships/header" Target="header113.xml"/><Relationship Id="rId282" Type="http://schemas.openxmlformats.org/officeDocument/2006/relationships/footer" Target="footer113.xml"/><Relationship Id="rId283" Type="http://schemas.openxmlformats.org/officeDocument/2006/relationships/image" Target="media/image27.jpeg"/><Relationship Id="rId284" Type="http://schemas.openxmlformats.org/officeDocument/2006/relationships/image" Target="media/image27.jpeg" TargetMode="External"/><Relationship Id="rId285" Type="http://schemas.openxmlformats.org/officeDocument/2006/relationships/header" Target="header114.xml"/><Relationship Id="rId286" Type="http://schemas.openxmlformats.org/officeDocument/2006/relationships/footer" Target="footer114.xml"/><Relationship Id="rId287" Type="http://schemas.openxmlformats.org/officeDocument/2006/relationships/header" Target="header115.xml"/><Relationship Id="rId288" Type="http://schemas.openxmlformats.org/officeDocument/2006/relationships/footer" Target="footer115.xml"/></Relationships>
</file>