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Default Extension="png" ContentType="image/png"/>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8.xml" ContentType="application/vnd.openxmlformats-officedocument.wordprocessingml.header+xml"/>
  <Override PartName="/word/footer11.xml" ContentType="application/vnd.openxmlformats-officedocument.wordprocessingml.footer+xml"/>
  <Override PartName="/word/header9.xml" ContentType="application/vnd.openxmlformats-officedocument.wordprocessingml.header+xml"/>
  <Override PartName="/word/footer12.xml" ContentType="application/vnd.openxmlformats-officedocument.wordprocessingml.footer+xml"/>
  <Override PartName="/word/header10.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header11.xml" ContentType="application/vnd.openxmlformats-officedocument.wordprocessingml.header+xml"/>
  <Override PartName="/word/footer18.xml" ContentType="application/vnd.openxmlformats-officedocument.wordprocessingml.footer+xml"/>
  <Override PartName="/word/header12.xml" ContentType="application/vnd.openxmlformats-officedocument.wordprocessingml.header+xml"/>
  <Override PartName="/word/footer19.xml" ContentType="application/vnd.openxmlformats-officedocument.wordprocessingml.footer+xml"/>
  <Override PartName="/word/header13.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4.9pt;height:.1pt;mso-position-horizontal-relative:page;mso-position-vertical-relative:page;z-index:0" coordorigin="1104,982" coordsize="9698,2">
            <v:shape style="position:absolute;left:1104;top:982;width:9698;height:2" coordorigin="1104,982" coordsize="9698,0" path="m1104,982l10802,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4"/>
          <w:szCs w:val="14"/>
        </w:rPr>
      </w:pPr>
    </w:p>
    <w:p>
      <w:pPr>
        <w:spacing w:line="1663" w:lineRule="exact"/>
        <w:ind w:left="3501"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2"/>
          <w:sz w:val="20"/>
          <w:szCs w:val="20"/>
        </w:rPr>
        <w:drawing>
          <wp:inline distT="0" distB="0" distL="0" distR="0">
            <wp:extent cx="1867124" cy="1056131"/>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1867124" cy="1056131"/>
                    </a:xfrm>
                    <a:prstGeom prst="rect">
                      <a:avLst/>
                    </a:prstGeom>
                  </pic:spPr>
                </pic:pic>
              </a:graphicData>
            </a:graphic>
          </wp:inline>
        </w:drawing>
      </w:r>
      <w:r>
        <w:rPr>
          <w:rFonts w:ascii="Times New Roman" w:hAnsi="Times New Roman" w:cs="Times New Roman" w:eastAsia="Times New Roman" w:hint="default"/>
          <w:position w:val="-32"/>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9"/>
          <w:szCs w:val="19"/>
        </w:rPr>
      </w:pPr>
    </w:p>
    <w:p>
      <w:pPr>
        <w:spacing w:line="621" w:lineRule="exact" w:before="0"/>
        <w:ind w:left="0" w:right="1" w:firstLine="0"/>
        <w:jc w:val="center"/>
        <w:rPr>
          <w:rFonts w:ascii="宋体" w:hAnsi="宋体" w:cs="宋体" w:eastAsia="宋体" w:hint="default"/>
          <w:sz w:val="52"/>
          <w:szCs w:val="52"/>
        </w:rPr>
      </w:pPr>
      <w:r>
        <w:rPr>
          <w:rFonts w:ascii="宋体" w:hAnsi="宋体" w:cs="宋体" w:eastAsia="宋体" w:hint="default"/>
          <w:b/>
          <w:bCs/>
          <w:sz w:val="52"/>
          <w:szCs w:val="52"/>
        </w:rPr>
        <w:t>广东华声电器股份有限公司</w:t>
      </w:r>
      <w:r>
        <w:rPr>
          <w:rFonts w:ascii="宋体" w:hAnsi="宋体" w:cs="宋体" w:eastAsia="宋体" w:hint="default"/>
          <w:sz w:val="52"/>
          <w:szCs w:val="52"/>
        </w:rPr>
      </w:r>
    </w:p>
    <w:p>
      <w:pPr>
        <w:spacing w:line="240" w:lineRule="auto" w:before="0"/>
        <w:rPr>
          <w:rFonts w:ascii="宋体" w:hAnsi="宋体" w:cs="宋体" w:eastAsia="宋体" w:hint="default"/>
          <w:b/>
          <w:bCs/>
          <w:sz w:val="52"/>
          <w:szCs w:val="52"/>
        </w:rPr>
      </w:pPr>
    </w:p>
    <w:p>
      <w:pPr>
        <w:spacing w:line="240" w:lineRule="auto" w:before="10"/>
        <w:rPr>
          <w:rFonts w:ascii="宋体" w:hAnsi="宋体" w:cs="宋体" w:eastAsia="宋体" w:hint="default"/>
          <w:b/>
          <w:bCs/>
          <w:sz w:val="50"/>
          <w:szCs w:val="50"/>
        </w:rPr>
      </w:pPr>
    </w:p>
    <w:p>
      <w:pPr>
        <w:spacing w:before="0"/>
        <w:ind w:left="0" w:right="1" w:firstLine="0"/>
        <w:jc w:val="center"/>
        <w:rPr>
          <w:rFonts w:ascii="宋体" w:hAnsi="宋体" w:cs="宋体" w:eastAsia="宋体" w:hint="default"/>
          <w:sz w:val="52"/>
          <w:szCs w:val="52"/>
        </w:rPr>
      </w:pPr>
      <w:r>
        <w:rPr>
          <w:rFonts w:ascii="Times New Roman" w:hAnsi="Times New Roman" w:cs="Times New Roman" w:eastAsia="Times New Roman" w:hint="default"/>
          <w:b/>
          <w:bCs/>
          <w:sz w:val="52"/>
          <w:szCs w:val="52"/>
        </w:rPr>
        <w:t>2015</w:t>
      </w:r>
      <w:r>
        <w:rPr>
          <w:rFonts w:ascii="Times New Roman" w:hAnsi="Times New Roman" w:cs="Times New Roman" w:eastAsia="Times New Roman" w:hint="default"/>
          <w:b/>
          <w:bCs/>
          <w:spacing w:val="-1"/>
          <w:sz w:val="52"/>
          <w:szCs w:val="52"/>
        </w:rPr>
        <w:t> </w:t>
      </w:r>
      <w:r>
        <w:rPr>
          <w:rFonts w:ascii="宋体" w:hAnsi="宋体" w:cs="宋体" w:eastAsia="宋体" w:hint="default"/>
          <w:b/>
          <w:bCs/>
          <w:sz w:val="52"/>
          <w:szCs w:val="52"/>
        </w:rPr>
        <w:t>年度报告</w:t>
      </w:r>
      <w:r>
        <w:rPr>
          <w:rFonts w:ascii="宋体" w:hAnsi="宋体" w:cs="宋体" w:eastAsia="宋体" w:hint="default"/>
          <w:sz w:val="52"/>
          <w:szCs w:val="52"/>
        </w:rPr>
      </w:r>
    </w:p>
    <w:p>
      <w:pPr>
        <w:spacing w:line="240" w:lineRule="auto" w:before="0"/>
        <w:rPr>
          <w:rFonts w:ascii="宋体" w:hAnsi="宋体" w:cs="宋体" w:eastAsia="宋体" w:hint="default"/>
          <w:b/>
          <w:bCs/>
          <w:sz w:val="54"/>
          <w:szCs w:val="54"/>
        </w:rPr>
      </w:pPr>
    </w:p>
    <w:p>
      <w:pPr>
        <w:spacing w:line="240" w:lineRule="auto" w:before="0"/>
        <w:rPr>
          <w:rFonts w:ascii="宋体" w:hAnsi="宋体" w:cs="宋体" w:eastAsia="宋体" w:hint="default"/>
          <w:b/>
          <w:bCs/>
          <w:sz w:val="54"/>
          <w:szCs w:val="54"/>
        </w:rPr>
      </w:pPr>
    </w:p>
    <w:p>
      <w:pPr>
        <w:spacing w:line="240" w:lineRule="auto" w:before="0"/>
        <w:rPr>
          <w:rFonts w:ascii="宋体" w:hAnsi="宋体" w:cs="宋体" w:eastAsia="宋体" w:hint="default"/>
          <w:b/>
          <w:bCs/>
          <w:sz w:val="54"/>
          <w:szCs w:val="54"/>
        </w:rPr>
      </w:pPr>
    </w:p>
    <w:p>
      <w:pPr>
        <w:spacing w:line="240" w:lineRule="auto" w:before="0"/>
        <w:rPr>
          <w:rFonts w:ascii="宋体" w:hAnsi="宋体" w:cs="宋体" w:eastAsia="宋体" w:hint="default"/>
          <w:b/>
          <w:bCs/>
          <w:sz w:val="54"/>
          <w:szCs w:val="54"/>
        </w:rPr>
      </w:pPr>
    </w:p>
    <w:p>
      <w:pPr>
        <w:spacing w:line="240" w:lineRule="auto" w:before="0"/>
        <w:rPr>
          <w:rFonts w:ascii="宋体" w:hAnsi="宋体" w:cs="宋体" w:eastAsia="宋体" w:hint="default"/>
          <w:b/>
          <w:bCs/>
          <w:sz w:val="54"/>
          <w:szCs w:val="54"/>
        </w:rPr>
      </w:pPr>
    </w:p>
    <w:p>
      <w:pPr>
        <w:spacing w:line="240" w:lineRule="auto" w:before="4"/>
        <w:rPr>
          <w:rFonts w:ascii="宋体" w:hAnsi="宋体" w:cs="宋体" w:eastAsia="宋体" w:hint="default"/>
          <w:b/>
          <w:bCs/>
          <w:sz w:val="48"/>
          <w:szCs w:val="48"/>
        </w:rPr>
      </w:pPr>
    </w:p>
    <w:p>
      <w:pPr>
        <w:spacing w:before="0"/>
        <w:ind w:left="0" w:right="0" w:firstLine="0"/>
        <w:jc w:val="center"/>
        <w:rPr>
          <w:rFonts w:ascii="宋体" w:hAnsi="宋体" w:cs="宋体" w:eastAsia="宋体" w:hint="default"/>
          <w:sz w:val="52"/>
          <w:szCs w:val="52"/>
        </w:rPr>
      </w:pPr>
      <w:r>
        <w:rPr>
          <w:rFonts w:ascii="Times New Roman" w:hAnsi="Times New Roman" w:cs="Times New Roman" w:eastAsia="Times New Roman" w:hint="default"/>
          <w:b/>
          <w:bCs/>
          <w:sz w:val="52"/>
          <w:szCs w:val="52"/>
        </w:rPr>
        <w:t>2016</w:t>
      </w:r>
      <w:r>
        <w:rPr>
          <w:rFonts w:ascii="Times New Roman" w:hAnsi="Times New Roman" w:cs="Times New Roman" w:eastAsia="Times New Roman" w:hint="default"/>
          <w:b/>
          <w:bCs/>
          <w:spacing w:val="1"/>
          <w:sz w:val="52"/>
          <w:szCs w:val="52"/>
        </w:rPr>
        <w:t> </w:t>
      </w:r>
      <w:r>
        <w:rPr>
          <w:rFonts w:ascii="宋体" w:hAnsi="宋体" w:cs="宋体" w:eastAsia="宋体" w:hint="default"/>
          <w:b/>
          <w:bCs/>
          <w:sz w:val="52"/>
          <w:szCs w:val="52"/>
        </w:rPr>
        <w:t>年</w:t>
      </w:r>
      <w:r>
        <w:rPr>
          <w:rFonts w:ascii="宋体" w:hAnsi="宋体" w:cs="宋体" w:eastAsia="宋体" w:hint="default"/>
          <w:b/>
          <w:bCs/>
          <w:spacing w:val="-134"/>
          <w:sz w:val="52"/>
          <w:szCs w:val="52"/>
        </w:rPr>
        <w:t> </w:t>
      </w:r>
      <w:r>
        <w:rPr>
          <w:rFonts w:ascii="Times New Roman" w:hAnsi="Times New Roman" w:cs="Times New Roman" w:eastAsia="Times New Roman" w:hint="default"/>
          <w:b/>
          <w:bCs/>
          <w:sz w:val="52"/>
          <w:szCs w:val="52"/>
        </w:rPr>
        <w:t>04</w:t>
      </w:r>
      <w:r>
        <w:rPr>
          <w:rFonts w:ascii="Times New Roman" w:hAnsi="Times New Roman" w:cs="Times New Roman" w:eastAsia="Times New Roman" w:hint="default"/>
          <w:b/>
          <w:bCs/>
          <w:spacing w:val="-1"/>
          <w:sz w:val="52"/>
          <w:szCs w:val="52"/>
        </w:rPr>
        <w:t> </w:t>
      </w:r>
      <w:r>
        <w:rPr>
          <w:rFonts w:ascii="宋体" w:hAnsi="宋体" w:cs="宋体" w:eastAsia="宋体" w:hint="default"/>
          <w:b/>
          <w:bCs/>
          <w:sz w:val="52"/>
          <w:szCs w:val="52"/>
        </w:rPr>
        <w:t>月</w:t>
      </w:r>
      <w:r>
        <w:rPr>
          <w:rFonts w:ascii="宋体" w:hAnsi="宋体" w:cs="宋体" w:eastAsia="宋体" w:hint="default"/>
          <w:sz w:val="52"/>
          <w:szCs w:val="52"/>
        </w:rPr>
      </w:r>
    </w:p>
    <w:p>
      <w:pPr>
        <w:spacing w:after="0"/>
        <w:jc w:val="center"/>
        <w:rPr>
          <w:rFonts w:ascii="宋体" w:hAnsi="宋体" w:cs="宋体" w:eastAsia="宋体" w:hint="default"/>
          <w:sz w:val="52"/>
          <w:szCs w:val="52"/>
        </w:rPr>
        <w:sectPr>
          <w:headerReference w:type="default" r:id="rId5"/>
          <w:footerReference w:type="default" r:id="rId6"/>
          <w:type w:val="continuous"/>
          <w:pgSz w:w="11910" w:h="16840"/>
          <w:pgMar w:header="745" w:footer="979" w:top="1060" w:bottom="1160" w:left="980" w:right="98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3" w:right="253"/>
        <w:jc w:val="left"/>
        <w:rPr>
          <w:b w:val="0"/>
          <w:bCs w:val="0"/>
        </w:rPr>
      </w:pPr>
      <w:r>
        <w:rPr/>
        <w:t>第一节</w:t>
      </w:r>
      <w:r>
        <w:rPr>
          <w:spacing w:val="-6"/>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5"/>
        <w:ind w:left="152" w:right="256" w:firstLine="562"/>
        <w:jc w:val="both"/>
        <w:rPr>
          <w:rFonts w:ascii="宋体" w:hAnsi="宋体" w:cs="宋体" w:eastAsia="宋体" w:hint="default"/>
          <w:sz w:val="28"/>
          <w:szCs w:val="28"/>
        </w:rPr>
      </w:pPr>
      <w:r>
        <w:rPr>
          <w:rFonts w:ascii="宋体" w:hAnsi="宋体" w:cs="宋体" w:eastAsia="宋体" w:hint="default"/>
          <w:b/>
          <w:bCs/>
          <w:spacing w:val="2"/>
          <w:sz w:val="28"/>
          <w:szCs w:val="28"/>
        </w:rPr>
        <w:t>本公司董事会、监事会及董事、监事、高级管理人员保证年度报告内容的</w:t>
      </w:r>
      <w:r>
        <w:rPr>
          <w:rFonts w:ascii="宋体" w:hAnsi="宋体" w:cs="宋体" w:eastAsia="宋体" w:hint="default"/>
          <w:b/>
          <w:bCs/>
          <w:w w:val="99"/>
          <w:sz w:val="28"/>
          <w:szCs w:val="28"/>
        </w:rPr>
        <w:t> </w:t>
      </w:r>
      <w:r>
        <w:rPr>
          <w:rFonts w:ascii="宋体" w:hAnsi="宋体" w:cs="宋体" w:eastAsia="宋体" w:hint="default"/>
          <w:b/>
          <w:bCs/>
          <w:spacing w:val="2"/>
          <w:sz w:val="28"/>
          <w:szCs w:val="28"/>
        </w:rPr>
        <w:t>真实、准确、完整，不存在虚假记载、误导性陈述或重大遗漏，并承担个别和</w:t>
      </w:r>
      <w:r>
        <w:rPr>
          <w:rFonts w:ascii="宋体" w:hAnsi="宋体" w:cs="宋体" w:eastAsia="宋体" w:hint="default"/>
          <w:b/>
          <w:bCs/>
          <w:w w:val="99"/>
          <w:sz w:val="28"/>
          <w:szCs w:val="28"/>
        </w:rPr>
        <w:t> </w:t>
      </w:r>
      <w:r>
        <w:rPr>
          <w:rFonts w:ascii="宋体" w:hAnsi="宋体" w:cs="宋体" w:eastAsia="宋体" w:hint="default"/>
          <w:b/>
          <w:bCs/>
          <w:sz w:val="28"/>
          <w:szCs w:val="28"/>
        </w:rPr>
        <w:t>连带的法律责任。</w:t>
      </w:r>
      <w:r>
        <w:rPr>
          <w:rFonts w:ascii="宋体" w:hAnsi="宋体" w:cs="宋体" w:eastAsia="宋体" w:hint="default"/>
          <w:sz w:val="28"/>
          <w:szCs w:val="28"/>
        </w:rPr>
      </w:r>
    </w:p>
    <w:p>
      <w:pPr>
        <w:spacing w:line="408" w:lineRule="auto" w:before="163"/>
        <w:ind w:left="152" w:right="251" w:firstLine="562"/>
        <w:jc w:val="both"/>
        <w:rPr>
          <w:rFonts w:ascii="宋体" w:hAnsi="宋体" w:cs="宋体" w:eastAsia="宋体" w:hint="default"/>
          <w:sz w:val="28"/>
          <w:szCs w:val="28"/>
        </w:rPr>
      </w:pPr>
      <w:r>
        <w:rPr>
          <w:rFonts w:ascii="宋体" w:hAnsi="宋体" w:cs="宋体" w:eastAsia="宋体" w:hint="default"/>
          <w:b/>
          <w:bCs/>
          <w:spacing w:val="2"/>
          <w:sz w:val="28"/>
          <w:szCs w:val="28"/>
        </w:rPr>
        <w:t>公司负责人杜力、主管会计工作负责人赵岑及会计机构负责人林森声明：</w:t>
      </w:r>
      <w:r>
        <w:rPr>
          <w:rFonts w:ascii="宋体" w:hAnsi="宋体" w:cs="宋体" w:eastAsia="宋体" w:hint="default"/>
          <w:b/>
          <w:bCs/>
          <w:w w:val="99"/>
          <w:sz w:val="28"/>
          <w:szCs w:val="28"/>
        </w:rPr>
        <w:t> </w:t>
      </w:r>
      <w:r>
        <w:rPr>
          <w:rFonts w:ascii="宋体" w:hAnsi="宋体" w:cs="宋体" w:eastAsia="宋体" w:hint="default"/>
          <w:b/>
          <w:bCs/>
          <w:sz w:val="28"/>
          <w:szCs w:val="28"/>
        </w:rPr>
        <w:t>保证年度报告中财务报告的真实、准确、完整。</w:t>
      </w:r>
      <w:r>
        <w:rPr>
          <w:rFonts w:ascii="宋体" w:hAnsi="宋体" w:cs="宋体" w:eastAsia="宋体" w:hint="default"/>
          <w:sz w:val="28"/>
          <w:szCs w:val="28"/>
        </w:rPr>
      </w:r>
    </w:p>
    <w:p>
      <w:pPr>
        <w:spacing w:line="472" w:lineRule="auto" w:before="162"/>
        <w:ind w:left="714" w:right="253"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2"/>
          <w:sz w:val="28"/>
          <w:szCs w:val="28"/>
        </w:rPr>
        <w:t>本报告涉及公司未来计划等前瞻性陈述。该等陈述不构成公司对投资者的</w:t>
      </w:r>
      <w:r>
        <w:rPr>
          <w:rFonts w:ascii="宋体" w:hAnsi="宋体" w:cs="宋体" w:eastAsia="宋体" w:hint="default"/>
          <w:spacing w:val="2"/>
          <w:sz w:val="28"/>
          <w:szCs w:val="28"/>
        </w:rPr>
      </w:r>
    </w:p>
    <w:p>
      <w:pPr>
        <w:spacing w:line="408" w:lineRule="auto" w:before="0"/>
        <w:ind w:left="152" w:right="249" w:firstLine="0"/>
        <w:jc w:val="left"/>
        <w:rPr>
          <w:rFonts w:ascii="宋体" w:hAnsi="宋体" w:cs="宋体" w:eastAsia="宋体" w:hint="default"/>
          <w:sz w:val="28"/>
          <w:szCs w:val="28"/>
        </w:rPr>
      </w:pPr>
      <w:r>
        <w:rPr>
          <w:rFonts w:ascii="宋体" w:hAnsi="宋体" w:cs="宋体" w:eastAsia="宋体" w:hint="default"/>
          <w:b/>
          <w:bCs/>
          <w:spacing w:val="2"/>
          <w:sz w:val="28"/>
          <w:szCs w:val="28"/>
        </w:rPr>
        <w:t>实质承诺，投资者及相关人士均应当对此保持足够的风险认识，并且应当理解</w:t>
      </w:r>
      <w:r>
        <w:rPr>
          <w:rFonts w:ascii="宋体" w:hAnsi="宋体" w:cs="宋体" w:eastAsia="宋体" w:hint="default"/>
          <w:b/>
          <w:bCs/>
          <w:w w:val="99"/>
          <w:sz w:val="28"/>
          <w:szCs w:val="28"/>
        </w:rPr>
        <w:t> </w:t>
      </w:r>
      <w:r>
        <w:rPr>
          <w:rFonts w:ascii="宋体" w:hAnsi="宋体" w:cs="宋体" w:eastAsia="宋体" w:hint="default"/>
          <w:b/>
          <w:bCs/>
          <w:sz w:val="28"/>
          <w:szCs w:val="28"/>
        </w:rPr>
        <w:t>计划、预测与承诺之间的差异。</w:t>
      </w:r>
      <w:r>
        <w:rPr>
          <w:rFonts w:ascii="宋体" w:hAnsi="宋体" w:cs="宋体" w:eastAsia="宋体" w:hint="default"/>
          <w:sz w:val="28"/>
          <w:szCs w:val="28"/>
        </w:rPr>
      </w:r>
    </w:p>
    <w:p>
      <w:pPr>
        <w:spacing w:line="408" w:lineRule="auto" w:before="162"/>
        <w:ind w:left="152" w:right="102" w:firstLine="562"/>
        <w:jc w:val="left"/>
        <w:rPr>
          <w:rFonts w:ascii="宋体" w:hAnsi="宋体" w:cs="宋体" w:eastAsia="宋体" w:hint="default"/>
          <w:sz w:val="28"/>
          <w:szCs w:val="28"/>
        </w:rPr>
      </w:pPr>
      <w:r>
        <w:rPr>
          <w:rFonts w:ascii="宋体" w:hAnsi="宋体" w:cs="宋体" w:eastAsia="宋体" w:hint="default"/>
          <w:b/>
          <w:bCs/>
          <w:spacing w:val="-2"/>
          <w:sz w:val="28"/>
          <w:szCs w:val="28"/>
        </w:rPr>
        <w:t>本报告第四节“管理层讨论与分析”揭示公司经营过程中可能存在的风险，</w:t>
      </w:r>
      <w:r>
        <w:rPr>
          <w:rFonts w:ascii="宋体" w:hAnsi="宋体" w:cs="宋体" w:eastAsia="宋体" w:hint="default"/>
          <w:b/>
          <w:bCs/>
          <w:w w:val="99"/>
          <w:sz w:val="28"/>
          <w:szCs w:val="28"/>
        </w:rPr>
        <w:t> </w:t>
      </w:r>
      <w:r>
        <w:rPr>
          <w:rFonts w:ascii="宋体" w:hAnsi="宋体" w:cs="宋体" w:eastAsia="宋体" w:hint="default"/>
          <w:b/>
          <w:bCs/>
          <w:sz w:val="28"/>
          <w:szCs w:val="28"/>
        </w:rPr>
        <w:t>敬请投资者关注。</w:t>
      </w:r>
      <w:r>
        <w:rPr>
          <w:rFonts w:ascii="宋体" w:hAnsi="宋体" w:cs="宋体" w:eastAsia="宋体" w:hint="default"/>
          <w:sz w:val="28"/>
          <w:szCs w:val="28"/>
        </w:rPr>
      </w:r>
    </w:p>
    <w:p>
      <w:pPr>
        <w:spacing w:before="162"/>
        <w:ind w:left="714" w:right="253" w:firstLine="0"/>
        <w:jc w:val="left"/>
        <w:rPr>
          <w:rFonts w:ascii="宋体" w:hAnsi="宋体" w:cs="宋体" w:eastAsia="宋体" w:hint="default"/>
          <w:sz w:val="28"/>
          <w:szCs w:val="28"/>
        </w:rPr>
      </w:pPr>
      <w:r>
        <w:rPr>
          <w:rFonts w:ascii="宋体" w:hAnsi="宋体" w:cs="宋体" w:eastAsia="宋体" w:hint="default"/>
          <w:b/>
          <w:bCs/>
          <w:sz w:val="28"/>
          <w:szCs w:val="28"/>
        </w:rPr>
        <w:t>公司计划不派发现金红利、不送红股，不以公积金转增股本。</w:t>
      </w:r>
      <w:r>
        <w:rPr>
          <w:rFonts w:ascii="宋体" w:hAnsi="宋体" w:cs="宋体" w:eastAsia="宋体" w:hint="default"/>
          <w:sz w:val="28"/>
          <w:szCs w:val="28"/>
        </w:rPr>
      </w:r>
    </w:p>
    <w:p>
      <w:pPr>
        <w:spacing w:after="0"/>
        <w:jc w:val="left"/>
        <w:rPr>
          <w:rFonts w:ascii="宋体" w:hAnsi="宋体" w:cs="宋体" w:eastAsia="宋体" w:hint="default"/>
          <w:sz w:val="28"/>
          <w:szCs w:val="28"/>
        </w:rPr>
        <w:sectPr>
          <w:footerReference w:type="default" r:id="rId8"/>
          <w:pgSz w:w="11910" w:h="16840"/>
          <w:pgMar w:footer="979" w:header="745" w:top="1060" w:bottom="1160" w:left="980" w:right="880"/>
          <w:pgNumType w:start="2"/>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6"/>
          <w:szCs w:val="26"/>
        </w:rPr>
      </w:pPr>
    </w:p>
    <w:p>
      <w:pPr>
        <w:tabs>
          <w:tab w:pos="725" w:val="left" w:leader="none"/>
        </w:tabs>
        <w:spacing w:line="460" w:lineRule="exact" w:before="0"/>
        <w:ind w:left="0" w:right="0" w:firstLine="0"/>
        <w:jc w:val="center"/>
        <w:rPr>
          <w:rFonts w:ascii="宋体" w:hAnsi="宋体" w:cs="宋体" w:eastAsia="宋体" w:hint="default"/>
          <w:sz w:val="36"/>
          <w:szCs w:val="36"/>
        </w:rPr>
      </w:pPr>
      <w:r>
        <w:rPr>
          <w:rFonts w:ascii="宋体" w:hAnsi="宋体" w:cs="宋体" w:eastAsia="宋体" w:hint="default"/>
          <w:b/>
          <w:bCs/>
          <w:w w:val="95"/>
          <w:sz w:val="36"/>
          <w:szCs w:val="36"/>
        </w:rPr>
        <w:t>目</w:t>
        <w:tab/>
      </w:r>
      <w:r>
        <w:rPr>
          <w:rFonts w:ascii="宋体" w:hAnsi="宋体" w:cs="宋体" w:eastAsia="宋体" w:hint="default"/>
          <w:b/>
          <w:bCs/>
          <w:sz w:val="36"/>
          <w:szCs w:val="36"/>
        </w:rPr>
        <w:t>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2"/>
        <w:rPr>
          <w:rFonts w:ascii="宋体" w:hAnsi="宋体" w:cs="宋体" w:eastAsia="宋体" w:hint="default"/>
          <w:b/>
          <w:bCs/>
          <w:sz w:val="41"/>
          <w:szCs w:val="41"/>
        </w:rPr>
      </w:pPr>
    </w:p>
    <w:sdt>
      <w:sdtPr>
        <w:docPartObj>
          <w:docPartGallery w:val="Table of Contents"/>
          <w:docPartUnique/>
        </w:docPartObj>
      </w:sdtPr>
      <w:sdtEndPr/>
      <w:sdtContent>
        <w:p>
          <w:pPr>
            <w:pStyle w:val="TOC1"/>
            <w:tabs>
              <w:tab w:pos="9783" w:val="right" w:leader="dot"/>
            </w:tabs>
            <w:spacing w:line="240" w:lineRule="auto" w:before="0"/>
            <w:ind w:right="0"/>
            <w:jc w:val="left"/>
            <w:rPr>
              <w:rFonts w:ascii="Times New Roman" w:hAnsi="Times New Roman" w:cs="Times New Roman" w:eastAsia="Times New Roman" w:hint="default"/>
              <w:b w:val="0"/>
              <w:bCs w:val="0"/>
            </w:rPr>
          </w:pPr>
          <w:hyperlink w:history="true" w:anchor="_bookmark0">
            <w:r>
              <w:rPr/>
              <w:t>第一节</w:t>
            </w:r>
            <w:r>
              <w:rPr>
                <w:spacing w:val="-18"/>
              </w:rPr>
              <w:t> </w:t>
            </w:r>
            <w:r>
              <w:rPr/>
              <w:t>重要提示、目录和释义</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9783" w:val="right" w:leader="dot"/>
            </w:tabs>
            <w:spacing w:line="240" w:lineRule="auto" w:before="160"/>
            <w:ind w:right="0"/>
            <w:jc w:val="left"/>
            <w:rPr>
              <w:rFonts w:ascii="Times New Roman" w:hAnsi="Times New Roman" w:cs="Times New Roman" w:eastAsia="Times New Roman" w:hint="default"/>
              <w:b w:val="0"/>
              <w:bCs w:val="0"/>
            </w:rPr>
          </w:pPr>
          <w:hyperlink w:history="true" w:anchor="_bookmark1">
            <w:r>
              <w:rPr/>
              <w:t>第二节</w:t>
            </w:r>
            <w:r>
              <w:rPr>
                <w:spacing w:val="-18"/>
              </w:rPr>
              <w:t> </w:t>
            </w:r>
            <w:r>
              <w:rPr/>
              <w:t>公司简介和主要财务指标</w:t>
            </w:r>
            <w:r>
              <w:rPr>
                <w:rFonts w:ascii="Times New Roman" w:hAnsi="Times New Roman" w:cs="Times New Roman" w:eastAsia="Times New Roman" w:hint="default"/>
              </w:rPr>
              <w:tab/>
              <w:t>8</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第三节</w:t>
            </w:r>
            <w:r>
              <w:rPr>
                <w:spacing w:val="-18"/>
              </w:rPr>
              <w:t> </w:t>
            </w:r>
            <w:r>
              <w:rPr/>
              <w:t>公司业务概要</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18"/>
              </w:rPr>
              <w:t> </w:t>
            </w:r>
            <w:r>
              <w:rPr/>
              <w:t>管理层讨论与分析</w:t>
            </w:r>
            <w:r>
              <w:rPr>
                <w:rFonts w:ascii="Times New Roman" w:hAnsi="Times New Roman" w:cs="Times New Roman" w:eastAsia="Times New Roman" w:hint="default"/>
              </w:rPr>
              <w:tab/>
              <w:t>21</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18"/>
              </w:rPr>
              <w:t> </w:t>
            </w:r>
            <w:r>
              <w:rPr/>
              <w:t>重要事项</w:t>
            </w:r>
            <w:r>
              <w:rPr>
                <w:rFonts w:ascii="Times New Roman" w:hAnsi="Times New Roman" w:cs="Times New Roman" w:eastAsia="Times New Roman" w:hint="default"/>
              </w:rPr>
              <w:tab/>
              <w:t>29</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w:t>
            </w:r>
            <w:r>
              <w:rPr>
                <w:spacing w:val="-18"/>
              </w:rPr>
              <w:t> </w:t>
            </w:r>
            <w:r>
              <w:rPr/>
              <w:t>股份变动及股东情况</w:t>
            </w:r>
            <w:r>
              <w:rPr>
                <w:rFonts w:ascii="Times New Roman" w:hAnsi="Times New Roman" w:cs="Times New Roman" w:eastAsia="Times New Roman" w:hint="default"/>
              </w:rPr>
              <w:tab/>
              <w:t>34</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第七节</w:t>
            </w:r>
            <w:r>
              <w:rPr>
                <w:spacing w:val="-18"/>
              </w:rPr>
              <w:t> </w:t>
            </w:r>
            <w:r>
              <w:rPr/>
              <w:t>优先股相关情况</w:t>
            </w:r>
            <w:r>
              <w:rPr>
                <w:rFonts w:ascii="Times New Roman" w:hAnsi="Times New Roman" w:cs="Times New Roman" w:eastAsia="Times New Roman" w:hint="default"/>
              </w:rPr>
              <w:tab/>
              <w:t>34</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第八节</w:t>
            </w:r>
            <w:r>
              <w:rPr>
                <w:spacing w:val="-18"/>
              </w:rPr>
              <w:t> </w:t>
            </w:r>
            <w:r>
              <w:rPr/>
              <w:t>董事、监事、高级管理人员和员工情况</w:t>
            </w:r>
            <w:r>
              <w:rPr>
                <w:rFonts w:ascii="Times New Roman" w:hAnsi="Times New Roman" w:cs="Times New Roman" w:eastAsia="Times New Roman" w:hint="default"/>
              </w:rPr>
              <w:tab/>
              <w:t>35</w:t>
            </w:r>
            <w:r>
              <w:rPr>
                <w:rFonts w:ascii="Times New Roman" w:hAnsi="Times New Roman" w:cs="Times New Roman" w:eastAsia="Times New Roman" w:hint="default"/>
                <w:b w:val="0"/>
                <w:bCs w:val="0"/>
              </w:rPr>
            </w:r>
          </w:hyperlink>
        </w:p>
        <w:p>
          <w:pPr>
            <w:pStyle w:val="TOC1"/>
            <w:tabs>
              <w:tab w:pos="9783" w:val="right" w:leader="dot"/>
            </w:tabs>
            <w:spacing w:line="240" w:lineRule="auto" w:before="160"/>
            <w:ind w:right="0"/>
            <w:jc w:val="left"/>
            <w:rPr>
              <w:rFonts w:ascii="Times New Roman" w:hAnsi="Times New Roman" w:cs="Times New Roman" w:eastAsia="Times New Roman" w:hint="default"/>
              <w:b w:val="0"/>
              <w:bCs w:val="0"/>
            </w:rPr>
          </w:pPr>
          <w:hyperlink w:history="true" w:anchor="_bookmark7">
            <w:r>
              <w:rPr/>
              <w:t>第九节</w:t>
            </w:r>
            <w:r>
              <w:rPr>
                <w:spacing w:val="-18"/>
              </w:rPr>
              <w:t> </w:t>
            </w:r>
            <w:r>
              <w:rPr/>
              <w:t>公司治理</w:t>
            </w:r>
            <w:r>
              <w:rPr>
                <w:rFonts w:ascii="Times New Roman" w:hAnsi="Times New Roman" w:cs="Times New Roman" w:eastAsia="Times New Roman" w:hint="default"/>
              </w:rPr>
              <w:tab/>
              <w:t>44</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第十节</w:t>
            </w:r>
            <w:r>
              <w:rPr>
                <w:spacing w:val="-18"/>
              </w:rPr>
              <w:t> </w:t>
            </w:r>
            <w:r>
              <w:rPr/>
              <w:t>财务报告</w:t>
            </w:r>
            <w:r>
              <w:rPr>
                <w:rFonts w:ascii="Times New Roman" w:hAnsi="Times New Roman" w:cs="Times New Roman" w:eastAsia="Times New Roman" w:hint="default"/>
              </w:rPr>
              <w:tab/>
              <w:t>48</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第十一节</w:t>
            </w:r>
            <w:r>
              <w:rPr>
                <w:spacing w:val="-18"/>
              </w:rPr>
              <w:t> </w:t>
            </w:r>
            <w:r>
              <w:rPr/>
              <w:t>备查文件目录</w:t>
            </w:r>
            <w:r>
              <w:rPr>
                <w:rFonts w:ascii="Times New Roman" w:hAnsi="Times New Roman" w:cs="Times New Roman" w:eastAsia="Times New Roman" w:hint="default"/>
              </w:rPr>
              <w:tab/>
              <w:t>122</w:t>
            </w:r>
            <w:r>
              <w:rPr>
                <w:rFonts w:ascii="Times New Roman" w:hAnsi="Times New Roman" w:cs="Times New Roman" w:eastAsia="Times New Roman" w:hint="default"/>
                <w:b w:val="0"/>
                <w:bCs w:val="0"/>
              </w:rPr>
            </w:r>
          </w:hyperlink>
        </w:p>
      </w:sdtContent>
    </w:sdt>
    <w:p>
      <w:pPr>
        <w:spacing w:after="0" w:line="240" w:lineRule="auto"/>
        <w:jc w:val="left"/>
        <w:rPr>
          <w:rFonts w:ascii="Times New Roman" w:hAnsi="Times New Roman" w:cs="Times New Roman" w:eastAsia="Times New Roman" w:hint="default"/>
        </w:rPr>
        <w:sectPr>
          <w:pgSz w:w="11910" w:h="16840"/>
          <w:pgMar w:header="745" w:footer="979" w:top="1060" w:bottom="1160" w:left="980" w:right="980"/>
        </w:sectPr>
      </w:pPr>
    </w:p>
    <w:p>
      <w:pPr>
        <w:tabs>
          <w:tab w:pos="643" w:val="left" w:leader="none"/>
        </w:tabs>
        <w:spacing w:before="945"/>
        <w:ind w:left="0" w:right="0" w:firstLine="0"/>
        <w:jc w:val="center"/>
        <w:rPr>
          <w:rFonts w:ascii="宋体" w:hAnsi="宋体" w:cs="宋体" w:eastAsia="宋体" w:hint="default"/>
          <w:sz w:val="32"/>
          <w:szCs w:val="32"/>
        </w:rPr>
      </w:pPr>
      <w:r>
        <w:rPr>
          <w:rFonts w:ascii="宋体" w:hAnsi="宋体" w:cs="宋体" w:eastAsia="宋体" w:hint="default"/>
          <w:b/>
          <w:bCs/>
          <w:w w:val="95"/>
          <w:sz w:val="32"/>
          <w:szCs w:val="32"/>
        </w:rPr>
        <w:t>释</w:t>
        <w:tab/>
      </w:r>
      <w:r>
        <w:rPr>
          <w:rFonts w:ascii="宋体" w:hAnsi="宋体" w:cs="宋体" w:eastAsia="宋体" w:hint="default"/>
          <w:b/>
          <w:bCs/>
          <w:sz w:val="32"/>
          <w:szCs w:val="32"/>
        </w:rPr>
        <w:t>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2"/>
          <w:szCs w:val="22"/>
        </w:rPr>
      </w:pPr>
    </w:p>
    <w:tbl>
      <w:tblPr>
        <w:tblW w:w="0" w:type="auto"/>
        <w:jc w:val="left"/>
        <w:tblInd w:w="148" w:type="dxa"/>
        <w:tblLayout w:type="fixed"/>
        <w:tblCellMar>
          <w:top w:w="0" w:type="dxa"/>
          <w:left w:w="0" w:type="dxa"/>
          <w:bottom w:w="0" w:type="dxa"/>
          <w:right w:w="0" w:type="dxa"/>
        </w:tblCellMar>
        <w:tblLook w:val="01E0"/>
      </w:tblPr>
      <w:tblGrid>
        <w:gridCol w:w="2564"/>
        <w:gridCol w:w="545"/>
        <w:gridCol w:w="6462"/>
      </w:tblGrid>
      <w:tr>
        <w:trPr>
          <w:trHeight w:val="403" w:hRule="exact"/>
        </w:trPr>
        <w:tc>
          <w:tcPr>
            <w:tcW w:w="25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7"/>
              <w:jc w:val="center"/>
              <w:rPr>
                <w:rFonts w:ascii="宋体" w:hAnsi="宋体" w:cs="宋体" w:eastAsia="宋体" w:hint="default"/>
                <w:sz w:val="21"/>
                <w:szCs w:val="21"/>
              </w:rPr>
            </w:pPr>
            <w:r>
              <w:rPr>
                <w:rFonts w:ascii="宋体" w:hAnsi="宋体" w:cs="宋体" w:eastAsia="宋体" w:hint="default"/>
                <w:sz w:val="21"/>
                <w:szCs w:val="21"/>
              </w:rPr>
              <w:t>释义项</w:t>
            </w:r>
          </w:p>
        </w:tc>
        <w:tc>
          <w:tcPr>
            <w:tcW w:w="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6" w:right="0"/>
              <w:jc w:val="center"/>
              <w:rPr>
                <w:rFonts w:ascii="宋体" w:hAnsi="宋体" w:cs="宋体" w:eastAsia="宋体" w:hint="default"/>
                <w:sz w:val="21"/>
                <w:szCs w:val="21"/>
              </w:rPr>
            </w:pPr>
            <w:r>
              <w:rPr>
                <w:rFonts w:ascii="宋体" w:hAnsi="宋体" w:cs="宋体" w:eastAsia="宋体" w:hint="default"/>
                <w:sz w:val="21"/>
                <w:szCs w:val="21"/>
              </w:rPr>
              <w:t>释义内容</w:t>
            </w:r>
          </w:p>
        </w:tc>
      </w:tr>
      <w:tr>
        <w:trPr>
          <w:trHeight w:val="401" w:hRule="exact"/>
        </w:trPr>
        <w:tc>
          <w:tcPr>
            <w:tcW w:w="256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公司、本公司、广东华声</w:t>
            </w:r>
          </w:p>
        </w:tc>
        <w:tc>
          <w:tcPr>
            <w:tcW w:w="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4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广东华声电器股份有限公司</w:t>
            </w:r>
          </w:p>
        </w:tc>
      </w:tr>
      <w:tr>
        <w:trPr>
          <w:trHeight w:val="403" w:hRule="exact"/>
        </w:trPr>
        <w:tc>
          <w:tcPr>
            <w:tcW w:w="256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凤凰财智</w:t>
            </w:r>
          </w:p>
        </w:tc>
        <w:tc>
          <w:tcPr>
            <w:tcW w:w="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4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北京凤凰财智创新投资中心（有限合伙）</w:t>
            </w:r>
          </w:p>
        </w:tc>
      </w:tr>
      <w:tr>
        <w:trPr>
          <w:trHeight w:val="401" w:hRule="exact"/>
        </w:trPr>
        <w:tc>
          <w:tcPr>
            <w:tcW w:w="256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锐达投资</w:t>
            </w:r>
          </w:p>
        </w:tc>
        <w:tc>
          <w:tcPr>
            <w:tcW w:w="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4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佛山锐达投资发展有限公司，报告期内更名为江西达顺投资有限公司</w:t>
            </w:r>
          </w:p>
        </w:tc>
      </w:tr>
      <w:tr>
        <w:trPr>
          <w:trHeight w:val="403" w:hRule="exact"/>
        </w:trPr>
        <w:tc>
          <w:tcPr>
            <w:tcW w:w="256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香港华声</w:t>
            </w:r>
          </w:p>
        </w:tc>
        <w:tc>
          <w:tcPr>
            <w:tcW w:w="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4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华声（香港）有限公司</w:t>
            </w:r>
          </w:p>
        </w:tc>
      </w:tr>
      <w:tr>
        <w:trPr>
          <w:trHeight w:val="401" w:hRule="exact"/>
        </w:trPr>
        <w:tc>
          <w:tcPr>
            <w:tcW w:w="256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sz w:val="21"/>
                <w:szCs w:val="21"/>
              </w:rPr>
              <w:t>远茂化工</w:t>
            </w:r>
          </w:p>
        </w:tc>
        <w:tc>
          <w:tcPr>
            <w:tcW w:w="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4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9"/>
              <w:ind w:left="23" w:right="0"/>
              <w:jc w:val="left"/>
              <w:rPr>
                <w:rFonts w:ascii="宋体" w:hAnsi="宋体" w:cs="宋体" w:eastAsia="宋体" w:hint="default"/>
                <w:sz w:val="21"/>
                <w:szCs w:val="21"/>
              </w:rPr>
            </w:pPr>
            <w:r>
              <w:rPr>
                <w:rFonts w:ascii="宋体" w:hAnsi="宋体" w:cs="宋体" w:eastAsia="宋体" w:hint="default"/>
                <w:sz w:val="21"/>
                <w:szCs w:val="21"/>
              </w:rPr>
              <w:t>佛山市顺德区远茂化工实业有限公司</w:t>
            </w:r>
          </w:p>
        </w:tc>
      </w:tr>
      <w:tr>
        <w:trPr>
          <w:trHeight w:val="403" w:hRule="exact"/>
        </w:trPr>
        <w:tc>
          <w:tcPr>
            <w:tcW w:w="256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扬州华声</w:t>
            </w:r>
          </w:p>
        </w:tc>
        <w:tc>
          <w:tcPr>
            <w:tcW w:w="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4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扬州华声电子实业有限公司</w:t>
            </w:r>
          </w:p>
        </w:tc>
      </w:tr>
      <w:tr>
        <w:trPr>
          <w:trHeight w:val="401" w:hRule="exact"/>
        </w:trPr>
        <w:tc>
          <w:tcPr>
            <w:tcW w:w="256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佛山装配</w:t>
            </w:r>
          </w:p>
        </w:tc>
        <w:tc>
          <w:tcPr>
            <w:tcW w:w="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4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佛山市华声电子装配有限责任公司</w:t>
            </w:r>
          </w:p>
        </w:tc>
      </w:tr>
      <w:tr>
        <w:trPr>
          <w:trHeight w:val="403" w:hRule="exact"/>
        </w:trPr>
        <w:tc>
          <w:tcPr>
            <w:tcW w:w="256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扬州装配</w:t>
            </w:r>
          </w:p>
        </w:tc>
        <w:tc>
          <w:tcPr>
            <w:tcW w:w="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4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扬州华声电器装配有限公司</w:t>
            </w:r>
          </w:p>
        </w:tc>
      </w:tr>
      <w:tr>
        <w:trPr>
          <w:trHeight w:val="401" w:hRule="exact"/>
        </w:trPr>
        <w:tc>
          <w:tcPr>
            <w:tcW w:w="256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华声电缆</w:t>
            </w:r>
          </w:p>
        </w:tc>
        <w:tc>
          <w:tcPr>
            <w:tcW w:w="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4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广东华声电缆有限公司</w:t>
            </w:r>
          </w:p>
        </w:tc>
      </w:tr>
      <w:tr>
        <w:trPr>
          <w:trHeight w:val="403" w:hRule="exact"/>
        </w:trPr>
        <w:tc>
          <w:tcPr>
            <w:tcW w:w="256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深圳华声</w:t>
            </w:r>
          </w:p>
        </w:tc>
        <w:tc>
          <w:tcPr>
            <w:tcW w:w="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4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深圳华声前海投资有限公司</w:t>
            </w:r>
          </w:p>
        </w:tc>
      </w:tr>
      <w:tr>
        <w:trPr>
          <w:trHeight w:val="401" w:hRule="exact"/>
        </w:trPr>
        <w:tc>
          <w:tcPr>
            <w:tcW w:w="256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华声实业</w:t>
            </w:r>
          </w:p>
        </w:tc>
        <w:tc>
          <w:tcPr>
            <w:tcW w:w="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4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广东华声电器实业有限公司</w:t>
            </w:r>
          </w:p>
        </w:tc>
      </w:tr>
      <w:tr>
        <w:trPr>
          <w:trHeight w:val="403" w:hRule="exact"/>
        </w:trPr>
        <w:tc>
          <w:tcPr>
            <w:tcW w:w="256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华声香港投资</w:t>
            </w:r>
          </w:p>
        </w:tc>
        <w:tc>
          <w:tcPr>
            <w:tcW w:w="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4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left="23" w:right="0"/>
              <w:jc w:val="left"/>
              <w:rPr>
                <w:rFonts w:ascii="Times New Roman" w:hAnsi="Times New Roman" w:cs="Times New Roman" w:eastAsia="Times New Roman" w:hint="default"/>
                <w:sz w:val="21"/>
                <w:szCs w:val="21"/>
              </w:rPr>
            </w:pPr>
            <w:r>
              <w:rPr>
                <w:rFonts w:ascii="Times New Roman"/>
                <w:spacing w:val="-9"/>
                <w:sz w:val="21"/>
              </w:rPr>
              <w:t>Wa </w:t>
            </w:r>
            <w:r>
              <w:rPr>
                <w:rFonts w:ascii="Times New Roman"/>
                <w:sz w:val="21"/>
              </w:rPr>
              <w:t>Sung Investment</w:t>
            </w:r>
            <w:r>
              <w:rPr>
                <w:rFonts w:ascii="Times New Roman"/>
                <w:spacing w:val="3"/>
                <w:sz w:val="21"/>
              </w:rPr>
              <w:t> </w:t>
            </w:r>
            <w:r>
              <w:rPr>
                <w:rFonts w:ascii="Times New Roman"/>
                <w:sz w:val="21"/>
              </w:rPr>
              <w:t>Limited</w:t>
            </w:r>
          </w:p>
        </w:tc>
      </w:tr>
      <w:tr>
        <w:trPr>
          <w:trHeight w:val="401" w:hRule="exact"/>
        </w:trPr>
        <w:tc>
          <w:tcPr>
            <w:tcW w:w="256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8"/>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BVI</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华声</w:t>
            </w:r>
          </w:p>
        </w:tc>
        <w:tc>
          <w:tcPr>
            <w:tcW w:w="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4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pacing w:val="-3"/>
                <w:sz w:val="21"/>
                <w:szCs w:val="21"/>
              </w:rPr>
              <w:t>华声国际投资有限公司（</w:t>
            </w:r>
            <w:r>
              <w:rPr>
                <w:rFonts w:ascii="Times New Roman" w:hAnsi="Times New Roman" w:cs="Times New Roman" w:eastAsia="Times New Roman" w:hint="default"/>
                <w:spacing w:val="-3"/>
                <w:sz w:val="21"/>
                <w:szCs w:val="21"/>
              </w:rPr>
              <w:t>Wa </w:t>
            </w:r>
            <w:r>
              <w:rPr>
                <w:rFonts w:ascii="Times New Roman" w:hAnsi="Times New Roman" w:cs="Times New Roman" w:eastAsia="Times New Roman" w:hint="default"/>
                <w:sz w:val="21"/>
                <w:szCs w:val="21"/>
              </w:rPr>
              <w:t>Sung International Investment</w:t>
            </w:r>
            <w:r>
              <w:rPr>
                <w:rFonts w:ascii="Times New Roman" w:hAnsi="Times New Roman" w:cs="Times New Roman" w:eastAsia="Times New Roman" w:hint="default"/>
                <w:spacing w:val="12"/>
                <w:sz w:val="21"/>
                <w:szCs w:val="21"/>
              </w:rPr>
              <w:t> </w:t>
            </w:r>
            <w:r>
              <w:rPr>
                <w:rFonts w:ascii="Times New Roman" w:hAnsi="Times New Roman" w:cs="Times New Roman" w:eastAsia="Times New Roman" w:hint="default"/>
                <w:sz w:val="21"/>
                <w:szCs w:val="21"/>
              </w:rPr>
              <w:t>Limited</w:t>
            </w:r>
            <w:r>
              <w:rPr>
                <w:rFonts w:ascii="宋体" w:hAnsi="宋体" w:cs="宋体" w:eastAsia="宋体" w:hint="default"/>
                <w:sz w:val="21"/>
                <w:szCs w:val="21"/>
              </w:rPr>
              <w:t>）</w:t>
            </w:r>
          </w:p>
        </w:tc>
      </w:tr>
      <w:tr>
        <w:trPr>
          <w:trHeight w:val="161" w:hRule="exact"/>
        </w:trPr>
        <w:tc>
          <w:tcPr>
            <w:tcW w:w="2564" w:type="dxa"/>
            <w:vMerge w:val="restart"/>
            <w:tcBorders>
              <w:top w:val="single" w:sz="4" w:space="0" w:color="000000"/>
              <w:left w:val="single" w:sz="4" w:space="0" w:color="000000"/>
              <w:right w:val="single" w:sz="9" w:space="0" w:color="D2D2D2"/>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开曼华声</w:t>
            </w:r>
          </w:p>
        </w:tc>
        <w:tc>
          <w:tcPr>
            <w:tcW w:w="545" w:type="dxa"/>
            <w:tcBorders>
              <w:top w:val="single" w:sz="4" w:space="0" w:color="000000"/>
              <w:left w:val="single" w:sz="4" w:space="0" w:color="000000"/>
              <w:bottom w:val="nil" w:sz="6" w:space="0" w:color="auto"/>
              <w:right w:val="single" w:sz="4" w:space="0" w:color="000000"/>
            </w:tcBorders>
            <w:shd w:val="clear" w:color="auto" w:fill="D2D2D2"/>
          </w:tcPr>
          <w:p>
            <w:pPr/>
          </w:p>
        </w:tc>
        <w:tc>
          <w:tcPr>
            <w:tcW w:w="6462" w:type="dxa"/>
            <w:vMerge w:val="restart"/>
            <w:tcBorders>
              <w:top w:val="single" w:sz="4" w:space="0" w:color="000000"/>
              <w:left w:val="single" w:sz="10" w:space="0" w:color="D2D2D2"/>
              <w:right w:val="single" w:sz="4" w:space="0" w:color="000000"/>
            </w:tcBorders>
          </w:tcPr>
          <w:p>
            <w:pPr>
              <w:pStyle w:val="TableParagraph"/>
              <w:spacing w:line="256" w:lineRule="auto" w:before="28"/>
              <w:ind w:left="28" w:right="943"/>
              <w:jc w:val="left"/>
              <w:rPr>
                <w:rFonts w:ascii="宋体" w:hAnsi="宋体" w:cs="宋体" w:eastAsia="宋体" w:hint="default"/>
                <w:sz w:val="21"/>
                <w:szCs w:val="21"/>
              </w:rPr>
            </w:pPr>
            <w:r>
              <w:rPr>
                <w:rFonts w:ascii="宋体" w:hAnsi="宋体" w:cs="宋体" w:eastAsia="宋体" w:hint="default"/>
                <w:sz w:val="21"/>
                <w:szCs w:val="21"/>
              </w:rPr>
              <w:t>华声互联网投资管理有限公司（</w:t>
            </w:r>
            <w:r>
              <w:rPr>
                <w:rFonts w:ascii="Times New Roman" w:hAnsi="Times New Roman" w:cs="Times New Roman" w:eastAsia="Times New Roman" w:hint="default"/>
                <w:sz w:val="21"/>
                <w:szCs w:val="21"/>
              </w:rPr>
              <w:t>Huasheng Internet</w:t>
            </w:r>
            <w:r>
              <w:rPr>
                <w:rFonts w:ascii="Times New Roman" w:hAnsi="Times New Roman" w:cs="Times New Roman" w:eastAsia="Times New Roman" w:hint="default"/>
                <w:spacing w:val="-9"/>
                <w:sz w:val="21"/>
                <w:szCs w:val="21"/>
              </w:rPr>
              <w:t> </w:t>
            </w:r>
            <w:r>
              <w:rPr>
                <w:rFonts w:ascii="Times New Roman" w:hAnsi="Times New Roman" w:cs="Times New Roman" w:eastAsia="Times New Roman" w:hint="default"/>
                <w:sz w:val="21"/>
                <w:szCs w:val="21"/>
              </w:rPr>
              <w:t>Investment</w:t>
            </w:r>
            <w:r>
              <w:rPr>
                <w:rFonts w:ascii="Times New Roman" w:hAnsi="Times New Roman" w:cs="Times New Roman" w:eastAsia="Times New Roman" w:hint="default"/>
                <w:w w:val="100"/>
                <w:sz w:val="21"/>
                <w:szCs w:val="21"/>
              </w:rPr>
              <w:t> </w:t>
            </w:r>
            <w:r>
              <w:rPr>
                <w:rFonts w:ascii="Times New Roman" w:hAnsi="Times New Roman" w:cs="Times New Roman" w:eastAsia="Times New Roman" w:hint="default"/>
                <w:sz w:val="21"/>
                <w:szCs w:val="21"/>
              </w:rPr>
              <w:t>Management</w:t>
            </w:r>
            <w:r>
              <w:rPr>
                <w:rFonts w:ascii="Times New Roman" w:hAnsi="Times New Roman" w:cs="Times New Roman" w:eastAsia="Times New Roman" w:hint="default"/>
                <w:spacing w:val="-5"/>
                <w:sz w:val="21"/>
                <w:szCs w:val="21"/>
              </w:rPr>
              <w:t> </w:t>
            </w:r>
            <w:r>
              <w:rPr>
                <w:rFonts w:ascii="Times New Roman" w:hAnsi="Times New Roman" w:cs="Times New Roman" w:eastAsia="Times New Roman" w:hint="default"/>
                <w:sz w:val="21"/>
                <w:szCs w:val="21"/>
              </w:rPr>
              <w:t>Limited</w:t>
            </w:r>
            <w:r>
              <w:rPr>
                <w:rFonts w:ascii="宋体" w:hAnsi="宋体" w:cs="宋体" w:eastAsia="宋体" w:hint="default"/>
                <w:sz w:val="21"/>
                <w:szCs w:val="21"/>
              </w:rPr>
              <w:t>）</w:t>
            </w:r>
          </w:p>
        </w:tc>
      </w:tr>
      <w:tr>
        <w:trPr>
          <w:trHeight w:val="394" w:hRule="exact"/>
        </w:trPr>
        <w:tc>
          <w:tcPr>
            <w:tcW w:w="2564" w:type="dxa"/>
            <w:vMerge/>
            <w:tcBorders>
              <w:left w:val="single" w:sz="4" w:space="0" w:color="000000"/>
              <w:right w:val="single" w:sz="9" w:space="0" w:color="D2D2D2"/>
            </w:tcBorders>
          </w:tcPr>
          <w:p>
            <w:pPr/>
          </w:p>
        </w:tc>
        <w:tc>
          <w:tcPr>
            <w:tcW w:w="54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462" w:type="dxa"/>
            <w:vMerge/>
            <w:tcBorders>
              <w:left w:val="single" w:sz="10" w:space="0" w:color="D2D2D2"/>
              <w:right w:val="single" w:sz="4" w:space="0" w:color="000000"/>
            </w:tcBorders>
          </w:tcPr>
          <w:p>
            <w:pPr/>
          </w:p>
        </w:tc>
      </w:tr>
      <w:tr>
        <w:trPr>
          <w:trHeight w:val="161" w:hRule="exact"/>
        </w:trPr>
        <w:tc>
          <w:tcPr>
            <w:tcW w:w="2564" w:type="dxa"/>
            <w:vMerge/>
            <w:tcBorders>
              <w:left w:val="single" w:sz="4" w:space="0" w:color="000000"/>
              <w:bottom w:val="single" w:sz="4" w:space="0" w:color="000000"/>
              <w:right w:val="single" w:sz="9" w:space="0" w:color="D2D2D2"/>
            </w:tcBorders>
          </w:tcPr>
          <w:p>
            <w:pPr/>
          </w:p>
        </w:tc>
        <w:tc>
          <w:tcPr>
            <w:tcW w:w="545" w:type="dxa"/>
            <w:tcBorders>
              <w:top w:val="nil" w:sz="6" w:space="0" w:color="auto"/>
              <w:left w:val="single" w:sz="4" w:space="0" w:color="000000"/>
              <w:bottom w:val="single" w:sz="4" w:space="0" w:color="000000"/>
              <w:right w:val="single" w:sz="4" w:space="0" w:color="000000"/>
            </w:tcBorders>
            <w:shd w:val="clear" w:color="auto" w:fill="D2D2D2"/>
          </w:tcPr>
          <w:p>
            <w:pPr/>
          </w:p>
        </w:tc>
        <w:tc>
          <w:tcPr>
            <w:tcW w:w="6462" w:type="dxa"/>
            <w:vMerge/>
            <w:tcBorders>
              <w:left w:val="single" w:sz="10" w:space="0" w:color="D2D2D2"/>
              <w:bottom w:val="single" w:sz="4" w:space="0" w:color="000000"/>
              <w:right w:val="single" w:sz="4" w:space="0" w:color="000000"/>
            </w:tcBorders>
          </w:tcPr>
          <w:p>
            <w:pPr/>
          </w:p>
        </w:tc>
      </w:tr>
      <w:tr>
        <w:trPr>
          <w:trHeight w:val="401" w:hRule="exact"/>
        </w:trPr>
        <w:tc>
          <w:tcPr>
            <w:tcW w:w="256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开曼有限合伙</w:t>
            </w:r>
          </w:p>
        </w:tc>
        <w:tc>
          <w:tcPr>
            <w:tcW w:w="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4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华声互联网投资有限合伙（</w:t>
            </w:r>
            <w:r>
              <w:rPr>
                <w:rFonts w:ascii="Times New Roman" w:hAnsi="Times New Roman" w:cs="Times New Roman" w:eastAsia="Times New Roman" w:hint="default"/>
                <w:sz w:val="21"/>
                <w:szCs w:val="21"/>
              </w:rPr>
              <w:t>Huasheng Internet Investment</w:t>
            </w:r>
            <w:r>
              <w:rPr>
                <w:rFonts w:ascii="Times New Roman" w:hAnsi="Times New Roman" w:cs="Times New Roman" w:eastAsia="Times New Roman" w:hint="default"/>
                <w:spacing w:val="-3"/>
                <w:sz w:val="21"/>
                <w:szCs w:val="21"/>
              </w:rPr>
              <w:t> </w:t>
            </w:r>
            <w:r>
              <w:rPr>
                <w:rFonts w:ascii="Times New Roman" w:hAnsi="Times New Roman" w:cs="Times New Roman" w:eastAsia="Times New Roman" w:hint="default"/>
                <w:spacing w:val="-6"/>
                <w:sz w:val="21"/>
                <w:szCs w:val="21"/>
              </w:rPr>
              <w:t>L.P.</w:t>
            </w:r>
            <w:r>
              <w:rPr>
                <w:rFonts w:ascii="宋体" w:hAnsi="宋体" w:cs="宋体" w:eastAsia="宋体" w:hint="default"/>
                <w:spacing w:val="-6"/>
                <w:sz w:val="21"/>
                <w:szCs w:val="21"/>
              </w:rPr>
              <w:t>）</w:t>
            </w:r>
          </w:p>
        </w:tc>
      </w:tr>
      <w:tr>
        <w:trPr>
          <w:trHeight w:val="161" w:hRule="exact"/>
        </w:trPr>
        <w:tc>
          <w:tcPr>
            <w:tcW w:w="2564" w:type="dxa"/>
            <w:vMerge w:val="restart"/>
            <w:tcBorders>
              <w:top w:val="single" w:sz="4" w:space="0" w:color="000000"/>
              <w:left w:val="single" w:sz="4" w:space="0" w:color="000000"/>
              <w:right w:val="single" w:sz="9" w:space="0" w:color="D2D2D2"/>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本次重大资产重组</w:t>
            </w:r>
          </w:p>
        </w:tc>
        <w:tc>
          <w:tcPr>
            <w:tcW w:w="545" w:type="dxa"/>
            <w:tcBorders>
              <w:top w:val="single" w:sz="4" w:space="0" w:color="000000"/>
              <w:left w:val="single" w:sz="4" w:space="0" w:color="000000"/>
              <w:bottom w:val="nil" w:sz="6" w:space="0" w:color="auto"/>
              <w:right w:val="single" w:sz="4" w:space="0" w:color="000000"/>
            </w:tcBorders>
            <w:shd w:val="clear" w:color="auto" w:fill="D2D2D2"/>
          </w:tcPr>
          <w:p>
            <w:pPr/>
          </w:p>
        </w:tc>
        <w:tc>
          <w:tcPr>
            <w:tcW w:w="6462" w:type="dxa"/>
            <w:vMerge w:val="restart"/>
            <w:tcBorders>
              <w:top w:val="single" w:sz="4" w:space="0" w:color="000000"/>
              <w:left w:val="single" w:sz="10" w:space="0" w:color="D2D2D2"/>
              <w:right w:val="single" w:sz="4" w:space="0" w:color="000000"/>
            </w:tcBorders>
          </w:tcPr>
          <w:p>
            <w:pPr>
              <w:pStyle w:val="TableParagraph"/>
              <w:spacing w:line="256" w:lineRule="auto" w:before="28"/>
              <w:ind w:left="28" w:right="194"/>
              <w:jc w:val="left"/>
              <w:rPr>
                <w:rFonts w:ascii="宋体" w:hAnsi="宋体" w:cs="宋体" w:eastAsia="宋体" w:hint="default"/>
                <w:sz w:val="21"/>
                <w:szCs w:val="21"/>
              </w:rPr>
            </w:pPr>
            <w:r>
              <w:rPr>
                <w:rFonts w:ascii="宋体" w:hAnsi="宋体" w:cs="宋体" w:eastAsia="宋体" w:hint="default"/>
                <w:sz w:val="21"/>
                <w:szCs w:val="21"/>
              </w:rPr>
              <w:t>公司发行股份及支付现金购买国盛证券有限责任公司</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100%</w:t>
            </w:r>
            <w:r>
              <w:rPr>
                <w:rFonts w:ascii="宋体" w:hAnsi="宋体" w:cs="宋体" w:eastAsia="宋体" w:hint="default"/>
                <w:sz w:val="21"/>
                <w:szCs w:val="21"/>
              </w:rPr>
              <w:t>股权并募</w:t>
            </w:r>
            <w:r>
              <w:rPr>
                <w:rFonts w:ascii="宋体" w:hAnsi="宋体" w:cs="宋体" w:eastAsia="宋体" w:hint="default"/>
                <w:w w:val="100"/>
                <w:sz w:val="21"/>
                <w:szCs w:val="21"/>
              </w:rPr>
              <w:t> </w:t>
            </w:r>
            <w:r>
              <w:rPr>
                <w:rFonts w:ascii="宋体" w:hAnsi="宋体" w:cs="宋体" w:eastAsia="宋体" w:hint="default"/>
                <w:sz w:val="21"/>
                <w:szCs w:val="21"/>
              </w:rPr>
              <w:t>集配套资金</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69.30</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亿元</w:t>
            </w:r>
            <w:r>
              <w:rPr>
                <w:rFonts w:ascii="宋体" w:hAnsi="宋体" w:cs="宋体" w:eastAsia="宋体" w:hint="default"/>
                <w:sz w:val="21"/>
                <w:szCs w:val="21"/>
              </w:rPr>
            </w:r>
          </w:p>
        </w:tc>
      </w:tr>
      <w:tr>
        <w:trPr>
          <w:trHeight w:val="394" w:hRule="exact"/>
        </w:trPr>
        <w:tc>
          <w:tcPr>
            <w:tcW w:w="2564" w:type="dxa"/>
            <w:vMerge/>
            <w:tcBorders>
              <w:left w:val="single" w:sz="4" w:space="0" w:color="000000"/>
              <w:right w:val="single" w:sz="9" w:space="0" w:color="D2D2D2"/>
            </w:tcBorders>
          </w:tcPr>
          <w:p>
            <w:pPr/>
          </w:p>
        </w:tc>
        <w:tc>
          <w:tcPr>
            <w:tcW w:w="54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462" w:type="dxa"/>
            <w:vMerge/>
            <w:tcBorders>
              <w:left w:val="single" w:sz="10" w:space="0" w:color="D2D2D2"/>
              <w:right w:val="single" w:sz="4" w:space="0" w:color="000000"/>
            </w:tcBorders>
          </w:tcPr>
          <w:p>
            <w:pPr/>
          </w:p>
        </w:tc>
      </w:tr>
      <w:tr>
        <w:trPr>
          <w:trHeight w:val="161" w:hRule="exact"/>
        </w:trPr>
        <w:tc>
          <w:tcPr>
            <w:tcW w:w="2564" w:type="dxa"/>
            <w:vMerge/>
            <w:tcBorders>
              <w:left w:val="single" w:sz="4" w:space="0" w:color="000000"/>
              <w:bottom w:val="single" w:sz="4" w:space="0" w:color="000000"/>
              <w:right w:val="single" w:sz="9" w:space="0" w:color="D2D2D2"/>
            </w:tcBorders>
          </w:tcPr>
          <w:p>
            <w:pPr/>
          </w:p>
        </w:tc>
        <w:tc>
          <w:tcPr>
            <w:tcW w:w="545" w:type="dxa"/>
            <w:tcBorders>
              <w:top w:val="nil" w:sz="6" w:space="0" w:color="auto"/>
              <w:left w:val="single" w:sz="4" w:space="0" w:color="000000"/>
              <w:bottom w:val="single" w:sz="4" w:space="0" w:color="000000"/>
              <w:right w:val="single" w:sz="4" w:space="0" w:color="000000"/>
            </w:tcBorders>
            <w:shd w:val="clear" w:color="auto" w:fill="D2D2D2"/>
          </w:tcPr>
          <w:p>
            <w:pPr/>
          </w:p>
        </w:tc>
        <w:tc>
          <w:tcPr>
            <w:tcW w:w="6462" w:type="dxa"/>
            <w:vMerge/>
            <w:tcBorders>
              <w:left w:val="single" w:sz="10" w:space="0" w:color="D2D2D2"/>
              <w:bottom w:val="single" w:sz="4" w:space="0" w:color="000000"/>
              <w:right w:val="single" w:sz="4" w:space="0" w:color="000000"/>
            </w:tcBorders>
          </w:tcPr>
          <w:p>
            <w:pPr/>
          </w:p>
        </w:tc>
      </w:tr>
      <w:tr>
        <w:trPr>
          <w:trHeight w:val="401" w:hRule="exact"/>
        </w:trPr>
        <w:tc>
          <w:tcPr>
            <w:tcW w:w="256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国盛证券</w:t>
            </w:r>
          </w:p>
        </w:tc>
        <w:tc>
          <w:tcPr>
            <w:tcW w:w="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4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国盛证券有限责任公司</w:t>
            </w:r>
          </w:p>
        </w:tc>
      </w:tr>
      <w:tr>
        <w:trPr>
          <w:trHeight w:val="403" w:hRule="exact"/>
        </w:trPr>
        <w:tc>
          <w:tcPr>
            <w:tcW w:w="256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百安保险</w:t>
            </w:r>
          </w:p>
        </w:tc>
        <w:tc>
          <w:tcPr>
            <w:tcW w:w="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4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百安互联网保险（贵安新区）股份有限公司</w:t>
            </w:r>
          </w:p>
        </w:tc>
      </w:tr>
      <w:tr>
        <w:trPr>
          <w:trHeight w:val="401" w:hRule="exact"/>
        </w:trPr>
        <w:tc>
          <w:tcPr>
            <w:tcW w:w="256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君安人寿</w:t>
            </w:r>
          </w:p>
        </w:tc>
        <w:tc>
          <w:tcPr>
            <w:tcW w:w="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4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君安人寿保险股份有限公司</w:t>
            </w:r>
          </w:p>
        </w:tc>
      </w:tr>
    </w:tbl>
    <w:p>
      <w:pPr>
        <w:spacing w:after="0" w:line="240" w:lineRule="auto"/>
        <w:jc w:val="left"/>
        <w:rPr>
          <w:rFonts w:ascii="宋体" w:hAnsi="宋体" w:cs="宋体" w:eastAsia="宋体" w:hint="default"/>
          <w:sz w:val="21"/>
          <w:szCs w:val="21"/>
        </w:rPr>
        <w:sectPr>
          <w:pgSz w:w="11910" w:h="16840"/>
          <w:pgMar w:header="745" w:footer="979" w:top="1060" w:bottom="116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pStyle w:val="Heading1"/>
        <w:spacing w:line="240" w:lineRule="auto"/>
        <w:ind w:left="2642" w:right="0"/>
        <w:jc w:val="left"/>
        <w:rPr>
          <w:b w:val="0"/>
          <w:bCs w:val="0"/>
        </w:rPr>
      </w:pPr>
      <w:bookmarkStart w:name="_bookmark0" w:id="1"/>
      <w:bookmarkEnd w:id="1"/>
      <w:r>
        <w:rPr>
          <w:b w:val="0"/>
          <w:bCs w:val="0"/>
        </w:rPr>
      </w:r>
      <w:r>
        <w:rPr/>
        <w:t>第二节</w:t>
      </w:r>
      <w:r>
        <w:rPr>
          <w:spacing w:val="-6"/>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529"/>
        <w:gridCol w:w="2387"/>
        <w:gridCol w:w="2338"/>
        <w:gridCol w:w="2374"/>
      </w:tblGrid>
      <w:tr>
        <w:trPr>
          <w:trHeight w:val="40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股票简称</w:t>
            </w:r>
          </w:p>
        </w:tc>
        <w:tc>
          <w:tcPr>
            <w:tcW w:w="2387"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28"/>
              <w:ind w:left="27" w:right="0"/>
              <w:jc w:val="left"/>
              <w:rPr>
                <w:rFonts w:ascii="宋体" w:hAnsi="宋体" w:cs="宋体" w:eastAsia="宋体" w:hint="default"/>
                <w:sz w:val="21"/>
                <w:szCs w:val="21"/>
              </w:rPr>
            </w:pPr>
            <w:r>
              <w:rPr>
                <w:rFonts w:ascii="宋体" w:hAnsi="宋体" w:cs="宋体" w:eastAsia="宋体" w:hint="default"/>
                <w:sz w:val="21"/>
                <w:szCs w:val="21"/>
              </w:rPr>
              <w:t>华声股份</w:t>
            </w: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股票代码</w:t>
            </w:r>
          </w:p>
        </w:tc>
        <w:tc>
          <w:tcPr>
            <w:tcW w:w="237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left="28" w:right="0"/>
              <w:jc w:val="left"/>
              <w:rPr>
                <w:rFonts w:ascii="Times New Roman" w:hAnsi="Times New Roman" w:cs="Times New Roman" w:eastAsia="Times New Roman" w:hint="default"/>
                <w:sz w:val="21"/>
                <w:szCs w:val="21"/>
              </w:rPr>
            </w:pPr>
            <w:r>
              <w:rPr>
                <w:rFonts w:ascii="Times New Roman"/>
                <w:sz w:val="21"/>
              </w:rPr>
              <w:t>002670</w:t>
            </w:r>
          </w:p>
        </w:tc>
      </w:tr>
      <w:tr>
        <w:trPr>
          <w:trHeight w:val="401"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股票上市证券交易所</w:t>
            </w:r>
          </w:p>
        </w:tc>
        <w:tc>
          <w:tcPr>
            <w:tcW w:w="709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4" w:right="0"/>
              <w:jc w:val="left"/>
              <w:rPr>
                <w:rFonts w:ascii="宋体" w:hAnsi="宋体" w:cs="宋体" w:eastAsia="宋体" w:hint="default"/>
                <w:sz w:val="21"/>
                <w:szCs w:val="21"/>
              </w:rPr>
            </w:pPr>
            <w:r>
              <w:rPr>
                <w:rFonts w:ascii="宋体" w:hAnsi="宋体" w:cs="宋体" w:eastAsia="宋体" w:hint="default"/>
                <w:sz w:val="21"/>
                <w:szCs w:val="21"/>
              </w:rPr>
              <w:t>深圳证券交易所</w:t>
            </w:r>
          </w:p>
        </w:tc>
      </w:tr>
      <w:tr>
        <w:trPr>
          <w:trHeight w:val="40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公司的中文名称</w:t>
            </w:r>
          </w:p>
        </w:tc>
        <w:tc>
          <w:tcPr>
            <w:tcW w:w="7099"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left="27" w:right="0"/>
              <w:jc w:val="left"/>
              <w:rPr>
                <w:rFonts w:ascii="宋体" w:hAnsi="宋体" w:cs="宋体" w:eastAsia="宋体" w:hint="default"/>
                <w:sz w:val="21"/>
                <w:szCs w:val="21"/>
              </w:rPr>
            </w:pPr>
            <w:r>
              <w:rPr>
                <w:rFonts w:ascii="宋体" w:hAnsi="宋体" w:cs="宋体" w:eastAsia="宋体" w:hint="default"/>
                <w:sz w:val="21"/>
                <w:szCs w:val="21"/>
              </w:rPr>
              <w:t>广东华声电器股份有限公司</w:t>
            </w:r>
          </w:p>
        </w:tc>
      </w:tr>
      <w:tr>
        <w:trPr>
          <w:trHeight w:val="401"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公司的中文简称</w:t>
            </w:r>
          </w:p>
        </w:tc>
        <w:tc>
          <w:tcPr>
            <w:tcW w:w="7099"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left="27" w:right="0"/>
              <w:jc w:val="left"/>
              <w:rPr>
                <w:rFonts w:ascii="宋体" w:hAnsi="宋体" w:cs="宋体" w:eastAsia="宋体" w:hint="default"/>
                <w:sz w:val="21"/>
                <w:szCs w:val="21"/>
              </w:rPr>
            </w:pPr>
            <w:r>
              <w:rPr>
                <w:rFonts w:ascii="宋体" w:hAnsi="宋体" w:cs="宋体" w:eastAsia="宋体" w:hint="default"/>
                <w:sz w:val="21"/>
                <w:szCs w:val="21"/>
              </w:rPr>
              <w:t>华声股份</w:t>
            </w:r>
          </w:p>
        </w:tc>
      </w:tr>
      <w:tr>
        <w:trPr>
          <w:trHeight w:val="404"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宋体" w:hAnsi="宋体" w:cs="宋体" w:eastAsia="宋体" w:hint="default"/>
                <w:sz w:val="21"/>
                <w:szCs w:val="21"/>
              </w:rPr>
              <w:t>公司的外文名称（如有）</w:t>
            </w:r>
          </w:p>
        </w:tc>
        <w:tc>
          <w:tcPr>
            <w:tcW w:w="7099"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left="27" w:right="0"/>
              <w:jc w:val="left"/>
              <w:rPr>
                <w:rFonts w:ascii="Times New Roman" w:hAnsi="Times New Roman" w:cs="Times New Roman" w:eastAsia="Times New Roman" w:hint="default"/>
                <w:sz w:val="21"/>
                <w:szCs w:val="21"/>
              </w:rPr>
            </w:pPr>
            <w:r>
              <w:rPr>
                <w:rFonts w:ascii="Times New Roman"/>
                <w:sz w:val="21"/>
              </w:rPr>
              <w:t>Guangdong Huasheng Electrical Appliance</w:t>
            </w:r>
            <w:r>
              <w:rPr>
                <w:rFonts w:ascii="Times New Roman"/>
                <w:spacing w:val="-27"/>
                <w:sz w:val="21"/>
              </w:rPr>
              <w:t> </w:t>
            </w:r>
            <w:r>
              <w:rPr>
                <w:rFonts w:ascii="Times New Roman"/>
                <w:sz w:val="21"/>
              </w:rPr>
              <w:t>Co.,Ltd</w:t>
            </w:r>
          </w:p>
        </w:tc>
      </w:tr>
      <w:tr>
        <w:trPr>
          <w:trHeight w:val="401"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公司的法定代表人</w:t>
            </w:r>
          </w:p>
        </w:tc>
        <w:tc>
          <w:tcPr>
            <w:tcW w:w="7099"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left="27" w:right="0"/>
              <w:jc w:val="left"/>
              <w:rPr>
                <w:rFonts w:ascii="宋体" w:hAnsi="宋体" w:cs="宋体" w:eastAsia="宋体" w:hint="default"/>
                <w:sz w:val="21"/>
                <w:szCs w:val="21"/>
              </w:rPr>
            </w:pPr>
            <w:r>
              <w:rPr>
                <w:rFonts w:ascii="宋体" w:hAnsi="宋体" w:cs="宋体" w:eastAsia="宋体" w:hint="default"/>
                <w:sz w:val="21"/>
                <w:szCs w:val="21"/>
              </w:rPr>
              <w:t>杜力</w:t>
            </w:r>
          </w:p>
        </w:tc>
      </w:tr>
      <w:tr>
        <w:trPr>
          <w:trHeight w:val="40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注册地址</w:t>
            </w:r>
          </w:p>
        </w:tc>
        <w:tc>
          <w:tcPr>
            <w:tcW w:w="7099"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left="27" w:right="0"/>
              <w:jc w:val="left"/>
              <w:rPr>
                <w:rFonts w:ascii="宋体" w:hAnsi="宋体" w:cs="宋体" w:eastAsia="宋体" w:hint="default"/>
                <w:sz w:val="21"/>
                <w:szCs w:val="21"/>
              </w:rPr>
            </w:pPr>
            <w:r>
              <w:rPr>
                <w:rFonts w:ascii="宋体" w:hAnsi="宋体" w:cs="宋体" w:eastAsia="宋体" w:hint="default"/>
                <w:sz w:val="21"/>
                <w:szCs w:val="21"/>
              </w:rPr>
              <w:t>佛山市顺德区容桂街道华口昌宝东路</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w:t>
            </w:r>
          </w:p>
        </w:tc>
      </w:tr>
      <w:tr>
        <w:trPr>
          <w:trHeight w:val="401"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注册地址的邮政编码</w:t>
            </w:r>
          </w:p>
        </w:tc>
        <w:tc>
          <w:tcPr>
            <w:tcW w:w="7099"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left="27" w:right="0"/>
              <w:jc w:val="left"/>
              <w:rPr>
                <w:rFonts w:ascii="Times New Roman" w:hAnsi="Times New Roman" w:cs="Times New Roman" w:eastAsia="Times New Roman" w:hint="default"/>
                <w:sz w:val="21"/>
                <w:szCs w:val="21"/>
              </w:rPr>
            </w:pPr>
            <w:r>
              <w:rPr>
                <w:rFonts w:ascii="Times New Roman"/>
                <w:sz w:val="21"/>
              </w:rPr>
              <w:t>528306</w:t>
            </w:r>
          </w:p>
        </w:tc>
      </w:tr>
      <w:tr>
        <w:trPr>
          <w:trHeight w:val="40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7099"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left="27" w:right="0"/>
              <w:jc w:val="left"/>
              <w:rPr>
                <w:rFonts w:ascii="宋体" w:hAnsi="宋体" w:cs="宋体" w:eastAsia="宋体" w:hint="default"/>
                <w:sz w:val="21"/>
                <w:szCs w:val="21"/>
              </w:rPr>
            </w:pPr>
            <w:r>
              <w:rPr>
                <w:rFonts w:ascii="宋体" w:hAnsi="宋体" w:cs="宋体" w:eastAsia="宋体" w:hint="default"/>
                <w:sz w:val="21"/>
                <w:szCs w:val="21"/>
              </w:rPr>
              <w:t>佛山市顺德区容桂街道华口昌宝东路</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号</w:t>
            </w:r>
          </w:p>
        </w:tc>
      </w:tr>
      <w:tr>
        <w:trPr>
          <w:trHeight w:val="401"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办公地址的邮政编码</w:t>
            </w:r>
          </w:p>
        </w:tc>
        <w:tc>
          <w:tcPr>
            <w:tcW w:w="7099"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left="27" w:right="0"/>
              <w:jc w:val="left"/>
              <w:rPr>
                <w:rFonts w:ascii="Times New Roman" w:hAnsi="Times New Roman" w:cs="Times New Roman" w:eastAsia="Times New Roman" w:hint="default"/>
                <w:sz w:val="21"/>
                <w:szCs w:val="21"/>
              </w:rPr>
            </w:pPr>
            <w:r>
              <w:rPr>
                <w:rFonts w:ascii="Times New Roman"/>
                <w:sz w:val="21"/>
              </w:rPr>
              <w:t>528306</w:t>
            </w:r>
          </w:p>
        </w:tc>
      </w:tr>
      <w:tr>
        <w:trPr>
          <w:trHeight w:val="40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公司网址</w:t>
            </w:r>
          </w:p>
        </w:tc>
        <w:tc>
          <w:tcPr>
            <w:tcW w:w="7099"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left="27" w:right="0"/>
              <w:jc w:val="left"/>
              <w:rPr>
                <w:rFonts w:ascii="Times New Roman" w:hAnsi="Times New Roman" w:cs="Times New Roman" w:eastAsia="Times New Roman" w:hint="default"/>
                <w:sz w:val="21"/>
                <w:szCs w:val="21"/>
              </w:rPr>
            </w:pPr>
            <w:hyperlink r:id="rId9">
              <w:r>
                <w:rPr>
                  <w:rFonts w:ascii="Times New Roman"/>
                  <w:sz w:val="21"/>
                </w:rPr>
                <w:t>www.wasung.com</w:t>
              </w:r>
            </w:hyperlink>
          </w:p>
        </w:tc>
      </w:tr>
      <w:tr>
        <w:trPr>
          <w:trHeight w:val="401"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7099"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left="27" w:right="0"/>
              <w:jc w:val="left"/>
              <w:rPr>
                <w:rFonts w:ascii="Times New Roman" w:hAnsi="Times New Roman" w:cs="Times New Roman" w:eastAsia="Times New Roman" w:hint="default"/>
                <w:sz w:val="21"/>
                <w:szCs w:val="21"/>
              </w:rPr>
            </w:pPr>
            <w:hyperlink r:id="rId10">
              <w:r>
                <w:rPr>
                  <w:rFonts w:ascii="Times New Roman"/>
                  <w:sz w:val="21"/>
                </w:rPr>
                <w:t>zqb@wasung.com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二、联系人和联系方式</w:t>
      </w:r>
      <w:r>
        <w:rPr>
          <w:b w:val="0"/>
          <w:bCs w:val="0"/>
        </w:rPr>
      </w:r>
    </w:p>
    <w:p>
      <w:pPr>
        <w:spacing w:line="240" w:lineRule="auto" w:before="11"/>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540"/>
        <w:gridCol w:w="3545"/>
        <w:gridCol w:w="3543"/>
      </w:tblGrid>
      <w:tr>
        <w:trPr>
          <w:trHeight w:val="401" w:hRule="exact"/>
        </w:trPr>
        <w:tc>
          <w:tcPr>
            <w:tcW w:w="2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7"/>
              <w:jc w:val="center"/>
              <w:rPr>
                <w:rFonts w:ascii="宋体" w:hAnsi="宋体" w:cs="宋体" w:eastAsia="宋体" w:hint="default"/>
                <w:sz w:val="21"/>
                <w:szCs w:val="21"/>
              </w:rPr>
            </w:pPr>
            <w:r>
              <w:rPr>
                <w:rFonts w:ascii="宋体" w:hAnsi="宋体" w:cs="宋体" w:eastAsia="宋体" w:hint="default"/>
                <w:sz w:val="21"/>
                <w:szCs w:val="21"/>
              </w:rPr>
              <w:t>项目</w:t>
            </w:r>
          </w:p>
        </w:tc>
        <w:tc>
          <w:tcPr>
            <w:tcW w:w="3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35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37" w:right="0"/>
              <w:jc w:val="left"/>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403" w:hRule="exact"/>
        </w:trPr>
        <w:tc>
          <w:tcPr>
            <w:tcW w:w="2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354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left="16" w:right="0"/>
              <w:jc w:val="left"/>
              <w:rPr>
                <w:rFonts w:ascii="宋体" w:hAnsi="宋体" w:cs="宋体" w:eastAsia="宋体" w:hint="default"/>
                <w:sz w:val="21"/>
                <w:szCs w:val="21"/>
              </w:rPr>
            </w:pPr>
            <w:r>
              <w:rPr>
                <w:rFonts w:ascii="宋体" w:hAnsi="宋体" w:cs="宋体" w:eastAsia="宋体" w:hint="default"/>
                <w:sz w:val="21"/>
                <w:szCs w:val="21"/>
              </w:rPr>
              <w:t>赵岑</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方胜玲</w:t>
            </w:r>
          </w:p>
        </w:tc>
      </w:tr>
      <w:tr>
        <w:trPr>
          <w:trHeight w:val="161" w:hRule="exact"/>
        </w:trPr>
        <w:tc>
          <w:tcPr>
            <w:tcW w:w="2540" w:type="dxa"/>
            <w:tcBorders>
              <w:top w:val="single" w:sz="4" w:space="0" w:color="000000"/>
              <w:left w:val="single" w:sz="4" w:space="0" w:color="000000"/>
              <w:bottom w:val="nil" w:sz="6" w:space="0" w:color="auto"/>
              <w:right w:val="single" w:sz="4" w:space="0" w:color="000000"/>
            </w:tcBorders>
            <w:shd w:val="clear" w:color="auto" w:fill="D2D2D2"/>
          </w:tcPr>
          <w:p>
            <w:pPr/>
          </w:p>
        </w:tc>
        <w:tc>
          <w:tcPr>
            <w:tcW w:w="3545" w:type="dxa"/>
            <w:vMerge w:val="restart"/>
            <w:tcBorders>
              <w:top w:val="single" w:sz="4" w:space="0" w:color="000000"/>
              <w:left w:val="single" w:sz="10" w:space="0" w:color="D2D2D2"/>
              <w:right w:val="single" w:sz="4" w:space="0" w:color="000000"/>
            </w:tcBorders>
          </w:tcPr>
          <w:p>
            <w:pPr>
              <w:pStyle w:val="TableParagraph"/>
              <w:spacing w:line="240" w:lineRule="auto" w:before="28"/>
              <w:ind w:left="16" w:right="0"/>
              <w:jc w:val="left"/>
              <w:rPr>
                <w:rFonts w:ascii="宋体" w:hAnsi="宋体" w:cs="宋体" w:eastAsia="宋体" w:hint="default"/>
                <w:sz w:val="21"/>
                <w:szCs w:val="21"/>
              </w:rPr>
            </w:pPr>
            <w:r>
              <w:rPr>
                <w:rFonts w:ascii="宋体" w:hAnsi="宋体" w:cs="宋体" w:eastAsia="宋体" w:hint="default"/>
                <w:sz w:val="21"/>
                <w:szCs w:val="21"/>
              </w:rPr>
              <w:t>佛山市顺德区容桂街道华口昌宝东路</w:t>
            </w:r>
          </w:p>
          <w:p>
            <w:pPr>
              <w:pStyle w:val="TableParagraph"/>
              <w:spacing w:line="240" w:lineRule="auto" w:before="37"/>
              <w:ind w:left="1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w:t>
            </w:r>
          </w:p>
        </w:tc>
        <w:tc>
          <w:tcPr>
            <w:tcW w:w="3543" w:type="dxa"/>
            <w:vMerge w:val="restart"/>
            <w:tcBorders>
              <w:top w:val="single" w:sz="4" w:space="0" w:color="000000"/>
              <w:left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佛山市顺德区容桂街道华口昌宝东路</w:t>
            </w:r>
          </w:p>
          <w:p>
            <w:pPr>
              <w:pStyle w:val="TableParagraph"/>
              <w:spacing w:line="240" w:lineRule="auto" w:before="37"/>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w:t>
            </w:r>
          </w:p>
        </w:tc>
      </w:tr>
      <w:tr>
        <w:trPr>
          <w:trHeight w:val="391" w:hRule="exact"/>
        </w:trPr>
        <w:tc>
          <w:tcPr>
            <w:tcW w:w="25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3545" w:type="dxa"/>
            <w:vMerge/>
            <w:tcBorders>
              <w:left w:val="single" w:sz="10" w:space="0" w:color="D2D2D2"/>
              <w:right w:val="single" w:sz="4" w:space="0" w:color="000000"/>
            </w:tcBorders>
          </w:tcPr>
          <w:p>
            <w:pPr/>
          </w:p>
        </w:tc>
        <w:tc>
          <w:tcPr>
            <w:tcW w:w="3543" w:type="dxa"/>
            <w:vMerge/>
            <w:tcBorders>
              <w:left w:val="single" w:sz="4" w:space="0" w:color="000000"/>
              <w:right w:val="single" w:sz="4" w:space="0" w:color="000000"/>
            </w:tcBorders>
          </w:tcPr>
          <w:p>
            <w:pPr/>
          </w:p>
        </w:tc>
      </w:tr>
      <w:tr>
        <w:trPr>
          <w:trHeight w:val="161" w:hRule="exact"/>
        </w:trPr>
        <w:tc>
          <w:tcPr>
            <w:tcW w:w="2540" w:type="dxa"/>
            <w:tcBorders>
              <w:top w:val="nil" w:sz="6" w:space="0" w:color="auto"/>
              <w:left w:val="single" w:sz="4" w:space="0" w:color="000000"/>
              <w:bottom w:val="single" w:sz="4" w:space="0" w:color="000000"/>
              <w:right w:val="single" w:sz="4" w:space="0" w:color="000000"/>
            </w:tcBorders>
            <w:shd w:val="clear" w:color="auto" w:fill="D2D2D2"/>
          </w:tcPr>
          <w:p>
            <w:pPr/>
          </w:p>
        </w:tc>
        <w:tc>
          <w:tcPr>
            <w:tcW w:w="3545" w:type="dxa"/>
            <w:vMerge/>
            <w:tcBorders>
              <w:left w:val="single" w:sz="10" w:space="0" w:color="D2D2D2"/>
              <w:bottom w:val="single" w:sz="4" w:space="0" w:color="000000"/>
              <w:right w:val="single" w:sz="4" w:space="0" w:color="000000"/>
            </w:tcBorders>
          </w:tcPr>
          <w:p>
            <w:pPr/>
          </w:p>
        </w:tc>
        <w:tc>
          <w:tcPr>
            <w:tcW w:w="3543" w:type="dxa"/>
            <w:vMerge/>
            <w:tcBorders>
              <w:left w:val="single" w:sz="4" w:space="0" w:color="000000"/>
              <w:bottom w:val="single" w:sz="4" w:space="0" w:color="000000"/>
              <w:right w:val="single" w:sz="4" w:space="0" w:color="000000"/>
            </w:tcBorders>
          </w:tcPr>
          <w:p>
            <w:pPr/>
          </w:p>
        </w:tc>
      </w:tr>
      <w:tr>
        <w:trPr>
          <w:trHeight w:val="403" w:hRule="exact"/>
        </w:trPr>
        <w:tc>
          <w:tcPr>
            <w:tcW w:w="2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354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left="16" w:right="0"/>
              <w:jc w:val="left"/>
              <w:rPr>
                <w:rFonts w:ascii="Times New Roman" w:hAnsi="Times New Roman" w:cs="Times New Roman" w:eastAsia="Times New Roman" w:hint="default"/>
                <w:sz w:val="21"/>
                <w:szCs w:val="21"/>
              </w:rPr>
            </w:pPr>
            <w:r>
              <w:rPr>
                <w:rFonts w:ascii="Times New Roman"/>
                <w:sz w:val="21"/>
              </w:rPr>
              <w:t>0757-26680089</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Times New Roman" w:hAnsi="Times New Roman" w:cs="Times New Roman" w:eastAsia="Times New Roman" w:hint="default"/>
                <w:sz w:val="21"/>
                <w:szCs w:val="21"/>
              </w:rPr>
            </w:pPr>
            <w:r>
              <w:rPr>
                <w:rFonts w:ascii="Times New Roman"/>
                <w:sz w:val="21"/>
              </w:rPr>
              <w:t>0757-26680089</w:t>
            </w:r>
          </w:p>
        </w:tc>
      </w:tr>
      <w:tr>
        <w:trPr>
          <w:trHeight w:val="401" w:hRule="exact"/>
        </w:trPr>
        <w:tc>
          <w:tcPr>
            <w:tcW w:w="2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354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left="16" w:right="0"/>
              <w:jc w:val="left"/>
              <w:rPr>
                <w:rFonts w:ascii="Times New Roman" w:hAnsi="Times New Roman" w:cs="Times New Roman" w:eastAsia="Times New Roman" w:hint="default"/>
                <w:sz w:val="21"/>
                <w:szCs w:val="21"/>
              </w:rPr>
            </w:pPr>
            <w:r>
              <w:rPr>
                <w:rFonts w:ascii="Times New Roman"/>
                <w:sz w:val="21"/>
              </w:rPr>
              <w:t>0757-26680089</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Times New Roman" w:hAnsi="Times New Roman" w:cs="Times New Roman" w:eastAsia="Times New Roman" w:hint="default"/>
                <w:sz w:val="21"/>
                <w:szCs w:val="21"/>
              </w:rPr>
            </w:pPr>
            <w:r>
              <w:rPr>
                <w:rFonts w:ascii="Times New Roman"/>
                <w:sz w:val="21"/>
              </w:rPr>
              <w:t>0757-26680089</w:t>
            </w:r>
          </w:p>
        </w:tc>
      </w:tr>
      <w:tr>
        <w:trPr>
          <w:trHeight w:val="403" w:hRule="exact"/>
        </w:trPr>
        <w:tc>
          <w:tcPr>
            <w:tcW w:w="2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354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left="16" w:right="0"/>
              <w:jc w:val="left"/>
              <w:rPr>
                <w:rFonts w:ascii="Times New Roman" w:hAnsi="Times New Roman" w:cs="Times New Roman" w:eastAsia="Times New Roman" w:hint="default"/>
                <w:sz w:val="21"/>
                <w:szCs w:val="21"/>
              </w:rPr>
            </w:pPr>
            <w:hyperlink r:id="rId10">
              <w:r>
                <w:rPr>
                  <w:rFonts w:ascii="Times New Roman"/>
                  <w:sz w:val="21"/>
                </w:rPr>
                <w:t>zqb@wasung.com</w:t>
              </w:r>
            </w:hyperlink>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Times New Roman" w:hAnsi="Times New Roman" w:cs="Times New Roman" w:eastAsia="Times New Roman" w:hint="default"/>
                <w:sz w:val="21"/>
                <w:szCs w:val="21"/>
              </w:rPr>
            </w:pPr>
            <w:hyperlink r:id="rId10">
              <w:r>
                <w:rPr>
                  <w:rFonts w:ascii="Times New Roman"/>
                  <w:sz w:val="21"/>
                </w:rPr>
                <w:t>zqb@wasung.com</w:t>
              </w:r>
            </w:hyperlink>
          </w:p>
        </w:tc>
      </w:tr>
    </w:tbl>
    <w:p>
      <w:pPr>
        <w:spacing w:line="254" w:lineRule="exact" w:before="0"/>
        <w:ind w:left="152" w:right="0" w:firstLine="0"/>
        <w:jc w:val="left"/>
        <w:rPr>
          <w:rFonts w:ascii="宋体" w:hAnsi="宋体" w:cs="宋体" w:eastAsia="宋体" w:hint="default"/>
          <w:sz w:val="20"/>
          <w:szCs w:val="20"/>
        </w:rPr>
      </w:pPr>
      <w:r>
        <w:rPr>
          <w:rFonts w:ascii="宋体" w:hAnsi="宋体" w:cs="宋体" w:eastAsia="宋体" w:hint="default"/>
          <w:sz w:val="20"/>
          <w:szCs w:val="20"/>
        </w:rPr>
        <w:t>注：方胜玲于报告期后担任公司证券事务代表。</w:t>
      </w:r>
    </w:p>
    <w:p>
      <w:pPr>
        <w:spacing w:line="240" w:lineRule="auto" w:before="6"/>
        <w:rPr>
          <w:rFonts w:ascii="宋体" w:hAnsi="宋体" w:cs="宋体" w:eastAsia="宋体" w:hint="default"/>
          <w:sz w:val="24"/>
          <w:szCs w:val="24"/>
        </w:rPr>
      </w:pPr>
    </w:p>
    <w:p>
      <w:pPr>
        <w:pStyle w:val="Heading2"/>
        <w:spacing w:line="240" w:lineRule="auto"/>
        <w:ind w:right="0"/>
        <w:jc w:val="left"/>
        <w:rPr>
          <w:b w:val="0"/>
          <w:bCs w:val="0"/>
        </w:rPr>
      </w:pP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253"/>
        <w:gridCol w:w="5387"/>
      </w:tblGrid>
      <w:tr>
        <w:trPr>
          <w:trHeight w:val="401" w:hRule="exact"/>
        </w:trPr>
        <w:tc>
          <w:tcPr>
            <w:tcW w:w="4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公司选定的信息披露媒体的名称</w:t>
            </w:r>
          </w:p>
        </w:tc>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w w:val="100"/>
                <w:sz w:val="21"/>
                <w:szCs w:val="21"/>
              </w:rPr>
              <w:t>《中</w:t>
            </w:r>
            <w:r>
              <w:rPr>
                <w:rFonts w:ascii="宋体" w:hAnsi="宋体" w:cs="宋体" w:eastAsia="宋体" w:hint="default"/>
                <w:spacing w:val="-3"/>
                <w:w w:val="100"/>
                <w:sz w:val="21"/>
                <w:szCs w:val="21"/>
              </w:rPr>
              <w:t>国</w:t>
            </w:r>
            <w:r>
              <w:rPr>
                <w:rFonts w:ascii="宋体" w:hAnsi="宋体" w:cs="宋体" w:eastAsia="宋体" w:hint="default"/>
                <w:w w:val="100"/>
                <w:sz w:val="21"/>
                <w:szCs w:val="21"/>
              </w:rPr>
              <w:t>证</w:t>
            </w:r>
            <w:r>
              <w:rPr>
                <w:rFonts w:ascii="宋体" w:hAnsi="宋体" w:cs="宋体" w:eastAsia="宋体" w:hint="default"/>
                <w:spacing w:val="-3"/>
                <w:w w:val="100"/>
                <w:sz w:val="21"/>
                <w:szCs w:val="21"/>
              </w:rPr>
              <w:t>券</w:t>
            </w:r>
            <w:r>
              <w:rPr>
                <w:rFonts w:ascii="宋体" w:hAnsi="宋体" w:cs="宋体" w:eastAsia="宋体" w:hint="default"/>
                <w:w w:val="100"/>
                <w:sz w:val="21"/>
                <w:szCs w:val="21"/>
              </w:rPr>
              <w:t>报</w:t>
            </w:r>
            <w:r>
              <w:rPr>
                <w:rFonts w:ascii="宋体" w:hAnsi="宋体" w:cs="宋体" w:eastAsia="宋体" w:hint="default"/>
                <w:spacing w:val="-106"/>
                <w:w w:val="100"/>
                <w:sz w:val="21"/>
                <w:szCs w:val="21"/>
              </w:rPr>
              <w:t>》</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证</w:t>
            </w:r>
            <w:r>
              <w:rPr>
                <w:rFonts w:ascii="宋体" w:hAnsi="宋体" w:cs="宋体" w:eastAsia="宋体" w:hint="default"/>
                <w:w w:val="100"/>
                <w:sz w:val="21"/>
                <w:szCs w:val="21"/>
              </w:rPr>
              <w:t>券</w:t>
            </w:r>
            <w:r>
              <w:rPr>
                <w:rFonts w:ascii="宋体" w:hAnsi="宋体" w:cs="宋体" w:eastAsia="宋体" w:hint="default"/>
                <w:spacing w:val="-3"/>
                <w:w w:val="100"/>
                <w:sz w:val="21"/>
                <w:szCs w:val="21"/>
              </w:rPr>
              <w:t>时</w:t>
            </w:r>
            <w:r>
              <w:rPr>
                <w:rFonts w:ascii="宋体" w:hAnsi="宋体" w:cs="宋体" w:eastAsia="宋体" w:hint="default"/>
                <w:w w:val="100"/>
                <w:sz w:val="21"/>
                <w:szCs w:val="21"/>
              </w:rPr>
              <w:t>报</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上</w:t>
            </w:r>
            <w:r>
              <w:rPr>
                <w:rFonts w:ascii="宋体" w:hAnsi="宋体" w:cs="宋体" w:eastAsia="宋体" w:hint="default"/>
                <w:spacing w:val="-3"/>
                <w:w w:val="100"/>
                <w:sz w:val="21"/>
                <w:szCs w:val="21"/>
              </w:rPr>
              <w:t>海</w:t>
            </w:r>
            <w:r>
              <w:rPr>
                <w:rFonts w:ascii="宋体" w:hAnsi="宋体" w:cs="宋体" w:eastAsia="宋体" w:hint="default"/>
                <w:w w:val="100"/>
                <w:sz w:val="21"/>
                <w:szCs w:val="21"/>
              </w:rPr>
              <w:t>证</w:t>
            </w:r>
            <w:r>
              <w:rPr>
                <w:rFonts w:ascii="宋体" w:hAnsi="宋体" w:cs="宋体" w:eastAsia="宋体" w:hint="default"/>
                <w:spacing w:val="-3"/>
                <w:w w:val="100"/>
                <w:sz w:val="21"/>
                <w:szCs w:val="21"/>
              </w:rPr>
              <w:t>券</w:t>
            </w:r>
            <w:r>
              <w:rPr>
                <w:rFonts w:ascii="宋体" w:hAnsi="宋体" w:cs="宋体" w:eastAsia="宋体" w:hint="default"/>
                <w:w w:val="100"/>
                <w:sz w:val="21"/>
                <w:szCs w:val="21"/>
              </w:rPr>
              <w:t>报》</w:t>
            </w:r>
          </w:p>
        </w:tc>
      </w:tr>
      <w:tr>
        <w:trPr>
          <w:trHeight w:val="403" w:hRule="exact"/>
        </w:trPr>
        <w:tc>
          <w:tcPr>
            <w:tcW w:w="4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4" w:right="0"/>
              <w:jc w:val="left"/>
              <w:rPr>
                <w:rFonts w:ascii="Times New Roman" w:hAnsi="Times New Roman" w:cs="Times New Roman" w:eastAsia="Times New Roman" w:hint="default"/>
                <w:sz w:val="21"/>
                <w:szCs w:val="21"/>
              </w:rPr>
            </w:pPr>
            <w:hyperlink r:id="rId11">
              <w:r>
                <w:rPr>
                  <w:rFonts w:ascii="Times New Roman"/>
                  <w:sz w:val="21"/>
                </w:rPr>
                <w:t>www.cninfo.com.cn</w:t>
              </w:r>
            </w:hyperlink>
          </w:p>
        </w:tc>
      </w:tr>
      <w:tr>
        <w:trPr>
          <w:trHeight w:val="401" w:hRule="exact"/>
        </w:trPr>
        <w:tc>
          <w:tcPr>
            <w:tcW w:w="4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公司董事会办公室</w:t>
            </w:r>
          </w:p>
        </w:tc>
      </w:tr>
    </w:tbl>
    <w:p>
      <w:pPr>
        <w:spacing w:line="254" w:lineRule="exact" w:before="0"/>
        <w:ind w:left="152" w:right="0" w:firstLine="0"/>
        <w:jc w:val="left"/>
        <w:rPr>
          <w:rFonts w:ascii="宋体" w:hAnsi="宋体" w:cs="宋体" w:eastAsia="宋体" w:hint="default"/>
          <w:sz w:val="20"/>
          <w:szCs w:val="20"/>
        </w:rPr>
      </w:pPr>
      <w:r>
        <w:rPr>
          <w:rFonts w:ascii="宋体" w:hAnsi="宋体" w:cs="宋体" w:eastAsia="宋体" w:hint="default"/>
          <w:sz w:val="20"/>
          <w:szCs w:val="20"/>
        </w:rPr>
        <w:t>注：《上海证券报》于报告期后成为公司选定信息披露媒体。</w:t>
      </w:r>
    </w:p>
    <w:p>
      <w:pPr>
        <w:spacing w:after="0" w:line="254" w:lineRule="exact"/>
        <w:jc w:val="left"/>
        <w:rPr>
          <w:rFonts w:ascii="宋体" w:hAnsi="宋体" w:cs="宋体" w:eastAsia="宋体" w:hint="default"/>
          <w:sz w:val="20"/>
          <w:szCs w:val="20"/>
        </w:rPr>
        <w:sectPr>
          <w:pgSz w:w="11910" w:h="16840"/>
          <w:pgMar w:header="745" w:footer="979" w:top="1060" w:bottom="1160" w:left="980" w:right="980"/>
        </w:sectPr>
      </w:pPr>
    </w:p>
    <w:p>
      <w:pPr>
        <w:spacing w:line="240" w:lineRule="auto" w:before="6"/>
        <w:rPr>
          <w:rFonts w:ascii="宋体" w:hAnsi="宋体" w:cs="宋体" w:eastAsia="宋体" w:hint="default"/>
          <w:sz w:val="23"/>
          <w:szCs w:val="23"/>
        </w:rPr>
      </w:pPr>
    </w:p>
    <w:p>
      <w:pPr>
        <w:pStyle w:val="Heading2"/>
        <w:spacing w:line="240" w:lineRule="auto" w:before="26"/>
        <w:ind w:right="0"/>
        <w:jc w:val="left"/>
        <w:rPr>
          <w:b w:val="0"/>
          <w:bCs w:val="0"/>
        </w:rPr>
      </w:pPr>
      <w:r>
        <w:rPr/>
        <w:t>四、注册变更情况</w:t>
      </w:r>
      <w:r>
        <w:rPr>
          <w:b w:val="0"/>
          <w:bCs w:val="0"/>
        </w:rPr>
      </w:r>
    </w:p>
    <w:p>
      <w:pPr>
        <w:spacing w:line="240" w:lineRule="auto" w:before="1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253"/>
        <w:gridCol w:w="5317"/>
      </w:tblGrid>
      <w:tr>
        <w:trPr>
          <w:trHeight w:val="402" w:hRule="exact"/>
        </w:trPr>
        <w:tc>
          <w:tcPr>
            <w:tcW w:w="4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组织机构代码</w:t>
            </w:r>
          </w:p>
        </w:tc>
        <w:tc>
          <w:tcPr>
            <w:tcW w:w="5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4" w:right="0"/>
              <w:jc w:val="left"/>
              <w:rPr>
                <w:rFonts w:ascii="Times New Roman" w:hAnsi="Times New Roman" w:cs="Times New Roman" w:eastAsia="Times New Roman" w:hint="default"/>
                <w:sz w:val="21"/>
                <w:szCs w:val="21"/>
              </w:rPr>
            </w:pPr>
            <w:r>
              <w:rPr>
                <w:rFonts w:ascii="Times New Roman"/>
                <w:sz w:val="21"/>
              </w:rPr>
              <w:t>617655613</w:t>
            </w:r>
          </w:p>
        </w:tc>
      </w:tr>
      <w:tr>
        <w:trPr>
          <w:trHeight w:val="402" w:hRule="exact"/>
        </w:trPr>
        <w:tc>
          <w:tcPr>
            <w:tcW w:w="4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2" w:right="0"/>
              <w:jc w:val="left"/>
              <w:rPr>
                <w:rFonts w:ascii="宋体" w:hAnsi="宋体" w:cs="宋体" w:eastAsia="宋体" w:hint="default"/>
                <w:sz w:val="21"/>
                <w:szCs w:val="21"/>
              </w:rPr>
            </w:pPr>
            <w:r>
              <w:rPr>
                <w:rFonts w:ascii="宋体" w:hAnsi="宋体" w:cs="宋体" w:eastAsia="宋体" w:hint="default"/>
                <w:sz w:val="21"/>
                <w:szCs w:val="21"/>
              </w:rPr>
              <w:t>公司上市以来主营业务的变化情况（如有）</w:t>
            </w:r>
          </w:p>
        </w:tc>
        <w:tc>
          <w:tcPr>
            <w:tcW w:w="5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sz w:val="21"/>
                <w:szCs w:val="21"/>
              </w:rPr>
              <w:t>无变化</w:t>
            </w:r>
          </w:p>
        </w:tc>
      </w:tr>
      <w:tr>
        <w:trPr>
          <w:trHeight w:val="715" w:hRule="exact"/>
        </w:trPr>
        <w:tc>
          <w:tcPr>
            <w:tcW w:w="4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历次控股股东的变更情况（如有）</w:t>
            </w:r>
          </w:p>
        </w:tc>
        <w:tc>
          <w:tcPr>
            <w:tcW w:w="5317"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8"/>
              <w:ind w:left="24" w:right="17"/>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39"/>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9"/>
                <w:sz w:val="21"/>
                <w:szCs w:val="21"/>
              </w:rPr>
              <w:t> </w:t>
            </w:r>
            <w:r>
              <w:rPr>
                <w:rFonts w:ascii="宋体" w:hAnsi="宋体" w:cs="宋体" w:eastAsia="宋体" w:hint="default"/>
                <w:spacing w:val="-4"/>
                <w:sz w:val="21"/>
                <w:szCs w:val="21"/>
              </w:rPr>
              <w:t>月，公司控股股东变更为北京凤凰财智创新投资</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13"/>
                <w:w w:val="100"/>
                <w:sz w:val="21"/>
                <w:szCs w:val="21"/>
              </w:rPr>
              <w:t>中心（有限合伙）。</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五、其他有关资料</w:t>
      </w:r>
      <w:r>
        <w:rPr>
          <w:b w:val="0"/>
          <w:bCs w:val="0"/>
        </w:rPr>
      </w:r>
    </w:p>
    <w:p>
      <w:pPr>
        <w:spacing w:line="240" w:lineRule="auto" w:before="9"/>
        <w:rPr>
          <w:rFonts w:ascii="宋体" w:hAnsi="宋体" w:cs="宋体" w:eastAsia="宋体" w:hint="default"/>
          <w:b/>
          <w:bCs/>
          <w:sz w:val="24"/>
          <w:szCs w:val="24"/>
        </w:rPr>
      </w:pPr>
    </w:p>
    <w:p>
      <w:pPr>
        <w:pStyle w:val="BodyText"/>
        <w:spacing w:line="240" w:lineRule="auto"/>
        <w:ind w:right="0"/>
        <w:jc w:val="left"/>
      </w:pPr>
      <w:r>
        <w:rPr/>
        <w:t>公司聘请的会计师事务所</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661"/>
        <w:gridCol w:w="6908"/>
      </w:tblGrid>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会计师事务所名称</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立信会计师事务所（特殊普通合伙）</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2" w:right="0"/>
              <w:jc w:val="left"/>
              <w:rPr>
                <w:rFonts w:ascii="宋体" w:hAnsi="宋体" w:cs="宋体" w:eastAsia="宋体" w:hint="default"/>
                <w:sz w:val="21"/>
                <w:szCs w:val="21"/>
              </w:rPr>
            </w:pPr>
            <w:r>
              <w:rPr>
                <w:rFonts w:ascii="宋体" w:hAnsi="宋体" w:cs="宋体" w:eastAsia="宋体" w:hint="default"/>
                <w:sz w:val="21"/>
                <w:szCs w:val="21"/>
              </w:rPr>
              <w:t>会计师事务所办公地址</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上海市黄浦区南京东路</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 </w:t>
            </w:r>
            <w:r>
              <w:rPr>
                <w:rFonts w:ascii="宋体" w:hAnsi="宋体" w:cs="宋体" w:eastAsia="宋体" w:hint="default"/>
                <w:sz w:val="21"/>
                <w:szCs w:val="21"/>
              </w:rPr>
              <w:t>楼</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杨志平、廖倩文</w:t>
            </w:r>
          </w:p>
        </w:tc>
      </w:tr>
    </w:tbl>
    <w:p>
      <w:pPr>
        <w:pStyle w:val="BodyText"/>
        <w:tabs>
          <w:tab w:pos="8137" w:val="left" w:leader="none"/>
        </w:tabs>
        <w:spacing w:line="240" w:lineRule="auto" w:before="28"/>
        <w:ind w:right="0"/>
        <w:jc w:val="left"/>
      </w:pPr>
      <w:r>
        <w:rPr>
          <w:spacing w:val="-2"/>
        </w:rPr>
        <w:t>公司聘请的报告期内履行持续督导职责的保荐机构</w:t>
        <w:tab/>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spacing w:val="-1"/>
        </w:rPr>
        <w:t>不适用</w:t>
      </w:r>
    </w:p>
    <w:p>
      <w:pPr>
        <w:pStyle w:val="BodyText"/>
        <w:tabs>
          <w:tab w:pos="8137" w:val="left" w:leader="none"/>
          <w:tab w:pos="8770" w:val="left" w:leader="none"/>
        </w:tabs>
        <w:spacing w:line="484" w:lineRule="auto" w:before="59"/>
        <w:ind w:right="196"/>
        <w:jc w:val="left"/>
      </w:pPr>
      <w:r>
        <w:rPr/>
        <w:pict>
          <v:shape style="position:absolute;margin-left:57pt;margin-top:82.413651pt;width:478.7pt;height:252.9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240"/>
                    <w:gridCol w:w="159"/>
                    <w:gridCol w:w="1409"/>
                    <w:gridCol w:w="1560"/>
                    <w:gridCol w:w="1561"/>
                    <w:gridCol w:w="1630"/>
                  </w:tblGrid>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36"/>
                          <w:jc w:val="right"/>
                          <w:rPr>
                            <w:rFonts w:ascii="宋体" w:hAnsi="宋体" w:cs="宋体" w:eastAsia="宋体" w:hint="default"/>
                            <w:sz w:val="21"/>
                            <w:szCs w:val="21"/>
                          </w:rPr>
                        </w:pPr>
                        <w:r>
                          <w:rPr>
                            <w:rFonts w:ascii="宋体" w:hAnsi="宋体" w:cs="宋体" w:eastAsia="宋体" w:hint="default"/>
                            <w:spacing w:val="-1"/>
                            <w:sz w:val="21"/>
                            <w:szCs w:val="21"/>
                          </w:rPr>
                          <w:t>本年比上年增减</w:t>
                        </w:r>
                      </w:p>
                    </w:tc>
                    <w:tc>
                      <w:tcPr>
                        <w:tcW w:w="1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7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p>
                    </w:tc>
                  </w:tr>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营业收入（元）</w:t>
                        </w:r>
                      </w:p>
                    </w:tc>
                    <w:tc>
                      <w:tcPr>
                        <w:tcW w:w="1568"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left="60" w:right="0"/>
                          <w:jc w:val="left"/>
                          <w:rPr>
                            <w:rFonts w:ascii="Times New Roman" w:hAnsi="Times New Roman" w:cs="Times New Roman" w:eastAsia="Times New Roman" w:hint="default"/>
                            <w:sz w:val="21"/>
                            <w:szCs w:val="21"/>
                          </w:rPr>
                        </w:pPr>
                        <w:r>
                          <w:rPr>
                            <w:rFonts w:ascii="Times New Roman"/>
                            <w:sz w:val="21"/>
                          </w:rPr>
                          <w:t>1,049,493,193.33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1,497,070,161.20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-29.90%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1,486,881,930.00</w:t>
                        </w:r>
                      </w:p>
                    </w:tc>
                  </w:tr>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pacing w:val="-5"/>
                            <w:sz w:val="21"/>
                            <w:szCs w:val="21"/>
                          </w:rPr>
                          <w:t>归属于上市公司股东的净利润（元</w:t>
                        </w:r>
                      </w:p>
                    </w:tc>
                    <w:tc>
                      <w:tcPr>
                        <w:tcW w:w="159" w:type="dxa"/>
                        <w:tcBorders>
                          <w:top w:val="single" w:sz="4" w:space="0" w:color="000000"/>
                          <w:left w:val="single" w:sz="9" w:space="0" w:color="D2D2D2"/>
                          <w:bottom w:val="single" w:sz="4" w:space="0" w:color="000000"/>
                          <w:right w:val="nil" w:sz="6" w:space="0" w:color="auto"/>
                        </w:tcBorders>
                      </w:tcPr>
                      <w:p>
                        <w:pPr>
                          <w:pStyle w:val="TableParagraph"/>
                          <w:spacing w:line="240" w:lineRule="auto" w:before="28"/>
                          <w:ind w:left="-133"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4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26,163,454.80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93,359,166.05</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-71.98%</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90,625,042.03</w:t>
                        </w:r>
                      </w:p>
                    </w:tc>
                  </w:tr>
                  <w:tr>
                    <w:trPr>
                      <w:trHeight w:val="713"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12" w:right="62"/>
                          <w:jc w:val="left"/>
                          <w:rPr>
                            <w:rFonts w:ascii="宋体" w:hAnsi="宋体" w:cs="宋体" w:eastAsia="宋体" w:hint="default"/>
                            <w:sz w:val="21"/>
                            <w:szCs w:val="21"/>
                          </w:rPr>
                        </w:pPr>
                        <w:r>
                          <w:rPr>
                            <w:rFonts w:ascii="宋体" w:hAnsi="宋体" w:cs="宋体" w:eastAsia="宋体" w:hint="default"/>
                            <w:spacing w:val="-2"/>
                            <w:sz w:val="21"/>
                            <w:szCs w:val="21"/>
                          </w:rPr>
                          <w:t>归属于上市公司股东的扣除非经常</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性损益的净利润（元）</w:t>
                        </w:r>
                      </w:p>
                    </w:tc>
                    <w:tc>
                      <w:tcPr>
                        <w:tcW w:w="1568"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323" w:right="0"/>
                          <w:jc w:val="left"/>
                          <w:rPr>
                            <w:rFonts w:ascii="Times New Roman" w:hAnsi="Times New Roman" w:cs="Times New Roman" w:eastAsia="Times New Roman" w:hint="default"/>
                            <w:sz w:val="21"/>
                            <w:szCs w:val="21"/>
                          </w:rPr>
                        </w:pPr>
                        <w:r>
                          <w:rPr>
                            <w:rFonts w:ascii="Times New Roman"/>
                            <w:sz w:val="21"/>
                          </w:rPr>
                          <w:t>23,482,881.69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94,187,758.60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-75.07%</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91,311,925.74</w:t>
                        </w:r>
                      </w:p>
                    </w:tc>
                  </w:tr>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pacing w:val="-5"/>
                            <w:sz w:val="21"/>
                            <w:szCs w:val="21"/>
                          </w:rPr>
                          <w:t>经营活动产生的现金流量净额（元</w:t>
                        </w:r>
                      </w:p>
                    </w:tc>
                    <w:tc>
                      <w:tcPr>
                        <w:tcW w:w="159" w:type="dxa"/>
                        <w:tcBorders>
                          <w:top w:val="single" w:sz="4" w:space="0" w:color="000000"/>
                          <w:left w:val="single" w:sz="9" w:space="0" w:color="D2D2D2"/>
                          <w:bottom w:val="single" w:sz="4" w:space="0" w:color="000000"/>
                          <w:right w:val="nil" w:sz="6" w:space="0" w:color="auto"/>
                        </w:tcBorders>
                      </w:tcPr>
                      <w:p>
                        <w:pPr>
                          <w:pStyle w:val="TableParagraph"/>
                          <w:spacing w:line="240" w:lineRule="auto" w:before="28"/>
                          <w:ind w:left="-133"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4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266,728,451.47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127,378,601.64</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109.40%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-55,803,328.66</w:t>
                        </w:r>
                      </w:p>
                    </w:tc>
                  </w:tr>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基本每股收益（元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568"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left="952" w:right="0"/>
                          <w:jc w:val="left"/>
                          <w:rPr>
                            <w:rFonts w:ascii="Times New Roman" w:hAnsi="Times New Roman" w:cs="Times New Roman" w:eastAsia="Times New Roman" w:hint="default"/>
                            <w:sz w:val="21"/>
                            <w:szCs w:val="21"/>
                          </w:rPr>
                        </w:pPr>
                        <w:r>
                          <w:rPr>
                            <w:rFonts w:ascii="Times New Roman"/>
                            <w:sz w:val="21"/>
                          </w:rPr>
                          <w:t>0.1308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0.4668</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-71.98%</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0.4531</w:t>
                        </w:r>
                      </w:p>
                    </w:tc>
                  </w:tr>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稀释每股收益（元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568"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left="952" w:right="0"/>
                          <w:jc w:val="left"/>
                          <w:rPr>
                            <w:rFonts w:ascii="Times New Roman" w:hAnsi="Times New Roman" w:cs="Times New Roman" w:eastAsia="Times New Roman" w:hint="default"/>
                            <w:sz w:val="21"/>
                            <w:szCs w:val="21"/>
                          </w:rPr>
                        </w:pPr>
                        <w:r>
                          <w:rPr>
                            <w:rFonts w:ascii="Times New Roman"/>
                            <w:sz w:val="21"/>
                          </w:rPr>
                          <w:t>0.1308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0.4668</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-71.98%</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0.4531</w:t>
                        </w:r>
                      </w:p>
                    </w:tc>
                  </w:tr>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p>
                    </w:tc>
                    <w:tc>
                      <w:tcPr>
                        <w:tcW w:w="1568"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left="988" w:right="0"/>
                          <w:jc w:val="left"/>
                          <w:rPr>
                            <w:rFonts w:ascii="Times New Roman" w:hAnsi="Times New Roman" w:cs="Times New Roman" w:eastAsia="Times New Roman" w:hint="default"/>
                            <w:sz w:val="21"/>
                            <w:szCs w:val="21"/>
                          </w:rPr>
                        </w:pPr>
                        <w:r>
                          <w:rPr>
                            <w:rFonts w:ascii="Times New Roman"/>
                            <w:sz w:val="21"/>
                          </w:rPr>
                          <w:t>3.12%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pacing w:val="-2"/>
                            <w:sz w:val="21"/>
                          </w:rPr>
                          <w:t>11.60%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-8.48%</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pacing w:val="-2"/>
                            <w:sz w:val="21"/>
                          </w:rPr>
                          <w:t>11.79%</w:t>
                        </w:r>
                      </w:p>
                    </w:tc>
                  </w:tr>
                  <w:tr>
                    <w:trPr>
                      <w:trHeight w:val="161" w:hRule="exact"/>
                    </w:trPr>
                    <w:tc>
                      <w:tcPr>
                        <w:tcW w:w="3240" w:type="dxa"/>
                        <w:tcBorders>
                          <w:top w:val="single" w:sz="4" w:space="0" w:color="000000"/>
                          <w:left w:val="single" w:sz="4" w:space="0" w:color="000000"/>
                          <w:bottom w:val="nil" w:sz="6" w:space="0" w:color="auto"/>
                          <w:right w:val="single" w:sz="4" w:space="0" w:color="000000"/>
                        </w:tcBorders>
                        <w:shd w:val="clear" w:color="auto" w:fill="D2D2D2"/>
                      </w:tcPr>
                      <w:p>
                        <w:pPr/>
                      </w:p>
                    </w:tc>
                    <w:tc>
                      <w:tcPr>
                        <w:tcW w:w="156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560" w:type="dxa"/>
                        <w:tcBorders>
                          <w:top w:val="single" w:sz="4" w:space="0" w:color="000000"/>
                          <w:left w:val="single" w:sz="4" w:space="0" w:color="000000"/>
                          <w:bottom w:val="nil" w:sz="6" w:space="0" w:color="auto"/>
                          <w:right w:val="single" w:sz="4" w:space="0" w:color="000000"/>
                        </w:tcBorders>
                        <w:shd w:val="clear" w:color="auto" w:fill="D2D2D2"/>
                      </w:tcPr>
                      <w:p>
                        <w:pPr/>
                      </w:p>
                    </w:tc>
                    <w:tc>
                      <w:tcPr>
                        <w:tcW w:w="1561"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8"/>
                          <w:ind w:left="563" w:right="36" w:hanging="526"/>
                          <w:jc w:val="left"/>
                          <w:rPr>
                            <w:rFonts w:ascii="宋体" w:hAnsi="宋体" w:cs="宋体" w:eastAsia="宋体" w:hint="default"/>
                            <w:sz w:val="21"/>
                            <w:szCs w:val="21"/>
                          </w:rPr>
                        </w:pPr>
                        <w:r>
                          <w:rPr>
                            <w:rFonts w:ascii="宋体" w:hAnsi="宋体" w:cs="宋体" w:eastAsia="宋体" w:hint="default"/>
                            <w:sz w:val="21"/>
                            <w:szCs w:val="21"/>
                          </w:rPr>
                          <w:t>本年末比上年末</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增减</w:t>
                        </w:r>
                      </w:p>
                    </w:tc>
                    <w:tc>
                      <w:tcPr>
                        <w:tcW w:w="163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32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68"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33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5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32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561" w:type="dxa"/>
                        <w:vMerge/>
                        <w:tcBorders>
                          <w:left w:val="single" w:sz="4" w:space="0" w:color="000000"/>
                          <w:right w:val="single" w:sz="4" w:space="0" w:color="000000"/>
                        </w:tcBorders>
                        <w:shd w:val="clear" w:color="auto" w:fill="D2D2D2"/>
                      </w:tcPr>
                      <w:p>
                        <w:pPr/>
                      </w:p>
                    </w:tc>
                    <w:tc>
                      <w:tcPr>
                        <w:tcW w:w="16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36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r>
                  <w:tr>
                    <w:trPr>
                      <w:trHeight w:val="161" w:hRule="exact"/>
                    </w:trPr>
                    <w:tc>
                      <w:tcPr>
                        <w:tcW w:w="3240" w:type="dxa"/>
                        <w:tcBorders>
                          <w:top w:val="nil" w:sz="6" w:space="0" w:color="auto"/>
                          <w:left w:val="single" w:sz="4" w:space="0" w:color="000000"/>
                          <w:bottom w:val="single" w:sz="4" w:space="0" w:color="000000"/>
                          <w:right w:val="single" w:sz="4" w:space="0" w:color="000000"/>
                        </w:tcBorders>
                        <w:shd w:val="clear" w:color="auto" w:fill="D2D2D2"/>
                      </w:tcPr>
                      <w:p>
                        <w:pPr/>
                      </w:p>
                    </w:tc>
                    <w:tc>
                      <w:tcPr>
                        <w:tcW w:w="156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single" w:sz="4" w:space="0" w:color="000000"/>
                          <w:right w:val="single" w:sz="4" w:space="0" w:color="000000"/>
                        </w:tcBorders>
                        <w:shd w:val="clear" w:color="auto" w:fill="D2D2D2"/>
                      </w:tcPr>
                      <w:p>
                        <w:pPr/>
                      </w:p>
                    </w:tc>
                    <w:tc>
                      <w:tcPr>
                        <w:tcW w:w="1561" w:type="dxa"/>
                        <w:vMerge/>
                        <w:tcBorders>
                          <w:left w:val="single" w:sz="4" w:space="0" w:color="000000"/>
                          <w:bottom w:val="single" w:sz="4" w:space="0" w:color="000000"/>
                          <w:right w:val="single" w:sz="4" w:space="0" w:color="000000"/>
                        </w:tcBorders>
                        <w:shd w:val="clear" w:color="auto" w:fill="D2D2D2"/>
                      </w:tcPr>
                      <w:p>
                        <w:pPr/>
                      </w:p>
                    </w:tc>
                    <w:tc>
                      <w:tcPr>
                        <w:tcW w:w="163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总资产（元）</w:t>
                        </w:r>
                      </w:p>
                    </w:tc>
                    <w:tc>
                      <w:tcPr>
                        <w:tcW w:w="1568"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left="60" w:right="0"/>
                          <w:jc w:val="left"/>
                          <w:rPr>
                            <w:rFonts w:ascii="Times New Roman" w:hAnsi="Times New Roman" w:cs="Times New Roman" w:eastAsia="Times New Roman" w:hint="default"/>
                            <w:sz w:val="21"/>
                            <w:szCs w:val="21"/>
                          </w:rPr>
                        </w:pPr>
                        <w:r>
                          <w:rPr>
                            <w:rFonts w:ascii="Times New Roman"/>
                            <w:sz w:val="21"/>
                          </w:rPr>
                          <w:t>1,044,881,532.13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1,358,335,178.07</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-23.08%</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1,367,080,889.00</w:t>
                        </w:r>
                      </w:p>
                    </w:tc>
                  </w:tr>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pacing w:val="-5"/>
                            <w:sz w:val="21"/>
                            <w:szCs w:val="21"/>
                          </w:rPr>
                          <w:t>归属于上市公司股东的净资产（元</w:t>
                        </w:r>
                      </w:p>
                    </w:tc>
                    <w:tc>
                      <w:tcPr>
                        <w:tcW w:w="159" w:type="dxa"/>
                        <w:tcBorders>
                          <w:top w:val="single" w:sz="4" w:space="0" w:color="000000"/>
                          <w:left w:val="single" w:sz="9" w:space="0" w:color="D2D2D2"/>
                          <w:bottom w:val="single" w:sz="4" w:space="0" w:color="000000"/>
                          <w:right w:val="nil" w:sz="6" w:space="0" w:color="auto"/>
                        </w:tcBorders>
                      </w:tcPr>
                      <w:p>
                        <w:pPr>
                          <w:pStyle w:val="TableParagraph"/>
                          <w:spacing w:line="240" w:lineRule="auto" w:before="28"/>
                          <w:ind w:left="-133"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4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772,588,152.44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826,424,697.64</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-6.51%</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793,065,531.60</w:t>
                        </w:r>
                      </w:p>
                    </w:tc>
                  </w:tr>
                </w:tbl>
                <w:p>
                  <w:pPr/>
                </w:p>
              </w:txbxContent>
            </v:textbox>
            <w10:wrap type="none"/>
          </v:shape>
        </w:pict>
      </w:r>
      <w:r>
        <w:rPr>
          <w:spacing w:val="-2"/>
        </w:rPr>
        <w:t>公司聘请的报告期内履行持续督导职责的财务顾问</w:t>
        <w:tab/>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spacing w:val="-1"/>
        </w:rPr>
        <w:t>不适用</w:t>
      </w:r>
      <w:r>
        <w:rPr>
          <w:w w:val="100"/>
        </w:rPr>
        <w:t> </w:t>
      </w:r>
      <w:r>
        <w:rPr>
          <w:rFonts w:ascii="宋体" w:hAnsi="宋体" w:cs="宋体" w:eastAsia="宋体" w:hint="default"/>
          <w:b/>
          <w:bCs/>
          <w:sz w:val="24"/>
          <w:szCs w:val="24"/>
        </w:rPr>
        <w:t>六、主要会计数据和财务指标</w:t>
      </w:r>
      <w:r>
        <w:rPr>
          <w:rFonts w:ascii="宋体" w:hAnsi="宋体" w:cs="宋体" w:eastAsia="宋体" w:hint="default"/>
          <w:b/>
          <w:bCs/>
          <w:w w:val="99"/>
          <w:sz w:val="24"/>
          <w:szCs w:val="24"/>
        </w:rPr>
        <w:t> </w:t>
      </w:r>
      <w:r>
        <w:rPr>
          <w:spacing w:val="-2"/>
        </w:rPr>
        <w:t>公司是否因会计政策变更及会计差错更正等追溯调整或重述以前年度会计数据</w:t>
        <w:tab/>
        <w:tab/>
      </w: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否</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84"/>
        <w:ind w:right="0"/>
        <w:jc w:val="left"/>
        <w:rPr>
          <w:b w:val="0"/>
          <w:bCs w:val="0"/>
        </w:rPr>
      </w:pPr>
      <w:r>
        <w:rPr/>
        <w:t>七、境内外会计准则下会计数据差异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10"/>
        <w:rPr>
          <w:rFonts w:ascii="宋体" w:hAnsi="宋体" w:cs="宋体" w:eastAsia="宋体" w:hint="default"/>
          <w:b/>
          <w:bCs/>
          <w:sz w:val="24"/>
          <w:szCs w:val="24"/>
        </w:rPr>
      </w:pPr>
    </w:p>
    <w:p>
      <w:pPr>
        <w:pStyle w:val="BodyText"/>
        <w:spacing w:line="29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公司报告期不存在按照国际会计准则与按照中国会计准则披露的财务报告中净利润和净资产差异情况。</w:t>
      </w:r>
    </w:p>
    <w:p>
      <w:pPr>
        <w:spacing w:after="0" w:line="29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10"/>
        <w:rPr>
          <w:rFonts w:ascii="宋体" w:hAnsi="宋体" w:cs="宋体" w:eastAsia="宋体" w:hint="default"/>
          <w:b/>
          <w:bCs/>
          <w:sz w:val="24"/>
          <w:szCs w:val="24"/>
        </w:rPr>
      </w:pPr>
    </w:p>
    <w:p>
      <w:pPr>
        <w:pStyle w:val="BodyText"/>
        <w:spacing w:line="29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公司报告期不存在按照境外会计准则与按照中国会计准则披露的财务报告中净利润和净资产差异情况。</w:t>
      </w:r>
    </w:p>
    <w:p>
      <w:pPr>
        <w:spacing w:line="240" w:lineRule="auto" w:before="6"/>
        <w:rPr>
          <w:rFonts w:ascii="宋体" w:hAnsi="宋体" w:cs="宋体" w:eastAsia="宋体" w:hint="default"/>
          <w:sz w:val="20"/>
          <w:szCs w:val="20"/>
        </w:rPr>
      </w:pPr>
    </w:p>
    <w:p>
      <w:pPr>
        <w:pStyle w:val="Heading2"/>
        <w:spacing w:line="240" w:lineRule="auto"/>
        <w:ind w:right="0"/>
        <w:jc w:val="left"/>
        <w:rPr>
          <w:b w:val="0"/>
          <w:bCs w:val="0"/>
        </w:rPr>
      </w:pPr>
      <w:r>
        <w:rPr/>
        <w:t>八、分季度主要财务指标</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ind w:left="0" w:right="239"/>
        <w:jc w:val="right"/>
      </w:pPr>
      <w:r>
        <w:rPr>
          <w:spacing w:val="-1"/>
        </w:rPr>
        <w:t>单位：元</w:t>
      </w:r>
    </w:p>
    <w:p>
      <w:pPr>
        <w:spacing w:line="240" w:lineRule="auto" w:before="10"/>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954"/>
        <w:gridCol w:w="1660"/>
        <w:gridCol w:w="1649"/>
        <w:gridCol w:w="1647"/>
        <w:gridCol w:w="1649"/>
      </w:tblGrid>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11" w:right="0"/>
              <w:jc w:val="left"/>
              <w:rPr>
                <w:rFonts w:ascii="宋体" w:hAnsi="宋体" w:cs="宋体" w:eastAsia="宋体" w:hint="default"/>
                <w:sz w:val="21"/>
                <w:szCs w:val="21"/>
              </w:rPr>
            </w:pPr>
            <w:r>
              <w:rPr>
                <w:rFonts w:ascii="宋体" w:hAnsi="宋体" w:cs="宋体" w:eastAsia="宋体" w:hint="default"/>
                <w:sz w:val="21"/>
                <w:szCs w:val="21"/>
              </w:rPr>
              <w:t>第一季度</w:t>
            </w:r>
          </w:p>
        </w:tc>
        <w:tc>
          <w:tcPr>
            <w:tcW w:w="1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398" w:right="0"/>
              <w:jc w:val="left"/>
              <w:rPr>
                <w:rFonts w:ascii="宋体" w:hAnsi="宋体" w:cs="宋体" w:eastAsia="宋体" w:hint="default"/>
                <w:sz w:val="21"/>
                <w:szCs w:val="21"/>
              </w:rPr>
            </w:pPr>
            <w:r>
              <w:rPr>
                <w:rFonts w:ascii="宋体" w:hAnsi="宋体" w:cs="宋体" w:eastAsia="宋体" w:hint="default"/>
                <w:sz w:val="21"/>
                <w:szCs w:val="21"/>
              </w:rPr>
              <w:t>第二季度</w:t>
            </w:r>
          </w:p>
        </w:tc>
        <w:tc>
          <w:tcPr>
            <w:tcW w:w="16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398" w:right="0"/>
              <w:jc w:val="left"/>
              <w:rPr>
                <w:rFonts w:ascii="宋体" w:hAnsi="宋体" w:cs="宋体" w:eastAsia="宋体" w:hint="default"/>
                <w:sz w:val="21"/>
                <w:szCs w:val="21"/>
              </w:rPr>
            </w:pPr>
            <w:r>
              <w:rPr>
                <w:rFonts w:ascii="宋体" w:hAnsi="宋体" w:cs="宋体" w:eastAsia="宋体" w:hint="default"/>
                <w:sz w:val="21"/>
                <w:szCs w:val="21"/>
              </w:rPr>
              <w:t>第三季度</w:t>
            </w:r>
          </w:p>
        </w:tc>
        <w:tc>
          <w:tcPr>
            <w:tcW w:w="1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00" w:right="0"/>
              <w:jc w:val="left"/>
              <w:rPr>
                <w:rFonts w:ascii="宋体" w:hAnsi="宋体" w:cs="宋体" w:eastAsia="宋体" w:hint="default"/>
                <w:sz w:val="21"/>
                <w:szCs w:val="21"/>
              </w:rPr>
            </w:pPr>
            <w:r>
              <w:rPr>
                <w:rFonts w:ascii="宋体" w:hAnsi="宋体" w:cs="宋体" w:eastAsia="宋体" w:hint="default"/>
                <w:sz w:val="21"/>
                <w:szCs w:val="21"/>
              </w:rPr>
              <w:t>第四季度</w:t>
            </w:r>
          </w:p>
        </w:tc>
      </w:tr>
      <w:tr>
        <w:trPr>
          <w:trHeight w:val="401"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6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263,124,157.70</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334,055,883.28</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235,537,271.30</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216,775,881.05</w:t>
            </w:r>
          </w:p>
        </w:tc>
      </w:tr>
      <w:tr>
        <w:trPr>
          <w:trHeight w:val="404"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w:t>
            </w:r>
          </w:p>
        </w:tc>
        <w:tc>
          <w:tcPr>
            <w:tcW w:w="166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12,618,236.08</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16,385,940.71</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2,270,245.02</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2"/>
                <w:sz w:val="21"/>
              </w:rPr>
              <w:t>-5,110,967.01</w:t>
            </w:r>
          </w:p>
        </w:tc>
      </w:tr>
      <w:tr>
        <w:trPr>
          <w:trHeight w:val="71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196"/>
              <w:jc w:val="left"/>
              <w:rPr>
                <w:rFonts w:ascii="宋体" w:hAnsi="宋体" w:cs="宋体" w:eastAsia="宋体" w:hint="default"/>
                <w:sz w:val="21"/>
                <w:szCs w:val="21"/>
              </w:rPr>
            </w:pPr>
            <w:r>
              <w:rPr>
                <w:rFonts w:ascii="宋体" w:hAnsi="宋体" w:cs="宋体" w:eastAsia="宋体" w:hint="default"/>
                <w:spacing w:val="-2"/>
                <w:sz w:val="21"/>
                <w:szCs w:val="21"/>
              </w:rPr>
              <w:t>归属于上市公司股东的扣除非</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经常性损益的净利润</w:t>
            </w:r>
          </w:p>
        </w:tc>
        <w:tc>
          <w:tcPr>
            <w:tcW w:w="166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10,587,861.77</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17,154,567.84</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1,338,707.82</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-5,598,255.74</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66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22,083,775.65</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83,182,993.03</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16,624,662.22</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144,837,020.57</w:t>
            </w:r>
          </w:p>
        </w:tc>
      </w:tr>
    </w:tbl>
    <w:p>
      <w:pPr>
        <w:pStyle w:val="BodyText"/>
        <w:spacing w:line="240" w:lineRule="auto" w:before="28"/>
        <w:ind w:left="0" w:right="196"/>
        <w:jc w:val="right"/>
      </w:pPr>
      <w:r>
        <w:rPr/>
        <w:t>上述财务指标或其加总数是否与公司已披露季度报告、半年度报告相关财务指标存在重大差异</w:t>
      </w: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5"/>
        </w:rPr>
        <w:t> </w:t>
      </w:r>
      <w:r>
        <w:rPr/>
        <w:t>否</w:t>
      </w:r>
    </w:p>
    <w:p>
      <w:pPr>
        <w:spacing w:line="240" w:lineRule="auto" w:before="6"/>
        <w:rPr>
          <w:rFonts w:ascii="宋体" w:hAnsi="宋体" w:cs="宋体" w:eastAsia="宋体" w:hint="default"/>
          <w:sz w:val="22"/>
          <w:szCs w:val="22"/>
        </w:rPr>
      </w:pPr>
    </w:p>
    <w:p>
      <w:pPr>
        <w:pStyle w:val="Heading2"/>
        <w:spacing w:line="240" w:lineRule="auto"/>
        <w:ind w:right="0"/>
        <w:jc w:val="left"/>
        <w:rPr>
          <w:b w:val="0"/>
          <w:bCs w:val="0"/>
        </w:rPr>
      </w:pPr>
      <w:r>
        <w:rPr/>
        <w:t>九、非经常性损益项目及金额</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ind w:left="0" w:right="239"/>
        <w:jc w:val="right"/>
      </w:pPr>
      <w:r>
        <w:rPr>
          <w:spacing w:val="-1"/>
        </w:rPr>
        <w:t>单位：元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948"/>
        <w:gridCol w:w="1427"/>
        <w:gridCol w:w="1418"/>
        <w:gridCol w:w="1419"/>
        <w:gridCol w:w="1346"/>
      </w:tblGrid>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6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年金额</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5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年金额</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5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年金额</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714"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9"/>
              <w:ind w:left="12" w:right="6"/>
              <w:jc w:val="left"/>
              <w:rPr>
                <w:rFonts w:ascii="宋体" w:hAnsi="宋体" w:cs="宋体" w:eastAsia="宋体" w:hint="default"/>
                <w:sz w:val="21"/>
                <w:szCs w:val="21"/>
              </w:rPr>
            </w:pPr>
            <w:r>
              <w:rPr>
                <w:rFonts w:ascii="宋体" w:hAnsi="宋体" w:cs="宋体" w:eastAsia="宋体" w:hint="default"/>
                <w:spacing w:val="-6"/>
                <w:sz w:val="21"/>
                <w:szCs w:val="21"/>
              </w:rPr>
              <w:t>非流动资产处置损益（包括已计提资产减值</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准备的冲销部分）</w:t>
            </w:r>
          </w:p>
        </w:tc>
        <w:tc>
          <w:tcPr>
            <w:tcW w:w="142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-1,085,927.24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-2,795,972.00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-1,393,323.98</w:t>
            </w: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6"/>
              <w:jc w:val="both"/>
              <w:rPr>
                <w:rFonts w:ascii="宋体" w:hAnsi="宋体" w:cs="宋体" w:eastAsia="宋体" w:hint="default"/>
                <w:sz w:val="21"/>
                <w:szCs w:val="21"/>
              </w:rPr>
            </w:pPr>
            <w:r>
              <w:rPr>
                <w:rFonts w:ascii="宋体" w:hAnsi="宋体" w:cs="宋体" w:eastAsia="宋体" w:hint="default"/>
                <w:spacing w:val="-6"/>
                <w:sz w:val="21"/>
                <w:szCs w:val="21"/>
              </w:rPr>
              <w:t>计入当期损益的政府补助（与企业业务密切</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6"/>
                <w:sz w:val="21"/>
                <w:szCs w:val="21"/>
              </w:rPr>
              <w:t>相关，按照国家统一标准定额或定量享受的</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政府补助除外）</w:t>
            </w:r>
          </w:p>
        </w:tc>
        <w:tc>
          <w:tcPr>
            <w:tcW w:w="142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4,532,794.50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1,736,808.00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1,037,800.00</w:t>
            </w: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142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-215,605.20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84,438.52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-449,977.02</w:t>
            </w: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减：所得税影响额</w:t>
            </w:r>
          </w:p>
        </w:tc>
        <w:tc>
          <w:tcPr>
            <w:tcW w:w="142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550,766.02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-146,132.93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2"/>
                <w:sz w:val="21"/>
              </w:rPr>
              <w:t>-118,617.29</w:t>
            </w: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少数股东权益影响额（税后）</w:t>
            </w:r>
          </w:p>
        </w:tc>
        <w:tc>
          <w:tcPr>
            <w:tcW w:w="142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-77.07</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2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2"/>
                <w:sz w:val="21"/>
              </w:rPr>
              <w:t>2,680,573.11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-828,592.55</w:t>
            </w:r>
          </w:p>
        </w:tc>
        <w:tc>
          <w:tcPr>
            <w:tcW w:w="1419"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75"/>
              <w:ind w:right="10"/>
              <w:jc w:val="right"/>
              <w:rPr>
                <w:rFonts w:ascii="Times New Roman" w:hAnsi="Times New Roman" w:cs="Times New Roman" w:eastAsia="Times New Roman" w:hint="default"/>
                <w:sz w:val="21"/>
                <w:szCs w:val="21"/>
              </w:rPr>
            </w:pPr>
            <w:r>
              <w:rPr>
                <w:rFonts w:ascii="Times New Roman"/>
                <w:spacing w:val="-1"/>
                <w:sz w:val="21"/>
              </w:rPr>
              <w:t>-686,883.71</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sz w:val="21"/>
              </w:rPr>
              <w:t>--</w:t>
            </w:r>
          </w:p>
        </w:tc>
      </w:tr>
    </w:tbl>
    <w:p>
      <w:pPr>
        <w:pStyle w:val="BodyText"/>
        <w:spacing w:line="240" w:lineRule="auto" w:before="28"/>
        <w:ind w:right="0"/>
        <w:jc w:val="both"/>
      </w:pPr>
      <w:r>
        <w:rPr>
          <w:spacing w:val="-2"/>
        </w:rPr>
        <w:t>对公司根据《公开发行证券的公司信息披露解释性公告第</w:t>
      </w:r>
      <w:r>
        <w:rPr/>
        <w:t> </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spacing w:val="-2"/>
        </w:rPr>
        <w:t>号</w:t>
      </w:r>
      <w:r>
        <w:rPr>
          <w:rFonts w:ascii="Times New Roman" w:hAnsi="Times New Roman" w:cs="Times New Roman" w:eastAsia="Times New Roman" w:hint="default"/>
          <w:spacing w:val="-2"/>
        </w:rPr>
        <w:t>——</w:t>
      </w:r>
      <w:r>
        <w:rPr>
          <w:spacing w:val="-2"/>
        </w:rPr>
        <w:t>非经常性损益》定义界定的非经常性损</w:t>
      </w:r>
    </w:p>
    <w:p>
      <w:pPr>
        <w:pStyle w:val="BodyText"/>
        <w:tabs>
          <w:tab w:pos="8189" w:val="left" w:leader="none"/>
        </w:tabs>
        <w:spacing w:line="268" w:lineRule="auto" w:before="19"/>
        <w:ind w:right="145"/>
        <w:jc w:val="both"/>
      </w:pPr>
      <w:r>
        <w:rPr/>
        <w:t>益项目，以及把《公开发行证券的公司信息披露解释性公告第</w:t>
      </w:r>
      <w:r>
        <w:rPr>
          <w:spacing w:val="-65"/>
        </w:rPr>
        <w:t> </w:t>
      </w:r>
      <w:r>
        <w:rPr>
          <w:rFonts w:ascii="Times New Roman" w:hAnsi="Times New Roman" w:cs="Times New Roman" w:eastAsia="Times New Roman" w:hint="default"/>
        </w:rPr>
        <w:t>1</w:t>
      </w:r>
      <w:r>
        <w:rPr>
          <w:rFonts w:ascii="Times New Roman" w:hAnsi="Times New Roman" w:cs="Times New Roman" w:eastAsia="Times New Roman" w:hint="default"/>
          <w:spacing w:val="-13"/>
        </w:rPr>
        <w:t> </w:t>
      </w:r>
      <w:r>
        <w:rPr/>
        <w:t>号</w:t>
      </w:r>
      <w:r>
        <w:rPr>
          <w:rFonts w:ascii="Times New Roman" w:hAnsi="Times New Roman" w:cs="Times New Roman" w:eastAsia="Times New Roman" w:hint="default"/>
        </w:rPr>
        <w:t>——</w:t>
      </w:r>
      <w:r>
        <w:rPr/>
        <w:t>非经常性损益》中列举的非经常性</w:t>
      </w:r>
      <w:r>
        <w:rPr>
          <w:w w:val="100"/>
        </w:rPr>
        <w:t> </w:t>
      </w:r>
      <w:r>
        <w:rPr>
          <w:spacing w:val="-4"/>
        </w:rPr>
        <w:t>损益项目界定为经常性损益的项目，应说明原因</w:t>
        <w:tab/>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7"/>
        </w:rPr>
        <w:t> </w:t>
      </w:r>
      <w:r>
        <w:rPr/>
        <w:t>不适用</w:t>
      </w:r>
      <w:r>
        <w:rPr>
          <w:w w:val="100"/>
        </w:rPr>
        <w:t> </w:t>
      </w:r>
      <w:r>
        <w:rPr/>
        <w:t>公司报告期不存在将根据《公开发行证券的公司信息披露解释性公告第</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3"/>
        </w:rPr>
        <w:t>号</w:t>
      </w:r>
      <w:r>
        <w:rPr>
          <w:rFonts w:ascii="Times New Roman" w:hAnsi="Times New Roman" w:cs="Times New Roman" w:eastAsia="Times New Roman" w:hint="default"/>
          <w:spacing w:val="-3"/>
        </w:rPr>
        <w:t>——</w:t>
      </w:r>
      <w:r>
        <w:rPr>
          <w:spacing w:val="-3"/>
        </w:rPr>
        <w:t>非经常性损益》定义、列</w:t>
      </w:r>
      <w:r>
        <w:rPr>
          <w:spacing w:val="-103"/>
        </w:rPr>
        <w:t> </w:t>
      </w:r>
      <w:r>
        <w:rPr>
          <w:spacing w:val="-103"/>
        </w:rPr>
      </w:r>
      <w:r>
        <w:rPr/>
        <w:t>举的非经常性损益项目界定为经常性损益的项目的情形。</w:t>
      </w:r>
    </w:p>
    <w:p>
      <w:pPr>
        <w:spacing w:after="0" w:line="268" w:lineRule="auto"/>
        <w:jc w:val="both"/>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1"/>
        <w:jc w:val="center"/>
        <w:rPr>
          <w:b w:val="0"/>
          <w:bCs w:val="0"/>
        </w:rPr>
      </w:pPr>
      <w:bookmarkStart w:name="_bookmark1" w:id="2"/>
      <w:bookmarkEnd w:id="2"/>
      <w:r>
        <w:rPr>
          <w:b w:val="0"/>
          <w:bCs w:val="0"/>
        </w:rPr>
      </w:r>
      <w:r>
        <w:rPr/>
        <w:t>第三节</w:t>
      </w:r>
      <w:r>
        <w:rPr>
          <w:spacing w:val="-6"/>
        </w:rPr>
        <w:t> </w:t>
      </w:r>
      <w:r>
        <w:rPr/>
        <w:t>公司业务概要</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left"/>
        <w:rPr>
          <w:b w:val="0"/>
          <w:bCs w:val="0"/>
        </w:rPr>
      </w:pPr>
      <w:r>
        <w:rPr/>
        <w:t>一、报告期内公司从事的主要业务</w:t>
      </w:r>
      <w:r>
        <w:rPr>
          <w:b w:val="0"/>
          <w:bCs w:val="0"/>
        </w:rPr>
      </w:r>
    </w:p>
    <w:p>
      <w:pPr>
        <w:spacing w:line="240" w:lineRule="auto" w:before="9"/>
        <w:rPr>
          <w:rFonts w:ascii="宋体" w:hAnsi="宋体" w:cs="宋体" w:eastAsia="宋体" w:hint="default"/>
          <w:b/>
          <w:bCs/>
          <w:sz w:val="24"/>
          <w:szCs w:val="24"/>
        </w:rPr>
      </w:pPr>
    </w:p>
    <w:p>
      <w:pPr>
        <w:pStyle w:val="BodyText"/>
        <w:spacing w:line="273" w:lineRule="auto"/>
        <w:ind w:left="573" w:right="0"/>
        <w:jc w:val="left"/>
      </w:pPr>
      <w:r>
        <w:rPr/>
        <w:t>（一）公司从事的主要业务、主要产品及用途</w:t>
      </w:r>
      <w:r>
        <w:rPr>
          <w:w w:val="100"/>
        </w:rPr>
        <w:t> </w:t>
      </w:r>
      <w:r>
        <w:rPr>
          <w:spacing w:val="-2"/>
        </w:rPr>
        <w:t>公司主要从事家用电器配线组件的研发、生产和销售，产品包括空调连接组件和各种家用电器的电源</w:t>
      </w:r>
    </w:p>
    <w:p>
      <w:pPr>
        <w:pStyle w:val="BodyText"/>
        <w:spacing w:line="273" w:lineRule="auto" w:before="7"/>
        <w:ind w:right="0"/>
        <w:jc w:val="left"/>
      </w:pPr>
      <w:r>
        <w:rPr>
          <w:spacing w:val="-2"/>
        </w:rPr>
        <w:t>输入组件。空调连接组件用于连接空调室内机与室外机，并传输电能、控制信号，保证空调正常工作；电</w:t>
      </w:r>
      <w:r>
        <w:rPr>
          <w:spacing w:val="-43"/>
        </w:rPr>
        <w:t> </w:t>
      </w:r>
      <w:r>
        <w:rPr>
          <w:spacing w:val="-43"/>
        </w:rPr>
      </w:r>
      <w:r>
        <w:rPr/>
        <w:t>源输入组件用于家用电器连接外部电源，主要包括空调、电热电器及冰洗电器电源输入组件等。</w:t>
      </w:r>
    </w:p>
    <w:p>
      <w:pPr>
        <w:pStyle w:val="BodyText"/>
        <w:spacing w:line="240" w:lineRule="auto" w:before="7"/>
        <w:ind w:left="573" w:right="0"/>
        <w:jc w:val="left"/>
      </w:pPr>
      <w:r>
        <w:rPr/>
        <w:t>公司主要产品及应用领域详见下表：</w:t>
      </w:r>
    </w:p>
    <w:p>
      <w:pPr>
        <w:spacing w:line="240" w:lineRule="auto" w:before="10"/>
        <w:rPr>
          <w:rFonts w:ascii="宋体" w:hAnsi="宋体" w:cs="宋体" w:eastAsia="宋体" w:hint="default"/>
          <w:sz w:val="3"/>
          <w:szCs w:val="3"/>
        </w:rPr>
      </w:pPr>
    </w:p>
    <w:tbl>
      <w:tblPr>
        <w:tblW w:w="0" w:type="auto"/>
        <w:jc w:val="left"/>
        <w:tblInd w:w="145" w:type="dxa"/>
        <w:tblLayout w:type="fixed"/>
        <w:tblCellMar>
          <w:top w:w="0" w:type="dxa"/>
          <w:left w:w="0" w:type="dxa"/>
          <w:bottom w:w="0" w:type="dxa"/>
          <w:right w:w="0" w:type="dxa"/>
        </w:tblCellMar>
        <w:tblLook w:val="01E0"/>
      </w:tblPr>
      <w:tblGrid>
        <w:gridCol w:w="3121"/>
        <w:gridCol w:w="6519"/>
      </w:tblGrid>
      <w:tr>
        <w:trPr>
          <w:trHeight w:val="349" w:hRule="exact"/>
        </w:trPr>
        <w:tc>
          <w:tcPr>
            <w:tcW w:w="3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b/>
                <w:bCs/>
                <w:sz w:val="21"/>
                <w:szCs w:val="21"/>
              </w:rPr>
              <w:t>主要产品</w:t>
            </w:r>
            <w:r>
              <w:rPr>
                <w:rFonts w:ascii="宋体" w:hAnsi="宋体" w:cs="宋体" w:eastAsia="宋体" w:hint="default"/>
                <w:sz w:val="21"/>
                <w:szCs w:val="21"/>
              </w:rPr>
            </w:r>
          </w:p>
        </w:tc>
        <w:tc>
          <w:tcPr>
            <w:tcW w:w="6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应用领域</w:t>
            </w:r>
            <w:r>
              <w:rPr>
                <w:rFonts w:ascii="宋体" w:hAnsi="宋体" w:cs="宋体" w:eastAsia="宋体" w:hint="default"/>
                <w:sz w:val="21"/>
                <w:szCs w:val="21"/>
              </w:rPr>
            </w:r>
          </w:p>
        </w:tc>
      </w:tr>
      <w:tr>
        <w:trPr>
          <w:trHeight w:val="346" w:hRule="exact"/>
        </w:trPr>
        <w:tc>
          <w:tcPr>
            <w:tcW w:w="312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空调连接组件</w:t>
            </w:r>
          </w:p>
        </w:tc>
        <w:tc>
          <w:tcPr>
            <w:tcW w:w="651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z w:val="21"/>
                <w:szCs w:val="21"/>
              </w:rPr>
              <w:t>分体式空调、柜式空调等</w:t>
            </w:r>
          </w:p>
        </w:tc>
      </w:tr>
      <w:tr>
        <w:trPr>
          <w:trHeight w:val="348" w:hRule="exact"/>
        </w:trPr>
        <w:tc>
          <w:tcPr>
            <w:tcW w:w="312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电热电器电源输入组件</w:t>
            </w:r>
          </w:p>
        </w:tc>
        <w:tc>
          <w:tcPr>
            <w:tcW w:w="651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电热水器、电烤箱、电暖器、电磁炉、电饭锅、烧烤型微波炉等</w:t>
            </w:r>
          </w:p>
        </w:tc>
      </w:tr>
      <w:tr>
        <w:trPr>
          <w:trHeight w:val="346" w:hRule="exact"/>
        </w:trPr>
        <w:tc>
          <w:tcPr>
            <w:tcW w:w="312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空调电源输入组件</w:t>
            </w:r>
          </w:p>
        </w:tc>
        <w:tc>
          <w:tcPr>
            <w:tcW w:w="651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z w:val="21"/>
                <w:szCs w:val="21"/>
              </w:rPr>
              <w:t>分体式空调、柜式空调等</w:t>
            </w:r>
          </w:p>
        </w:tc>
      </w:tr>
      <w:tr>
        <w:trPr>
          <w:trHeight w:val="348" w:hRule="exact"/>
        </w:trPr>
        <w:tc>
          <w:tcPr>
            <w:tcW w:w="312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冰洗电器电源输入组件</w:t>
            </w:r>
          </w:p>
        </w:tc>
        <w:tc>
          <w:tcPr>
            <w:tcW w:w="651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冰箱、洗衣机、冰柜等</w:t>
            </w:r>
          </w:p>
        </w:tc>
      </w:tr>
      <w:tr>
        <w:trPr>
          <w:trHeight w:val="348" w:hRule="exact"/>
        </w:trPr>
        <w:tc>
          <w:tcPr>
            <w:tcW w:w="312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其他家电电源输入组件</w:t>
            </w:r>
          </w:p>
        </w:tc>
        <w:tc>
          <w:tcPr>
            <w:tcW w:w="651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z w:val="21"/>
                <w:szCs w:val="21"/>
              </w:rPr>
              <w:t>电风扇、吸尘器、油烟机、饮水机、微波炉等</w:t>
            </w:r>
          </w:p>
        </w:tc>
      </w:tr>
    </w:tbl>
    <w:p>
      <w:pPr>
        <w:pStyle w:val="BodyText"/>
        <w:spacing w:line="273" w:lineRule="auto"/>
        <w:ind w:left="573" w:right="0"/>
        <w:jc w:val="left"/>
      </w:pPr>
      <w:r>
        <w:rPr/>
        <w:t>（二）经营模式和业绩驱动因素</w:t>
      </w:r>
      <w:r>
        <w:rPr>
          <w:w w:val="100"/>
        </w:rPr>
        <w:t> </w:t>
      </w:r>
      <w:r>
        <w:rPr>
          <w:spacing w:val="-2"/>
        </w:rPr>
        <w:t>公司通过直销方式销售产品，采取以销定产方式组织材料采购和产品生产。为确保快速及时、保质保</w:t>
      </w:r>
    </w:p>
    <w:p>
      <w:pPr>
        <w:pStyle w:val="BodyText"/>
        <w:spacing w:line="273" w:lineRule="auto" w:before="7"/>
        <w:ind w:left="573" w:right="0" w:hanging="421"/>
        <w:jc w:val="left"/>
      </w:pPr>
      <w:r>
        <w:rPr>
          <w:spacing w:val="-2"/>
        </w:rPr>
        <w:t>量供货，公司一般会在评估客户需求计划后提前组织生产，设置安全储备的产成品、半成品。</w:t>
      </w:r>
      <w:r>
        <w:rPr>
          <w:spacing w:val="-28"/>
        </w:rPr>
        <w:t> </w:t>
      </w:r>
      <w:r>
        <w:rPr>
          <w:spacing w:val="-28"/>
        </w:rPr>
      </w:r>
      <w:r>
        <w:rPr/>
        <w:t>公司主要业绩驱动因素包括取得订单的能力和成本费用控制能力。</w:t>
      </w:r>
    </w:p>
    <w:p>
      <w:pPr>
        <w:pStyle w:val="BodyText"/>
        <w:spacing w:line="240" w:lineRule="auto" w:before="7"/>
        <w:ind w:left="573" w:right="0"/>
        <w:jc w:val="left"/>
      </w:pPr>
      <w:r>
        <w:rPr/>
        <w:t>（三）公司所处行业发展阶段、周期性特点以及公司所处的行业地位</w:t>
      </w:r>
    </w:p>
    <w:p>
      <w:pPr>
        <w:pStyle w:val="BodyText"/>
        <w:spacing w:line="240" w:lineRule="auto" w:before="37"/>
        <w:ind w:left="573" w:right="0"/>
        <w:jc w:val="left"/>
      </w:pPr>
      <w:r>
        <w:rPr>
          <w:rFonts w:ascii="Times New Roman" w:hAnsi="Times New Roman" w:cs="Times New Roman" w:eastAsia="Times New Roman" w:hint="default"/>
        </w:rPr>
        <w:t>1</w:t>
      </w:r>
      <w:r>
        <w:rPr/>
        <w:t>、行业发展阶段：成熟发展期。</w:t>
      </w:r>
    </w:p>
    <w:p>
      <w:pPr>
        <w:pStyle w:val="BodyText"/>
        <w:spacing w:line="256" w:lineRule="auto" w:before="21"/>
        <w:ind w:right="0" w:firstLine="420"/>
        <w:jc w:val="left"/>
      </w:pPr>
      <w:r>
        <w:rPr>
          <w:rFonts w:ascii="Times New Roman" w:hAnsi="Times New Roman" w:cs="Times New Roman" w:eastAsia="Times New Roman" w:hint="default"/>
          <w:spacing w:val="-2"/>
        </w:rPr>
        <w:t>2</w:t>
      </w:r>
      <w:r>
        <w:rPr>
          <w:spacing w:val="-2"/>
        </w:rPr>
        <w:t>、行业周期性特点。公司主要产品为空调配线组件。由于空调销售具有一定季节性，公司生产经营</w:t>
      </w:r>
      <w:r>
        <w:rPr>
          <w:w w:val="100"/>
        </w:rPr>
        <w:t> </w:t>
      </w:r>
      <w:r>
        <w:rPr/>
        <w:t>存在季节性。</w:t>
      </w:r>
    </w:p>
    <w:p>
      <w:pPr>
        <w:pStyle w:val="BodyText"/>
        <w:spacing w:line="264" w:lineRule="auto" w:before="22"/>
        <w:ind w:right="0" w:firstLine="420"/>
        <w:jc w:val="left"/>
      </w:pPr>
      <w:r>
        <w:rPr>
          <w:rFonts w:ascii="Times New Roman" w:hAnsi="Times New Roman" w:cs="Times New Roman" w:eastAsia="Times New Roman" w:hint="default"/>
        </w:rPr>
        <w:t>3</w:t>
      </w:r>
      <w:r>
        <w:rPr/>
        <w:t>、所处行业地位：公司是国内空调连接组件主要供应商之一。凭借对关键客户维护能力、大规模供</w:t>
      </w:r>
      <w:r>
        <w:rPr>
          <w:w w:val="100"/>
        </w:rPr>
        <w:t> </w:t>
      </w:r>
      <w:r>
        <w:rPr>
          <w:spacing w:val="-2"/>
        </w:rPr>
        <w:t>货能力、较强的低成本控制能力以及满足大客户要求的质量控制能力等优势，公司在细分行业地位不断提</w:t>
      </w:r>
      <w:r>
        <w:rPr>
          <w:spacing w:val="-44"/>
        </w:rPr>
        <w:t> </w:t>
      </w:r>
      <w:r>
        <w:rPr>
          <w:spacing w:val="-44"/>
        </w:rPr>
      </w:r>
      <w:r>
        <w:rPr/>
        <w:t>高，并与格力、美的、海尔、海信科龙等著名家电企业建立了良好、紧密的长期合作关系。</w:t>
      </w:r>
    </w:p>
    <w:p>
      <w:pPr>
        <w:spacing w:line="240" w:lineRule="auto" w:before="3"/>
        <w:rPr>
          <w:rFonts w:ascii="宋体" w:hAnsi="宋体" w:cs="宋体" w:eastAsia="宋体" w:hint="default"/>
          <w:sz w:val="22"/>
          <w:szCs w:val="22"/>
        </w:rPr>
      </w:pPr>
    </w:p>
    <w:p>
      <w:pPr>
        <w:pStyle w:val="Heading2"/>
        <w:spacing w:line="240" w:lineRule="auto"/>
        <w:ind w:right="0"/>
        <w:jc w:val="left"/>
        <w:rPr>
          <w:b w:val="0"/>
          <w:bCs w:val="0"/>
        </w:rPr>
      </w:pPr>
      <w:r>
        <w:rPr/>
        <w:t>二、主要资产重大变化情况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552"/>
        <w:gridCol w:w="7019"/>
      </w:tblGrid>
      <w:tr>
        <w:trPr>
          <w:trHeight w:val="764"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主要资产</w:t>
            </w:r>
          </w:p>
        </w:tc>
        <w:tc>
          <w:tcPr>
            <w:tcW w:w="70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重大变化说明</w:t>
            </w:r>
          </w:p>
        </w:tc>
      </w:tr>
      <w:tr>
        <w:trPr>
          <w:trHeight w:val="715"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7019"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8"/>
              <w:ind w:left="23" w:right="23"/>
              <w:jc w:val="left"/>
              <w:rPr>
                <w:rFonts w:ascii="宋体" w:hAnsi="宋体" w:cs="宋体" w:eastAsia="宋体" w:hint="default"/>
                <w:sz w:val="21"/>
                <w:szCs w:val="21"/>
              </w:rPr>
            </w:pPr>
            <w:r>
              <w:rPr>
                <w:rFonts w:ascii="宋体" w:hAnsi="宋体" w:cs="宋体" w:eastAsia="宋体" w:hint="default"/>
                <w:sz w:val="21"/>
                <w:szCs w:val="21"/>
              </w:rPr>
              <w:t>同比减少</w:t>
            </w:r>
            <w:r>
              <w:rPr>
                <w:rFonts w:ascii="宋体" w:hAnsi="宋体" w:cs="宋体" w:eastAsia="宋体" w:hint="default"/>
                <w:spacing w:val="-23"/>
                <w:sz w:val="21"/>
                <w:szCs w:val="21"/>
              </w:rPr>
              <w:t> </w:t>
            </w:r>
            <w:r>
              <w:rPr>
                <w:rFonts w:ascii="Times New Roman" w:hAnsi="Times New Roman" w:cs="Times New Roman" w:eastAsia="Times New Roman" w:hint="default"/>
                <w:spacing w:val="-3"/>
                <w:sz w:val="21"/>
                <w:szCs w:val="21"/>
              </w:rPr>
              <w:t>34.08%</w:t>
            </w:r>
            <w:r>
              <w:rPr>
                <w:rFonts w:ascii="宋体" w:hAnsi="宋体" w:cs="宋体" w:eastAsia="宋体" w:hint="default"/>
                <w:spacing w:val="-3"/>
                <w:sz w:val="21"/>
                <w:szCs w:val="21"/>
              </w:rPr>
              <w:t>，主要原因是销售收入下降，应收票据总量减少，同时公司</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通过减少银行贷款、增加银承贴现满足资金需求导致期末应收票据减少。</w:t>
            </w: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7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pacing w:val="-1"/>
                <w:sz w:val="21"/>
                <w:szCs w:val="21"/>
              </w:rPr>
              <w:t>同比减少</w:t>
            </w:r>
            <w:r>
              <w:rPr>
                <w:rFonts w:ascii="宋体" w:hAnsi="宋体" w:cs="宋体" w:eastAsia="宋体" w:hint="default"/>
                <w:spacing w:val="7"/>
                <w:sz w:val="21"/>
                <w:szCs w:val="21"/>
              </w:rPr>
              <w:t> </w:t>
            </w:r>
            <w:r>
              <w:rPr>
                <w:rFonts w:ascii="Times New Roman" w:hAnsi="Times New Roman" w:cs="Times New Roman" w:eastAsia="Times New Roman" w:hint="default"/>
                <w:spacing w:val="-2"/>
                <w:sz w:val="21"/>
                <w:szCs w:val="21"/>
              </w:rPr>
              <w:t>30.15%</w:t>
            </w:r>
            <w:r>
              <w:rPr>
                <w:rFonts w:ascii="宋体" w:hAnsi="宋体" w:cs="宋体" w:eastAsia="宋体" w:hint="default"/>
                <w:spacing w:val="-2"/>
                <w:sz w:val="21"/>
                <w:szCs w:val="21"/>
              </w:rPr>
              <w:t>，主要原因是材料采购量减少，预付供应商货款减少。</w:t>
            </w:r>
          </w:p>
        </w:tc>
      </w:tr>
      <w:tr>
        <w:trPr>
          <w:trHeight w:val="715"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7019"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8"/>
              <w:ind w:left="23" w:right="23"/>
              <w:jc w:val="left"/>
              <w:rPr>
                <w:rFonts w:ascii="宋体" w:hAnsi="宋体" w:cs="宋体" w:eastAsia="宋体" w:hint="default"/>
                <w:sz w:val="21"/>
                <w:szCs w:val="21"/>
              </w:rPr>
            </w:pPr>
            <w:r>
              <w:rPr>
                <w:rFonts w:ascii="宋体" w:hAnsi="宋体" w:cs="宋体" w:eastAsia="宋体" w:hint="default"/>
                <w:sz w:val="21"/>
                <w:szCs w:val="21"/>
              </w:rPr>
              <w:t>同比减少</w:t>
            </w:r>
            <w:r>
              <w:rPr>
                <w:rFonts w:ascii="宋体" w:hAnsi="宋体" w:cs="宋体" w:eastAsia="宋体" w:hint="default"/>
                <w:spacing w:val="-23"/>
                <w:sz w:val="21"/>
                <w:szCs w:val="21"/>
              </w:rPr>
              <w:t> </w:t>
            </w:r>
            <w:r>
              <w:rPr>
                <w:rFonts w:ascii="Times New Roman" w:hAnsi="Times New Roman" w:cs="Times New Roman" w:eastAsia="Times New Roman" w:hint="default"/>
                <w:spacing w:val="-3"/>
                <w:sz w:val="21"/>
                <w:szCs w:val="21"/>
              </w:rPr>
              <w:t>46.03%</w:t>
            </w:r>
            <w:r>
              <w:rPr>
                <w:rFonts w:ascii="宋体" w:hAnsi="宋体" w:cs="宋体" w:eastAsia="宋体" w:hint="default"/>
                <w:spacing w:val="-3"/>
                <w:sz w:val="21"/>
                <w:szCs w:val="21"/>
              </w:rPr>
              <w:t>，主要原因是本期销售量下滑导致常规库存减少，同时公司</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主动控制库存量，并积极消化库龄较长存货。</w:t>
            </w:r>
          </w:p>
        </w:tc>
      </w:tr>
      <w:tr>
        <w:trPr>
          <w:trHeight w:val="674"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5"/>
              <w:ind w:left="24"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7019"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8"/>
              <w:ind w:left="23" w:right="47"/>
              <w:jc w:val="left"/>
              <w:rPr>
                <w:rFonts w:ascii="宋体" w:hAnsi="宋体" w:cs="宋体" w:eastAsia="宋体" w:hint="default"/>
                <w:sz w:val="21"/>
                <w:szCs w:val="21"/>
              </w:rPr>
            </w:pPr>
            <w:r>
              <w:rPr>
                <w:rFonts w:ascii="宋体" w:hAnsi="宋体" w:cs="宋体" w:eastAsia="宋体" w:hint="default"/>
                <w:sz w:val="21"/>
                <w:szCs w:val="21"/>
              </w:rPr>
              <w:t>同比减少</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67.97%</w:t>
            </w:r>
            <w:r>
              <w:rPr>
                <w:rFonts w:ascii="宋体" w:hAnsi="宋体" w:cs="宋体" w:eastAsia="宋体" w:hint="default"/>
                <w:sz w:val="21"/>
                <w:szCs w:val="21"/>
              </w:rPr>
              <w:t>，主要原因是</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年末母公司按照</w:t>
            </w:r>
            <w:r>
              <w:rPr>
                <w:rFonts w:ascii="Times New Roman" w:hAnsi="Times New Roman" w:cs="Times New Roman" w:eastAsia="Times New Roman" w:hint="default"/>
                <w:sz w:val="21"/>
                <w:szCs w:val="21"/>
              </w:rPr>
              <w:t>“</w:t>
            </w:r>
            <w:r>
              <w:rPr>
                <w:rFonts w:ascii="宋体" w:hAnsi="宋体" w:cs="宋体" w:eastAsia="宋体" w:hint="default"/>
                <w:sz w:val="21"/>
                <w:szCs w:val="21"/>
              </w:rPr>
              <w:t>三证合一</w:t>
            </w:r>
            <w:r>
              <w:rPr>
                <w:rFonts w:ascii="Times New Roman" w:hAnsi="Times New Roman" w:cs="Times New Roman" w:eastAsia="Times New Roman" w:hint="default"/>
                <w:sz w:val="21"/>
                <w:szCs w:val="21"/>
              </w:rPr>
              <w:t>”</w:t>
            </w:r>
            <w:r>
              <w:rPr>
                <w:rFonts w:ascii="宋体" w:hAnsi="宋体" w:cs="宋体" w:eastAsia="宋体" w:hint="default"/>
                <w:sz w:val="21"/>
                <w:szCs w:val="21"/>
              </w:rPr>
              <w:t>要求申请变</w:t>
            </w:r>
            <w:r>
              <w:rPr>
                <w:rFonts w:ascii="宋体" w:hAnsi="宋体" w:cs="宋体" w:eastAsia="宋体" w:hint="default"/>
                <w:w w:val="100"/>
                <w:sz w:val="21"/>
                <w:szCs w:val="21"/>
              </w:rPr>
              <w:t> </w:t>
            </w:r>
            <w:r>
              <w:rPr>
                <w:rFonts w:ascii="宋体" w:hAnsi="宋体" w:cs="宋体" w:eastAsia="宋体" w:hint="default"/>
                <w:spacing w:val="-2"/>
                <w:sz w:val="21"/>
                <w:szCs w:val="21"/>
              </w:rPr>
              <w:t>更纳税人识别号，待抵扣增值税进项税额（母公司）年末余额远低于上年；</w:t>
            </w:r>
          </w:p>
        </w:tc>
      </w:tr>
    </w:tbl>
    <w:p>
      <w:pPr>
        <w:spacing w:after="0" w:line="256" w:lineRule="auto"/>
        <w:jc w:val="left"/>
        <w:rPr>
          <w:rFonts w:ascii="宋体" w:hAnsi="宋体" w:cs="宋体" w:eastAsia="宋体" w:hint="default"/>
          <w:sz w:val="21"/>
          <w:szCs w:val="21"/>
        </w:rPr>
        <w:sectPr>
          <w:pgSz w:w="11910" w:h="16840"/>
          <w:pgMar w:header="745" w:footer="979"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2552"/>
        <w:gridCol w:w="7019"/>
      </w:tblGrid>
      <w:tr>
        <w:trPr>
          <w:trHeight w:val="675" w:hRule="exact"/>
        </w:trPr>
        <w:tc>
          <w:tcPr>
            <w:tcW w:w="2552" w:type="dxa"/>
            <w:tcBorders>
              <w:top w:val="single" w:sz="4" w:space="0" w:color="000000"/>
              <w:left w:val="single" w:sz="4" w:space="0" w:color="000000"/>
              <w:bottom w:val="single" w:sz="4" w:space="0" w:color="000000"/>
              <w:right w:val="single" w:sz="4" w:space="0" w:color="000000"/>
            </w:tcBorders>
          </w:tcPr>
          <w:p>
            <w:pPr/>
          </w:p>
        </w:tc>
        <w:tc>
          <w:tcPr>
            <w:tcW w:w="7019"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23" w:right="242"/>
              <w:jc w:val="left"/>
              <w:rPr>
                <w:rFonts w:ascii="宋体" w:hAnsi="宋体" w:cs="宋体" w:eastAsia="宋体" w:hint="default"/>
                <w:sz w:val="21"/>
                <w:szCs w:val="21"/>
              </w:rPr>
            </w:pPr>
            <w:r>
              <w:rPr>
                <w:rFonts w:ascii="宋体" w:hAnsi="宋体" w:cs="宋体" w:eastAsia="宋体" w:hint="default"/>
                <w:sz w:val="21"/>
                <w:szCs w:val="21"/>
              </w:rPr>
              <w:t>高新技术企业认定未果按</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25%</w:t>
            </w:r>
            <w:r>
              <w:rPr>
                <w:rFonts w:ascii="宋体" w:hAnsi="宋体" w:cs="宋体" w:eastAsia="宋体" w:hint="default"/>
                <w:sz w:val="21"/>
                <w:szCs w:val="21"/>
              </w:rPr>
              <w:t>税率计算企业所得税导致预缴部分企业所得</w:t>
            </w:r>
            <w:r>
              <w:rPr>
                <w:rFonts w:ascii="宋体" w:hAnsi="宋体" w:cs="宋体" w:eastAsia="宋体" w:hint="default"/>
                <w:w w:val="100"/>
                <w:sz w:val="21"/>
                <w:szCs w:val="21"/>
              </w:rPr>
              <w:t> </w:t>
            </w:r>
            <w:r>
              <w:rPr>
                <w:rFonts w:ascii="宋体" w:hAnsi="宋体" w:cs="宋体" w:eastAsia="宋体" w:hint="default"/>
                <w:sz w:val="21"/>
                <w:szCs w:val="21"/>
              </w:rPr>
              <w:t>税。</w:t>
            </w: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7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pacing w:val="-1"/>
                <w:sz w:val="21"/>
                <w:szCs w:val="21"/>
              </w:rPr>
              <w:t>同比增加</w:t>
            </w:r>
            <w:r>
              <w:rPr>
                <w:rFonts w:ascii="宋体" w:hAnsi="宋体" w:cs="宋体" w:eastAsia="宋体" w:hint="default"/>
                <w:spacing w:val="-7"/>
                <w:sz w:val="21"/>
                <w:szCs w:val="21"/>
              </w:rPr>
              <w:t> </w:t>
            </w:r>
            <w:r>
              <w:rPr>
                <w:rFonts w:ascii="Times New Roman" w:hAnsi="Times New Roman" w:cs="Times New Roman" w:eastAsia="Times New Roman" w:hint="default"/>
                <w:spacing w:val="-2"/>
                <w:sz w:val="21"/>
                <w:szCs w:val="21"/>
              </w:rPr>
              <w:t>110.93%</w:t>
            </w:r>
            <w:r>
              <w:rPr>
                <w:rFonts w:ascii="宋体" w:hAnsi="宋体" w:cs="宋体" w:eastAsia="宋体" w:hint="default"/>
                <w:spacing w:val="-2"/>
                <w:sz w:val="21"/>
                <w:szCs w:val="21"/>
              </w:rPr>
              <w:t>，主要原因是公司工程项目待摊费用增加。</w:t>
            </w:r>
          </w:p>
        </w:tc>
      </w:tr>
    </w:tbl>
    <w:p>
      <w:pPr>
        <w:spacing w:line="240" w:lineRule="auto" w:before="3"/>
        <w:rPr>
          <w:rFonts w:ascii="宋体" w:hAnsi="宋体" w:cs="宋体" w:eastAsia="宋体" w:hint="default"/>
          <w:b/>
          <w:bCs/>
          <w:sz w:val="19"/>
          <w:szCs w:val="19"/>
        </w:rPr>
      </w:pPr>
    </w:p>
    <w:p>
      <w:pPr>
        <w:tabs>
          <w:tab w:pos="8060" w:val="left" w:leader="none"/>
        </w:tabs>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2</w:t>
      </w:r>
      <w:r>
        <w:rPr>
          <w:rFonts w:ascii="宋体" w:hAnsi="宋体" w:cs="宋体" w:eastAsia="宋体" w:hint="default"/>
          <w:b/>
          <w:bCs/>
          <w:spacing w:val="-1"/>
          <w:sz w:val="21"/>
          <w:szCs w:val="21"/>
        </w:rPr>
        <w:t>、主要境外资产情况</w:t>
        <w:tab/>
      </w:r>
      <w:r>
        <w:rPr>
          <w:rFonts w:ascii="Times New Roman" w:hAnsi="Times New Roman" w:cs="Times New Roman" w:eastAsia="Times New Roman" w:hint="default"/>
          <w:sz w:val="21"/>
          <w:szCs w:val="21"/>
        </w:rPr>
        <w:t>□  </w:t>
      </w:r>
      <w:r>
        <w:rPr>
          <w:rFonts w:ascii="宋体" w:hAnsi="宋体" w:cs="宋体" w:eastAsia="宋体" w:hint="default"/>
          <w:spacing w:val="-2"/>
          <w:sz w:val="21"/>
          <w:szCs w:val="21"/>
        </w:rPr>
        <w:t>适用</w:t>
      </w:r>
      <w:r>
        <w:rPr>
          <w:rFonts w:ascii="宋体" w:hAnsi="宋体" w:cs="宋体" w:eastAsia="宋体" w:hint="default"/>
          <w:sz w:val="21"/>
          <w:szCs w:val="21"/>
        </w:rPr>
        <w:t>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5"/>
          <w:sz w:val="21"/>
          <w:szCs w:val="21"/>
        </w:rPr>
        <w:t> </w:t>
      </w:r>
      <w:r>
        <w:rPr>
          <w:rFonts w:ascii="宋体" w:hAnsi="宋体" w:cs="宋体" w:eastAsia="宋体" w:hint="default"/>
          <w:spacing w:val="-1"/>
          <w:sz w:val="21"/>
          <w:szCs w:val="21"/>
        </w:rPr>
        <w:t>不适用</w:t>
      </w:r>
    </w:p>
    <w:p>
      <w:pPr>
        <w:spacing w:line="240" w:lineRule="auto" w:before="10"/>
        <w:rPr>
          <w:rFonts w:ascii="宋体" w:hAnsi="宋体" w:cs="宋体" w:eastAsia="宋体" w:hint="default"/>
          <w:sz w:val="22"/>
          <w:szCs w:val="22"/>
        </w:rPr>
      </w:pPr>
    </w:p>
    <w:p>
      <w:pPr>
        <w:pStyle w:val="Heading2"/>
        <w:spacing w:line="240" w:lineRule="auto"/>
        <w:ind w:right="0"/>
        <w:jc w:val="left"/>
        <w:rPr>
          <w:b w:val="0"/>
          <w:bCs w:val="0"/>
        </w:rPr>
      </w:pPr>
      <w:r>
        <w:rPr/>
        <w:t>三、核心竞争力分析</w:t>
      </w:r>
      <w:r>
        <w:rPr>
          <w:b w:val="0"/>
          <w:bCs w:val="0"/>
        </w:rPr>
      </w:r>
    </w:p>
    <w:p>
      <w:pPr>
        <w:spacing w:line="240" w:lineRule="auto" w:before="12"/>
        <w:rPr>
          <w:rFonts w:ascii="宋体" w:hAnsi="宋体" w:cs="宋体" w:eastAsia="宋体" w:hint="default"/>
          <w:b/>
          <w:bCs/>
          <w:sz w:val="24"/>
          <w:szCs w:val="24"/>
        </w:rPr>
      </w:pPr>
    </w:p>
    <w:p>
      <w:pPr>
        <w:pStyle w:val="BodyText"/>
        <w:spacing w:line="256" w:lineRule="auto"/>
        <w:ind w:left="573" w:right="0"/>
        <w:jc w:val="left"/>
      </w:pPr>
      <w:r>
        <w:rPr>
          <w:rFonts w:ascii="Times New Roman" w:hAnsi="Times New Roman" w:cs="Times New Roman" w:eastAsia="Times New Roman" w:hint="default"/>
        </w:rPr>
        <w:t>1</w:t>
      </w:r>
      <w:r>
        <w:rPr/>
        <w:t>、稳定的客户资源优势</w:t>
      </w:r>
      <w:r>
        <w:rPr>
          <w:w w:val="100"/>
        </w:rPr>
        <w:t> </w:t>
      </w:r>
      <w:r>
        <w:rPr>
          <w:spacing w:val="-2"/>
        </w:rPr>
        <w:t>经过多年发展，凭借过硬的产品质量和良好的商业声誉，公司与多家国内外知名的家电企业建立起良</w:t>
      </w:r>
    </w:p>
    <w:p>
      <w:pPr>
        <w:pStyle w:val="BodyText"/>
        <w:spacing w:line="240" w:lineRule="auto" w:before="22"/>
        <w:ind w:right="0"/>
        <w:jc w:val="left"/>
      </w:pPr>
      <w:r>
        <w:rPr/>
        <w:t>好、稳定的合作关系，并获得多家知名家电企业授予优秀供应商的荣誉。</w:t>
      </w:r>
    </w:p>
    <w:p>
      <w:pPr>
        <w:pStyle w:val="BodyText"/>
        <w:spacing w:line="256" w:lineRule="auto" w:before="37"/>
        <w:ind w:left="573" w:right="0"/>
        <w:jc w:val="left"/>
      </w:pPr>
      <w:r>
        <w:rPr>
          <w:rFonts w:ascii="Times New Roman" w:hAnsi="Times New Roman" w:cs="Times New Roman" w:eastAsia="Times New Roman" w:hint="default"/>
        </w:rPr>
        <w:t>2</w:t>
      </w:r>
      <w:r>
        <w:rPr/>
        <w:t>、产能和供货保障优势</w:t>
      </w:r>
      <w:r>
        <w:rPr>
          <w:w w:val="100"/>
        </w:rPr>
        <w:t> </w:t>
      </w:r>
      <w:r>
        <w:rPr>
          <w:spacing w:val="-2"/>
        </w:rPr>
        <w:t>公司是国内主要的家电配线组件制造企业之一，各类连接组件、电源输入组件的年产能超过</w:t>
      </w:r>
      <w:r>
        <w:rPr>
          <w:rFonts w:ascii="Times New Roman" w:hAnsi="Times New Roman" w:cs="Times New Roman" w:eastAsia="Times New Roman" w:hint="default"/>
          <w:spacing w:val="-2"/>
        </w:rPr>
        <w:t>1</w:t>
      </w:r>
      <w:r>
        <w:rPr>
          <w:spacing w:val="-2"/>
        </w:rPr>
        <w:t>亿套，</w:t>
      </w:r>
    </w:p>
    <w:p>
      <w:pPr>
        <w:pStyle w:val="BodyText"/>
        <w:spacing w:line="264" w:lineRule="auto" w:before="5"/>
        <w:ind w:left="573" w:right="0" w:hanging="421"/>
        <w:jc w:val="left"/>
      </w:pPr>
      <w:r>
        <w:rPr>
          <w:spacing w:val="-2"/>
        </w:rPr>
        <w:t>可以为各大家电制造厂商快速、及时地供应不同规格型号、符合不同国家安全认证的家电配线组件产品。</w:t>
      </w:r>
      <w:r>
        <w:rPr>
          <w:spacing w:val="-24"/>
        </w:rPr>
        <w:t> </w:t>
      </w:r>
      <w:r>
        <w:rPr>
          <w:spacing w:val="-24"/>
        </w:rPr>
      </w:r>
      <w:r>
        <w:rPr>
          <w:rFonts w:ascii="Times New Roman" w:hAnsi="Times New Roman" w:cs="Times New Roman" w:eastAsia="Times New Roman" w:hint="default"/>
        </w:rPr>
        <w:t>3</w:t>
      </w:r>
      <w:r>
        <w:rPr/>
        <w:t>、质量和认证优势</w:t>
      </w:r>
      <w:r>
        <w:rPr>
          <w:w w:val="100"/>
        </w:rPr>
        <w:t> </w:t>
      </w:r>
      <w:r>
        <w:rPr>
          <w:spacing w:val="-2"/>
        </w:rPr>
        <w:t>公司是国际认证最齐全的家电配线组件供应商之一，产品通过了德国、美国、日本、丹麦等</w:t>
      </w:r>
      <w:r>
        <w:rPr>
          <w:rFonts w:ascii="Times New Roman" w:hAnsi="Times New Roman" w:cs="Times New Roman" w:eastAsia="Times New Roman" w:hint="default"/>
          <w:spacing w:val="-2"/>
        </w:rPr>
        <w:t>20</w:t>
      </w:r>
      <w:r>
        <w:rPr>
          <w:spacing w:val="-2"/>
        </w:rPr>
        <w:t>多个国</w:t>
      </w:r>
    </w:p>
    <w:p>
      <w:pPr>
        <w:pStyle w:val="BodyText"/>
        <w:spacing w:line="273" w:lineRule="auto"/>
        <w:ind w:right="0"/>
        <w:jc w:val="left"/>
      </w:pPr>
      <w:r>
        <w:rPr>
          <w:spacing w:val="-2"/>
        </w:rPr>
        <w:t>家和地区的安全认证。公司注重产品质量控制，建立了完善的质量保证体系，具有功能完善的检测中心，</w:t>
      </w:r>
      <w:r>
        <w:rPr>
          <w:spacing w:val="-21"/>
        </w:rPr>
        <w:t> </w:t>
      </w:r>
      <w:r>
        <w:rPr>
          <w:spacing w:val="-21"/>
        </w:rPr>
      </w:r>
      <w:r>
        <w:rPr/>
        <w:t>充分保证了最终产品质量。</w:t>
      </w:r>
    </w:p>
    <w:p>
      <w:pPr>
        <w:spacing w:after="0" w:line="273"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125" w:right="105"/>
        <w:jc w:val="left"/>
        <w:rPr>
          <w:b w:val="0"/>
          <w:bCs w:val="0"/>
        </w:rPr>
      </w:pPr>
      <w:bookmarkStart w:name="_bookmark2" w:id="3"/>
      <w:bookmarkEnd w:id="3"/>
      <w:r>
        <w:rPr>
          <w:b w:val="0"/>
          <w:bCs w:val="0"/>
        </w:rPr>
      </w:r>
      <w:r>
        <w:rPr/>
        <w:t>第四节</w:t>
      </w:r>
      <w:r>
        <w:rPr>
          <w:spacing w:val="-6"/>
        </w:rPr>
        <w:t> </w:t>
      </w:r>
      <w:r>
        <w:rPr/>
        <w:t>管理层讨论与分析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105"/>
        <w:jc w:val="left"/>
        <w:rPr>
          <w:b w:val="0"/>
          <w:bCs w:val="0"/>
        </w:rPr>
      </w:pPr>
      <w:r>
        <w:rPr/>
        <w:t>一、概述</w:t>
      </w:r>
      <w:r>
        <w:rPr>
          <w:b w:val="0"/>
          <w:bCs w:val="0"/>
        </w:rPr>
      </w:r>
    </w:p>
    <w:p>
      <w:pPr>
        <w:spacing w:line="240" w:lineRule="auto" w:before="12"/>
        <w:rPr>
          <w:rFonts w:ascii="宋体" w:hAnsi="宋体" w:cs="宋体" w:eastAsia="宋体" w:hint="default"/>
          <w:b/>
          <w:bCs/>
          <w:sz w:val="24"/>
          <w:szCs w:val="24"/>
        </w:rPr>
      </w:pPr>
    </w:p>
    <w:p>
      <w:pPr>
        <w:pStyle w:val="BodyText"/>
        <w:spacing w:line="273" w:lineRule="auto"/>
        <w:ind w:right="105" w:firstLine="420"/>
        <w:jc w:val="left"/>
      </w:pPr>
      <w:r>
        <w:rPr>
          <w:rFonts w:ascii="宋体" w:hAnsi="宋体" w:cs="宋体" w:eastAsia="宋体" w:hint="default"/>
        </w:rPr>
        <w:t>2015</w:t>
      </w:r>
      <w:r>
        <w:rPr/>
        <w:t>年是公司发生重大变化的一年。期内，公司启动战略与业务转型；同时，受空调行业需求不振、</w:t>
      </w:r>
      <w:r>
        <w:rPr>
          <w:w w:val="100"/>
        </w:rPr>
        <w:t> </w:t>
      </w:r>
      <w:r>
        <w:rPr>
          <w:spacing w:val="-5"/>
        </w:rPr>
        <w:t>劳动力成本持续上升、行业竞争加剧等因素影响，主营业务家用电器配线组件的生产和销售面临较大压力。</w:t>
      </w:r>
      <w:r>
        <w:rPr>
          <w:spacing w:val="-4"/>
        </w:rPr>
        <w:t> </w:t>
      </w:r>
      <w:r>
        <w:rPr>
          <w:spacing w:val="-4"/>
        </w:rPr>
      </w:r>
      <w:r>
        <w:rPr/>
        <w:t>报告期，公司经营业绩出现较大幅度下滑，实现营业收入</w:t>
      </w:r>
      <w:r>
        <w:rPr>
          <w:rFonts w:ascii="宋体" w:hAnsi="宋体" w:cs="宋体" w:eastAsia="宋体" w:hint="default"/>
        </w:rPr>
        <w:t>10.49</w:t>
      </w:r>
      <w:r>
        <w:rPr/>
        <w:t>亿元、较上年同期下降</w:t>
      </w:r>
      <w:r>
        <w:rPr>
          <w:rFonts w:ascii="宋体" w:hAnsi="宋体" w:cs="宋体" w:eastAsia="宋体" w:hint="default"/>
        </w:rPr>
        <w:t>29.90%</w:t>
      </w:r>
      <w:r>
        <w:rPr/>
        <w:t>；营业利润</w:t>
      </w:r>
      <w:r>
        <w:rPr>
          <w:w w:val="100"/>
        </w:rPr>
        <w:t> </w:t>
      </w:r>
      <w:r>
        <w:rPr>
          <w:rFonts w:ascii="宋体" w:hAnsi="宋体" w:cs="宋体" w:eastAsia="宋体" w:hint="default"/>
          <w:spacing w:val="-5"/>
        </w:rPr>
        <w:t>2,631.63</w:t>
      </w:r>
      <w:r>
        <w:rPr>
          <w:spacing w:val="-5"/>
        </w:rPr>
        <w:t>万元、下降</w:t>
      </w:r>
      <w:r>
        <w:rPr>
          <w:rFonts w:ascii="宋体" w:hAnsi="宋体" w:cs="宋体" w:eastAsia="宋体" w:hint="default"/>
          <w:spacing w:val="-5"/>
        </w:rPr>
        <w:t>76.28%</w:t>
      </w:r>
      <w:r>
        <w:rPr>
          <w:spacing w:val="-5"/>
        </w:rPr>
        <w:t>；利润总额</w:t>
      </w:r>
      <w:r>
        <w:rPr>
          <w:rFonts w:ascii="宋体" w:hAnsi="宋体" w:cs="宋体" w:eastAsia="宋体" w:hint="default"/>
          <w:spacing w:val="-5"/>
        </w:rPr>
        <w:t>3,159.56</w:t>
      </w:r>
      <w:r>
        <w:rPr>
          <w:spacing w:val="-5"/>
        </w:rPr>
        <w:t>万元、下降</w:t>
      </w:r>
      <w:r>
        <w:rPr>
          <w:rFonts w:ascii="宋体" w:hAnsi="宋体" w:cs="宋体" w:eastAsia="宋体" w:hint="default"/>
          <w:spacing w:val="-5"/>
        </w:rPr>
        <w:t>71.27%</w:t>
      </w:r>
      <w:r>
        <w:rPr>
          <w:spacing w:val="-5"/>
        </w:rPr>
        <w:t>；归属于上市公司股东的净利润</w:t>
      </w:r>
      <w:r>
        <w:rPr>
          <w:rFonts w:ascii="宋体" w:hAnsi="宋体" w:cs="宋体" w:eastAsia="宋体" w:hint="default"/>
          <w:spacing w:val="-5"/>
        </w:rPr>
        <w:t>2,616.35</w:t>
      </w:r>
      <w:r>
        <w:rPr>
          <w:rFonts w:ascii="宋体" w:hAnsi="宋体" w:cs="宋体" w:eastAsia="宋体" w:hint="default"/>
          <w:spacing w:val="-31"/>
        </w:rPr>
        <w:t> </w:t>
      </w:r>
      <w:r>
        <w:rPr>
          <w:rFonts w:ascii="宋体" w:hAnsi="宋体" w:cs="宋体" w:eastAsia="宋体" w:hint="default"/>
          <w:spacing w:val="-31"/>
        </w:rPr>
      </w:r>
      <w:r>
        <w:rPr/>
        <w:t>万元，下降</w:t>
      </w:r>
      <w:r>
        <w:rPr>
          <w:rFonts w:ascii="宋体" w:hAnsi="宋体" w:cs="宋体" w:eastAsia="宋体" w:hint="default"/>
        </w:rPr>
        <w:t>71.98%</w:t>
      </w:r>
      <w:r>
        <w:rPr/>
        <w:t>；期末总资产</w:t>
      </w:r>
      <w:r>
        <w:rPr>
          <w:rFonts w:ascii="宋体" w:hAnsi="宋体" w:cs="宋体" w:eastAsia="宋体" w:hint="default"/>
        </w:rPr>
        <w:t>10.45</w:t>
      </w:r>
      <w:r>
        <w:rPr/>
        <w:t>亿元，归属于上市公司股东的所有者权益</w:t>
      </w:r>
      <w:r>
        <w:rPr>
          <w:rFonts w:ascii="宋体" w:hAnsi="宋体" w:cs="宋体" w:eastAsia="宋体" w:hint="default"/>
        </w:rPr>
        <w:t>7.73</w:t>
      </w:r>
      <w:r>
        <w:rPr/>
        <w:t>亿元，资产负债率</w:t>
      </w:r>
      <w:r>
        <w:rPr>
          <w:w w:val="100"/>
        </w:rPr>
        <w:t> </w:t>
      </w:r>
      <w:r>
        <w:rPr>
          <w:rFonts w:ascii="宋体" w:hAnsi="宋体" w:cs="宋体" w:eastAsia="宋体" w:hint="default"/>
        </w:rPr>
        <w:t>25.50%</w:t>
      </w:r>
      <w:r>
        <w:rPr/>
        <w:t>。</w:t>
      </w:r>
    </w:p>
    <w:p>
      <w:pPr>
        <w:pStyle w:val="BodyText"/>
        <w:spacing w:line="256" w:lineRule="auto" w:before="7"/>
        <w:ind w:left="573" w:right="105"/>
        <w:jc w:val="left"/>
      </w:pPr>
      <w:r>
        <w:rPr>
          <w:rFonts w:ascii="Times New Roman" w:hAnsi="Times New Roman" w:cs="Times New Roman" w:eastAsia="Times New Roman" w:hint="default"/>
        </w:rPr>
        <w:t>2015</w:t>
      </w:r>
      <w:r>
        <w:rPr/>
        <w:t>年重点工作回顾：</w:t>
      </w:r>
      <w:r>
        <w:rPr>
          <w:w w:val="100"/>
        </w:rPr>
        <w:t> </w:t>
      </w:r>
      <w:r>
        <w:rPr>
          <w:spacing w:val="-2"/>
        </w:rPr>
        <w:t>公司自成立以来，凭借不断积累的对关键客户维护能力、大规模供货能力、较强的低成本控制能力以</w:t>
      </w:r>
    </w:p>
    <w:p>
      <w:pPr>
        <w:pStyle w:val="BodyText"/>
        <w:spacing w:line="273" w:lineRule="auto" w:before="22"/>
        <w:ind w:right="185"/>
        <w:jc w:val="both"/>
      </w:pPr>
      <w:r>
        <w:rPr>
          <w:spacing w:val="-2"/>
        </w:rPr>
        <w:t>及满足大客户要求的质量控制能力等等优势，保持销售规模不断扩大、细分行业地位不断提高这一趋势直</w:t>
      </w:r>
      <w:r>
        <w:rPr>
          <w:spacing w:val="-42"/>
        </w:rPr>
        <w:t> </w:t>
      </w:r>
      <w:r>
        <w:rPr>
          <w:spacing w:val="-42"/>
        </w:rPr>
      </w:r>
      <w:r>
        <w:rPr>
          <w:spacing w:val="-2"/>
        </w:rPr>
        <w:t>至</w:t>
      </w:r>
      <w:r>
        <w:rPr>
          <w:rFonts w:ascii="宋体" w:hAnsi="宋体" w:cs="宋体" w:eastAsia="宋体" w:hint="default"/>
          <w:spacing w:val="-2"/>
        </w:rPr>
        <w:t>2014</w:t>
      </w:r>
      <w:r>
        <w:rPr>
          <w:spacing w:val="-2"/>
        </w:rPr>
        <w:t>年。在这个过程中，也积累了客户集中、对家电尤其是空调行业依赖性较大、市场空间拓展能力有</w:t>
      </w:r>
      <w:r>
        <w:rPr>
          <w:spacing w:val="-43"/>
        </w:rPr>
        <w:t> </w:t>
      </w:r>
      <w:r>
        <w:rPr>
          <w:spacing w:val="-43"/>
        </w:rPr>
      </w:r>
      <w:r>
        <w:rPr>
          <w:spacing w:val="-2"/>
        </w:rPr>
        <w:t>限等问题。随着家用电器配线组件业务进入成熟发展期，所属行业进入门槛低，竞争激烈，公司在技术、</w:t>
      </w:r>
      <w:r>
        <w:rPr>
          <w:spacing w:val="-21"/>
        </w:rPr>
        <w:t> </w:t>
      </w:r>
      <w:r>
        <w:rPr>
          <w:spacing w:val="-21"/>
        </w:rPr>
      </w:r>
      <w:r>
        <w:rPr>
          <w:spacing w:val="-2"/>
        </w:rPr>
        <w:t>成本和效率方面不再具备明显的相对优势。公司也日益强烈地感受到关键客户采购策略调整给公司带来的</w:t>
      </w:r>
      <w:r>
        <w:rPr>
          <w:spacing w:val="-43"/>
        </w:rPr>
        <w:t> </w:t>
      </w:r>
      <w:r>
        <w:rPr>
          <w:spacing w:val="-43"/>
        </w:rPr>
      </w:r>
      <w:r>
        <w:rPr/>
        <w:t>经营压力与风险。在此背景下，公司以战略与业务转型为基本思路，主要开展了以下工作：</w:t>
      </w:r>
    </w:p>
    <w:p>
      <w:pPr>
        <w:pStyle w:val="BodyText"/>
        <w:spacing w:line="273" w:lineRule="auto" w:before="7"/>
        <w:ind w:left="573" w:right="105"/>
        <w:jc w:val="left"/>
      </w:pPr>
      <w:r>
        <w:rPr/>
        <w:t>（一）确定长期发展战略和未来五年经营发展战略。</w:t>
      </w:r>
      <w:r>
        <w:rPr>
          <w:w w:val="100"/>
        </w:rPr>
        <w:t> </w:t>
      </w:r>
      <w:r>
        <w:rPr>
          <w:spacing w:val="-2"/>
        </w:rPr>
        <w:t>公司确定的长期发展战略为：通过内生式和外延式的发展，充分利用互联网创新手段，基于互联网生</w:t>
      </w:r>
    </w:p>
    <w:p>
      <w:pPr>
        <w:pStyle w:val="BodyText"/>
        <w:spacing w:line="273" w:lineRule="auto" w:before="7"/>
        <w:ind w:right="105"/>
        <w:jc w:val="left"/>
      </w:pPr>
      <w:r>
        <w:rPr>
          <w:spacing w:val="-5"/>
        </w:rPr>
        <w:t>态圈，逐步建立涵盖证券、保险、投资、信托等业务的金融服务体系，最终将公司打造为一个专业、创新、</w:t>
      </w:r>
      <w:r>
        <w:rPr>
          <w:spacing w:val="-6"/>
        </w:rPr>
        <w:t> </w:t>
      </w:r>
      <w:r>
        <w:rPr>
          <w:spacing w:val="-6"/>
        </w:rPr>
      </w:r>
      <w:r>
        <w:rPr/>
        <w:t>开放的互联网金控平台。</w:t>
      </w:r>
    </w:p>
    <w:p>
      <w:pPr>
        <w:pStyle w:val="BodyText"/>
        <w:spacing w:line="273" w:lineRule="auto" w:before="7"/>
        <w:ind w:right="105" w:firstLine="420"/>
        <w:jc w:val="left"/>
      </w:pPr>
      <w:r>
        <w:rPr>
          <w:spacing w:val="-2"/>
        </w:rPr>
        <w:t>公司确定的未来五年经营发展战略为：以证券业务为基础，将互联网与传统证券业务有机结合，同时</w:t>
      </w:r>
      <w:r>
        <w:rPr>
          <w:w w:val="100"/>
        </w:rPr>
        <w:t> </w:t>
      </w:r>
      <w:r>
        <w:rPr/>
        <w:t>积极拓展保险、投资、信托等金融领域，以“资本</w:t>
      </w:r>
      <w:r>
        <w:rPr>
          <w:rFonts w:ascii="宋体" w:hAnsi="宋体" w:cs="宋体" w:eastAsia="宋体" w:hint="default"/>
        </w:rPr>
        <w:t>+</w:t>
      </w:r>
      <w:r>
        <w:rPr/>
        <w:t>创新”双轮驱动，搭建初具规模的互联网金控平台。</w:t>
      </w:r>
    </w:p>
    <w:p>
      <w:pPr>
        <w:pStyle w:val="BodyText"/>
        <w:spacing w:line="273" w:lineRule="auto" w:before="7"/>
        <w:ind w:left="573" w:right="105"/>
        <w:jc w:val="left"/>
      </w:pPr>
      <w:r>
        <w:rPr/>
        <w:t>（二）筹划重大资产重组，迈出业务转型第一步。</w:t>
      </w:r>
      <w:r>
        <w:rPr>
          <w:w w:val="100"/>
        </w:rPr>
        <w:t> </w:t>
      </w:r>
      <w:r>
        <w:rPr>
          <w:rFonts w:ascii="宋体" w:hAnsi="宋体" w:cs="宋体" w:eastAsia="宋体" w:hint="default"/>
          <w:spacing w:val="-2"/>
        </w:rPr>
        <w:t>2015</w:t>
      </w:r>
      <w:r>
        <w:rPr>
          <w:spacing w:val="-2"/>
        </w:rPr>
        <w:t>年</w:t>
      </w:r>
      <w:r>
        <w:rPr>
          <w:rFonts w:ascii="宋体" w:hAnsi="宋体" w:cs="宋体" w:eastAsia="宋体" w:hint="default"/>
          <w:spacing w:val="-2"/>
        </w:rPr>
        <w:t>5</w:t>
      </w:r>
      <w:r>
        <w:rPr>
          <w:spacing w:val="-2"/>
        </w:rPr>
        <w:t>月，公司开始筹划重大资产重组方案；</w:t>
      </w:r>
      <w:r>
        <w:rPr>
          <w:rFonts w:ascii="宋体" w:hAnsi="宋体" w:cs="宋体" w:eastAsia="宋体" w:hint="default"/>
          <w:spacing w:val="-2"/>
        </w:rPr>
        <w:t>11</w:t>
      </w:r>
      <w:r>
        <w:rPr>
          <w:spacing w:val="-2"/>
        </w:rPr>
        <w:t>月，拟定发行股份及支付现金购买国盛证券有限责</w:t>
      </w:r>
    </w:p>
    <w:p>
      <w:pPr>
        <w:pStyle w:val="BodyText"/>
        <w:spacing w:line="273" w:lineRule="auto" w:before="7"/>
        <w:ind w:right="105"/>
        <w:jc w:val="left"/>
      </w:pPr>
      <w:r>
        <w:rPr/>
        <w:t>任公司</w:t>
      </w:r>
      <w:r>
        <w:rPr>
          <w:rFonts w:ascii="宋体" w:hAnsi="宋体" w:cs="宋体" w:eastAsia="宋体" w:hint="default"/>
        </w:rPr>
        <w:t>100%</w:t>
      </w:r>
      <w:r>
        <w:rPr/>
        <w:t>股权并募集配套资金</w:t>
      </w:r>
      <w:r>
        <w:rPr>
          <w:rFonts w:ascii="宋体" w:hAnsi="宋体" w:cs="宋体" w:eastAsia="宋体" w:hint="default"/>
        </w:rPr>
        <w:t>69.30</w:t>
      </w:r>
      <w:r>
        <w:rPr/>
        <w:t>亿元的方案；当月，方案经股东大会审议通过。本次重组是公司业</w:t>
      </w:r>
      <w:r>
        <w:rPr>
          <w:w w:val="100"/>
        </w:rPr>
        <w:t> </w:t>
      </w:r>
      <w:r>
        <w:rPr>
          <w:spacing w:val="-2"/>
        </w:rPr>
        <w:t>务转型的第一步，交易完成后，公司总部将升级为控股管理平台，管理以证券业务为主的各业务模块，公</w:t>
      </w:r>
      <w:r>
        <w:rPr>
          <w:spacing w:val="-47"/>
        </w:rPr>
        <w:t> </w:t>
      </w:r>
      <w:r>
        <w:rPr>
          <w:spacing w:val="-47"/>
        </w:rPr>
      </w:r>
      <w:r>
        <w:rPr/>
        <w:t>司资产类型、资产规模、资本实力将发生重大变化。</w:t>
      </w:r>
    </w:p>
    <w:p>
      <w:pPr>
        <w:pStyle w:val="BodyText"/>
        <w:spacing w:line="273" w:lineRule="auto" w:before="7"/>
        <w:ind w:left="573" w:right="105"/>
        <w:jc w:val="left"/>
      </w:pPr>
      <w:r>
        <w:rPr/>
        <w:t>（三）初步完成投资管理业务布局。</w:t>
      </w:r>
      <w:r>
        <w:rPr>
          <w:w w:val="100"/>
        </w:rPr>
        <w:t> </w:t>
      </w:r>
      <w:r>
        <w:rPr>
          <w:spacing w:val="-2"/>
        </w:rPr>
        <w:t>公司设立专注互联网、金融领域投资管理业务的经营实体深圳华声，布局人民币股权投资管理业务平</w:t>
      </w:r>
    </w:p>
    <w:p>
      <w:pPr>
        <w:pStyle w:val="BodyText"/>
        <w:spacing w:line="273" w:lineRule="auto" w:before="7"/>
        <w:ind w:right="105"/>
        <w:jc w:val="left"/>
      </w:pPr>
      <w:r>
        <w:rPr/>
        <w:t>台；设立华声香港投资、</w:t>
      </w:r>
      <w:r>
        <w:rPr>
          <w:rFonts w:ascii="宋体" w:hAnsi="宋体" w:cs="宋体" w:eastAsia="宋体" w:hint="default"/>
        </w:rPr>
        <w:t>BVI</w:t>
      </w:r>
      <w:r>
        <w:rPr/>
        <w:t>华声、开曼华声三家海外企业，布局外币股权投资管理业务平台；公司初步</w:t>
      </w:r>
      <w:r>
        <w:rPr>
          <w:spacing w:val="-3"/>
          <w:w w:val="100"/>
        </w:rPr>
        <w:t> </w:t>
      </w:r>
      <w:r>
        <w:rPr>
          <w:spacing w:val="-2"/>
        </w:rPr>
        <w:t>完成了股权投资管理业务团队的组建，初步完成了投资基金管理运营制度建设，并应业务需要，以开曼华</w:t>
      </w:r>
      <w:r>
        <w:rPr>
          <w:spacing w:val="-43"/>
        </w:rPr>
        <w:t> </w:t>
      </w:r>
      <w:r>
        <w:rPr>
          <w:spacing w:val="-43"/>
        </w:rPr>
      </w:r>
      <w:r>
        <w:rPr/>
        <w:t>声为普通合伙人发起设立开曼有限合伙（注：开曼有限合伙不纳入公司合并报表）。</w:t>
      </w:r>
    </w:p>
    <w:p>
      <w:pPr>
        <w:pStyle w:val="BodyText"/>
        <w:spacing w:line="273" w:lineRule="auto" w:before="7"/>
        <w:ind w:left="573" w:right="105"/>
        <w:jc w:val="left"/>
      </w:pPr>
      <w:r>
        <w:rPr/>
        <w:t>（四）积极寻求保险企业股权投资机会。</w:t>
      </w:r>
      <w:r>
        <w:rPr>
          <w:w w:val="100"/>
        </w:rPr>
        <w:t> </w:t>
      </w:r>
      <w:r>
        <w:rPr>
          <w:spacing w:val="-2"/>
        </w:rPr>
        <w:t>围绕确定的长期发展战略，在保险行业地位提升、保险业内部改革开放、保险资金运用对接实体经济</w:t>
      </w:r>
    </w:p>
    <w:p>
      <w:pPr>
        <w:pStyle w:val="BodyText"/>
        <w:spacing w:line="273" w:lineRule="auto" w:before="7"/>
        <w:ind w:right="208"/>
        <w:jc w:val="both"/>
      </w:pPr>
      <w:r>
        <w:rPr>
          <w:spacing w:val="-2"/>
        </w:rPr>
        <w:t>并助力产业升级的政策背景下，公司积极寻求保险行业企业股权投资机会。</w:t>
      </w:r>
      <w:r>
        <w:rPr>
          <w:rFonts w:ascii="宋体" w:hAnsi="宋体" w:cs="宋体" w:eastAsia="宋体" w:hint="default"/>
          <w:spacing w:val="-2"/>
        </w:rPr>
        <w:t>2015</w:t>
      </w:r>
      <w:r>
        <w:rPr>
          <w:spacing w:val="-2"/>
        </w:rPr>
        <w:t>年</w:t>
      </w:r>
      <w:r>
        <w:rPr>
          <w:rFonts w:ascii="宋体" w:hAnsi="宋体" w:cs="宋体" w:eastAsia="宋体" w:hint="default"/>
          <w:spacing w:val="-2"/>
        </w:rPr>
        <w:t>11</w:t>
      </w:r>
      <w:r>
        <w:rPr>
          <w:spacing w:val="-2"/>
        </w:rPr>
        <w:t>月，公司参与发起设</w:t>
      </w:r>
      <w:r>
        <w:rPr>
          <w:spacing w:val="-42"/>
        </w:rPr>
        <w:t> </w:t>
      </w:r>
      <w:r>
        <w:rPr>
          <w:spacing w:val="-42"/>
        </w:rPr>
      </w:r>
      <w:r>
        <w:rPr>
          <w:spacing w:val="-2"/>
        </w:rPr>
        <w:t>立百安保险；</w:t>
      </w:r>
      <w:r>
        <w:rPr>
          <w:rFonts w:ascii="宋体" w:hAnsi="宋体" w:cs="宋体" w:eastAsia="宋体" w:hint="default"/>
          <w:spacing w:val="-2"/>
        </w:rPr>
        <w:t>12</w:t>
      </w:r>
      <w:r>
        <w:rPr>
          <w:spacing w:val="-2"/>
        </w:rPr>
        <w:t>月，股东大会审议通过该项交易（尚需中国保监会核准）。为更全面地涉足保险行业，公</w:t>
      </w:r>
      <w:r>
        <w:rPr>
          <w:spacing w:val="-45"/>
        </w:rPr>
        <w:t> </w:t>
      </w:r>
      <w:r>
        <w:rPr>
          <w:spacing w:val="-45"/>
        </w:rPr>
      </w:r>
      <w:r>
        <w:rPr/>
        <w:t>司还积极寻求寿险企业股权投资机会。</w:t>
      </w:r>
    </w:p>
    <w:p>
      <w:pPr>
        <w:pStyle w:val="BodyText"/>
        <w:spacing w:line="273" w:lineRule="auto" w:before="7"/>
        <w:ind w:left="573" w:right="2702"/>
        <w:jc w:val="left"/>
      </w:pPr>
      <w:r>
        <w:rPr/>
        <w:t>（五）推进线缆业务。</w:t>
      </w:r>
      <w:r>
        <w:rPr>
          <w:w w:val="100"/>
        </w:rPr>
        <w:t> </w:t>
      </w:r>
      <w:r>
        <w:rPr>
          <w:rFonts w:ascii="宋体" w:hAnsi="宋体" w:cs="宋体" w:eastAsia="宋体" w:hint="default"/>
          <w:spacing w:val="-2"/>
        </w:rPr>
        <w:t>1</w:t>
      </w:r>
      <w:r>
        <w:rPr>
          <w:spacing w:val="-2"/>
        </w:rPr>
        <w:t>、积极维护关键客户，努力保持家电配线组件产品市场份额。</w:t>
      </w:r>
    </w:p>
    <w:p>
      <w:pPr>
        <w:pStyle w:val="BodyText"/>
        <w:spacing w:line="273" w:lineRule="auto" w:before="7"/>
        <w:ind w:right="105" w:firstLine="420"/>
        <w:jc w:val="left"/>
      </w:pPr>
      <w:r>
        <w:rPr>
          <w:rFonts w:ascii="宋体" w:hAnsi="宋体" w:cs="宋体" w:eastAsia="宋体" w:hint="default"/>
          <w:spacing w:val="-2"/>
        </w:rPr>
        <w:t>2</w:t>
      </w:r>
      <w:r>
        <w:rPr>
          <w:spacing w:val="-2"/>
        </w:rPr>
        <w:t>、多措并举控制成本费用。报告期末存货较期初下降</w:t>
      </w:r>
      <w:r>
        <w:rPr>
          <w:rFonts w:ascii="宋体" w:hAnsi="宋体" w:cs="宋体" w:eastAsia="宋体" w:hint="default"/>
          <w:spacing w:val="-2"/>
        </w:rPr>
        <w:t>46.03%</w:t>
      </w:r>
      <w:r>
        <w:rPr>
          <w:spacing w:val="-2"/>
        </w:rPr>
        <w:t>；初步开展精兵简政工作，人力资源成</w:t>
      </w:r>
      <w:r>
        <w:rPr>
          <w:w w:val="100"/>
        </w:rPr>
        <w:t> </w:t>
      </w:r>
      <w:r>
        <w:rPr/>
        <w:t>本上涨势头得到控制；继续改进产品配方、优化产品结构，降低产品成本。</w:t>
      </w:r>
    </w:p>
    <w:p>
      <w:pPr>
        <w:spacing w:after="0" w:line="273" w:lineRule="auto"/>
        <w:jc w:val="left"/>
        <w:sectPr>
          <w:pgSz w:w="11910" w:h="16840"/>
          <w:pgMar w:header="745" w:footer="979" w:top="1060" w:bottom="1160" w:left="980" w:right="920"/>
        </w:sectPr>
      </w:pPr>
    </w:p>
    <w:p>
      <w:pPr>
        <w:spacing w:line="240" w:lineRule="auto" w:before="10"/>
        <w:rPr>
          <w:rFonts w:ascii="宋体" w:hAnsi="宋体" w:cs="宋体" w:eastAsia="宋体" w:hint="default"/>
          <w:sz w:val="24"/>
          <w:szCs w:val="24"/>
        </w:rPr>
      </w:pPr>
    </w:p>
    <w:p>
      <w:pPr>
        <w:pStyle w:val="BodyText"/>
        <w:spacing w:line="240" w:lineRule="auto" w:before="36"/>
        <w:ind w:left="573" w:right="0"/>
        <w:jc w:val="left"/>
      </w:pPr>
      <w:r>
        <w:rPr>
          <w:rFonts w:ascii="宋体" w:hAnsi="宋体" w:cs="宋体" w:eastAsia="宋体" w:hint="default"/>
        </w:rPr>
        <w:t>3</w:t>
      </w:r>
      <w:r>
        <w:rPr/>
        <w:t>、启动管理咨询一期项目，推进办公自动化系统建设，提升运营效率。</w:t>
      </w:r>
    </w:p>
    <w:p>
      <w:pPr>
        <w:pStyle w:val="BodyText"/>
        <w:spacing w:line="240" w:lineRule="auto" w:before="37"/>
        <w:ind w:left="573" w:right="0"/>
        <w:jc w:val="left"/>
      </w:pPr>
      <w:r>
        <w:rPr>
          <w:rFonts w:ascii="宋体" w:hAnsi="宋体" w:cs="宋体" w:eastAsia="宋体" w:hint="default"/>
        </w:rPr>
        <w:t>4</w:t>
      </w:r>
      <w:r>
        <w:rPr/>
        <w:t>、设立控股子公司华声电缆，进入电气配套电缆及特种电线电缆业务。</w:t>
      </w:r>
    </w:p>
    <w:p>
      <w:pPr>
        <w:spacing w:line="240" w:lineRule="auto" w:before="11"/>
        <w:rPr>
          <w:rFonts w:ascii="宋体" w:hAnsi="宋体" w:cs="宋体" w:eastAsia="宋体" w:hint="default"/>
          <w:sz w:val="23"/>
          <w:szCs w:val="23"/>
        </w:rPr>
      </w:pPr>
    </w:p>
    <w:p>
      <w:pPr>
        <w:pStyle w:val="Heading2"/>
        <w:spacing w:line="240" w:lineRule="auto"/>
        <w:ind w:right="0"/>
        <w:jc w:val="left"/>
        <w:rPr>
          <w:b w:val="0"/>
          <w:bCs w:val="0"/>
        </w:rPr>
      </w:pPr>
      <w:r>
        <w:rPr/>
        <w:t>二、主营业务分析</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、概述</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573" w:right="0"/>
        <w:jc w:val="left"/>
      </w:pPr>
      <w:r>
        <w:rPr/>
        <w:t>参见</w:t>
      </w:r>
      <w:r>
        <w:rPr>
          <w:rFonts w:ascii="Times New Roman" w:hAnsi="Times New Roman" w:cs="Times New Roman" w:eastAsia="Times New Roman" w:hint="default"/>
        </w:rPr>
        <w:t>“</w:t>
      </w:r>
      <w:r>
        <w:rPr/>
        <w:t>管理层讨论与分析</w:t>
      </w:r>
      <w:r>
        <w:rPr>
          <w:rFonts w:ascii="Times New Roman" w:hAnsi="Times New Roman" w:cs="Times New Roman" w:eastAsia="Times New Roman" w:hint="default"/>
        </w:rPr>
        <w:t>”</w:t>
      </w:r>
      <w:r>
        <w:rPr/>
        <w:t>中的</w:t>
      </w:r>
      <w:r>
        <w:rPr>
          <w:rFonts w:ascii="Times New Roman" w:hAnsi="Times New Roman" w:cs="Times New Roman" w:eastAsia="Times New Roman" w:hint="default"/>
        </w:rPr>
        <w:t>“</w:t>
      </w:r>
      <w:r>
        <w:rPr/>
        <w:t>一、概述</w:t>
      </w:r>
      <w:r>
        <w:rPr>
          <w:rFonts w:ascii="Times New Roman" w:hAnsi="Times New Roman" w:cs="Times New Roman" w:eastAsia="Times New Roman" w:hint="default"/>
        </w:rPr>
        <w:t>”</w:t>
      </w:r>
      <w:r>
        <w:rPr/>
        <w:t>相关内容。</w:t>
      </w:r>
    </w:p>
    <w:p>
      <w:pPr>
        <w:spacing w:line="240" w:lineRule="auto" w:before="7"/>
        <w:rPr>
          <w:rFonts w:ascii="宋体" w:hAnsi="宋体" w:cs="宋体" w:eastAsia="宋体" w:hint="default"/>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2</w:t>
      </w:r>
      <w:r>
        <w:rPr/>
        <w:t>、收入与成本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36"/>
        <w:ind w:left="0" w:right="239"/>
        <w:jc w:val="right"/>
      </w:pPr>
      <w:r>
        <w:rPr>
          <w:spacing w:val="-1"/>
        </w:rPr>
        <w:t>单位：元</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271"/>
        <w:gridCol w:w="1561"/>
        <w:gridCol w:w="1557"/>
        <w:gridCol w:w="1561"/>
        <w:gridCol w:w="1555"/>
        <w:gridCol w:w="1064"/>
      </w:tblGrid>
      <w:tr>
        <w:trPr>
          <w:trHeight w:val="206" w:hRule="exact"/>
        </w:trPr>
        <w:tc>
          <w:tcPr>
            <w:tcW w:w="2271" w:type="dxa"/>
            <w:tcBorders>
              <w:top w:val="single" w:sz="4" w:space="0" w:color="000000"/>
              <w:left w:val="single" w:sz="4" w:space="0" w:color="000000"/>
              <w:bottom w:val="nil" w:sz="6" w:space="0" w:color="auto"/>
              <w:right w:val="single" w:sz="4" w:space="0" w:color="000000"/>
            </w:tcBorders>
            <w:shd w:val="clear" w:color="auto" w:fill="D2D2D2"/>
          </w:tcPr>
          <w:p>
            <w:pPr/>
          </w:p>
        </w:tc>
        <w:tc>
          <w:tcPr>
            <w:tcW w:w="311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p>
        </w:tc>
        <w:tc>
          <w:tcPr>
            <w:tcW w:w="31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6"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p>
        </w:tc>
        <w:tc>
          <w:tcPr>
            <w:tcW w:w="106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22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18" w:type="dxa"/>
            <w:gridSpan w:val="2"/>
            <w:vMerge/>
            <w:tcBorders>
              <w:left w:val="single" w:sz="4" w:space="0" w:color="000000"/>
              <w:bottom w:val="single" w:sz="4" w:space="0" w:color="000000"/>
              <w:right w:val="single" w:sz="4" w:space="0" w:color="000000"/>
            </w:tcBorders>
            <w:shd w:val="clear" w:color="auto" w:fill="D2D2D2"/>
          </w:tcPr>
          <w:p>
            <w:pPr/>
          </w:p>
        </w:tc>
        <w:tc>
          <w:tcPr>
            <w:tcW w:w="3116" w:type="dxa"/>
            <w:gridSpan w:val="2"/>
            <w:vMerge/>
            <w:tcBorders>
              <w:left w:val="single" w:sz="4" w:space="0" w:color="000000"/>
              <w:bottom w:val="single" w:sz="4" w:space="0" w:color="000000"/>
              <w:right w:val="single" w:sz="4" w:space="0" w:color="000000"/>
            </w:tcBorders>
            <w:shd w:val="clear" w:color="auto" w:fill="D2D2D2"/>
          </w:tcPr>
          <w:p>
            <w:pPr/>
          </w:p>
        </w:tc>
        <w:tc>
          <w:tcPr>
            <w:tcW w:w="10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108" w:right="0"/>
              <w:jc w:val="left"/>
              <w:rPr>
                <w:rFonts w:ascii="宋体" w:hAnsi="宋体" w:cs="宋体" w:eastAsia="宋体" w:hint="default"/>
                <w:sz w:val="21"/>
                <w:szCs w:val="21"/>
              </w:rPr>
            </w:pPr>
            <w:r>
              <w:rPr>
                <w:rFonts w:ascii="宋体" w:hAnsi="宋体" w:cs="宋体" w:eastAsia="宋体" w:hint="default"/>
                <w:sz w:val="21"/>
                <w:szCs w:val="21"/>
              </w:rPr>
              <w:t>同比增减</w:t>
            </w:r>
          </w:p>
        </w:tc>
      </w:tr>
      <w:tr>
        <w:trPr>
          <w:trHeight w:val="202" w:hRule="exact"/>
        </w:trPr>
        <w:tc>
          <w:tcPr>
            <w:tcW w:w="2271" w:type="dxa"/>
            <w:vMerge/>
            <w:tcBorders>
              <w:left w:val="single" w:sz="4" w:space="0" w:color="000000"/>
              <w:bottom w:val="nil" w:sz="6" w:space="0" w:color="auto"/>
              <w:right w:val="single" w:sz="4" w:space="0" w:color="000000"/>
            </w:tcBorders>
            <w:shd w:val="clear" w:color="auto" w:fill="D2D2D2"/>
          </w:tcPr>
          <w:p>
            <w:pPr/>
          </w:p>
        </w:tc>
        <w:tc>
          <w:tcPr>
            <w:tcW w:w="15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55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35" w:right="0"/>
              <w:jc w:val="left"/>
              <w:rPr>
                <w:rFonts w:ascii="宋体" w:hAnsi="宋体" w:cs="宋体" w:eastAsia="宋体" w:hint="default"/>
                <w:sz w:val="21"/>
                <w:szCs w:val="21"/>
              </w:rPr>
            </w:pPr>
            <w:r>
              <w:rPr>
                <w:rFonts w:ascii="宋体" w:hAnsi="宋体" w:cs="宋体" w:eastAsia="宋体" w:hint="default"/>
                <w:sz w:val="21"/>
                <w:szCs w:val="21"/>
              </w:rPr>
              <w:t>占营业收入比重</w:t>
            </w:r>
          </w:p>
        </w:tc>
        <w:tc>
          <w:tcPr>
            <w:tcW w:w="15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55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35" w:right="0"/>
              <w:jc w:val="left"/>
              <w:rPr>
                <w:rFonts w:ascii="宋体" w:hAnsi="宋体" w:cs="宋体" w:eastAsia="宋体" w:hint="default"/>
                <w:sz w:val="21"/>
                <w:szCs w:val="21"/>
              </w:rPr>
            </w:pPr>
            <w:r>
              <w:rPr>
                <w:rFonts w:ascii="宋体" w:hAnsi="宋体" w:cs="宋体" w:eastAsia="宋体" w:hint="default"/>
                <w:sz w:val="21"/>
                <w:szCs w:val="21"/>
              </w:rPr>
              <w:t>占营业收入比重</w:t>
            </w:r>
          </w:p>
        </w:tc>
        <w:tc>
          <w:tcPr>
            <w:tcW w:w="1064"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2271" w:type="dxa"/>
            <w:tcBorders>
              <w:top w:val="nil" w:sz="6" w:space="0" w:color="auto"/>
              <w:left w:val="single" w:sz="4" w:space="0" w:color="000000"/>
              <w:bottom w:val="single" w:sz="4" w:space="0" w:color="000000"/>
              <w:right w:val="single" w:sz="4" w:space="0" w:color="000000"/>
            </w:tcBorders>
            <w:shd w:val="clear" w:color="auto" w:fill="D2D2D2"/>
          </w:tcPr>
          <w:p>
            <w:pPr/>
          </w:p>
        </w:tc>
        <w:tc>
          <w:tcPr>
            <w:tcW w:w="1561" w:type="dxa"/>
            <w:vMerge/>
            <w:tcBorders>
              <w:left w:val="single" w:sz="4" w:space="0" w:color="000000"/>
              <w:bottom w:val="single" w:sz="4" w:space="0" w:color="000000"/>
              <w:right w:val="single" w:sz="4" w:space="0" w:color="000000"/>
            </w:tcBorders>
            <w:shd w:val="clear" w:color="auto" w:fill="D2D2D2"/>
          </w:tcPr>
          <w:p>
            <w:pPr/>
          </w:p>
        </w:tc>
        <w:tc>
          <w:tcPr>
            <w:tcW w:w="1557" w:type="dxa"/>
            <w:vMerge/>
            <w:tcBorders>
              <w:left w:val="single" w:sz="4" w:space="0" w:color="000000"/>
              <w:bottom w:val="single" w:sz="4" w:space="0" w:color="000000"/>
              <w:right w:val="single" w:sz="4" w:space="0" w:color="000000"/>
            </w:tcBorders>
            <w:shd w:val="clear" w:color="auto" w:fill="D2D2D2"/>
          </w:tcPr>
          <w:p>
            <w:pPr/>
          </w:p>
        </w:tc>
        <w:tc>
          <w:tcPr>
            <w:tcW w:w="1561" w:type="dxa"/>
            <w:vMerge/>
            <w:tcBorders>
              <w:left w:val="single" w:sz="4" w:space="0" w:color="000000"/>
              <w:bottom w:val="single" w:sz="4" w:space="0" w:color="000000"/>
              <w:right w:val="single" w:sz="4" w:space="0" w:color="000000"/>
            </w:tcBorders>
            <w:shd w:val="clear" w:color="auto" w:fill="D2D2D2"/>
          </w:tcPr>
          <w:p>
            <w:pPr/>
          </w:p>
        </w:tc>
        <w:tc>
          <w:tcPr>
            <w:tcW w:w="1555" w:type="dxa"/>
            <w:vMerge/>
            <w:tcBorders>
              <w:left w:val="single" w:sz="4" w:space="0" w:color="000000"/>
              <w:bottom w:val="single" w:sz="4" w:space="0" w:color="000000"/>
              <w:right w:val="single" w:sz="4" w:space="0" w:color="000000"/>
            </w:tcBorders>
            <w:shd w:val="clear" w:color="auto" w:fill="D2D2D2"/>
          </w:tcPr>
          <w:p>
            <w:pPr/>
          </w:p>
        </w:tc>
        <w:tc>
          <w:tcPr>
            <w:tcW w:w="106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6" w:hRule="exact"/>
        </w:trPr>
        <w:tc>
          <w:tcPr>
            <w:tcW w:w="2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营业收入合计</w:t>
            </w:r>
          </w:p>
        </w:tc>
        <w:tc>
          <w:tcPr>
            <w:tcW w:w="1561"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75"/>
              <w:ind w:right="8"/>
              <w:jc w:val="right"/>
              <w:rPr>
                <w:rFonts w:ascii="Times New Roman" w:hAnsi="Times New Roman" w:cs="Times New Roman" w:eastAsia="Times New Roman" w:hint="default"/>
                <w:sz w:val="21"/>
                <w:szCs w:val="21"/>
              </w:rPr>
            </w:pPr>
            <w:r>
              <w:rPr>
                <w:rFonts w:ascii="Times New Roman"/>
                <w:spacing w:val="-1"/>
                <w:sz w:val="21"/>
              </w:rPr>
              <w:t>1,049,493,193.33</w:t>
            </w:r>
          </w:p>
        </w:tc>
        <w:tc>
          <w:tcPr>
            <w:tcW w:w="1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100%</w:t>
            </w:r>
          </w:p>
        </w:tc>
        <w:tc>
          <w:tcPr>
            <w:tcW w:w="1561"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75"/>
              <w:ind w:right="8"/>
              <w:jc w:val="right"/>
              <w:rPr>
                <w:rFonts w:ascii="Times New Roman" w:hAnsi="Times New Roman" w:cs="Times New Roman" w:eastAsia="Times New Roman" w:hint="default"/>
                <w:sz w:val="21"/>
                <w:szCs w:val="21"/>
              </w:rPr>
            </w:pPr>
            <w:r>
              <w:rPr>
                <w:rFonts w:ascii="Times New Roman"/>
                <w:spacing w:val="-1"/>
                <w:sz w:val="21"/>
              </w:rPr>
              <w:t>1,497,070,161.20</w:t>
            </w:r>
          </w:p>
        </w:tc>
        <w:tc>
          <w:tcPr>
            <w:tcW w:w="15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100%</w:t>
            </w:r>
          </w:p>
        </w:tc>
        <w:tc>
          <w:tcPr>
            <w:tcW w:w="106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pacing w:val="-1"/>
                <w:sz w:val="21"/>
              </w:rPr>
              <w:t>-29.90%</w:t>
            </w:r>
          </w:p>
        </w:tc>
      </w:tr>
      <w:tr>
        <w:trPr>
          <w:trHeight w:val="398"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3"/>
              <w:ind w:left="24" w:right="0"/>
              <w:jc w:val="left"/>
              <w:rPr>
                <w:rFonts w:ascii="宋体" w:hAnsi="宋体" w:cs="宋体" w:eastAsia="宋体" w:hint="default"/>
                <w:sz w:val="21"/>
                <w:szCs w:val="21"/>
              </w:rPr>
            </w:pPr>
            <w:r>
              <w:rPr>
                <w:rFonts w:ascii="宋体" w:hAnsi="宋体" w:cs="宋体" w:eastAsia="宋体" w:hint="default"/>
                <w:sz w:val="21"/>
                <w:szCs w:val="21"/>
              </w:rPr>
              <w:t>分行业</w:t>
            </w:r>
          </w:p>
        </w:tc>
      </w:tr>
      <w:tr>
        <w:trPr>
          <w:trHeight w:val="401"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工业</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1,049,279,321.85</w:t>
            </w:r>
          </w:p>
        </w:tc>
        <w:tc>
          <w:tcPr>
            <w:tcW w:w="1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99.98%</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1,495,729,020.20</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99.91%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pacing w:val="-1"/>
                <w:sz w:val="21"/>
              </w:rPr>
              <w:t>-29.85%</w:t>
            </w:r>
          </w:p>
        </w:tc>
      </w:tr>
      <w:tr>
        <w:trPr>
          <w:trHeight w:val="403"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213,871.48</w:t>
            </w:r>
          </w:p>
        </w:tc>
        <w:tc>
          <w:tcPr>
            <w:tcW w:w="1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0.02%</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1,341,141.00</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0.09%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pacing w:val="-1"/>
                <w:sz w:val="21"/>
              </w:rPr>
              <w:t>-0.05%</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分产品</w:t>
            </w:r>
          </w:p>
        </w:tc>
      </w:tr>
      <w:tr>
        <w:trPr>
          <w:trHeight w:val="404"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空调连接组件</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742,482,610.12</w:t>
            </w:r>
          </w:p>
        </w:tc>
        <w:tc>
          <w:tcPr>
            <w:tcW w:w="1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70.75%</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1,008,064,288.19</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67.34%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pacing w:val="-1"/>
                <w:sz w:val="21"/>
              </w:rPr>
              <w:t>-26.35%</w:t>
            </w:r>
          </w:p>
        </w:tc>
      </w:tr>
      <w:tr>
        <w:trPr>
          <w:trHeight w:val="401"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空调电源输入组件</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249,149,437.62</w:t>
            </w:r>
          </w:p>
        </w:tc>
        <w:tc>
          <w:tcPr>
            <w:tcW w:w="1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23.74%</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392,458,555.94</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26.22%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pacing w:val="-1"/>
                <w:sz w:val="21"/>
              </w:rPr>
              <w:t>-36.52%</w:t>
            </w:r>
          </w:p>
        </w:tc>
      </w:tr>
      <w:tr>
        <w:trPr>
          <w:trHeight w:val="403"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电热电器电源输入组件</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22,225,273.30</w:t>
            </w:r>
          </w:p>
        </w:tc>
        <w:tc>
          <w:tcPr>
            <w:tcW w:w="1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2.12%</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43,439,906.68</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2.90%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pacing w:val="-1"/>
                <w:sz w:val="21"/>
              </w:rPr>
              <w:t>-48.84%</w:t>
            </w:r>
          </w:p>
        </w:tc>
      </w:tr>
      <w:tr>
        <w:trPr>
          <w:trHeight w:val="401"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冰洗电器电源输入组件</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14,872,720.92</w:t>
            </w:r>
          </w:p>
        </w:tc>
        <w:tc>
          <w:tcPr>
            <w:tcW w:w="1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1.42%</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16,774,960.77</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1.12%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pacing w:val="-2"/>
                <w:sz w:val="21"/>
              </w:rPr>
              <w:t>-11.34%</w:t>
            </w:r>
          </w:p>
        </w:tc>
      </w:tr>
      <w:tr>
        <w:trPr>
          <w:trHeight w:val="403"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其他家电电源输入组件</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20,549,279.89</w:t>
            </w:r>
          </w:p>
        </w:tc>
        <w:tc>
          <w:tcPr>
            <w:tcW w:w="1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1.96%</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34,991,308.62</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2.34%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pacing w:val="-1"/>
                <w:sz w:val="21"/>
              </w:rPr>
              <w:t>-41.27%</w:t>
            </w:r>
          </w:p>
        </w:tc>
      </w:tr>
      <w:tr>
        <w:trPr>
          <w:trHeight w:val="401"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213,871.48</w:t>
            </w:r>
          </w:p>
        </w:tc>
        <w:tc>
          <w:tcPr>
            <w:tcW w:w="1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0.02%</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1,341,141.00</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0.09%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pacing w:val="-1"/>
                <w:sz w:val="21"/>
              </w:rPr>
              <w:t>-84.05%</w:t>
            </w:r>
          </w:p>
        </w:tc>
      </w:tr>
      <w:tr>
        <w:trPr>
          <w:trHeight w:val="403"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分地区</w:t>
            </w:r>
          </w:p>
        </w:tc>
      </w:tr>
      <w:tr>
        <w:trPr>
          <w:trHeight w:val="401"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广东省内</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330,911,351.32</w:t>
            </w:r>
          </w:p>
        </w:tc>
        <w:tc>
          <w:tcPr>
            <w:tcW w:w="1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31.53%</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416,253,304.68</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27.80%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pacing w:val="-1"/>
                <w:sz w:val="21"/>
              </w:rPr>
              <w:t>-20.50%</w:t>
            </w:r>
          </w:p>
        </w:tc>
      </w:tr>
      <w:tr>
        <w:trPr>
          <w:trHeight w:val="404"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sz w:val="21"/>
                <w:szCs w:val="21"/>
              </w:rPr>
              <w:t>广东省外</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683,078,148.70</w:t>
            </w:r>
          </w:p>
        </w:tc>
        <w:tc>
          <w:tcPr>
            <w:tcW w:w="1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65.09%</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1,019,857,082.28</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68.12%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pacing w:val="-1"/>
                <w:sz w:val="21"/>
              </w:rPr>
              <w:t>-33.02%</w:t>
            </w:r>
          </w:p>
        </w:tc>
      </w:tr>
      <w:tr>
        <w:trPr>
          <w:trHeight w:val="401"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国外</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35,289,821.83</w:t>
            </w:r>
          </w:p>
        </w:tc>
        <w:tc>
          <w:tcPr>
            <w:tcW w:w="1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3.36%</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59,618,633.24</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3.98%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pacing w:val="-1"/>
                <w:sz w:val="21"/>
              </w:rPr>
              <w:t>-40.81%</w:t>
            </w:r>
          </w:p>
        </w:tc>
      </w:tr>
      <w:tr>
        <w:trPr>
          <w:trHeight w:val="403"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213,871.48</w:t>
            </w:r>
          </w:p>
        </w:tc>
        <w:tc>
          <w:tcPr>
            <w:tcW w:w="1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0.02%</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1,341,141.00</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0.09%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pacing w:val="-1"/>
                <w:sz w:val="21"/>
              </w:rPr>
              <w:t>-84.05%</w:t>
            </w:r>
          </w:p>
        </w:tc>
      </w:tr>
    </w:tbl>
    <w:p>
      <w:pPr>
        <w:spacing w:line="240" w:lineRule="auto" w:before="3"/>
        <w:rPr>
          <w:rFonts w:ascii="宋体" w:hAnsi="宋体" w:cs="宋体" w:eastAsia="宋体" w:hint="default"/>
          <w:sz w:val="19"/>
          <w:szCs w:val="19"/>
        </w:rPr>
      </w:pPr>
    </w:p>
    <w:p>
      <w:pPr>
        <w:tabs>
          <w:tab w:pos="7960" w:val="left" w:leader="none"/>
        </w:tabs>
        <w:spacing w:before="36"/>
        <w:ind w:left="0" w:right="223" w:firstLine="0"/>
        <w:jc w:val="righ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）占公司营业收入或营业利润</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以上的行业、产品或地区情况</w:t>
        <w:tab/>
      </w: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49"/>
          <w:sz w:val="21"/>
          <w:szCs w:val="21"/>
        </w:rPr>
        <w:t> </w:t>
      </w:r>
      <w:r>
        <w:rPr>
          <w:rFonts w:ascii="宋体" w:hAnsi="宋体" w:cs="宋体" w:eastAsia="宋体" w:hint="default"/>
          <w:sz w:val="21"/>
          <w:szCs w:val="21"/>
        </w:rPr>
        <w:t>不适用</w:t>
      </w:r>
    </w:p>
    <w:p>
      <w:pPr>
        <w:spacing w:line="240" w:lineRule="auto" w:before="10"/>
        <w:rPr>
          <w:rFonts w:ascii="宋体" w:hAnsi="宋体" w:cs="宋体" w:eastAsia="宋体" w:hint="default"/>
          <w:sz w:val="24"/>
          <w:szCs w:val="24"/>
        </w:rPr>
      </w:pPr>
    </w:p>
    <w:p>
      <w:pPr>
        <w:pStyle w:val="BodyText"/>
        <w:spacing w:line="240" w:lineRule="auto"/>
        <w:ind w:left="0" w:right="254"/>
        <w:jc w:val="right"/>
      </w:pPr>
      <w:r>
        <w:rPr>
          <w:spacing w:val="-1"/>
        </w:rPr>
        <w:t>单位：元</w:t>
      </w:r>
    </w:p>
    <w:p>
      <w:pPr>
        <w:spacing w:line="240" w:lineRule="auto" w:before="10"/>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551"/>
        <w:gridCol w:w="1560"/>
        <w:gridCol w:w="1419"/>
        <w:gridCol w:w="850"/>
        <w:gridCol w:w="993"/>
        <w:gridCol w:w="992"/>
        <w:gridCol w:w="1207"/>
      </w:tblGrid>
      <w:tr>
        <w:trPr>
          <w:trHeight w:val="1027" w:hRule="exact"/>
        </w:trPr>
        <w:tc>
          <w:tcPr>
            <w:tcW w:w="2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355"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85"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毛利率</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71" w:right="66"/>
              <w:jc w:val="both"/>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w w:val="100"/>
                <w:sz w:val="21"/>
                <w:szCs w:val="21"/>
              </w:rPr>
              <w:t> </w:t>
            </w:r>
            <w:r>
              <w:rPr>
                <w:rFonts w:ascii="宋体" w:hAnsi="宋体" w:cs="宋体" w:eastAsia="宋体" w:hint="default"/>
                <w:sz w:val="21"/>
                <w:szCs w:val="21"/>
              </w:rPr>
              <w:t>比上年同</w:t>
            </w:r>
            <w:r>
              <w:rPr>
                <w:rFonts w:ascii="宋体" w:hAnsi="宋体" w:cs="宋体" w:eastAsia="宋体" w:hint="default"/>
                <w:w w:val="100"/>
                <w:sz w:val="21"/>
                <w:szCs w:val="21"/>
              </w:rPr>
              <w:t> </w:t>
            </w:r>
            <w:r>
              <w:rPr>
                <w:rFonts w:ascii="宋体" w:hAnsi="宋体" w:cs="宋体" w:eastAsia="宋体" w:hint="default"/>
                <w:sz w:val="21"/>
                <w:szCs w:val="21"/>
              </w:rPr>
              <w:t>期增减</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70" w:right="67"/>
              <w:jc w:val="both"/>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w w:val="100"/>
                <w:sz w:val="21"/>
                <w:szCs w:val="21"/>
              </w:rPr>
              <w:t> </w:t>
            </w:r>
            <w:r>
              <w:rPr>
                <w:rFonts w:ascii="宋体" w:hAnsi="宋体" w:cs="宋体" w:eastAsia="宋体" w:hint="default"/>
                <w:sz w:val="21"/>
                <w:szCs w:val="21"/>
              </w:rPr>
              <w:t>比上年同</w:t>
            </w:r>
            <w:r>
              <w:rPr>
                <w:rFonts w:ascii="宋体" w:hAnsi="宋体" w:cs="宋体" w:eastAsia="宋体" w:hint="default"/>
                <w:w w:val="100"/>
                <w:sz w:val="21"/>
                <w:szCs w:val="21"/>
              </w:rPr>
              <w:t> </w:t>
            </w:r>
            <w:r>
              <w:rPr>
                <w:rFonts w:ascii="宋体" w:hAnsi="宋体" w:cs="宋体" w:eastAsia="宋体" w:hint="default"/>
                <w:sz w:val="21"/>
                <w:szCs w:val="21"/>
              </w:rPr>
              <w:t>期增减</w:t>
            </w:r>
          </w:p>
        </w:tc>
        <w:tc>
          <w:tcPr>
            <w:tcW w:w="1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74" w:right="67"/>
              <w:jc w:val="left"/>
              <w:rPr>
                <w:rFonts w:ascii="宋体" w:hAnsi="宋体" w:cs="宋体" w:eastAsia="宋体" w:hint="default"/>
                <w:sz w:val="21"/>
                <w:szCs w:val="21"/>
              </w:rPr>
            </w:pPr>
            <w:r>
              <w:rPr>
                <w:rFonts w:ascii="宋体" w:hAnsi="宋体" w:cs="宋体" w:eastAsia="宋体" w:hint="default"/>
                <w:sz w:val="21"/>
                <w:szCs w:val="21"/>
              </w:rPr>
              <w:t>毛利率比上</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年同期增减</w:t>
            </w:r>
          </w:p>
        </w:tc>
      </w:tr>
    </w:tbl>
    <w:p>
      <w:pPr>
        <w:spacing w:after="0" w:line="273" w:lineRule="auto"/>
        <w:jc w:val="left"/>
        <w:rPr>
          <w:rFonts w:ascii="宋体" w:hAnsi="宋体" w:cs="宋体" w:eastAsia="宋体" w:hint="default"/>
          <w:sz w:val="21"/>
          <w:szCs w:val="21"/>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552"/>
        <w:gridCol w:w="1560"/>
        <w:gridCol w:w="1419"/>
        <w:gridCol w:w="850"/>
        <w:gridCol w:w="992"/>
        <w:gridCol w:w="994"/>
        <w:gridCol w:w="1207"/>
      </w:tblGrid>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分行业</w:t>
            </w: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工业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1,049,279,321.85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906,862,328.71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6"/>
              <w:jc w:val="right"/>
              <w:rPr>
                <w:rFonts w:ascii="Times New Roman" w:hAnsi="Times New Roman" w:cs="Times New Roman" w:eastAsia="Times New Roman" w:hint="default"/>
                <w:sz w:val="21"/>
                <w:szCs w:val="21"/>
              </w:rPr>
            </w:pPr>
            <w:r>
              <w:rPr>
                <w:rFonts w:ascii="Times New Roman"/>
                <w:sz w:val="21"/>
              </w:rPr>
              <w:t>13.57%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-29.85%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1"/>
              <w:jc w:val="right"/>
              <w:rPr>
                <w:rFonts w:ascii="Times New Roman" w:hAnsi="Times New Roman" w:cs="Times New Roman" w:eastAsia="Times New Roman" w:hint="default"/>
                <w:sz w:val="21"/>
                <w:szCs w:val="21"/>
              </w:rPr>
            </w:pPr>
            <w:r>
              <w:rPr>
                <w:rFonts w:ascii="Times New Roman"/>
                <w:spacing w:val="-1"/>
                <w:sz w:val="21"/>
              </w:rPr>
              <w:t>-27.92%</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8"/>
              <w:jc w:val="right"/>
              <w:rPr>
                <w:rFonts w:ascii="Times New Roman" w:hAnsi="Times New Roman" w:cs="Times New Roman" w:eastAsia="Times New Roman" w:hint="default"/>
                <w:sz w:val="21"/>
                <w:szCs w:val="21"/>
              </w:rPr>
            </w:pPr>
            <w:r>
              <w:rPr>
                <w:rFonts w:ascii="Times New Roman"/>
                <w:spacing w:val="-1"/>
                <w:sz w:val="21"/>
              </w:rPr>
              <w:t>-2.31%</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分产品</w:t>
            </w: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空调连接组件</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742,482,610.12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629,803,791.08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6"/>
              <w:jc w:val="right"/>
              <w:rPr>
                <w:rFonts w:ascii="Times New Roman" w:hAnsi="Times New Roman" w:cs="Times New Roman" w:eastAsia="Times New Roman" w:hint="default"/>
                <w:sz w:val="21"/>
                <w:szCs w:val="21"/>
              </w:rPr>
            </w:pPr>
            <w:r>
              <w:rPr>
                <w:rFonts w:ascii="Times New Roman"/>
                <w:sz w:val="21"/>
              </w:rPr>
              <w:t>15.18%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-26.35%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1"/>
              <w:jc w:val="right"/>
              <w:rPr>
                <w:rFonts w:ascii="Times New Roman" w:hAnsi="Times New Roman" w:cs="Times New Roman" w:eastAsia="Times New Roman" w:hint="default"/>
                <w:sz w:val="21"/>
                <w:szCs w:val="21"/>
              </w:rPr>
            </w:pPr>
            <w:r>
              <w:rPr>
                <w:rFonts w:ascii="Times New Roman"/>
                <w:spacing w:val="-1"/>
                <w:sz w:val="21"/>
              </w:rPr>
              <w:t>-24.67%</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8"/>
              <w:jc w:val="right"/>
              <w:rPr>
                <w:rFonts w:ascii="Times New Roman" w:hAnsi="Times New Roman" w:cs="Times New Roman" w:eastAsia="Times New Roman" w:hint="default"/>
                <w:sz w:val="21"/>
                <w:szCs w:val="21"/>
              </w:rPr>
            </w:pPr>
            <w:r>
              <w:rPr>
                <w:rFonts w:ascii="Times New Roman"/>
                <w:spacing w:val="-1"/>
                <w:sz w:val="21"/>
              </w:rPr>
              <w:t>-1.89%</w:t>
            </w: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空调电源输入组件</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249,149,437.62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230,564,923.71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7.46%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-36.52%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-33.35%</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pacing w:val="-1"/>
                <w:sz w:val="21"/>
              </w:rPr>
              <w:t>-4.40%</w:t>
            </w:r>
          </w:p>
        </w:tc>
      </w:tr>
      <w:tr>
        <w:trPr>
          <w:trHeight w:val="402"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sz w:val="21"/>
                <w:szCs w:val="21"/>
              </w:rPr>
              <w:t>分地区</w:t>
            </w: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广东省内</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330,911,351.32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283,042,691.24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14.47%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-20.50%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-18.47%</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pacing w:val="-1"/>
                <w:sz w:val="21"/>
              </w:rPr>
              <w:t>-2.13%</w:t>
            </w: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广东省外</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683,078,148.70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595,776,569.93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6"/>
              <w:jc w:val="right"/>
              <w:rPr>
                <w:rFonts w:ascii="Times New Roman" w:hAnsi="Times New Roman" w:cs="Times New Roman" w:eastAsia="Times New Roman" w:hint="default"/>
                <w:sz w:val="21"/>
                <w:szCs w:val="21"/>
              </w:rPr>
            </w:pPr>
            <w:r>
              <w:rPr>
                <w:rFonts w:ascii="Times New Roman"/>
                <w:sz w:val="21"/>
              </w:rPr>
              <w:t>12.78%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-33.02%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1"/>
              <w:jc w:val="right"/>
              <w:rPr>
                <w:rFonts w:ascii="Times New Roman" w:hAnsi="Times New Roman" w:cs="Times New Roman" w:eastAsia="Times New Roman" w:hint="default"/>
                <w:sz w:val="21"/>
                <w:szCs w:val="21"/>
              </w:rPr>
            </w:pPr>
            <w:r>
              <w:rPr>
                <w:rFonts w:ascii="Times New Roman"/>
                <w:spacing w:val="-1"/>
                <w:sz w:val="21"/>
              </w:rPr>
              <w:t>-30.88%</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8"/>
              <w:jc w:val="right"/>
              <w:rPr>
                <w:rFonts w:ascii="Times New Roman" w:hAnsi="Times New Roman" w:cs="Times New Roman" w:eastAsia="Times New Roman" w:hint="default"/>
                <w:sz w:val="21"/>
                <w:szCs w:val="21"/>
              </w:rPr>
            </w:pPr>
            <w:r>
              <w:rPr>
                <w:rFonts w:ascii="Times New Roman"/>
                <w:spacing w:val="-1"/>
                <w:sz w:val="21"/>
              </w:rPr>
              <w:t>-2.70%</w:t>
            </w:r>
          </w:p>
        </w:tc>
      </w:tr>
    </w:tbl>
    <w:p>
      <w:pPr>
        <w:pStyle w:val="BodyText"/>
        <w:tabs>
          <w:tab w:pos="8134" w:val="left" w:leader="none"/>
        </w:tabs>
        <w:spacing w:line="259" w:lineRule="auto" w:before="28"/>
        <w:ind w:right="146"/>
        <w:jc w:val="left"/>
      </w:pPr>
      <w:r>
        <w:rPr>
          <w:spacing w:val="-3"/>
        </w:rPr>
        <w:t>公司主营业务数据统计口径在报告期发生调整的情况下，公司最近 </w:t>
      </w:r>
      <w:r>
        <w:rPr>
          <w:rFonts w:ascii="Times New Roman" w:hAnsi="Times New Roman" w:cs="Times New Roman" w:eastAsia="Times New Roman" w:hint="default"/>
        </w:rPr>
        <w:t>1 </w:t>
      </w:r>
      <w:r>
        <w:rPr/>
        <w:t>年按报告期末口径调整后的主营业务</w:t>
      </w:r>
      <w:r>
        <w:rPr>
          <w:spacing w:val="-98"/>
        </w:rPr>
        <w:t> </w:t>
      </w:r>
      <w:r>
        <w:rPr>
          <w:spacing w:val="-98"/>
        </w:rPr>
      </w:r>
      <w:r>
        <w:rPr/>
        <w:t>数据</w:t>
        <w:tab/>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12"/>
        <w:rPr>
          <w:rFonts w:ascii="宋体" w:hAnsi="宋体" w:cs="宋体" w:eastAsia="宋体" w:hint="default"/>
          <w:sz w:val="22"/>
          <w:szCs w:val="22"/>
        </w:rPr>
      </w:pPr>
    </w:p>
    <w:p>
      <w:pPr>
        <w:tabs>
          <w:tab w:pos="8799" w:val="left" w:leader="none"/>
        </w:tabs>
        <w:spacing w:before="0"/>
        <w:ind w:left="152" w:right="0"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Times New Roman" w:hAnsi="Times New Roman" w:cs="Times New Roman" w:eastAsia="Times New Roman" w:hint="default"/>
          <w:b/>
          <w:bCs/>
          <w:spacing w:val="-1"/>
          <w:sz w:val="21"/>
          <w:szCs w:val="21"/>
        </w:rPr>
        <w:t>3</w:t>
      </w:r>
      <w:r>
        <w:rPr>
          <w:rFonts w:ascii="宋体" w:hAnsi="宋体" w:cs="宋体" w:eastAsia="宋体" w:hint="default"/>
          <w:b/>
          <w:bCs/>
          <w:spacing w:val="-1"/>
          <w:sz w:val="21"/>
          <w:szCs w:val="21"/>
        </w:rPr>
        <w:t>）公司实物销售收入是否大于劳务收入</w:t>
        <w:tab/>
      </w:r>
      <w:r>
        <w:rPr>
          <w:rFonts w:ascii="Times New Roman" w:hAnsi="Times New Roman" w:cs="Times New Roman" w:eastAsia="Times New Roman" w:hint="default"/>
          <w:sz w:val="21"/>
          <w:szCs w:val="21"/>
        </w:rPr>
        <w:t>√  </w:t>
      </w:r>
      <w:r>
        <w:rPr>
          <w:rFonts w:ascii="宋体" w:hAnsi="宋体" w:cs="宋体" w:eastAsia="宋体" w:hint="default"/>
          <w:sz w:val="21"/>
          <w:szCs w:val="21"/>
        </w:rPr>
        <w:t>是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否</w:t>
      </w:r>
    </w:p>
    <w:p>
      <w:pPr>
        <w:spacing w:line="240" w:lineRule="auto" w:before="9"/>
        <w:rPr>
          <w:rFonts w:ascii="宋体" w:hAnsi="宋体" w:cs="宋体" w:eastAsia="宋体" w:hint="default"/>
          <w:sz w:val="25"/>
          <w:szCs w:val="25"/>
        </w:rPr>
      </w:pPr>
    </w:p>
    <w:tbl>
      <w:tblPr>
        <w:tblW w:w="0" w:type="auto"/>
        <w:jc w:val="left"/>
        <w:tblInd w:w="148" w:type="dxa"/>
        <w:tblLayout w:type="fixed"/>
        <w:tblCellMar>
          <w:top w:w="0" w:type="dxa"/>
          <w:left w:w="0" w:type="dxa"/>
          <w:bottom w:w="0" w:type="dxa"/>
          <w:right w:w="0" w:type="dxa"/>
        </w:tblCellMar>
        <w:tblLook w:val="01E0"/>
      </w:tblPr>
      <w:tblGrid>
        <w:gridCol w:w="1608"/>
        <w:gridCol w:w="1571"/>
        <w:gridCol w:w="1604"/>
        <w:gridCol w:w="1596"/>
        <w:gridCol w:w="1594"/>
        <w:gridCol w:w="1594"/>
      </w:tblGrid>
      <w:tr>
        <w:trPr>
          <w:trHeight w:val="403"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374" w:right="0"/>
              <w:jc w:val="left"/>
              <w:rPr>
                <w:rFonts w:ascii="宋体" w:hAnsi="宋体" w:cs="宋体" w:eastAsia="宋体" w:hint="default"/>
                <w:sz w:val="21"/>
                <w:szCs w:val="21"/>
              </w:rPr>
            </w:pPr>
            <w:r>
              <w:rPr>
                <w:rFonts w:ascii="宋体" w:hAnsi="宋体" w:cs="宋体" w:eastAsia="宋体" w:hint="default"/>
                <w:sz w:val="21"/>
                <w:szCs w:val="21"/>
              </w:rPr>
              <w:t>行业分类</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5" w:right="0"/>
              <w:jc w:val="center"/>
              <w:rPr>
                <w:rFonts w:ascii="宋体" w:hAnsi="宋体" w:cs="宋体" w:eastAsia="宋体" w:hint="default"/>
                <w:sz w:val="21"/>
                <w:szCs w:val="21"/>
              </w:rPr>
            </w:pPr>
            <w:r>
              <w:rPr>
                <w:rFonts w:ascii="宋体" w:hAnsi="宋体" w:cs="宋体" w:eastAsia="宋体" w:hint="default"/>
                <w:sz w:val="21"/>
                <w:szCs w:val="21"/>
              </w:rPr>
              <w:t>单位</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5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5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372" w:right="0"/>
              <w:jc w:val="left"/>
              <w:rPr>
                <w:rFonts w:ascii="宋体" w:hAnsi="宋体" w:cs="宋体" w:eastAsia="宋体" w:hint="default"/>
                <w:sz w:val="21"/>
                <w:szCs w:val="21"/>
              </w:rPr>
            </w:pPr>
            <w:r>
              <w:rPr>
                <w:rFonts w:ascii="宋体" w:hAnsi="宋体" w:cs="宋体" w:eastAsia="宋体" w:hint="default"/>
                <w:sz w:val="21"/>
                <w:szCs w:val="21"/>
              </w:rPr>
              <w:t>同比增减</w:t>
            </w:r>
          </w:p>
        </w:tc>
      </w:tr>
      <w:tr>
        <w:trPr>
          <w:trHeight w:val="401"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0"/>
              <w:ind w:left="24" w:right="0"/>
              <w:jc w:val="left"/>
              <w:rPr>
                <w:rFonts w:ascii="宋体" w:hAnsi="宋体" w:cs="宋体" w:eastAsia="宋体" w:hint="default"/>
                <w:sz w:val="21"/>
                <w:szCs w:val="21"/>
              </w:rPr>
            </w:pPr>
            <w:r>
              <w:rPr>
                <w:rFonts w:ascii="宋体" w:hAnsi="宋体" w:cs="宋体" w:eastAsia="宋体" w:hint="default"/>
                <w:sz w:val="21"/>
                <w:szCs w:val="21"/>
              </w:rPr>
              <w:t>工业</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销售量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left="8" w:right="0"/>
              <w:jc w:val="center"/>
              <w:rPr>
                <w:rFonts w:ascii="宋体" w:hAnsi="宋体" w:cs="宋体" w:eastAsia="宋体" w:hint="default"/>
                <w:sz w:val="21"/>
                <w:szCs w:val="21"/>
              </w:rPr>
            </w:pPr>
            <w:r>
              <w:rPr>
                <w:rFonts w:ascii="宋体" w:hAnsi="宋体" w:cs="宋体" w:eastAsia="宋体" w:hint="default"/>
                <w:sz w:val="21"/>
                <w:szCs w:val="21"/>
              </w:rPr>
              <w:t>万套</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9,410.07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13,061.55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pacing w:val="-1"/>
                <w:sz w:val="21"/>
              </w:rPr>
              <w:t>-27.96%</w:t>
            </w:r>
          </w:p>
        </w:tc>
      </w:tr>
      <w:tr>
        <w:trPr>
          <w:trHeight w:val="403"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1" w:right="0"/>
              <w:jc w:val="left"/>
              <w:rPr>
                <w:rFonts w:ascii="宋体" w:hAnsi="宋体" w:cs="宋体" w:eastAsia="宋体" w:hint="default"/>
                <w:sz w:val="21"/>
                <w:szCs w:val="21"/>
              </w:rPr>
            </w:pPr>
            <w:r>
              <w:rPr>
                <w:rFonts w:ascii="宋体" w:hAnsi="宋体" w:cs="宋体" w:eastAsia="宋体" w:hint="default"/>
                <w:sz w:val="21"/>
                <w:szCs w:val="21"/>
              </w:rPr>
              <w:t>生产量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0"/>
              <w:ind w:left="8" w:right="0"/>
              <w:jc w:val="center"/>
              <w:rPr>
                <w:rFonts w:ascii="宋体" w:hAnsi="宋体" w:cs="宋体" w:eastAsia="宋体" w:hint="default"/>
                <w:sz w:val="21"/>
                <w:szCs w:val="21"/>
              </w:rPr>
            </w:pPr>
            <w:r>
              <w:rPr>
                <w:rFonts w:ascii="宋体" w:hAnsi="宋体" w:cs="宋体" w:eastAsia="宋体" w:hint="default"/>
                <w:sz w:val="21"/>
                <w:szCs w:val="21"/>
              </w:rPr>
              <w:t>万套</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8,523.25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13,344.48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8"/>
              <w:jc w:val="right"/>
              <w:rPr>
                <w:rFonts w:ascii="Times New Roman" w:hAnsi="Times New Roman" w:cs="Times New Roman" w:eastAsia="Times New Roman" w:hint="default"/>
                <w:sz w:val="21"/>
                <w:szCs w:val="21"/>
              </w:rPr>
            </w:pPr>
            <w:r>
              <w:rPr>
                <w:rFonts w:ascii="Times New Roman"/>
                <w:spacing w:val="-1"/>
                <w:sz w:val="21"/>
              </w:rPr>
              <w:t>-36.13%</w:t>
            </w:r>
          </w:p>
        </w:tc>
      </w:tr>
      <w:tr>
        <w:trPr>
          <w:trHeight w:val="403"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库存量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left="8" w:right="0"/>
              <w:jc w:val="center"/>
              <w:rPr>
                <w:rFonts w:ascii="宋体" w:hAnsi="宋体" w:cs="宋体" w:eastAsia="宋体" w:hint="default"/>
                <w:sz w:val="21"/>
                <w:szCs w:val="21"/>
              </w:rPr>
            </w:pPr>
            <w:r>
              <w:rPr>
                <w:rFonts w:ascii="宋体" w:hAnsi="宋体" w:cs="宋体" w:eastAsia="宋体" w:hint="default"/>
                <w:sz w:val="21"/>
                <w:szCs w:val="21"/>
              </w:rPr>
              <w:t>万套</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592.66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1,479.47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pacing w:val="-1"/>
                <w:sz w:val="21"/>
              </w:rPr>
              <w:t>-59.94%</w:t>
            </w:r>
          </w:p>
        </w:tc>
      </w:tr>
    </w:tbl>
    <w:p>
      <w:pPr>
        <w:pStyle w:val="BodyText"/>
        <w:tabs>
          <w:tab w:pos="8153" w:val="left" w:leader="none"/>
        </w:tabs>
        <w:spacing w:line="290" w:lineRule="auto" w:before="28"/>
        <w:ind w:left="573" w:right="147" w:hanging="421"/>
        <w:jc w:val="left"/>
      </w:pPr>
      <w:r>
        <w:rPr/>
        <w:t>相关数据同比发生变动</w:t>
      </w:r>
      <w:r>
        <w:rPr>
          <w:spacing w:val="-59"/>
        </w:rPr>
        <w:t> </w:t>
      </w:r>
      <w:r>
        <w:rPr>
          <w:rFonts w:ascii="Times New Roman" w:hAnsi="Times New Roman" w:cs="Times New Roman" w:eastAsia="Times New Roman" w:hint="default"/>
        </w:rPr>
        <w:t>30%</w:t>
      </w:r>
      <w:r>
        <w:rPr/>
        <w:t>以上的原因说明</w:t>
        <w:tab/>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不适用</w:t>
      </w:r>
      <w:r>
        <w:rPr>
          <w:w w:val="100"/>
        </w:rPr>
        <w:t> </w:t>
      </w:r>
      <w:r>
        <w:rPr>
          <w:spacing w:val="-2"/>
        </w:rPr>
        <w:t>由于报告期内空调市场需求不振，公司产品销售量下滑，同时公司严控库存量并推进去库存工作，导</w:t>
      </w:r>
    </w:p>
    <w:p>
      <w:pPr>
        <w:pStyle w:val="BodyText"/>
        <w:spacing w:line="284" w:lineRule="exact"/>
        <w:ind w:right="0"/>
        <w:jc w:val="left"/>
      </w:pPr>
      <w:r>
        <w:rPr/>
        <w:t>致期内产品生产量、库存量分别下降</w:t>
      </w:r>
      <w:r>
        <w:rPr>
          <w:rFonts w:ascii="Times New Roman" w:hAnsi="Times New Roman" w:cs="Times New Roman" w:eastAsia="Times New Roman" w:hint="default"/>
        </w:rPr>
        <w:t>36.13%</w:t>
      </w:r>
      <w:r>
        <w:rPr/>
        <w:t>、</w:t>
      </w:r>
      <w:r>
        <w:rPr>
          <w:rFonts w:ascii="Times New Roman" w:hAnsi="Times New Roman" w:cs="Times New Roman" w:eastAsia="Times New Roman" w:hint="default"/>
        </w:rPr>
        <w:t>59.94%</w:t>
      </w:r>
      <w:r>
        <w:rPr/>
        <w:t>。</w:t>
      </w:r>
    </w:p>
    <w:p>
      <w:pPr>
        <w:spacing w:line="240" w:lineRule="auto" w:before="7"/>
        <w:rPr>
          <w:rFonts w:ascii="宋体" w:hAnsi="宋体" w:cs="宋体" w:eastAsia="宋体" w:hint="default"/>
          <w:sz w:val="24"/>
          <w:szCs w:val="24"/>
        </w:rPr>
      </w:pPr>
    </w:p>
    <w:p>
      <w:pPr>
        <w:tabs>
          <w:tab w:pos="8165" w:val="left" w:leader="none"/>
        </w:tabs>
        <w:spacing w:before="0"/>
        <w:ind w:left="152" w:right="0"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Times New Roman" w:hAnsi="Times New Roman" w:cs="Times New Roman" w:eastAsia="Times New Roman" w:hint="default"/>
          <w:b/>
          <w:bCs/>
          <w:spacing w:val="-1"/>
          <w:sz w:val="21"/>
          <w:szCs w:val="21"/>
        </w:rPr>
        <w:t>4</w:t>
      </w:r>
      <w:r>
        <w:rPr>
          <w:rFonts w:ascii="宋体" w:hAnsi="宋体" w:cs="宋体" w:eastAsia="宋体" w:hint="default"/>
          <w:b/>
          <w:bCs/>
          <w:spacing w:val="-1"/>
          <w:sz w:val="21"/>
          <w:szCs w:val="21"/>
        </w:rPr>
        <w:t>）公司已签订的重大销售合同截至本报告期的履行情况</w:t>
        <w:tab/>
      </w:r>
      <w:r>
        <w:rPr>
          <w:rFonts w:ascii="Times New Roman" w:hAnsi="Times New Roman" w:cs="Times New Roman" w:eastAsia="Times New Roman" w:hint="default"/>
          <w:sz w:val="21"/>
          <w:szCs w:val="21"/>
        </w:rPr>
        <w:t>□  </w:t>
      </w:r>
      <w:r>
        <w:rPr>
          <w:rFonts w:ascii="宋体" w:hAnsi="宋体" w:cs="宋体" w:eastAsia="宋体" w:hint="default"/>
          <w:spacing w:val="-2"/>
          <w:sz w:val="21"/>
          <w:szCs w:val="21"/>
        </w:rPr>
        <w:t>适用</w:t>
      </w:r>
      <w:r>
        <w:rPr>
          <w:rFonts w:ascii="宋体" w:hAnsi="宋体" w:cs="宋体" w:eastAsia="宋体" w:hint="default"/>
          <w:sz w:val="21"/>
          <w:szCs w:val="21"/>
        </w:rPr>
        <w:t>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5"/>
          <w:sz w:val="21"/>
          <w:szCs w:val="21"/>
        </w:rPr>
        <w:t> </w:t>
      </w:r>
      <w:r>
        <w:rPr>
          <w:rFonts w:ascii="宋体" w:hAnsi="宋体" w:cs="宋体" w:eastAsia="宋体" w:hint="default"/>
          <w:spacing w:val="-1"/>
          <w:sz w:val="21"/>
          <w:szCs w:val="21"/>
        </w:rPr>
        <w:t>不适用</w:t>
      </w:r>
    </w:p>
    <w:p>
      <w:pPr>
        <w:spacing w:line="240" w:lineRule="auto" w:before="7"/>
        <w:rPr>
          <w:rFonts w:ascii="宋体" w:hAnsi="宋体" w:cs="宋体" w:eastAsia="宋体" w:hint="default"/>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left="0" w:right="239"/>
        <w:jc w:val="right"/>
      </w:pPr>
      <w:r>
        <w:rPr>
          <w:spacing w:val="-1"/>
        </w:rPr>
        <w:t>单位：元</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268"/>
        <w:gridCol w:w="1419"/>
        <w:gridCol w:w="1416"/>
        <w:gridCol w:w="994"/>
        <w:gridCol w:w="1561"/>
        <w:gridCol w:w="991"/>
        <w:gridCol w:w="924"/>
      </w:tblGrid>
      <w:tr>
        <w:trPr>
          <w:trHeight w:val="401" w:hRule="exact"/>
        </w:trPr>
        <w:tc>
          <w:tcPr>
            <w:tcW w:w="22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710" w:right="0"/>
              <w:jc w:val="left"/>
              <w:rPr>
                <w:rFonts w:ascii="宋体" w:hAnsi="宋体" w:cs="宋体" w:eastAsia="宋体" w:hint="default"/>
                <w:sz w:val="21"/>
                <w:szCs w:val="21"/>
              </w:rPr>
            </w:pPr>
            <w:r>
              <w:rPr>
                <w:rFonts w:ascii="宋体" w:hAnsi="宋体" w:cs="宋体" w:eastAsia="宋体" w:hint="default"/>
                <w:sz w:val="21"/>
                <w:szCs w:val="21"/>
              </w:rPr>
              <w:t>行业分类</w:t>
            </w:r>
          </w:p>
        </w:tc>
        <w:tc>
          <w:tcPr>
            <w:tcW w:w="14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1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5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92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38" w:right="0"/>
              <w:jc w:val="left"/>
              <w:rPr>
                <w:rFonts w:ascii="宋体" w:hAnsi="宋体" w:cs="宋体" w:eastAsia="宋体" w:hint="default"/>
                <w:sz w:val="21"/>
                <w:szCs w:val="21"/>
              </w:rPr>
            </w:pPr>
            <w:r>
              <w:rPr>
                <w:rFonts w:ascii="宋体" w:hAnsi="宋体" w:cs="宋体" w:eastAsia="宋体" w:hint="default"/>
                <w:sz w:val="21"/>
                <w:szCs w:val="21"/>
              </w:rPr>
              <w:t>同比增减</w:t>
            </w:r>
          </w:p>
        </w:tc>
      </w:tr>
      <w:tr>
        <w:trPr>
          <w:trHeight w:val="715" w:hRule="exact"/>
        </w:trPr>
        <w:tc>
          <w:tcPr>
            <w:tcW w:w="2268" w:type="dxa"/>
            <w:vMerge/>
            <w:tcBorders>
              <w:left w:val="single" w:sz="4" w:space="0" w:color="000000"/>
              <w:bottom w:val="single" w:sz="4" w:space="0" w:color="000000"/>
              <w:right w:val="single" w:sz="4" w:space="0" w:color="000000"/>
            </w:tcBorders>
            <w:shd w:val="clear" w:color="auto" w:fill="D2D2D2"/>
          </w:tcPr>
          <w:p>
            <w:pPr/>
          </w:p>
        </w:tc>
        <w:tc>
          <w:tcPr>
            <w:tcW w:w="1419" w:type="dxa"/>
            <w:vMerge/>
            <w:tcBorders>
              <w:left w:val="single" w:sz="4" w:space="0" w:color="000000"/>
              <w:bottom w:val="single" w:sz="4" w:space="0" w:color="000000"/>
              <w:right w:val="single" w:sz="4" w:space="0" w:color="000000"/>
            </w:tcBorders>
            <w:shd w:val="clear" w:color="auto" w:fill="D2D2D2"/>
          </w:tcPr>
          <w:p>
            <w:pP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75" w:right="67" w:hanging="104"/>
              <w:jc w:val="left"/>
              <w:rPr>
                <w:rFonts w:ascii="宋体" w:hAnsi="宋体" w:cs="宋体" w:eastAsia="宋体" w:hint="default"/>
                <w:sz w:val="21"/>
                <w:szCs w:val="21"/>
              </w:rPr>
            </w:pPr>
            <w:r>
              <w:rPr>
                <w:rFonts w:ascii="宋体" w:hAnsi="宋体" w:cs="宋体" w:eastAsia="宋体" w:hint="default"/>
                <w:sz w:val="21"/>
                <w:szCs w:val="21"/>
              </w:rPr>
              <w:t>占营业成</w:t>
            </w:r>
            <w:r>
              <w:rPr>
                <w:rFonts w:ascii="宋体" w:hAnsi="宋体" w:cs="宋体" w:eastAsia="宋体" w:hint="default"/>
                <w:w w:val="100"/>
                <w:sz w:val="21"/>
                <w:szCs w:val="21"/>
              </w:rPr>
              <w:t> </w:t>
            </w:r>
            <w:r>
              <w:rPr>
                <w:rFonts w:ascii="宋体" w:hAnsi="宋体" w:cs="宋体" w:eastAsia="宋体" w:hint="default"/>
                <w:sz w:val="21"/>
                <w:szCs w:val="21"/>
              </w:rPr>
              <w:t>本比重</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75" w:right="65" w:hanging="104"/>
              <w:jc w:val="left"/>
              <w:rPr>
                <w:rFonts w:ascii="宋体" w:hAnsi="宋体" w:cs="宋体" w:eastAsia="宋体" w:hint="default"/>
                <w:sz w:val="21"/>
                <w:szCs w:val="21"/>
              </w:rPr>
            </w:pPr>
            <w:r>
              <w:rPr>
                <w:rFonts w:ascii="宋体" w:hAnsi="宋体" w:cs="宋体" w:eastAsia="宋体" w:hint="default"/>
                <w:sz w:val="21"/>
                <w:szCs w:val="21"/>
              </w:rPr>
              <w:t>占营业成</w:t>
            </w:r>
            <w:r>
              <w:rPr>
                <w:rFonts w:ascii="宋体" w:hAnsi="宋体" w:cs="宋体" w:eastAsia="宋体" w:hint="default"/>
                <w:w w:val="100"/>
                <w:sz w:val="21"/>
                <w:szCs w:val="21"/>
              </w:rPr>
              <w:t> </w:t>
            </w:r>
            <w:r>
              <w:rPr>
                <w:rFonts w:ascii="宋体" w:hAnsi="宋体" w:cs="宋体" w:eastAsia="宋体" w:hint="default"/>
                <w:sz w:val="21"/>
                <w:szCs w:val="21"/>
              </w:rPr>
              <w:t>本比重</w:t>
            </w:r>
          </w:p>
        </w:tc>
        <w:tc>
          <w:tcPr>
            <w:tcW w:w="92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sz w:val="21"/>
                <w:szCs w:val="21"/>
              </w:rPr>
              <w:t>工业</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3" w:right="0"/>
              <w:jc w:val="left"/>
              <w:rPr>
                <w:rFonts w:ascii="宋体" w:hAnsi="宋体" w:cs="宋体" w:eastAsia="宋体" w:hint="default"/>
                <w:sz w:val="21"/>
                <w:szCs w:val="21"/>
              </w:rPr>
            </w:pPr>
            <w:r>
              <w:rPr>
                <w:rFonts w:ascii="宋体" w:hAnsi="宋体" w:cs="宋体" w:eastAsia="宋体" w:hint="default"/>
                <w:sz w:val="21"/>
                <w:szCs w:val="21"/>
              </w:rPr>
              <w:t>主营业务成本</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906,862,328.71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100.00%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1,258,159,650.04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99.91%</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pacing w:val="-1"/>
                <w:sz w:val="21"/>
              </w:rPr>
              <w:t>-27.94%</w:t>
            </w:r>
          </w:p>
        </w:tc>
      </w:tr>
      <w:tr>
        <w:trPr>
          <w:trHeight w:val="403" w:hRule="exact"/>
        </w:trPr>
        <w:tc>
          <w:tcPr>
            <w:tcW w:w="22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710" w:right="0"/>
              <w:jc w:val="left"/>
              <w:rPr>
                <w:rFonts w:ascii="宋体" w:hAnsi="宋体" w:cs="宋体" w:eastAsia="宋体" w:hint="default"/>
                <w:sz w:val="21"/>
                <w:szCs w:val="21"/>
              </w:rPr>
            </w:pPr>
            <w:r>
              <w:rPr>
                <w:rFonts w:ascii="宋体" w:hAnsi="宋体" w:cs="宋体" w:eastAsia="宋体" w:hint="default"/>
                <w:sz w:val="21"/>
                <w:szCs w:val="21"/>
              </w:rPr>
              <w:t>产品分类</w:t>
            </w:r>
          </w:p>
        </w:tc>
        <w:tc>
          <w:tcPr>
            <w:tcW w:w="14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1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5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92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38" w:right="0"/>
              <w:jc w:val="left"/>
              <w:rPr>
                <w:rFonts w:ascii="宋体" w:hAnsi="宋体" w:cs="宋体" w:eastAsia="宋体" w:hint="default"/>
                <w:sz w:val="21"/>
                <w:szCs w:val="21"/>
              </w:rPr>
            </w:pPr>
            <w:r>
              <w:rPr>
                <w:rFonts w:ascii="宋体" w:hAnsi="宋体" w:cs="宋体" w:eastAsia="宋体" w:hint="default"/>
                <w:sz w:val="21"/>
                <w:szCs w:val="21"/>
              </w:rPr>
              <w:t>同比增减</w:t>
            </w:r>
          </w:p>
        </w:tc>
      </w:tr>
      <w:tr>
        <w:trPr>
          <w:trHeight w:val="713" w:hRule="exact"/>
        </w:trPr>
        <w:tc>
          <w:tcPr>
            <w:tcW w:w="2268" w:type="dxa"/>
            <w:vMerge/>
            <w:tcBorders>
              <w:left w:val="single" w:sz="4" w:space="0" w:color="000000"/>
              <w:bottom w:val="single" w:sz="4" w:space="0" w:color="000000"/>
              <w:right w:val="single" w:sz="4" w:space="0" w:color="000000"/>
            </w:tcBorders>
            <w:shd w:val="clear" w:color="auto" w:fill="D2D2D2"/>
          </w:tcPr>
          <w:p>
            <w:pPr/>
          </w:p>
        </w:tc>
        <w:tc>
          <w:tcPr>
            <w:tcW w:w="1419" w:type="dxa"/>
            <w:vMerge/>
            <w:tcBorders>
              <w:left w:val="single" w:sz="4" w:space="0" w:color="000000"/>
              <w:bottom w:val="single" w:sz="4" w:space="0" w:color="000000"/>
              <w:right w:val="single" w:sz="4" w:space="0" w:color="000000"/>
            </w:tcBorders>
            <w:shd w:val="clear" w:color="auto" w:fill="D2D2D2"/>
          </w:tcPr>
          <w:p>
            <w:pP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175" w:right="67" w:hanging="104"/>
              <w:jc w:val="left"/>
              <w:rPr>
                <w:rFonts w:ascii="宋体" w:hAnsi="宋体" w:cs="宋体" w:eastAsia="宋体" w:hint="default"/>
                <w:sz w:val="21"/>
                <w:szCs w:val="21"/>
              </w:rPr>
            </w:pPr>
            <w:r>
              <w:rPr>
                <w:rFonts w:ascii="宋体" w:hAnsi="宋体" w:cs="宋体" w:eastAsia="宋体" w:hint="default"/>
                <w:sz w:val="21"/>
                <w:szCs w:val="21"/>
              </w:rPr>
              <w:t>占营业成</w:t>
            </w:r>
            <w:r>
              <w:rPr>
                <w:rFonts w:ascii="宋体" w:hAnsi="宋体" w:cs="宋体" w:eastAsia="宋体" w:hint="default"/>
                <w:w w:val="100"/>
                <w:sz w:val="21"/>
                <w:szCs w:val="21"/>
              </w:rPr>
              <w:t> </w:t>
            </w:r>
            <w:r>
              <w:rPr>
                <w:rFonts w:ascii="宋体" w:hAnsi="宋体" w:cs="宋体" w:eastAsia="宋体" w:hint="default"/>
                <w:sz w:val="21"/>
                <w:szCs w:val="21"/>
              </w:rPr>
              <w:t>本比重</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175" w:right="65" w:hanging="104"/>
              <w:jc w:val="left"/>
              <w:rPr>
                <w:rFonts w:ascii="宋体" w:hAnsi="宋体" w:cs="宋体" w:eastAsia="宋体" w:hint="default"/>
                <w:sz w:val="21"/>
                <w:szCs w:val="21"/>
              </w:rPr>
            </w:pPr>
            <w:r>
              <w:rPr>
                <w:rFonts w:ascii="宋体" w:hAnsi="宋体" w:cs="宋体" w:eastAsia="宋体" w:hint="default"/>
                <w:sz w:val="21"/>
                <w:szCs w:val="21"/>
              </w:rPr>
              <w:t>占营业成</w:t>
            </w:r>
            <w:r>
              <w:rPr>
                <w:rFonts w:ascii="宋体" w:hAnsi="宋体" w:cs="宋体" w:eastAsia="宋体" w:hint="default"/>
                <w:w w:val="100"/>
                <w:sz w:val="21"/>
                <w:szCs w:val="21"/>
              </w:rPr>
              <w:t> </w:t>
            </w:r>
            <w:r>
              <w:rPr>
                <w:rFonts w:ascii="宋体" w:hAnsi="宋体" w:cs="宋体" w:eastAsia="宋体" w:hint="default"/>
                <w:sz w:val="21"/>
                <w:szCs w:val="21"/>
              </w:rPr>
              <w:t>本比重</w:t>
            </w:r>
          </w:p>
        </w:tc>
        <w:tc>
          <w:tcPr>
            <w:tcW w:w="92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空调连接组件</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主营业务成本</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629,803,791.08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69.45%</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2"/>
                <w:sz w:val="21"/>
              </w:rPr>
              <w:t>836,067,111.14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66.39%</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pacing w:val="-1"/>
                <w:sz w:val="21"/>
              </w:rPr>
              <w:t>-24.70%</w:t>
            </w: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空调电源输入组件</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主营业务成本</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230,564,923.71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25.42%</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345,916,386.14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27.47%</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pacing w:val="-1"/>
                <w:sz w:val="21"/>
              </w:rPr>
              <w:t>-33.35%</w:t>
            </w: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电热电器电源输入组件</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主营业务成本</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18,974,551.16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2.09%</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35,032,881.94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2.78%</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pacing w:val="-1"/>
                <w:sz w:val="21"/>
              </w:rPr>
              <w:t>-45.84%</w:t>
            </w: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冰洗电器电源输入组件</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主营业务成本</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12,563,312.74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1.39%</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14,013,602.36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pacing w:val="-2"/>
                <w:sz w:val="21"/>
              </w:rPr>
              <w:t>1.11%</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pacing w:val="-1"/>
                <w:sz w:val="21"/>
              </w:rPr>
              <w:t>-10.35%</w:t>
            </w:r>
          </w:p>
        </w:tc>
      </w:tr>
    </w:tbl>
    <w:p>
      <w:pPr>
        <w:spacing w:after="0" w:line="240" w:lineRule="auto"/>
        <w:jc w:val="right"/>
        <w:rPr>
          <w:rFonts w:ascii="Times New Roman" w:hAnsi="Times New Roman" w:cs="Times New Roman" w:eastAsia="Times New Roman" w:hint="default"/>
          <w:sz w:val="21"/>
          <w:szCs w:val="21"/>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268"/>
        <w:gridCol w:w="1419"/>
        <w:gridCol w:w="1416"/>
        <w:gridCol w:w="994"/>
        <w:gridCol w:w="1561"/>
        <w:gridCol w:w="991"/>
        <w:gridCol w:w="924"/>
      </w:tblGrid>
      <w:tr>
        <w:trPr>
          <w:trHeight w:val="40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其他家电电源输入组件</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主营业务成本</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77" w:right="0"/>
              <w:jc w:val="left"/>
              <w:rPr>
                <w:rFonts w:ascii="Times New Roman" w:hAnsi="Times New Roman" w:cs="Times New Roman" w:eastAsia="Times New Roman" w:hint="default"/>
                <w:sz w:val="21"/>
                <w:szCs w:val="21"/>
              </w:rPr>
            </w:pPr>
            <w:r>
              <w:rPr>
                <w:rFonts w:ascii="Times New Roman"/>
                <w:sz w:val="21"/>
              </w:rPr>
              <w:t>14,955,750.02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17" w:right="0"/>
              <w:jc w:val="left"/>
              <w:rPr>
                <w:rFonts w:ascii="Times New Roman" w:hAnsi="Times New Roman" w:cs="Times New Roman" w:eastAsia="Times New Roman" w:hint="default"/>
                <w:sz w:val="21"/>
                <w:szCs w:val="21"/>
              </w:rPr>
            </w:pPr>
            <w:r>
              <w:rPr>
                <w:rFonts w:ascii="Times New Roman"/>
                <w:sz w:val="21"/>
              </w:rPr>
              <w:t>1.65%</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19" w:right="0"/>
              <w:jc w:val="left"/>
              <w:rPr>
                <w:rFonts w:ascii="Times New Roman" w:hAnsi="Times New Roman" w:cs="Times New Roman" w:eastAsia="Times New Roman" w:hint="default"/>
                <w:sz w:val="21"/>
                <w:szCs w:val="21"/>
              </w:rPr>
            </w:pPr>
            <w:r>
              <w:rPr>
                <w:rFonts w:ascii="Times New Roman"/>
                <w:sz w:val="21"/>
              </w:rPr>
              <w:t>27,129,668.47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17" w:right="0"/>
              <w:jc w:val="left"/>
              <w:rPr>
                <w:rFonts w:ascii="Times New Roman" w:hAnsi="Times New Roman" w:cs="Times New Roman" w:eastAsia="Times New Roman" w:hint="default"/>
                <w:sz w:val="21"/>
                <w:szCs w:val="21"/>
              </w:rPr>
            </w:pPr>
            <w:r>
              <w:rPr>
                <w:rFonts w:ascii="Times New Roman"/>
                <w:sz w:val="21"/>
              </w:rPr>
              <w:t>2.15%</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75" w:right="0"/>
              <w:jc w:val="left"/>
              <w:rPr>
                <w:rFonts w:ascii="Times New Roman" w:hAnsi="Times New Roman" w:cs="Times New Roman" w:eastAsia="Times New Roman" w:hint="default"/>
                <w:sz w:val="21"/>
                <w:szCs w:val="21"/>
              </w:rPr>
            </w:pPr>
            <w:r>
              <w:rPr>
                <w:rFonts w:ascii="Times New Roman"/>
                <w:sz w:val="21"/>
              </w:rPr>
              <w:t>-44.87%</w:t>
            </w:r>
          </w:p>
        </w:tc>
      </w:tr>
    </w:tbl>
    <w:p>
      <w:pPr>
        <w:spacing w:line="240" w:lineRule="auto" w:before="3"/>
        <w:rPr>
          <w:rFonts w:ascii="宋体" w:hAnsi="宋体" w:cs="宋体" w:eastAsia="宋体" w:hint="default"/>
          <w:sz w:val="19"/>
          <w:szCs w:val="19"/>
        </w:rPr>
      </w:pPr>
    </w:p>
    <w:p>
      <w:pPr>
        <w:tabs>
          <w:tab w:pos="8799" w:val="left" w:leader="none"/>
        </w:tabs>
        <w:spacing w:before="36"/>
        <w:ind w:left="152" w:right="105"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Times New Roman" w:hAnsi="Times New Roman" w:cs="Times New Roman" w:eastAsia="Times New Roman" w:hint="default"/>
          <w:b/>
          <w:bCs/>
          <w:spacing w:val="-1"/>
          <w:sz w:val="21"/>
          <w:szCs w:val="21"/>
        </w:rPr>
        <w:t>6</w:t>
      </w:r>
      <w:r>
        <w:rPr>
          <w:rFonts w:ascii="宋体" w:hAnsi="宋体" w:cs="宋体" w:eastAsia="宋体" w:hint="default"/>
          <w:b/>
          <w:bCs/>
          <w:spacing w:val="-1"/>
          <w:sz w:val="21"/>
          <w:szCs w:val="21"/>
        </w:rPr>
        <w:t>）报告期内合并范围是否发生变动</w:t>
        <w:tab/>
      </w:r>
      <w:r>
        <w:rPr>
          <w:rFonts w:ascii="Times New Roman" w:hAnsi="Times New Roman" w:cs="Times New Roman" w:eastAsia="Times New Roman" w:hint="default"/>
          <w:sz w:val="21"/>
          <w:szCs w:val="21"/>
        </w:rPr>
        <w:t>√  </w:t>
      </w:r>
      <w:r>
        <w:rPr>
          <w:rFonts w:ascii="宋体" w:hAnsi="宋体" w:cs="宋体" w:eastAsia="宋体" w:hint="default"/>
          <w:sz w:val="21"/>
          <w:szCs w:val="21"/>
        </w:rPr>
        <w:t>是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否</w:t>
      </w:r>
    </w:p>
    <w:p>
      <w:pPr>
        <w:spacing w:line="240" w:lineRule="auto" w:before="7"/>
        <w:rPr>
          <w:rFonts w:ascii="宋体" w:hAnsi="宋体" w:cs="宋体" w:eastAsia="宋体" w:hint="default"/>
          <w:sz w:val="24"/>
          <w:szCs w:val="24"/>
        </w:rPr>
      </w:pPr>
    </w:p>
    <w:p>
      <w:pPr>
        <w:pStyle w:val="BodyText"/>
        <w:spacing w:line="256" w:lineRule="auto"/>
        <w:ind w:right="105" w:firstLine="420"/>
        <w:jc w:val="left"/>
      </w:pPr>
      <w:r>
        <w:rPr/>
        <w:t>报告期内，公司新设全资子公司深圳华声、华声实业、</w:t>
      </w:r>
      <w:r>
        <w:rPr>
          <w:rFonts w:ascii="Times New Roman" w:hAnsi="Times New Roman" w:cs="Times New Roman" w:eastAsia="Times New Roman" w:hint="default"/>
        </w:rPr>
        <w:t>BVI</w:t>
      </w:r>
      <w:r>
        <w:rPr/>
        <w:t>华声、开曼华声、华声香港投资，上述企</w:t>
      </w:r>
      <w:r>
        <w:rPr>
          <w:w w:val="100"/>
        </w:rPr>
        <w:t> </w:t>
      </w:r>
      <w:r>
        <w:rPr>
          <w:spacing w:val="-5"/>
        </w:rPr>
        <w:t>业自成立之日起纳入合并范围；期内，公司新设控股子公司华声电缆，该公司自成立之日起纳入合并范围。</w:t>
      </w:r>
    </w:p>
    <w:p>
      <w:pPr>
        <w:spacing w:line="240" w:lineRule="auto" w:before="8"/>
        <w:rPr>
          <w:rFonts w:ascii="宋体" w:hAnsi="宋体" w:cs="宋体" w:eastAsia="宋体" w:hint="default"/>
          <w:sz w:val="24"/>
          <w:szCs w:val="24"/>
        </w:rPr>
      </w:pPr>
    </w:p>
    <w:p>
      <w:pPr>
        <w:tabs>
          <w:tab w:pos="8060" w:val="left" w:leader="none"/>
        </w:tabs>
        <w:spacing w:before="0"/>
        <w:ind w:left="152" w:right="105"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Times New Roman" w:hAnsi="Times New Roman" w:cs="Times New Roman" w:eastAsia="Times New Roman" w:hint="default"/>
          <w:b/>
          <w:bCs/>
          <w:spacing w:val="-1"/>
          <w:sz w:val="21"/>
          <w:szCs w:val="21"/>
        </w:rPr>
        <w:t>7</w:t>
      </w:r>
      <w:r>
        <w:rPr>
          <w:rFonts w:ascii="宋体" w:hAnsi="宋体" w:cs="宋体" w:eastAsia="宋体" w:hint="default"/>
          <w:b/>
          <w:bCs/>
          <w:spacing w:val="-1"/>
          <w:sz w:val="21"/>
          <w:szCs w:val="21"/>
        </w:rPr>
        <w:t>）公司报告期内业务、产品或服务发生重大变化或调整有关情况</w:t>
        <w:tab/>
      </w:r>
      <w:r>
        <w:rPr>
          <w:rFonts w:ascii="Times New Roman" w:hAnsi="Times New Roman" w:cs="Times New Roman" w:eastAsia="Times New Roman" w:hint="default"/>
          <w:sz w:val="21"/>
          <w:szCs w:val="21"/>
        </w:rPr>
        <w:t>□  </w:t>
      </w:r>
      <w:r>
        <w:rPr>
          <w:rFonts w:ascii="宋体" w:hAnsi="宋体" w:cs="宋体" w:eastAsia="宋体" w:hint="default"/>
          <w:spacing w:val="-2"/>
          <w:sz w:val="21"/>
          <w:szCs w:val="21"/>
        </w:rPr>
        <w:t>适用</w:t>
      </w:r>
      <w:r>
        <w:rPr>
          <w:rFonts w:ascii="宋体" w:hAnsi="宋体" w:cs="宋体" w:eastAsia="宋体" w:hint="default"/>
          <w:sz w:val="21"/>
          <w:szCs w:val="21"/>
        </w:rPr>
        <w:t>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5"/>
          <w:sz w:val="21"/>
          <w:szCs w:val="21"/>
        </w:rPr>
        <w:t> </w:t>
      </w:r>
      <w:r>
        <w:rPr>
          <w:rFonts w:ascii="宋体" w:hAnsi="宋体" w:cs="宋体" w:eastAsia="宋体" w:hint="default"/>
          <w:spacing w:val="-1"/>
          <w:sz w:val="21"/>
          <w:szCs w:val="21"/>
        </w:rPr>
        <w:t>不适用</w:t>
      </w:r>
    </w:p>
    <w:p>
      <w:pPr>
        <w:spacing w:line="240" w:lineRule="auto" w:before="10"/>
        <w:rPr>
          <w:rFonts w:ascii="宋体" w:hAnsi="宋体" w:cs="宋体" w:eastAsia="宋体" w:hint="default"/>
          <w:sz w:val="24"/>
          <w:szCs w:val="24"/>
        </w:rPr>
      </w:pPr>
    </w:p>
    <w:p>
      <w:pPr>
        <w:spacing w:line="506" w:lineRule="auto" w:before="0"/>
        <w:ind w:left="152" w:right="4628" w:firstLine="0"/>
        <w:jc w:val="left"/>
        <w:rPr>
          <w:rFonts w:ascii="宋体" w:hAnsi="宋体" w:cs="宋体" w:eastAsia="宋体" w:hint="default"/>
          <w:sz w:val="21"/>
          <w:szCs w:val="21"/>
        </w:rPr>
      </w:pPr>
      <w:r>
        <w:rPr/>
        <w:pict>
          <v:shape style="position:absolute;margin-left:56.459999pt;margin-top:48.893639pt;width:479.2pt;height:40.7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525"/>
                    <w:gridCol w:w="5045"/>
                  </w:tblGrid>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前五名客户合计销售金额（元）</w:t>
                        </w:r>
                      </w:p>
                    </w:tc>
                    <w:tc>
                      <w:tcPr>
                        <w:tcW w:w="504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869,557,678.50</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2" w:right="0"/>
                          <w:jc w:val="left"/>
                          <w:rPr>
                            <w:rFonts w:ascii="宋体" w:hAnsi="宋体" w:cs="宋体" w:eastAsia="宋体" w:hint="default"/>
                            <w:sz w:val="21"/>
                            <w:szCs w:val="21"/>
                          </w:rPr>
                        </w:pPr>
                        <w:r>
                          <w:rPr>
                            <w:rFonts w:ascii="宋体" w:hAnsi="宋体" w:cs="宋体" w:eastAsia="宋体" w:hint="default"/>
                            <w:sz w:val="21"/>
                            <w:szCs w:val="21"/>
                          </w:rPr>
                          <w:t>前五名客户合计销售金额占年度销售总额比例</w:t>
                        </w:r>
                      </w:p>
                    </w:tc>
                    <w:tc>
                      <w:tcPr>
                        <w:tcW w:w="504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6"/>
                          <w:ind w:right="18"/>
                          <w:jc w:val="right"/>
                          <w:rPr>
                            <w:rFonts w:ascii="Times New Roman" w:hAnsi="Times New Roman" w:cs="Times New Roman" w:eastAsia="Times New Roman" w:hint="default"/>
                            <w:sz w:val="21"/>
                            <w:szCs w:val="21"/>
                          </w:rPr>
                        </w:pPr>
                        <w:r>
                          <w:rPr>
                            <w:rFonts w:ascii="Times New Roman"/>
                            <w:sz w:val="21"/>
                          </w:rPr>
                          <w:t>82.86%</w:t>
                        </w:r>
                      </w:p>
                    </w:tc>
                  </w:tr>
                </w:tbl>
                <w:p>
                  <w:pPr/>
                </w:p>
              </w:txbxContent>
            </v:textbox>
            <w10:wrap type="none"/>
          </v:shape>
        </w:pict>
      </w:r>
      <w:r>
        <w:rPr>
          <w:rFonts w:ascii="宋体" w:hAnsi="宋体" w:cs="宋体" w:eastAsia="宋体" w:hint="default"/>
          <w:b/>
          <w:bCs/>
          <w:spacing w:val="-1"/>
          <w:sz w:val="21"/>
          <w:szCs w:val="21"/>
        </w:rPr>
        <w:t>（</w:t>
      </w:r>
      <w:r>
        <w:rPr>
          <w:rFonts w:ascii="Times New Roman" w:hAnsi="Times New Roman" w:cs="Times New Roman" w:eastAsia="Times New Roman" w:hint="default"/>
          <w:b/>
          <w:bCs/>
          <w:spacing w:val="-1"/>
          <w:sz w:val="21"/>
          <w:szCs w:val="21"/>
        </w:rPr>
        <w:t>8</w:t>
      </w:r>
      <w:r>
        <w:rPr>
          <w:rFonts w:ascii="宋体" w:hAnsi="宋体" w:cs="宋体" w:eastAsia="宋体" w:hint="default"/>
          <w:b/>
          <w:bCs/>
          <w:spacing w:val="-1"/>
          <w:sz w:val="21"/>
          <w:szCs w:val="21"/>
        </w:rPr>
        <w:t>）主要销售客户和主要供应商情况</w:t>
      </w:r>
      <w:r>
        <w:rPr>
          <w:rFonts w:ascii="宋体" w:hAnsi="宋体" w:cs="宋体" w:eastAsia="宋体" w:hint="default"/>
          <w:b/>
          <w:bCs/>
          <w:spacing w:val="-90"/>
          <w:sz w:val="21"/>
          <w:szCs w:val="21"/>
        </w:rPr>
        <w:t> </w:t>
      </w:r>
      <w:r>
        <w:rPr>
          <w:rFonts w:ascii="宋体" w:hAnsi="宋体" w:cs="宋体" w:eastAsia="宋体" w:hint="default"/>
          <w:b/>
          <w:bCs/>
          <w:spacing w:val="-90"/>
          <w:sz w:val="21"/>
          <w:szCs w:val="21"/>
        </w:rPr>
      </w:r>
      <w:r>
        <w:rPr>
          <w:rFonts w:ascii="宋体" w:hAnsi="宋体" w:cs="宋体" w:eastAsia="宋体" w:hint="default"/>
          <w:sz w:val="21"/>
          <w:szCs w:val="21"/>
        </w:rPr>
        <w:t>公司主要销售客户情况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6"/>
        <w:ind w:right="105"/>
        <w:jc w:val="left"/>
      </w:pPr>
      <w:r>
        <w:rPr/>
        <w:t>公司前</w:t>
      </w:r>
      <w:r>
        <w:rPr>
          <w:spacing w:val="-52"/>
        </w:rPr>
        <w:t> </w:t>
      </w:r>
      <w:r>
        <w:rPr>
          <w:rFonts w:ascii="Times New Roman" w:hAnsi="Times New Roman" w:cs="Times New Roman" w:eastAsia="Times New Roman" w:hint="default"/>
        </w:rPr>
        <w:t>5 </w:t>
      </w:r>
      <w:r>
        <w:rPr/>
        <w:t>大客户资料</w:t>
      </w:r>
    </w:p>
    <w:p>
      <w:pPr>
        <w:spacing w:line="240" w:lineRule="auto" w:before="7"/>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828"/>
        <w:gridCol w:w="3697"/>
        <w:gridCol w:w="2516"/>
        <w:gridCol w:w="2518"/>
      </w:tblGrid>
      <w:tr>
        <w:trPr>
          <w:trHeight w:val="403" w:hRule="exact"/>
        </w:trPr>
        <w:tc>
          <w:tcPr>
            <w:tcW w:w="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99"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36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6" w:right="0"/>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25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624" w:right="0"/>
              <w:jc w:val="left"/>
              <w:rPr>
                <w:rFonts w:ascii="宋体" w:hAnsi="宋体" w:cs="宋体" w:eastAsia="宋体" w:hint="default"/>
                <w:sz w:val="21"/>
                <w:szCs w:val="21"/>
              </w:rPr>
            </w:pPr>
            <w:r>
              <w:rPr>
                <w:rFonts w:ascii="宋体" w:hAnsi="宋体" w:cs="宋体" w:eastAsia="宋体" w:hint="default"/>
                <w:sz w:val="21"/>
                <w:szCs w:val="21"/>
              </w:rPr>
              <w:t>销售额（元）</w:t>
            </w:r>
          </w:p>
        </w:tc>
        <w:tc>
          <w:tcPr>
            <w:tcW w:w="2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307" w:right="0"/>
              <w:jc w:val="left"/>
              <w:rPr>
                <w:rFonts w:ascii="宋体" w:hAnsi="宋体" w:cs="宋体" w:eastAsia="宋体" w:hint="default"/>
                <w:sz w:val="21"/>
                <w:szCs w:val="21"/>
              </w:rPr>
            </w:pPr>
            <w:r>
              <w:rPr>
                <w:rFonts w:ascii="宋体" w:hAnsi="宋体" w:cs="宋体" w:eastAsia="宋体" w:hint="default"/>
                <w:sz w:val="21"/>
                <w:szCs w:val="21"/>
              </w:rPr>
              <w:t>占年度销售总额比例</w:t>
            </w:r>
          </w:p>
        </w:tc>
      </w:tr>
      <w:tr>
        <w:trPr>
          <w:trHeight w:val="401" w:hRule="exact"/>
        </w:trPr>
        <w:tc>
          <w:tcPr>
            <w:tcW w:w="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w w:val="100"/>
                <w:sz w:val="21"/>
              </w:rPr>
              <w:t>1</w:t>
            </w:r>
          </w:p>
        </w:tc>
        <w:tc>
          <w:tcPr>
            <w:tcW w:w="36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9"/>
              <w:ind w:left="23" w:right="0"/>
              <w:jc w:val="left"/>
              <w:rPr>
                <w:rFonts w:ascii="宋体" w:hAnsi="宋体" w:cs="宋体" w:eastAsia="宋体" w:hint="default"/>
                <w:sz w:val="22"/>
                <w:szCs w:val="22"/>
              </w:rPr>
            </w:pPr>
            <w:r>
              <w:rPr>
                <w:rFonts w:ascii="宋体" w:hAnsi="宋体" w:cs="宋体" w:eastAsia="宋体" w:hint="default"/>
                <w:sz w:val="22"/>
                <w:szCs w:val="22"/>
              </w:rPr>
              <w:t>第一名</w:t>
            </w:r>
          </w:p>
        </w:tc>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564,809,582.85</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53.82%</w:t>
            </w:r>
          </w:p>
        </w:tc>
      </w:tr>
      <w:tr>
        <w:trPr>
          <w:trHeight w:val="403" w:hRule="exact"/>
        </w:trPr>
        <w:tc>
          <w:tcPr>
            <w:tcW w:w="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right="1"/>
              <w:jc w:val="center"/>
              <w:rPr>
                <w:rFonts w:ascii="Times New Roman" w:hAnsi="Times New Roman" w:cs="Times New Roman" w:eastAsia="Times New Roman" w:hint="default"/>
                <w:sz w:val="21"/>
                <w:szCs w:val="21"/>
              </w:rPr>
            </w:pPr>
            <w:r>
              <w:rPr>
                <w:rFonts w:ascii="Times New Roman"/>
                <w:w w:val="100"/>
                <w:sz w:val="21"/>
              </w:rPr>
              <w:t>2</w:t>
            </w:r>
          </w:p>
        </w:tc>
        <w:tc>
          <w:tcPr>
            <w:tcW w:w="36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1"/>
              <w:ind w:left="23" w:right="0"/>
              <w:jc w:val="left"/>
              <w:rPr>
                <w:rFonts w:ascii="宋体" w:hAnsi="宋体" w:cs="宋体" w:eastAsia="宋体" w:hint="default"/>
                <w:sz w:val="22"/>
                <w:szCs w:val="22"/>
              </w:rPr>
            </w:pPr>
            <w:r>
              <w:rPr>
                <w:rFonts w:ascii="宋体" w:hAnsi="宋体" w:cs="宋体" w:eastAsia="宋体" w:hint="default"/>
                <w:sz w:val="22"/>
                <w:szCs w:val="22"/>
              </w:rPr>
              <w:t>第二名</w:t>
            </w:r>
          </w:p>
        </w:tc>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167,419,960.26</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8"/>
              <w:jc w:val="right"/>
              <w:rPr>
                <w:rFonts w:ascii="Times New Roman" w:hAnsi="Times New Roman" w:cs="Times New Roman" w:eastAsia="Times New Roman" w:hint="default"/>
                <w:sz w:val="21"/>
                <w:szCs w:val="21"/>
              </w:rPr>
            </w:pPr>
            <w:r>
              <w:rPr>
                <w:rFonts w:ascii="Times New Roman"/>
                <w:sz w:val="21"/>
              </w:rPr>
              <w:t>15.95%</w:t>
            </w:r>
          </w:p>
        </w:tc>
      </w:tr>
      <w:tr>
        <w:trPr>
          <w:trHeight w:val="401" w:hRule="exact"/>
        </w:trPr>
        <w:tc>
          <w:tcPr>
            <w:tcW w:w="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w w:val="100"/>
                <w:sz w:val="21"/>
              </w:rPr>
              <w:t>3</w:t>
            </w:r>
          </w:p>
        </w:tc>
        <w:tc>
          <w:tcPr>
            <w:tcW w:w="36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9"/>
              <w:ind w:left="23" w:right="0"/>
              <w:jc w:val="left"/>
              <w:rPr>
                <w:rFonts w:ascii="宋体" w:hAnsi="宋体" w:cs="宋体" w:eastAsia="宋体" w:hint="default"/>
                <w:sz w:val="22"/>
                <w:szCs w:val="22"/>
              </w:rPr>
            </w:pPr>
            <w:r>
              <w:rPr>
                <w:rFonts w:ascii="宋体" w:hAnsi="宋体" w:cs="宋体" w:eastAsia="宋体" w:hint="default"/>
                <w:sz w:val="22"/>
                <w:szCs w:val="22"/>
              </w:rPr>
              <w:t>第三名</w:t>
            </w:r>
          </w:p>
        </w:tc>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54,524,781.90</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5.20%</w:t>
            </w:r>
          </w:p>
        </w:tc>
      </w:tr>
      <w:tr>
        <w:trPr>
          <w:trHeight w:val="403" w:hRule="exact"/>
        </w:trPr>
        <w:tc>
          <w:tcPr>
            <w:tcW w:w="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right="1"/>
              <w:jc w:val="center"/>
              <w:rPr>
                <w:rFonts w:ascii="Times New Roman" w:hAnsi="Times New Roman" w:cs="Times New Roman" w:eastAsia="Times New Roman" w:hint="default"/>
                <w:sz w:val="21"/>
                <w:szCs w:val="21"/>
              </w:rPr>
            </w:pPr>
            <w:r>
              <w:rPr>
                <w:rFonts w:ascii="Times New Roman"/>
                <w:w w:val="100"/>
                <w:sz w:val="21"/>
              </w:rPr>
              <w:t>4</w:t>
            </w:r>
          </w:p>
        </w:tc>
        <w:tc>
          <w:tcPr>
            <w:tcW w:w="36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1"/>
              <w:ind w:left="23" w:right="0"/>
              <w:jc w:val="left"/>
              <w:rPr>
                <w:rFonts w:ascii="宋体" w:hAnsi="宋体" w:cs="宋体" w:eastAsia="宋体" w:hint="default"/>
                <w:sz w:val="22"/>
                <w:szCs w:val="22"/>
              </w:rPr>
            </w:pPr>
            <w:r>
              <w:rPr>
                <w:rFonts w:ascii="宋体" w:hAnsi="宋体" w:cs="宋体" w:eastAsia="宋体" w:hint="default"/>
                <w:sz w:val="22"/>
                <w:szCs w:val="22"/>
              </w:rPr>
              <w:t>第四名</w:t>
            </w:r>
          </w:p>
        </w:tc>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51,941,873.77</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8"/>
              <w:jc w:val="right"/>
              <w:rPr>
                <w:rFonts w:ascii="Times New Roman" w:hAnsi="Times New Roman" w:cs="Times New Roman" w:eastAsia="Times New Roman" w:hint="default"/>
                <w:sz w:val="21"/>
                <w:szCs w:val="21"/>
              </w:rPr>
            </w:pPr>
            <w:r>
              <w:rPr>
                <w:rFonts w:ascii="Times New Roman"/>
                <w:sz w:val="21"/>
              </w:rPr>
              <w:t>4.95%</w:t>
            </w:r>
          </w:p>
        </w:tc>
      </w:tr>
      <w:tr>
        <w:trPr>
          <w:trHeight w:val="401" w:hRule="exact"/>
        </w:trPr>
        <w:tc>
          <w:tcPr>
            <w:tcW w:w="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w w:val="100"/>
                <w:sz w:val="21"/>
              </w:rPr>
              <w:t>5</w:t>
            </w:r>
          </w:p>
        </w:tc>
        <w:tc>
          <w:tcPr>
            <w:tcW w:w="36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9"/>
              <w:ind w:left="23" w:right="0"/>
              <w:jc w:val="left"/>
              <w:rPr>
                <w:rFonts w:ascii="宋体" w:hAnsi="宋体" w:cs="宋体" w:eastAsia="宋体" w:hint="default"/>
                <w:sz w:val="22"/>
                <w:szCs w:val="22"/>
              </w:rPr>
            </w:pPr>
            <w:r>
              <w:rPr>
                <w:rFonts w:ascii="宋体" w:hAnsi="宋体" w:cs="宋体" w:eastAsia="宋体" w:hint="default"/>
                <w:sz w:val="22"/>
                <w:szCs w:val="22"/>
              </w:rPr>
              <w:t>第五名</w:t>
            </w:r>
          </w:p>
        </w:tc>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30,861,479.72</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2.94%</w:t>
            </w:r>
          </w:p>
        </w:tc>
      </w:tr>
      <w:tr>
        <w:trPr>
          <w:trHeight w:val="403" w:hRule="exact"/>
        </w:trPr>
        <w:tc>
          <w:tcPr>
            <w:tcW w:w="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6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left="14" w:right="0"/>
              <w:jc w:val="center"/>
              <w:rPr>
                <w:rFonts w:ascii="Times New Roman" w:hAnsi="Times New Roman" w:cs="Times New Roman" w:eastAsia="Times New Roman" w:hint="default"/>
                <w:sz w:val="21"/>
                <w:szCs w:val="21"/>
              </w:rPr>
            </w:pPr>
            <w:r>
              <w:rPr>
                <w:rFonts w:ascii="Times New Roman"/>
                <w:sz w:val="21"/>
              </w:rPr>
              <w:t>--</w:t>
            </w:r>
          </w:p>
        </w:tc>
        <w:tc>
          <w:tcPr>
            <w:tcW w:w="25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869,557,678.50</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8"/>
              <w:jc w:val="right"/>
              <w:rPr>
                <w:rFonts w:ascii="Times New Roman" w:hAnsi="Times New Roman" w:cs="Times New Roman" w:eastAsia="Times New Roman" w:hint="default"/>
                <w:sz w:val="21"/>
                <w:szCs w:val="21"/>
              </w:rPr>
            </w:pPr>
            <w:r>
              <w:rPr>
                <w:rFonts w:ascii="Times New Roman"/>
                <w:sz w:val="21"/>
              </w:rPr>
              <w:t>82.86%</w:t>
            </w:r>
          </w:p>
        </w:tc>
      </w:tr>
    </w:tbl>
    <w:p>
      <w:pPr>
        <w:pStyle w:val="BodyText"/>
        <w:tabs>
          <w:tab w:pos="8134" w:val="left" w:leader="none"/>
        </w:tabs>
        <w:spacing w:line="240" w:lineRule="auto" w:before="28"/>
        <w:ind w:right="105"/>
        <w:jc w:val="left"/>
      </w:pPr>
      <w:r>
        <w:rPr>
          <w:spacing w:val="-2"/>
        </w:rPr>
        <w:t>主要客户其他情况说明</w:t>
        <w:tab/>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spacing w:val="-1"/>
        </w:rPr>
        <w:t>不适用</w:t>
      </w:r>
    </w:p>
    <w:p>
      <w:pPr>
        <w:pStyle w:val="BodyText"/>
        <w:spacing w:line="240" w:lineRule="auto" w:before="59"/>
        <w:ind w:right="105"/>
        <w:jc w:val="left"/>
      </w:pPr>
      <w:r>
        <w:rPr/>
        <w:t>公司主要供应商情况</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4525"/>
        <w:gridCol w:w="5045"/>
      </w:tblGrid>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前五名供应商合计采购金额（元）</w:t>
            </w:r>
          </w:p>
        </w:tc>
        <w:tc>
          <w:tcPr>
            <w:tcW w:w="504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540,242,878.83</w:t>
            </w:r>
          </w:p>
        </w:tc>
      </w:tr>
      <w:tr>
        <w:trPr>
          <w:trHeight w:val="401"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前五名供应商合计采购金额占年度采购总额比例</w:t>
            </w:r>
          </w:p>
        </w:tc>
        <w:tc>
          <w:tcPr>
            <w:tcW w:w="504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65.74%</w:t>
            </w:r>
          </w:p>
        </w:tc>
      </w:tr>
    </w:tbl>
    <w:p>
      <w:pPr>
        <w:pStyle w:val="BodyText"/>
        <w:spacing w:line="240" w:lineRule="auto" w:before="28"/>
        <w:ind w:right="105"/>
        <w:jc w:val="left"/>
      </w:pPr>
      <w:r>
        <w:rPr/>
        <w:t>公司前</w:t>
      </w:r>
      <w:r>
        <w:rPr>
          <w:spacing w:val="-53"/>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9"/>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828"/>
        <w:gridCol w:w="3697"/>
        <w:gridCol w:w="2516"/>
        <w:gridCol w:w="2518"/>
      </w:tblGrid>
      <w:tr>
        <w:trPr>
          <w:trHeight w:val="401" w:hRule="exact"/>
        </w:trPr>
        <w:tc>
          <w:tcPr>
            <w:tcW w:w="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36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6" w:right="0"/>
              <w:jc w:val="center"/>
              <w:rPr>
                <w:rFonts w:ascii="宋体" w:hAnsi="宋体" w:cs="宋体" w:eastAsia="宋体" w:hint="default"/>
                <w:sz w:val="21"/>
                <w:szCs w:val="21"/>
              </w:rPr>
            </w:pPr>
            <w:r>
              <w:rPr>
                <w:rFonts w:ascii="宋体" w:hAnsi="宋体" w:cs="宋体" w:eastAsia="宋体" w:hint="default"/>
                <w:sz w:val="21"/>
                <w:szCs w:val="21"/>
              </w:rPr>
              <w:t>供应商名称</w:t>
            </w:r>
          </w:p>
        </w:tc>
        <w:tc>
          <w:tcPr>
            <w:tcW w:w="25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24" w:right="0"/>
              <w:jc w:val="left"/>
              <w:rPr>
                <w:rFonts w:ascii="宋体" w:hAnsi="宋体" w:cs="宋体" w:eastAsia="宋体" w:hint="default"/>
                <w:sz w:val="21"/>
                <w:szCs w:val="21"/>
              </w:rPr>
            </w:pPr>
            <w:r>
              <w:rPr>
                <w:rFonts w:ascii="宋体" w:hAnsi="宋体" w:cs="宋体" w:eastAsia="宋体" w:hint="default"/>
                <w:sz w:val="21"/>
                <w:szCs w:val="21"/>
              </w:rPr>
              <w:t>采购额（元）</w:t>
            </w:r>
          </w:p>
        </w:tc>
        <w:tc>
          <w:tcPr>
            <w:tcW w:w="2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07" w:right="0"/>
              <w:jc w:val="left"/>
              <w:rPr>
                <w:rFonts w:ascii="宋体" w:hAnsi="宋体" w:cs="宋体" w:eastAsia="宋体" w:hint="default"/>
                <w:sz w:val="21"/>
                <w:szCs w:val="21"/>
              </w:rPr>
            </w:pPr>
            <w:r>
              <w:rPr>
                <w:rFonts w:ascii="宋体" w:hAnsi="宋体" w:cs="宋体" w:eastAsia="宋体" w:hint="default"/>
                <w:sz w:val="21"/>
                <w:szCs w:val="21"/>
              </w:rPr>
              <w:t>占年度采购总额比例</w:t>
            </w:r>
          </w:p>
        </w:tc>
      </w:tr>
      <w:tr>
        <w:trPr>
          <w:trHeight w:val="403" w:hRule="exact"/>
        </w:trPr>
        <w:tc>
          <w:tcPr>
            <w:tcW w:w="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w w:val="100"/>
                <w:sz w:val="21"/>
              </w:rPr>
              <w:t>1</w:t>
            </w:r>
          </w:p>
        </w:tc>
        <w:tc>
          <w:tcPr>
            <w:tcW w:w="36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9"/>
              <w:ind w:left="23" w:right="0"/>
              <w:jc w:val="left"/>
              <w:rPr>
                <w:rFonts w:ascii="宋体" w:hAnsi="宋体" w:cs="宋体" w:eastAsia="宋体" w:hint="default"/>
                <w:sz w:val="22"/>
                <w:szCs w:val="22"/>
              </w:rPr>
            </w:pPr>
            <w:r>
              <w:rPr>
                <w:rFonts w:ascii="宋体" w:hAnsi="宋体" w:cs="宋体" w:eastAsia="宋体" w:hint="default"/>
                <w:sz w:val="22"/>
                <w:szCs w:val="22"/>
              </w:rPr>
              <w:t>第一名</w:t>
            </w:r>
          </w:p>
        </w:tc>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168,053,189.84</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20.45%</w:t>
            </w:r>
          </w:p>
        </w:tc>
      </w:tr>
      <w:tr>
        <w:trPr>
          <w:trHeight w:val="401" w:hRule="exact"/>
        </w:trPr>
        <w:tc>
          <w:tcPr>
            <w:tcW w:w="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w w:val="100"/>
                <w:sz w:val="21"/>
              </w:rPr>
              <w:t>2</w:t>
            </w:r>
          </w:p>
        </w:tc>
        <w:tc>
          <w:tcPr>
            <w:tcW w:w="36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9"/>
              <w:ind w:left="23" w:right="0"/>
              <w:jc w:val="left"/>
              <w:rPr>
                <w:rFonts w:ascii="宋体" w:hAnsi="宋体" w:cs="宋体" w:eastAsia="宋体" w:hint="default"/>
                <w:sz w:val="22"/>
                <w:szCs w:val="22"/>
              </w:rPr>
            </w:pPr>
            <w:r>
              <w:rPr>
                <w:rFonts w:ascii="宋体" w:hAnsi="宋体" w:cs="宋体" w:eastAsia="宋体" w:hint="default"/>
                <w:sz w:val="22"/>
                <w:szCs w:val="22"/>
              </w:rPr>
              <w:t>第二名</w:t>
            </w:r>
          </w:p>
        </w:tc>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163,587,426.65</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19.91%</w:t>
            </w:r>
          </w:p>
        </w:tc>
      </w:tr>
      <w:tr>
        <w:trPr>
          <w:trHeight w:val="403" w:hRule="exact"/>
        </w:trPr>
        <w:tc>
          <w:tcPr>
            <w:tcW w:w="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w w:val="100"/>
                <w:sz w:val="21"/>
              </w:rPr>
              <w:t>3</w:t>
            </w:r>
          </w:p>
        </w:tc>
        <w:tc>
          <w:tcPr>
            <w:tcW w:w="36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9"/>
              <w:ind w:left="23" w:right="0"/>
              <w:jc w:val="left"/>
              <w:rPr>
                <w:rFonts w:ascii="宋体" w:hAnsi="宋体" w:cs="宋体" w:eastAsia="宋体" w:hint="default"/>
                <w:sz w:val="22"/>
                <w:szCs w:val="22"/>
              </w:rPr>
            </w:pPr>
            <w:r>
              <w:rPr>
                <w:rFonts w:ascii="宋体" w:hAnsi="宋体" w:cs="宋体" w:eastAsia="宋体" w:hint="default"/>
                <w:sz w:val="22"/>
                <w:szCs w:val="22"/>
              </w:rPr>
              <w:t>第三名</w:t>
            </w:r>
          </w:p>
        </w:tc>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101,684,907.01</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12.37%</w:t>
            </w:r>
          </w:p>
        </w:tc>
      </w:tr>
      <w:tr>
        <w:trPr>
          <w:trHeight w:val="401" w:hRule="exact"/>
        </w:trPr>
        <w:tc>
          <w:tcPr>
            <w:tcW w:w="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w w:val="100"/>
                <w:sz w:val="21"/>
              </w:rPr>
              <w:t>4</w:t>
            </w:r>
          </w:p>
        </w:tc>
        <w:tc>
          <w:tcPr>
            <w:tcW w:w="36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9"/>
              <w:ind w:left="23" w:right="0"/>
              <w:jc w:val="left"/>
              <w:rPr>
                <w:rFonts w:ascii="宋体" w:hAnsi="宋体" w:cs="宋体" w:eastAsia="宋体" w:hint="default"/>
                <w:sz w:val="22"/>
                <w:szCs w:val="22"/>
              </w:rPr>
            </w:pPr>
            <w:r>
              <w:rPr>
                <w:rFonts w:ascii="宋体" w:hAnsi="宋体" w:cs="宋体" w:eastAsia="宋体" w:hint="default"/>
                <w:sz w:val="22"/>
                <w:szCs w:val="22"/>
              </w:rPr>
              <w:t>第四名</w:t>
            </w:r>
          </w:p>
        </w:tc>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74,025,178.95</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9.01%</w:t>
            </w:r>
          </w:p>
        </w:tc>
      </w:tr>
      <w:tr>
        <w:trPr>
          <w:trHeight w:val="403" w:hRule="exact"/>
        </w:trPr>
        <w:tc>
          <w:tcPr>
            <w:tcW w:w="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w w:val="100"/>
                <w:sz w:val="21"/>
              </w:rPr>
              <w:t>5</w:t>
            </w:r>
          </w:p>
        </w:tc>
        <w:tc>
          <w:tcPr>
            <w:tcW w:w="36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9"/>
              <w:ind w:left="23" w:right="0"/>
              <w:jc w:val="left"/>
              <w:rPr>
                <w:rFonts w:ascii="宋体" w:hAnsi="宋体" w:cs="宋体" w:eastAsia="宋体" w:hint="default"/>
                <w:sz w:val="22"/>
                <w:szCs w:val="22"/>
              </w:rPr>
            </w:pPr>
            <w:r>
              <w:rPr>
                <w:rFonts w:ascii="宋体" w:hAnsi="宋体" w:cs="宋体" w:eastAsia="宋体" w:hint="default"/>
                <w:sz w:val="22"/>
                <w:szCs w:val="22"/>
              </w:rPr>
              <w:t>第五名</w:t>
            </w:r>
          </w:p>
        </w:tc>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32,892,176.37</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4.00%</w:t>
            </w:r>
          </w:p>
        </w:tc>
      </w:tr>
      <w:tr>
        <w:trPr>
          <w:trHeight w:val="401" w:hRule="exact"/>
        </w:trPr>
        <w:tc>
          <w:tcPr>
            <w:tcW w:w="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6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14" w:right="0"/>
              <w:jc w:val="center"/>
              <w:rPr>
                <w:rFonts w:ascii="Times New Roman" w:hAnsi="Times New Roman" w:cs="Times New Roman" w:eastAsia="Times New Roman" w:hint="default"/>
                <w:sz w:val="21"/>
                <w:szCs w:val="21"/>
              </w:rPr>
            </w:pPr>
            <w:r>
              <w:rPr>
                <w:rFonts w:ascii="Times New Roman"/>
                <w:sz w:val="21"/>
              </w:rPr>
              <w:t>--</w:t>
            </w:r>
          </w:p>
        </w:tc>
        <w:tc>
          <w:tcPr>
            <w:tcW w:w="25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540,242,878.83</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65.74%</w:t>
            </w:r>
          </w:p>
        </w:tc>
      </w:tr>
    </w:tbl>
    <w:p>
      <w:pPr>
        <w:pStyle w:val="BodyText"/>
        <w:tabs>
          <w:tab w:pos="8134" w:val="left" w:leader="none"/>
        </w:tabs>
        <w:spacing w:line="240" w:lineRule="auto" w:before="28"/>
        <w:ind w:right="105"/>
        <w:jc w:val="left"/>
      </w:pPr>
      <w:r>
        <w:rPr>
          <w:spacing w:val="-2"/>
        </w:rPr>
        <w:t>主要供应商其他情况说明</w:t>
        <w:tab/>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spacing w:val="-1"/>
        </w:rPr>
        <w:t>不适用</w:t>
      </w:r>
    </w:p>
    <w:p>
      <w:pPr>
        <w:spacing w:after="0" w:line="240" w:lineRule="auto"/>
        <w:jc w:val="left"/>
        <w:sectPr>
          <w:pgSz w:w="11910" w:h="16840"/>
          <w:pgMar w:header="745" w:footer="979" w:top="1060" w:bottom="1160" w:left="980" w:right="92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left="0" w:right="239"/>
        <w:jc w:val="right"/>
      </w:pPr>
      <w:r>
        <w:rPr>
          <w:spacing w:val="-1"/>
        </w:rPr>
        <w:t>单位：元</w:t>
      </w:r>
    </w:p>
    <w:p>
      <w:pPr>
        <w:spacing w:line="240" w:lineRule="auto" w:before="10"/>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1893"/>
        <w:gridCol w:w="1648"/>
        <w:gridCol w:w="1637"/>
        <w:gridCol w:w="1462"/>
        <w:gridCol w:w="2919"/>
      </w:tblGrid>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8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7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04" w:right="0"/>
              <w:jc w:val="left"/>
              <w:rPr>
                <w:rFonts w:ascii="宋体" w:hAnsi="宋体" w:cs="宋体" w:eastAsia="宋体" w:hint="default"/>
                <w:sz w:val="21"/>
                <w:szCs w:val="21"/>
              </w:rPr>
            </w:pPr>
            <w:r>
              <w:rPr>
                <w:rFonts w:ascii="宋体" w:hAnsi="宋体" w:cs="宋体" w:eastAsia="宋体" w:hint="default"/>
                <w:sz w:val="21"/>
                <w:szCs w:val="21"/>
              </w:rPr>
              <w:t>同比增减</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26" w:right="0"/>
              <w:jc w:val="left"/>
              <w:rPr>
                <w:rFonts w:ascii="宋体" w:hAnsi="宋体" w:cs="宋体" w:eastAsia="宋体" w:hint="default"/>
                <w:sz w:val="21"/>
                <w:szCs w:val="21"/>
              </w:rPr>
            </w:pPr>
            <w:r>
              <w:rPr>
                <w:rFonts w:ascii="宋体" w:hAnsi="宋体" w:cs="宋体" w:eastAsia="宋体" w:hint="default"/>
                <w:sz w:val="21"/>
                <w:szCs w:val="21"/>
              </w:rPr>
              <w:t>重大变动说明</w:t>
            </w:r>
          </w:p>
        </w:tc>
      </w:tr>
      <w:tr>
        <w:trPr>
          <w:trHeight w:val="401"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64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25,361,276.40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30,135,967.91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-15.84%</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64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60,792,140.43</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53,982,103.98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12.62%</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893"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8" w:type="dxa"/>
            <w:vMerge w:val="restart"/>
            <w:tcBorders>
              <w:top w:val="single" w:sz="4" w:space="0" w:color="000000"/>
              <w:left w:val="single" w:sz="9" w:space="0" w:color="D2D2D2"/>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403" w:right="0"/>
              <w:jc w:val="left"/>
              <w:rPr>
                <w:rFonts w:ascii="Times New Roman" w:hAnsi="Times New Roman" w:cs="Times New Roman" w:eastAsia="Times New Roman" w:hint="default"/>
                <w:sz w:val="21"/>
                <w:szCs w:val="21"/>
              </w:rPr>
            </w:pPr>
            <w:r>
              <w:rPr>
                <w:rFonts w:ascii="Times New Roman"/>
                <w:sz w:val="21"/>
              </w:rPr>
              <w:t>21,285,621.15</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398" w:right="0"/>
              <w:jc w:val="left"/>
              <w:rPr>
                <w:rFonts w:ascii="Times New Roman" w:hAnsi="Times New Roman" w:cs="Times New Roman" w:eastAsia="Times New Roman" w:hint="default"/>
                <w:sz w:val="21"/>
                <w:szCs w:val="21"/>
              </w:rPr>
            </w:pPr>
            <w:r>
              <w:rPr>
                <w:rFonts w:ascii="Times New Roman"/>
                <w:sz w:val="21"/>
              </w:rPr>
              <w:t>32,749,780.32</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710" w:right="0"/>
              <w:jc w:val="left"/>
              <w:rPr>
                <w:rFonts w:ascii="Times New Roman" w:hAnsi="Times New Roman" w:cs="Times New Roman" w:eastAsia="Times New Roman" w:hint="default"/>
                <w:sz w:val="21"/>
                <w:szCs w:val="21"/>
              </w:rPr>
            </w:pPr>
            <w:r>
              <w:rPr>
                <w:rFonts w:ascii="Times New Roman"/>
                <w:sz w:val="21"/>
              </w:rPr>
              <w:t>-35.01%</w:t>
            </w:r>
          </w:p>
        </w:tc>
        <w:tc>
          <w:tcPr>
            <w:tcW w:w="2919" w:type="dxa"/>
            <w:vMerge w:val="restart"/>
            <w:tcBorders>
              <w:top w:val="single" w:sz="4" w:space="0" w:color="000000"/>
              <w:left w:val="single" w:sz="4" w:space="0" w:color="000000"/>
              <w:right w:val="single" w:sz="4" w:space="0" w:color="000000"/>
            </w:tcBorders>
          </w:tcPr>
          <w:p>
            <w:pPr>
              <w:pStyle w:val="TableParagraph"/>
              <w:spacing w:line="273" w:lineRule="auto" w:before="28"/>
              <w:ind w:left="23" w:right="149"/>
              <w:jc w:val="left"/>
              <w:rPr>
                <w:rFonts w:ascii="宋体" w:hAnsi="宋体" w:cs="宋体" w:eastAsia="宋体" w:hint="default"/>
                <w:sz w:val="21"/>
                <w:szCs w:val="21"/>
              </w:rPr>
            </w:pPr>
            <w:r>
              <w:rPr>
                <w:rFonts w:ascii="宋体" w:hAnsi="宋体" w:cs="宋体" w:eastAsia="宋体" w:hint="default"/>
                <w:spacing w:val="-2"/>
                <w:sz w:val="21"/>
                <w:szCs w:val="21"/>
              </w:rPr>
              <w:t>资金需求量下降，资金价格下</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调，贷款平均余额降低。</w:t>
            </w:r>
          </w:p>
        </w:tc>
      </w:tr>
      <w:tr>
        <w:trPr>
          <w:trHeight w:val="391" w:hRule="exact"/>
        </w:trPr>
        <w:tc>
          <w:tcPr>
            <w:tcW w:w="18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648" w:type="dxa"/>
            <w:vMerge/>
            <w:tcBorders>
              <w:left w:val="single" w:sz="9"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893" w:type="dxa"/>
            <w:tcBorders>
              <w:top w:val="nil" w:sz="6" w:space="0" w:color="auto"/>
              <w:left w:val="single" w:sz="4" w:space="0" w:color="000000"/>
              <w:bottom w:val="single" w:sz="4" w:space="0" w:color="000000"/>
              <w:right w:val="single" w:sz="4" w:space="0" w:color="000000"/>
            </w:tcBorders>
            <w:shd w:val="clear" w:color="auto" w:fill="D2D2D2"/>
          </w:tcPr>
          <w:p>
            <w:pPr/>
          </w:p>
        </w:tc>
        <w:tc>
          <w:tcPr>
            <w:tcW w:w="1648" w:type="dxa"/>
            <w:vMerge/>
            <w:tcBorders>
              <w:left w:val="single" w:sz="9"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tabs>
          <w:tab w:pos="8165" w:val="left" w:leader="none"/>
        </w:tabs>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、研发投入</w:t>
        <w:tab/>
      </w:r>
      <w:r>
        <w:rPr>
          <w:rFonts w:ascii="Times New Roman" w:hAnsi="Times New Roman" w:cs="Times New Roman" w:eastAsia="Times New Roman" w:hint="default"/>
          <w:sz w:val="21"/>
          <w:szCs w:val="21"/>
        </w:rPr>
        <w:t>√  </w:t>
      </w:r>
      <w:r>
        <w:rPr>
          <w:rFonts w:ascii="宋体" w:hAnsi="宋体" w:cs="宋体" w:eastAsia="宋体" w:hint="default"/>
          <w:spacing w:val="-2"/>
          <w:sz w:val="21"/>
          <w:szCs w:val="21"/>
        </w:rPr>
        <w:t>适用</w:t>
      </w:r>
      <w:r>
        <w:rPr>
          <w:rFonts w:ascii="宋体" w:hAnsi="宋体" w:cs="宋体" w:eastAsia="宋体" w:hint="default"/>
          <w:sz w:val="21"/>
          <w:szCs w:val="21"/>
        </w:rPr>
        <w:t>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4"/>
          <w:sz w:val="21"/>
          <w:szCs w:val="21"/>
        </w:rPr>
        <w:t> </w:t>
      </w:r>
      <w:r>
        <w:rPr>
          <w:rFonts w:ascii="宋体" w:hAnsi="宋体" w:cs="宋体" w:eastAsia="宋体" w:hint="default"/>
          <w:spacing w:val="-1"/>
          <w:sz w:val="21"/>
          <w:szCs w:val="21"/>
        </w:rPr>
        <w:t>不适用</w:t>
      </w:r>
    </w:p>
    <w:p>
      <w:pPr>
        <w:spacing w:line="240" w:lineRule="auto" w:before="10"/>
        <w:rPr>
          <w:rFonts w:ascii="宋体" w:hAnsi="宋体" w:cs="宋体" w:eastAsia="宋体" w:hint="default"/>
          <w:sz w:val="24"/>
          <w:szCs w:val="24"/>
        </w:rPr>
      </w:pPr>
    </w:p>
    <w:p>
      <w:pPr>
        <w:pStyle w:val="BodyText"/>
        <w:spacing w:line="273" w:lineRule="auto"/>
        <w:ind w:right="0" w:firstLine="420"/>
        <w:jc w:val="left"/>
      </w:pPr>
      <w:r>
        <w:rPr>
          <w:spacing w:val="-2"/>
        </w:rPr>
        <w:t>报告期内，公司围绕产品升级，产品可靠性、稳定性、环保性能、机械性能、电气性能提升，产品成</w:t>
      </w:r>
      <w:r>
        <w:rPr>
          <w:w w:val="100"/>
        </w:rPr>
        <w:t> </w:t>
      </w:r>
      <w:r>
        <w:rPr/>
        <w:t>本降低等开展了一系列研发工作，有效提升产品竞争力。</w:t>
      </w:r>
    </w:p>
    <w:p>
      <w:pPr>
        <w:pStyle w:val="BodyText"/>
        <w:spacing w:line="240" w:lineRule="auto" w:before="48"/>
        <w:ind w:right="0"/>
        <w:jc w:val="left"/>
      </w:pPr>
      <w:r>
        <w:rPr/>
        <w:t>公司研发投入情况</w:t>
      </w:r>
    </w:p>
    <w:p>
      <w:pPr>
        <w:spacing w:line="240" w:lineRule="auto" w:before="10"/>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240"/>
        <w:gridCol w:w="2114"/>
        <w:gridCol w:w="2101"/>
        <w:gridCol w:w="2105"/>
      </w:tblGrid>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p>
        </w:tc>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28" w:right="0"/>
              <w:jc w:val="left"/>
              <w:rPr>
                <w:rFonts w:ascii="宋体" w:hAnsi="宋体" w:cs="宋体" w:eastAsia="宋体" w:hint="default"/>
                <w:sz w:val="21"/>
                <w:szCs w:val="21"/>
              </w:rPr>
            </w:pPr>
            <w:r>
              <w:rPr>
                <w:rFonts w:ascii="宋体" w:hAnsi="宋体" w:cs="宋体" w:eastAsia="宋体" w:hint="default"/>
                <w:sz w:val="21"/>
                <w:szCs w:val="21"/>
              </w:rPr>
              <w:t>变动比例</w:t>
            </w:r>
          </w:p>
        </w:tc>
      </w:tr>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研发人员数量（人）</w:t>
            </w:r>
          </w:p>
        </w:tc>
        <w:tc>
          <w:tcPr>
            <w:tcW w:w="211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128</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5"/>
              <w:jc w:val="right"/>
              <w:rPr>
                <w:rFonts w:ascii="Times New Roman" w:hAnsi="Times New Roman" w:cs="Times New Roman" w:eastAsia="Times New Roman" w:hint="default"/>
                <w:sz w:val="21"/>
                <w:szCs w:val="21"/>
              </w:rPr>
            </w:pPr>
            <w:r>
              <w:rPr>
                <w:rFonts w:ascii="Times New Roman"/>
                <w:sz w:val="21"/>
              </w:rPr>
              <w:t>164</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pacing w:val="-1"/>
                <w:sz w:val="21"/>
              </w:rPr>
              <w:t>-21.95%</w:t>
            </w:r>
          </w:p>
        </w:tc>
      </w:tr>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研发人员数量占比</w:t>
            </w:r>
          </w:p>
        </w:tc>
        <w:tc>
          <w:tcPr>
            <w:tcW w:w="211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17.68%</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4"/>
              <w:jc w:val="right"/>
              <w:rPr>
                <w:rFonts w:ascii="Times New Roman" w:hAnsi="Times New Roman" w:cs="Times New Roman" w:eastAsia="Times New Roman" w:hint="default"/>
                <w:sz w:val="21"/>
                <w:szCs w:val="21"/>
              </w:rPr>
            </w:pPr>
            <w:r>
              <w:rPr>
                <w:rFonts w:ascii="Times New Roman"/>
                <w:sz w:val="21"/>
              </w:rPr>
              <w:t>19.29%</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pacing w:val="-1"/>
                <w:sz w:val="21"/>
              </w:rPr>
              <w:t>-1.61%</w:t>
            </w:r>
          </w:p>
        </w:tc>
      </w:tr>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研发投入金额（元）</w:t>
            </w:r>
          </w:p>
        </w:tc>
        <w:tc>
          <w:tcPr>
            <w:tcW w:w="211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8"/>
              <w:ind w:right="17"/>
              <w:jc w:val="right"/>
              <w:rPr>
                <w:rFonts w:ascii="Times New Roman" w:hAnsi="Times New Roman" w:cs="Times New Roman" w:eastAsia="Times New Roman" w:hint="default"/>
                <w:sz w:val="22"/>
                <w:szCs w:val="22"/>
              </w:rPr>
            </w:pPr>
            <w:r>
              <w:rPr>
                <w:rFonts w:ascii="Times New Roman"/>
                <w:spacing w:val="-1"/>
                <w:sz w:val="22"/>
              </w:rPr>
              <w:t>42,631,509.86</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8"/>
              <w:jc w:val="right"/>
              <w:rPr>
                <w:rFonts w:ascii="Times New Roman" w:hAnsi="Times New Roman" w:cs="Times New Roman" w:eastAsia="Times New Roman" w:hint="default"/>
                <w:sz w:val="20"/>
                <w:szCs w:val="20"/>
              </w:rPr>
            </w:pPr>
            <w:r>
              <w:rPr>
                <w:rFonts w:ascii="Times New Roman"/>
                <w:w w:val="95"/>
                <w:sz w:val="20"/>
              </w:rPr>
              <w:t>47,901,600.00</w:t>
            </w:r>
            <w:r>
              <w:rPr>
                <w:rFonts w:ascii="Times New Roman"/>
                <w:sz w:val="20"/>
              </w:rPr>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0"/>
              <w:jc w:val="right"/>
              <w:rPr>
                <w:rFonts w:ascii="Times New Roman" w:hAnsi="Times New Roman" w:cs="Times New Roman" w:eastAsia="Times New Roman" w:hint="default"/>
                <w:sz w:val="22"/>
                <w:szCs w:val="22"/>
              </w:rPr>
            </w:pPr>
            <w:r>
              <w:rPr>
                <w:rFonts w:ascii="Times New Roman"/>
                <w:spacing w:val="-2"/>
                <w:sz w:val="22"/>
              </w:rPr>
              <w:t>-11.00%</w:t>
            </w:r>
          </w:p>
        </w:tc>
      </w:tr>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研发投入占营业收入比例</w:t>
            </w:r>
          </w:p>
        </w:tc>
        <w:tc>
          <w:tcPr>
            <w:tcW w:w="211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8"/>
              <w:ind w:right="18"/>
              <w:jc w:val="right"/>
              <w:rPr>
                <w:rFonts w:ascii="Times New Roman" w:hAnsi="Times New Roman" w:cs="Times New Roman" w:eastAsia="Times New Roman" w:hint="default"/>
                <w:sz w:val="22"/>
                <w:szCs w:val="22"/>
              </w:rPr>
            </w:pPr>
            <w:r>
              <w:rPr>
                <w:rFonts w:ascii="Times New Roman"/>
                <w:sz w:val="22"/>
              </w:rPr>
              <w:t>4.06%</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6"/>
              <w:jc w:val="right"/>
              <w:rPr>
                <w:rFonts w:ascii="Times New Roman" w:hAnsi="Times New Roman" w:cs="Times New Roman" w:eastAsia="Times New Roman" w:hint="default"/>
                <w:sz w:val="22"/>
                <w:szCs w:val="22"/>
              </w:rPr>
            </w:pPr>
            <w:r>
              <w:rPr>
                <w:rFonts w:ascii="Times New Roman"/>
                <w:sz w:val="22"/>
              </w:rPr>
              <w:t>3.20%</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8"/>
              <w:jc w:val="right"/>
              <w:rPr>
                <w:rFonts w:ascii="Times New Roman" w:hAnsi="Times New Roman" w:cs="Times New Roman" w:eastAsia="Times New Roman" w:hint="default"/>
                <w:sz w:val="22"/>
                <w:szCs w:val="22"/>
              </w:rPr>
            </w:pPr>
            <w:r>
              <w:rPr>
                <w:rFonts w:ascii="Times New Roman"/>
                <w:sz w:val="22"/>
              </w:rPr>
              <w:t>0.86%</w:t>
            </w:r>
          </w:p>
        </w:tc>
      </w:tr>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研发投入资本化的金额（元）</w:t>
            </w:r>
          </w:p>
        </w:tc>
        <w:tc>
          <w:tcPr>
            <w:tcW w:w="211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100"/>
                <w:sz w:val="21"/>
              </w:rPr>
              <w:t>0</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w w:val="100"/>
                <w:sz w:val="21"/>
              </w:rPr>
              <w:t>0</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100"/>
                <w:sz w:val="21"/>
              </w:rPr>
              <w:t>0</w:t>
            </w:r>
          </w:p>
        </w:tc>
      </w:tr>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资本化研发投入占研发投入的比例</w:t>
            </w:r>
          </w:p>
        </w:tc>
        <w:tc>
          <w:tcPr>
            <w:tcW w:w="211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100"/>
                <w:sz w:val="21"/>
              </w:rPr>
              <w:t>0</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w w:val="100"/>
                <w:sz w:val="21"/>
              </w:rPr>
              <w:t>0</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100"/>
                <w:sz w:val="21"/>
              </w:rPr>
              <w:t>0</w:t>
            </w:r>
          </w:p>
        </w:tc>
      </w:tr>
    </w:tbl>
    <w:p>
      <w:pPr>
        <w:pStyle w:val="BodyText"/>
        <w:tabs>
          <w:tab w:pos="8139" w:val="left" w:leader="none"/>
        </w:tabs>
        <w:spacing w:line="240" w:lineRule="auto" w:before="28"/>
        <w:ind w:right="0"/>
        <w:jc w:val="left"/>
      </w:pPr>
      <w:r>
        <w:rPr>
          <w:spacing w:val="-2"/>
        </w:rPr>
        <w:t>研发投入总额占营业收入的比重较上年发生显著变化的原因</w:t>
        <w:tab/>
      </w:r>
      <w:r>
        <w:rPr>
          <w:rFonts w:ascii="Times New Roman" w:hAnsi="Times New Roman" w:cs="Times New Roman" w:eastAsia="Times New Roman" w:hint="default"/>
        </w:rPr>
        <w:t>□  </w:t>
      </w:r>
      <w:r>
        <w:rPr>
          <w:spacing w:val="-2"/>
        </w:rPr>
        <w:t>适用</w:t>
      </w:r>
      <w:r>
        <w:rPr/>
        <w:t>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spacing w:val="-1"/>
        </w:rPr>
        <w:t>不适用</w:t>
      </w:r>
    </w:p>
    <w:p>
      <w:pPr>
        <w:pStyle w:val="BodyText"/>
        <w:tabs>
          <w:tab w:pos="8137" w:val="left" w:leader="none"/>
        </w:tabs>
        <w:spacing w:line="240" w:lineRule="auto" w:before="59"/>
        <w:ind w:right="0"/>
        <w:jc w:val="left"/>
      </w:pPr>
      <w:r>
        <w:rPr>
          <w:spacing w:val="-2"/>
        </w:rPr>
        <w:t>研发投入资本化率大幅变动的原因及其合理性说明</w:t>
        <w:tab/>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spacing w:val="-1"/>
        </w:rPr>
        <w:t>不适用</w:t>
      </w:r>
    </w:p>
    <w:p>
      <w:pPr>
        <w:spacing w:line="240" w:lineRule="auto" w:before="7"/>
        <w:rPr>
          <w:rFonts w:ascii="宋体" w:hAnsi="宋体" w:cs="宋体" w:eastAsia="宋体" w:hint="default"/>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left="0" w:right="239"/>
        <w:jc w:val="right"/>
      </w:pPr>
      <w:r>
        <w:rPr>
          <w:spacing w:val="-1"/>
        </w:rPr>
        <w:t>单位：元</w:t>
      </w:r>
    </w:p>
    <w:p>
      <w:pPr>
        <w:spacing w:line="240" w:lineRule="auto" w:before="10"/>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954"/>
        <w:gridCol w:w="2210"/>
        <w:gridCol w:w="2197"/>
        <w:gridCol w:w="2198"/>
      </w:tblGrid>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7"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p>
        </w:tc>
        <w:tc>
          <w:tcPr>
            <w:tcW w:w="2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p>
        </w:tc>
        <w:tc>
          <w:tcPr>
            <w:tcW w:w="2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674" w:right="0"/>
              <w:jc w:val="left"/>
              <w:rPr>
                <w:rFonts w:ascii="宋体" w:hAnsi="宋体" w:cs="宋体" w:eastAsia="宋体" w:hint="default"/>
                <w:sz w:val="21"/>
                <w:szCs w:val="21"/>
              </w:rPr>
            </w:pPr>
            <w:r>
              <w:rPr>
                <w:rFonts w:ascii="宋体" w:hAnsi="宋体" w:cs="宋体" w:eastAsia="宋体" w:hint="default"/>
                <w:sz w:val="21"/>
                <w:szCs w:val="21"/>
              </w:rPr>
              <w:t>同比增减</w:t>
            </w:r>
          </w:p>
        </w:tc>
      </w:tr>
      <w:tr>
        <w:trPr>
          <w:trHeight w:val="401"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221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1,225,658,777.20</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1,731,440,354.07</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-29.21%</w:t>
            </w:r>
          </w:p>
        </w:tc>
      </w:tr>
      <w:tr>
        <w:trPr>
          <w:trHeight w:val="404"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left="12"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221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8"/>
              <w:ind w:right="17"/>
              <w:jc w:val="right"/>
              <w:rPr>
                <w:rFonts w:ascii="Times New Roman" w:hAnsi="Times New Roman" w:cs="Times New Roman" w:eastAsia="Times New Roman" w:hint="default"/>
                <w:sz w:val="21"/>
                <w:szCs w:val="21"/>
              </w:rPr>
            </w:pPr>
            <w:r>
              <w:rPr>
                <w:rFonts w:ascii="Times New Roman"/>
                <w:spacing w:val="-1"/>
                <w:sz w:val="21"/>
              </w:rPr>
              <w:t>958,930,325.73</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7"/>
              <w:jc w:val="right"/>
              <w:rPr>
                <w:rFonts w:ascii="Times New Roman" w:hAnsi="Times New Roman" w:cs="Times New Roman" w:eastAsia="Times New Roman" w:hint="default"/>
                <w:sz w:val="21"/>
                <w:szCs w:val="21"/>
              </w:rPr>
            </w:pPr>
            <w:r>
              <w:rPr>
                <w:rFonts w:ascii="Times New Roman"/>
                <w:spacing w:val="-1"/>
                <w:sz w:val="21"/>
              </w:rPr>
              <w:t>1,604,061,752.43</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1"/>
              <w:jc w:val="right"/>
              <w:rPr>
                <w:rFonts w:ascii="Times New Roman" w:hAnsi="Times New Roman" w:cs="Times New Roman" w:eastAsia="Times New Roman" w:hint="default"/>
                <w:sz w:val="21"/>
                <w:szCs w:val="21"/>
              </w:rPr>
            </w:pPr>
            <w:r>
              <w:rPr>
                <w:rFonts w:ascii="Times New Roman"/>
                <w:spacing w:val="-1"/>
                <w:sz w:val="21"/>
              </w:rPr>
              <w:t>-40.22%</w:t>
            </w:r>
          </w:p>
        </w:tc>
      </w:tr>
      <w:tr>
        <w:trPr>
          <w:trHeight w:val="401"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21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266,728,451.47</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127,378,601.64</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109.40%</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221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105,161.98</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104,409.00</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8"/>
              <w:jc w:val="right"/>
              <w:rPr>
                <w:rFonts w:ascii="Times New Roman" w:hAnsi="Times New Roman" w:cs="Times New Roman" w:eastAsia="Times New Roman" w:hint="default"/>
                <w:sz w:val="21"/>
                <w:szCs w:val="21"/>
              </w:rPr>
            </w:pPr>
            <w:r>
              <w:rPr>
                <w:rFonts w:ascii="Times New Roman"/>
                <w:sz w:val="21"/>
              </w:rPr>
              <w:t>0.72%</w:t>
            </w:r>
          </w:p>
        </w:tc>
      </w:tr>
      <w:tr>
        <w:trPr>
          <w:trHeight w:val="401"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221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25,878,390.48</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47,820,672.43</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-45.88%</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221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-25,773,228.50</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-47,716,263.43</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8"/>
              <w:jc w:val="right"/>
              <w:rPr>
                <w:rFonts w:ascii="Times New Roman" w:hAnsi="Times New Roman" w:cs="Times New Roman" w:eastAsia="Times New Roman" w:hint="default"/>
                <w:sz w:val="21"/>
                <w:szCs w:val="21"/>
              </w:rPr>
            </w:pPr>
            <w:r>
              <w:rPr>
                <w:rFonts w:ascii="Times New Roman"/>
                <w:sz w:val="21"/>
              </w:rPr>
              <w:t>45.99%</w:t>
            </w:r>
          </w:p>
        </w:tc>
      </w:tr>
      <w:tr>
        <w:trPr>
          <w:trHeight w:val="401"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221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225,802,933.47</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402,500,000.00</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-43.90%</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221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465,535,127.01</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547,656,475.54</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1"/>
              <w:jc w:val="right"/>
              <w:rPr>
                <w:rFonts w:ascii="Times New Roman" w:hAnsi="Times New Roman" w:cs="Times New Roman" w:eastAsia="Times New Roman" w:hint="default"/>
                <w:sz w:val="21"/>
                <w:szCs w:val="21"/>
              </w:rPr>
            </w:pPr>
            <w:r>
              <w:rPr>
                <w:rFonts w:ascii="Times New Roman"/>
                <w:spacing w:val="-1"/>
                <w:sz w:val="21"/>
              </w:rPr>
              <w:t>-15.00%</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221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-239,732,193.54</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-145,156,475.54</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-65.15%</w:t>
            </w:r>
          </w:p>
        </w:tc>
      </w:tr>
    </w:tbl>
    <w:p>
      <w:pPr>
        <w:spacing w:after="0" w:line="240" w:lineRule="auto"/>
        <w:jc w:val="right"/>
        <w:rPr>
          <w:rFonts w:ascii="Times New Roman" w:hAnsi="Times New Roman" w:cs="Times New Roman" w:eastAsia="Times New Roman" w:hint="default"/>
          <w:sz w:val="21"/>
          <w:szCs w:val="21"/>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976"/>
        <w:gridCol w:w="2199"/>
        <w:gridCol w:w="2197"/>
        <w:gridCol w:w="2198"/>
      </w:tblGrid>
      <w:tr>
        <w:trPr>
          <w:trHeight w:val="404" w:hRule="exact"/>
        </w:trPr>
        <w:tc>
          <w:tcPr>
            <w:tcW w:w="2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65" w:right="0"/>
              <w:jc w:val="left"/>
              <w:rPr>
                <w:rFonts w:ascii="Times New Roman" w:hAnsi="Times New Roman" w:cs="Times New Roman" w:eastAsia="Times New Roman" w:hint="default"/>
                <w:sz w:val="21"/>
                <w:szCs w:val="21"/>
              </w:rPr>
            </w:pPr>
            <w:r>
              <w:rPr>
                <w:rFonts w:ascii="Times New Roman"/>
                <w:sz w:val="21"/>
              </w:rPr>
              <w:t>1,422,956.13</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888" w:right="0"/>
              <w:jc w:val="left"/>
              <w:rPr>
                <w:rFonts w:ascii="Times New Roman" w:hAnsi="Times New Roman" w:cs="Times New Roman" w:eastAsia="Times New Roman" w:hint="default"/>
                <w:sz w:val="21"/>
                <w:szCs w:val="21"/>
              </w:rPr>
            </w:pPr>
            <w:r>
              <w:rPr>
                <w:rFonts w:ascii="Times New Roman"/>
                <w:sz w:val="21"/>
              </w:rPr>
              <w:t>-65,494,137.33</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411" w:right="0"/>
              <w:jc w:val="left"/>
              <w:rPr>
                <w:rFonts w:ascii="Times New Roman" w:hAnsi="Times New Roman" w:cs="Times New Roman" w:eastAsia="Times New Roman" w:hint="default"/>
                <w:sz w:val="21"/>
                <w:szCs w:val="21"/>
              </w:rPr>
            </w:pPr>
            <w:r>
              <w:rPr>
                <w:rFonts w:ascii="Times New Roman"/>
                <w:sz w:val="21"/>
              </w:rPr>
              <w:t>102.17%</w:t>
            </w:r>
          </w:p>
        </w:tc>
      </w:tr>
    </w:tbl>
    <w:p>
      <w:pPr>
        <w:pStyle w:val="BodyText"/>
        <w:tabs>
          <w:tab w:pos="8137" w:val="left" w:leader="none"/>
        </w:tabs>
        <w:spacing w:line="240" w:lineRule="auto" w:before="28"/>
        <w:ind w:right="0"/>
        <w:jc w:val="left"/>
      </w:pPr>
      <w:r>
        <w:rPr>
          <w:spacing w:val="-2"/>
        </w:rPr>
        <w:t>相关数据同比发生重大变动的主要影响因素说明</w:t>
        <w:tab/>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spacing w:val="-1"/>
        </w:rPr>
        <w:t>不适用</w:t>
      </w:r>
    </w:p>
    <w:p>
      <w:pPr>
        <w:pStyle w:val="BodyText"/>
        <w:spacing w:line="256" w:lineRule="auto" w:before="59"/>
        <w:ind w:right="0" w:firstLine="420"/>
        <w:jc w:val="left"/>
      </w:pPr>
      <w:r>
        <w:rPr>
          <w:rFonts w:ascii="Times New Roman" w:hAnsi="Times New Roman" w:cs="Times New Roman" w:eastAsia="Times New Roman" w:hint="default"/>
          <w:spacing w:val="-2"/>
        </w:rPr>
        <w:t>2015</w:t>
      </w:r>
      <w:r>
        <w:rPr>
          <w:spacing w:val="-2"/>
        </w:rPr>
        <w:t>年度经营活动产生的现金流量净额为</w:t>
      </w:r>
      <w:r>
        <w:rPr>
          <w:rFonts w:ascii="Times New Roman" w:hAnsi="Times New Roman" w:cs="Times New Roman" w:eastAsia="Times New Roman" w:hint="default"/>
          <w:spacing w:val="-2"/>
        </w:rPr>
        <w:t>26,672.85</w:t>
      </w:r>
      <w:r>
        <w:rPr>
          <w:spacing w:val="-2"/>
        </w:rPr>
        <w:t>万元，较上年增长</w:t>
      </w:r>
      <w:r>
        <w:rPr>
          <w:rFonts w:ascii="Times New Roman" w:hAnsi="Times New Roman" w:cs="Times New Roman" w:eastAsia="Times New Roman" w:hint="default"/>
          <w:spacing w:val="-2"/>
        </w:rPr>
        <w:t>109.40%</w:t>
      </w:r>
      <w:r>
        <w:rPr>
          <w:spacing w:val="-2"/>
        </w:rPr>
        <w:t>，主要原因是银行承兑</w:t>
      </w:r>
      <w:r>
        <w:rPr>
          <w:w w:val="100"/>
        </w:rPr>
        <w:t> </w:t>
      </w:r>
      <w:r>
        <w:rPr/>
        <w:t>汇票贴现增加。</w:t>
      </w:r>
    </w:p>
    <w:p>
      <w:pPr>
        <w:pStyle w:val="BodyText"/>
        <w:spacing w:line="256" w:lineRule="auto" w:before="22"/>
        <w:ind w:right="0" w:firstLine="420"/>
        <w:jc w:val="left"/>
      </w:pPr>
      <w:r>
        <w:rPr>
          <w:rFonts w:ascii="Times New Roman" w:hAnsi="Times New Roman" w:cs="Times New Roman" w:eastAsia="Times New Roman" w:hint="default"/>
          <w:spacing w:val="-2"/>
        </w:rPr>
        <w:t>2015</w:t>
      </w:r>
      <w:r>
        <w:rPr>
          <w:spacing w:val="-2"/>
        </w:rPr>
        <w:t>年度投资活动产生的现金流量净额为</w:t>
      </w:r>
      <w:r>
        <w:rPr>
          <w:rFonts w:ascii="Times New Roman" w:hAnsi="Times New Roman" w:cs="Times New Roman" w:eastAsia="Times New Roman" w:hint="default"/>
          <w:spacing w:val="-2"/>
        </w:rPr>
        <w:t>-2,577.32</w:t>
      </w:r>
      <w:r>
        <w:rPr>
          <w:spacing w:val="-2"/>
        </w:rPr>
        <w:t>万元，较上年增长</w:t>
      </w:r>
      <w:r>
        <w:rPr>
          <w:rFonts w:ascii="Times New Roman" w:hAnsi="Times New Roman" w:cs="Times New Roman" w:eastAsia="Times New Roman" w:hint="default"/>
          <w:spacing w:val="-2"/>
        </w:rPr>
        <w:t>45.99%</w:t>
      </w:r>
      <w:r>
        <w:rPr>
          <w:spacing w:val="-2"/>
        </w:rPr>
        <w:t>，主要原因是固定资产投</w:t>
      </w:r>
      <w:r>
        <w:rPr>
          <w:w w:val="100"/>
        </w:rPr>
        <w:t> </w:t>
      </w:r>
      <w:r>
        <w:rPr/>
        <w:t>资减少，投资活动现金流出减少。</w:t>
      </w:r>
    </w:p>
    <w:p>
      <w:pPr>
        <w:pStyle w:val="BodyText"/>
        <w:spacing w:line="256" w:lineRule="auto" w:before="22"/>
        <w:ind w:right="0" w:firstLine="420"/>
        <w:jc w:val="left"/>
      </w:pPr>
      <w:r>
        <w:rPr>
          <w:rFonts w:ascii="Times New Roman" w:hAnsi="Times New Roman" w:cs="Times New Roman" w:eastAsia="Times New Roman" w:hint="default"/>
          <w:spacing w:val="-2"/>
        </w:rPr>
        <w:t>2015</w:t>
      </w:r>
      <w:r>
        <w:rPr>
          <w:spacing w:val="-2"/>
        </w:rPr>
        <w:t>年度筹资活动产生的现金流量净额为</w:t>
      </w:r>
      <w:r>
        <w:rPr>
          <w:rFonts w:ascii="Times New Roman" w:hAnsi="Times New Roman" w:cs="Times New Roman" w:eastAsia="Times New Roman" w:hint="default"/>
          <w:spacing w:val="-2"/>
        </w:rPr>
        <w:t>-23,973.22</w:t>
      </w:r>
      <w:r>
        <w:rPr>
          <w:spacing w:val="-2"/>
        </w:rPr>
        <w:t>万元，较上年减少</w:t>
      </w:r>
      <w:r>
        <w:rPr>
          <w:rFonts w:ascii="Times New Roman" w:hAnsi="Times New Roman" w:cs="Times New Roman" w:eastAsia="Times New Roman" w:hint="default"/>
          <w:spacing w:val="-2"/>
        </w:rPr>
        <w:t>65.15%</w:t>
      </w:r>
      <w:r>
        <w:rPr>
          <w:spacing w:val="-2"/>
        </w:rPr>
        <w:t>，主要原因是本期借款</w:t>
      </w:r>
      <w:r>
        <w:rPr>
          <w:w w:val="100"/>
        </w:rPr>
        <w:t> </w:t>
      </w:r>
      <w:r>
        <w:rPr/>
        <w:t>减少，筹资活动现金流入减少。</w:t>
      </w:r>
    </w:p>
    <w:p>
      <w:pPr>
        <w:spacing w:line="240" w:lineRule="auto" w:before="0"/>
        <w:rPr>
          <w:rFonts w:ascii="宋体" w:hAnsi="宋体" w:cs="宋体" w:eastAsia="宋体" w:hint="default"/>
          <w:sz w:val="20"/>
          <w:szCs w:val="20"/>
        </w:rPr>
      </w:pPr>
    </w:p>
    <w:p>
      <w:pPr>
        <w:pStyle w:val="BodyText"/>
        <w:tabs>
          <w:tab w:pos="8141" w:val="left" w:leader="none"/>
        </w:tabs>
        <w:spacing w:line="290" w:lineRule="auto" w:before="152"/>
        <w:ind w:left="573" w:right="147" w:hanging="421"/>
        <w:jc w:val="left"/>
      </w:pPr>
      <w:r>
        <w:rPr>
          <w:spacing w:val="-2"/>
        </w:rPr>
        <w:t>报告期内公司经营活动产生的现金净流量与本年度净利润存在重大差异的原因说明</w:t>
        <w:tab/>
      </w:r>
      <w:r>
        <w:rPr>
          <w:rFonts w:ascii="Times New Roman" w:hAnsi="Times New Roman" w:cs="Times New Roman" w:eastAsia="Times New Roman" w:hint="default"/>
        </w:rPr>
        <w:t>√  </w:t>
      </w:r>
      <w:r>
        <w:rPr>
          <w:spacing w:val="-2"/>
        </w:rPr>
        <w:t>适用</w:t>
      </w:r>
      <w:r>
        <w:rPr/>
        <w:t>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spacing w:val="-1"/>
        </w:rPr>
        <w:t>不适用</w:t>
      </w:r>
      <w:r>
        <w:rPr>
          <w:w w:val="100"/>
        </w:rPr>
        <w:t> </w:t>
      </w:r>
      <w:r>
        <w:rPr>
          <w:spacing w:val="-2"/>
        </w:rPr>
        <w:t>由于报告期内基本保持贴现利率低于短期贷款利率态势，公司增加银承贴现、减少银行贷款以满足资</w:t>
      </w:r>
    </w:p>
    <w:p>
      <w:pPr>
        <w:pStyle w:val="BodyText"/>
        <w:spacing w:line="269" w:lineRule="exact"/>
        <w:ind w:right="0"/>
        <w:jc w:val="left"/>
      </w:pPr>
      <w:r>
        <w:rPr/>
        <w:t>金需求，导致经营活动产生的现金流量净额增长，并与公司净利润存在较大差异。</w:t>
      </w:r>
    </w:p>
    <w:p>
      <w:pPr>
        <w:spacing w:line="240" w:lineRule="auto" w:before="11"/>
        <w:rPr>
          <w:rFonts w:ascii="宋体" w:hAnsi="宋体" w:cs="宋体" w:eastAsia="宋体" w:hint="default"/>
          <w:sz w:val="23"/>
          <w:szCs w:val="23"/>
        </w:rPr>
      </w:pPr>
    </w:p>
    <w:p>
      <w:pPr>
        <w:tabs>
          <w:tab w:pos="8103" w:val="left" w:leader="none"/>
        </w:tabs>
        <w:spacing w:before="0"/>
        <w:ind w:left="152" w:right="0" w:firstLine="0"/>
        <w:jc w:val="left"/>
        <w:rPr>
          <w:rFonts w:ascii="宋体" w:hAnsi="宋体" w:cs="宋体" w:eastAsia="宋体" w:hint="default"/>
          <w:sz w:val="21"/>
          <w:szCs w:val="21"/>
        </w:rPr>
      </w:pPr>
      <w:r>
        <w:rPr>
          <w:rFonts w:ascii="宋体" w:hAnsi="宋体" w:cs="宋体" w:eastAsia="宋体" w:hint="default"/>
          <w:b/>
          <w:bCs/>
          <w:w w:val="95"/>
          <w:sz w:val="24"/>
          <w:szCs w:val="24"/>
        </w:rPr>
        <w:t>三、非主营业务分析</w:t>
        <w:tab/>
      </w: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不适用</w:t>
      </w:r>
    </w:p>
    <w:p>
      <w:pPr>
        <w:spacing w:line="240" w:lineRule="auto" w:before="1"/>
        <w:rPr>
          <w:rFonts w:ascii="宋体" w:hAnsi="宋体" w:cs="宋体" w:eastAsia="宋体" w:hint="default"/>
          <w:sz w:val="22"/>
          <w:szCs w:val="22"/>
        </w:rPr>
      </w:pPr>
    </w:p>
    <w:p>
      <w:pPr>
        <w:pStyle w:val="Heading2"/>
        <w:spacing w:line="240" w:lineRule="auto"/>
        <w:ind w:right="0"/>
        <w:jc w:val="left"/>
        <w:rPr>
          <w:b w:val="0"/>
          <w:bCs w:val="0"/>
        </w:rPr>
      </w:pPr>
      <w:r>
        <w:rPr/>
        <w:t>四、资产及负债状况分析</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left="0" w:right="343"/>
        <w:jc w:val="right"/>
      </w:pPr>
      <w:r>
        <w:rPr>
          <w:spacing w:val="-1"/>
        </w:rPr>
        <w:t>单位：元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pStyle w:val="BodyText"/>
        <w:spacing w:line="240" w:lineRule="auto" w:before="36"/>
        <w:ind w:left="0" w:right="153"/>
        <w:jc w:val="right"/>
      </w:pPr>
      <w:r>
        <w:rPr/>
        <w:pict>
          <v:shape style="position:absolute;margin-left:57pt;margin-top:-111.716324pt;width:478.7pt;height:228.3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56"/>
                    <w:gridCol w:w="1467"/>
                    <w:gridCol w:w="852"/>
                    <w:gridCol w:w="1416"/>
                    <w:gridCol w:w="852"/>
                    <w:gridCol w:w="708"/>
                    <w:gridCol w:w="2907"/>
                  </w:tblGrid>
                  <w:tr>
                    <w:trPr>
                      <w:trHeight w:val="187" w:hRule="exact"/>
                    </w:trPr>
                    <w:tc>
                      <w:tcPr>
                        <w:tcW w:w="1356" w:type="dxa"/>
                        <w:vMerge w:val="restart"/>
                        <w:tcBorders>
                          <w:top w:val="single" w:sz="4" w:space="0" w:color="000000"/>
                          <w:left w:val="single" w:sz="4" w:space="0" w:color="000000"/>
                          <w:right w:val="single" w:sz="4" w:space="0" w:color="000000"/>
                        </w:tcBorders>
                        <w:shd w:val="clear" w:color="auto" w:fill="D2D2D2"/>
                      </w:tcPr>
                      <w:p>
                        <w:pPr/>
                      </w:p>
                    </w:tc>
                    <w:tc>
                      <w:tcPr>
                        <w:tcW w:w="231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7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年末</w:t>
                        </w:r>
                      </w:p>
                    </w:tc>
                    <w:tc>
                      <w:tcPr>
                        <w:tcW w:w="226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68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708" w:type="dxa"/>
                        <w:tcBorders>
                          <w:top w:val="single" w:sz="4" w:space="0" w:color="000000"/>
                          <w:left w:val="single" w:sz="4" w:space="0" w:color="000000"/>
                          <w:bottom w:val="nil" w:sz="6" w:space="0" w:color="auto"/>
                          <w:right w:val="single" w:sz="4" w:space="0" w:color="000000"/>
                        </w:tcBorders>
                        <w:shd w:val="clear" w:color="auto" w:fill="D2D2D2"/>
                      </w:tcPr>
                      <w:p>
                        <w:pPr/>
                      </w:p>
                    </w:tc>
                    <w:tc>
                      <w:tcPr>
                        <w:tcW w:w="2907" w:type="dxa"/>
                        <w:vMerge w:val="restart"/>
                        <w:tcBorders>
                          <w:top w:val="single" w:sz="4" w:space="0" w:color="000000"/>
                          <w:left w:val="single" w:sz="4" w:space="0" w:color="000000"/>
                          <w:right w:val="single" w:sz="4" w:space="0" w:color="000000"/>
                        </w:tcBorders>
                        <w:shd w:val="clear" w:color="auto" w:fill="D2D2D2"/>
                      </w:tcPr>
                      <w:p>
                        <w:pPr/>
                      </w:p>
                    </w:tc>
                  </w:tr>
                  <w:tr>
                    <w:trPr>
                      <w:trHeight w:val="196" w:hRule="exact"/>
                    </w:trPr>
                    <w:tc>
                      <w:tcPr>
                        <w:tcW w:w="1356" w:type="dxa"/>
                        <w:vMerge/>
                        <w:tcBorders>
                          <w:left w:val="single" w:sz="4" w:space="0" w:color="000000"/>
                          <w:bottom w:val="nil" w:sz="6" w:space="0" w:color="auto"/>
                          <w:right w:val="single" w:sz="4" w:space="0" w:color="000000"/>
                        </w:tcBorders>
                        <w:shd w:val="clear" w:color="auto" w:fill="D2D2D2"/>
                      </w:tcPr>
                      <w:p>
                        <w:pPr/>
                      </w:p>
                    </w:tc>
                    <w:tc>
                      <w:tcPr>
                        <w:tcW w:w="2319" w:type="dxa"/>
                        <w:gridSpan w:val="2"/>
                        <w:vMerge/>
                        <w:tcBorders>
                          <w:left w:val="single" w:sz="4" w:space="0" w:color="000000"/>
                          <w:bottom w:val="single" w:sz="4" w:space="0" w:color="000000"/>
                          <w:right w:val="single" w:sz="4" w:space="0" w:color="000000"/>
                        </w:tcBorders>
                        <w:shd w:val="clear" w:color="auto" w:fill="D2D2D2"/>
                      </w:tcPr>
                      <w:p>
                        <w:pPr/>
                      </w:p>
                    </w:tc>
                    <w:tc>
                      <w:tcPr>
                        <w:tcW w:w="2268" w:type="dxa"/>
                        <w:gridSpan w:val="2"/>
                        <w:vMerge/>
                        <w:tcBorders>
                          <w:left w:val="single" w:sz="4" w:space="0" w:color="000000"/>
                          <w:bottom w:val="single" w:sz="4" w:space="0" w:color="000000"/>
                          <w:right w:val="single" w:sz="4" w:space="0" w:color="000000"/>
                        </w:tcBorders>
                        <w:shd w:val="clear" w:color="auto" w:fill="D2D2D2"/>
                      </w:tcPr>
                      <w:p>
                        <w:pPr/>
                      </w:p>
                    </w:tc>
                    <w:tc>
                      <w:tcPr>
                        <w:tcW w:w="708" w:type="dxa"/>
                        <w:vMerge w:val="restart"/>
                        <w:tcBorders>
                          <w:top w:val="nil" w:sz="6" w:space="0" w:color="auto"/>
                          <w:left w:val="single" w:sz="4" w:space="0" w:color="000000"/>
                          <w:right w:val="single" w:sz="4" w:space="0" w:color="000000"/>
                        </w:tcBorders>
                        <w:shd w:val="clear" w:color="auto" w:fill="D2D2D2"/>
                      </w:tcPr>
                      <w:p>
                        <w:pPr>
                          <w:pStyle w:val="TableParagraph"/>
                          <w:spacing w:line="307" w:lineRule="auto" w:before="28"/>
                          <w:ind w:left="139" w:right="134"/>
                          <w:jc w:val="left"/>
                          <w:rPr>
                            <w:rFonts w:ascii="宋体" w:hAnsi="宋体" w:cs="宋体" w:eastAsia="宋体" w:hint="default"/>
                            <w:sz w:val="21"/>
                            <w:szCs w:val="21"/>
                          </w:rPr>
                        </w:pPr>
                        <w:r>
                          <w:rPr>
                            <w:rFonts w:ascii="宋体" w:hAnsi="宋体" w:cs="宋体" w:eastAsia="宋体" w:hint="default"/>
                            <w:sz w:val="21"/>
                            <w:szCs w:val="21"/>
                          </w:rPr>
                          <w:t>比重</w:t>
                        </w:r>
                        <w:r>
                          <w:rPr>
                            <w:rFonts w:ascii="宋体" w:hAnsi="宋体" w:cs="宋体" w:eastAsia="宋体" w:hint="default"/>
                            <w:spacing w:val="-103"/>
                            <w:sz w:val="21"/>
                            <w:szCs w:val="21"/>
                          </w:rPr>
                          <w:t> </w:t>
                        </w:r>
                        <w:r>
                          <w:rPr>
                            <w:rFonts w:ascii="宋体" w:hAnsi="宋体" w:cs="宋体" w:eastAsia="宋体" w:hint="default"/>
                            <w:sz w:val="21"/>
                            <w:szCs w:val="21"/>
                          </w:rPr>
                          <w:t>增减</w:t>
                        </w:r>
                      </w:p>
                    </w:tc>
                    <w:tc>
                      <w:tcPr>
                        <w:tcW w:w="2907" w:type="dxa"/>
                        <w:vMerge/>
                        <w:tcBorders>
                          <w:left w:val="single" w:sz="4" w:space="0" w:color="000000"/>
                          <w:bottom w:val="nil" w:sz="6" w:space="0" w:color="auto"/>
                          <w:right w:val="single" w:sz="4" w:space="0" w:color="000000"/>
                        </w:tcBorders>
                        <w:shd w:val="clear" w:color="auto" w:fill="D2D2D2"/>
                      </w:tcPr>
                      <w:p>
                        <w:pPr/>
                      </w:p>
                    </w:tc>
                  </w:tr>
                  <w:tr>
                    <w:trPr>
                      <w:trHeight w:val="181" w:hRule="exact"/>
                    </w:trPr>
                    <w:tc>
                      <w:tcPr>
                        <w:tcW w:w="135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right="4"/>
                          <w:jc w:val="center"/>
                          <w:rPr>
                            <w:rFonts w:ascii="宋体" w:hAnsi="宋体" w:cs="宋体" w:eastAsia="宋体" w:hint="default"/>
                            <w:sz w:val="21"/>
                            <w:szCs w:val="21"/>
                          </w:rPr>
                        </w:pPr>
                        <w:r>
                          <w:rPr>
                            <w:rFonts w:ascii="宋体" w:hAnsi="宋体" w:cs="宋体" w:eastAsia="宋体" w:hint="default"/>
                            <w:sz w:val="21"/>
                            <w:szCs w:val="21"/>
                          </w:rPr>
                          <w:t>项目</w:t>
                        </w:r>
                      </w:p>
                    </w:tc>
                    <w:tc>
                      <w:tcPr>
                        <w:tcW w:w="1467" w:type="dxa"/>
                        <w:tcBorders>
                          <w:top w:val="single" w:sz="4" w:space="0" w:color="000000"/>
                          <w:left w:val="single" w:sz="4" w:space="0" w:color="000000"/>
                          <w:bottom w:val="nil" w:sz="6" w:space="0" w:color="auto"/>
                          <w:right w:val="single" w:sz="4" w:space="0" w:color="000000"/>
                        </w:tcBorders>
                        <w:shd w:val="clear" w:color="auto" w:fill="D2D2D2"/>
                      </w:tcPr>
                      <w:p>
                        <w:pPr/>
                      </w:p>
                    </w:tc>
                    <w:tc>
                      <w:tcPr>
                        <w:tcW w:w="852"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49"/>
                          <w:ind w:left="105" w:right="101"/>
                          <w:jc w:val="left"/>
                          <w:rPr>
                            <w:rFonts w:ascii="宋体" w:hAnsi="宋体" w:cs="宋体" w:eastAsia="宋体" w:hint="default"/>
                            <w:sz w:val="21"/>
                            <w:szCs w:val="21"/>
                          </w:rPr>
                        </w:pPr>
                        <w:r>
                          <w:rPr>
                            <w:rFonts w:ascii="宋体" w:hAnsi="宋体" w:cs="宋体" w:eastAsia="宋体" w:hint="default"/>
                            <w:sz w:val="21"/>
                            <w:szCs w:val="21"/>
                          </w:rPr>
                          <w:t>占总资</w:t>
                        </w:r>
                        <w:r>
                          <w:rPr>
                            <w:rFonts w:ascii="宋体" w:hAnsi="宋体" w:cs="宋体" w:eastAsia="宋体" w:hint="default"/>
                            <w:spacing w:val="-102"/>
                            <w:sz w:val="21"/>
                            <w:szCs w:val="21"/>
                          </w:rPr>
                          <w:t> </w:t>
                        </w:r>
                        <w:r>
                          <w:rPr>
                            <w:rFonts w:ascii="宋体" w:hAnsi="宋体" w:cs="宋体" w:eastAsia="宋体" w:hint="default"/>
                            <w:sz w:val="21"/>
                            <w:szCs w:val="21"/>
                          </w:rPr>
                          <w:t>产比例</w:t>
                        </w:r>
                      </w:p>
                    </w:tc>
                    <w:tc>
                      <w:tcPr>
                        <w:tcW w:w="14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52"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49"/>
                          <w:ind w:left="105" w:right="101"/>
                          <w:jc w:val="left"/>
                          <w:rPr>
                            <w:rFonts w:ascii="宋体" w:hAnsi="宋体" w:cs="宋体" w:eastAsia="宋体" w:hint="default"/>
                            <w:sz w:val="21"/>
                            <w:szCs w:val="21"/>
                          </w:rPr>
                        </w:pPr>
                        <w:r>
                          <w:rPr>
                            <w:rFonts w:ascii="宋体" w:hAnsi="宋体" w:cs="宋体" w:eastAsia="宋体" w:hint="default"/>
                            <w:sz w:val="21"/>
                            <w:szCs w:val="21"/>
                          </w:rPr>
                          <w:t>占总资</w:t>
                        </w:r>
                        <w:r>
                          <w:rPr>
                            <w:rFonts w:ascii="宋体" w:hAnsi="宋体" w:cs="宋体" w:eastAsia="宋体" w:hint="default"/>
                            <w:spacing w:val="-102"/>
                            <w:sz w:val="21"/>
                            <w:szCs w:val="21"/>
                          </w:rPr>
                          <w:t> </w:t>
                        </w:r>
                        <w:r>
                          <w:rPr>
                            <w:rFonts w:ascii="宋体" w:hAnsi="宋体" w:cs="宋体" w:eastAsia="宋体" w:hint="default"/>
                            <w:sz w:val="21"/>
                            <w:szCs w:val="21"/>
                          </w:rPr>
                          <w:t>产比例</w:t>
                        </w:r>
                      </w:p>
                    </w:tc>
                    <w:tc>
                      <w:tcPr>
                        <w:tcW w:w="708" w:type="dxa"/>
                        <w:vMerge/>
                        <w:tcBorders>
                          <w:left w:val="single" w:sz="4" w:space="0" w:color="000000"/>
                          <w:right w:val="single" w:sz="4" w:space="0" w:color="000000"/>
                        </w:tcBorders>
                        <w:shd w:val="clear" w:color="auto" w:fill="D2D2D2"/>
                      </w:tcPr>
                      <w:p>
                        <w:pPr/>
                      </w:p>
                    </w:tc>
                    <w:tc>
                      <w:tcPr>
                        <w:tcW w:w="29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819" w:right="0"/>
                          <w:jc w:val="left"/>
                          <w:rPr>
                            <w:rFonts w:ascii="宋体" w:hAnsi="宋体" w:cs="宋体" w:eastAsia="宋体" w:hint="default"/>
                            <w:sz w:val="21"/>
                            <w:szCs w:val="21"/>
                          </w:rPr>
                        </w:pPr>
                        <w:r>
                          <w:rPr>
                            <w:rFonts w:ascii="宋体" w:hAnsi="宋体" w:cs="宋体" w:eastAsia="宋体" w:hint="default"/>
                            <w:sz w:val="21"/>
                            <w:szCs w:val="21"/>
                          </w:rPr>
                          <w:t>重大变动说明</w:t>
                        </w:r>
                      </w:p>
                    </w:tc>
                  </w:tr>
                  <w:tr>
                    <w:trPr>
                      <w:trHeight w:val="192" w:hRule="exact"/>
                    </w:trPr>
                    <w:tc>
                      <w:tcPr>
                        <w:tcW w:w="1356" w:type="dxa"/>
                        <w:vMerge/>
                        <w:tcBorders>
                          <w:left w:val="single" w:sz="4" w:space="0" w:color="000000"/>
                          <w:bottom w:val="nil" w:sz="6" w:space="0" w:color="auto"/>
                          <w:right w:val="single" w:sz="4" w:space="0" w:color="000000"/>
                        </w:tcBorders>
                        <w:shd w:val="clear" w:color="auto" w:fill="D2D2D2"/>
                      </w:tcPr>
                      <w:p>
                        <w:pPr/>
                      </w:p>
                    </w:tc>
                    <w:tc>
                      <w:tcPr>
                        <w:tcW w:w="146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52" w:type="dxa"/>
                        <w:vMerge/>
                        <w:tcBorders>
                          <w:left w:val="single" w:sz="4" w:space="0" w:color="000000"/>
                          <w:right w:val="single" w:sz="4" w:space="0" w:color="000000"/>
                        </w:tcBorders>
                        <w:shd w:val="clear" w:color="auto" w:fill="D2D2D2"/>
                      </w:tcPr>
                      <w:p>
                        <w:pPr/>
                      </w:p>
                    </w:tc>
                    <w:tc>
                      <w:tcPr>
                        <w:tcW w:w="14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52"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2907" w:type="dxa"/>
                        <w:vMerge/>
                        <w:tcBorders>
                          <w:left w:val="single" w:sz="4" w:space="0" w:color="000000"/>
                          <w:bottom w:val="nil" w:sz="6" w:space="0" w:color="auto"/>
                          <w:right w:val="single" w:sz="4" w:space="0" w:color="000000"/>
                        </w:tcBorders>
                        <w:shd w:val="clear" w:color="auto" w:fill="D2D2D2"/>
                      </w:tcPr>
                      <w:p>
                        <w:pPr/>
                      </w:p>
                    </w:tc>
                  </w:tr>
                  <w:tr>
                    <w:trPr>
                      <w:trHeight w:val="199" w:hRule="exact"/>
                    </w:trPr>
                    <w:tc>
                      <w:tcPr>
                        <w:tcW w:w="1356" w:type="dxa"/>
                        <w:vMerge w:val="restart"/>
                        <w:tcBorders>
                          <w:top w:val="nil" w:sz="6" w:space="0" w:color="auto"/>
                          <w:left w:val="single" w:sz="4" w:space="0" w:color="000000"/>
                          <w:right w:val="single" w:sz="4" w:space="0" w:color="000000"/>
                        </w:tcBorders>
                        <w:shd w:val="clear" w:color="auto" w:fill="D2D2D2"/>
                      </w:tcPr>
                      <w:p>
                        <w:pPr/>
                      </w:p>
                    </w:tc>
                    <w:tc>
                      <w:tcPr>
                        <w:tcW w:w="1467" w:type="dxa"/>
                        <w:vMerge/>
                        <w:tcBorders>
                          <w:left w:val="single" w:sz="4" w:space="0" w:color="000000"/>
                          <w:bottom w:val="nil" w:sz="6" w:space="0" w:color="auto"/>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1416" w:type="dxa"/>
                        <w:vMerge/>
                        <w:tcBorders>
                          <w:left w:val="single" w:sz="4" w:space="0" w:color="000000"/>
                          <w:bottom w:val="nil" w:sz="6" w:space="0" w:color="auto"/>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708" w:type="dxa"/>
                        <w:vMerge/>
                        <w:tcBorders>
                          <w:left w:val="single" w:sz="4" w:space="0" w:color="000000"/>
                          <w:bottom w:val="nil" w:sz="6" w:space="0" w:color="auto"/>
                          <w:right w:val="single" w:sz="4" w:space="0" w:color="000000"/>
                        </w:tcBorders>
                        <w:shd w:val="clear" w:color="auto" w:fill="D2D2D2"/>
                      </w:tcPr>
                      <w:p>
                        <w:pPr/>
                      </w:p>
                    </w:tc>
                    <w:tc>
                      <w:tcPr>
                        <w:tcW w:w="2907" w:type="dxa"/>
                        <w:vMerge w:val="restart"/>
                        <w:tcBorders>
                          <w:top w:val="nil" w:sz="6" w:space="0" w:color="auto"/>
                          <w:left w:val="single" w:sz="4" w:space="0" w:color="000000"/>
                          <w:right w:val="single" w:sz="4" w:space="0" w:color="000000"/>
                        </w:tcBorders>
                        <w:shd w:val="clear" w:color="auto" w:fill="D2D2D2"/>
                      </w:tcPr>
                      <w:p>
                        <w:pPr/>
                      </w:p>
                    </w:tc>
                  </w:tr>
                  <w:tr>
                    <w:trPr>
                      <w:trHeight w:val="173" w:hRule="exact"/>
                    </w:trPr>
                    <w:tc>
                      <w:tcPr>
                        <w:tcW w:w="1356" w:type="dxa"/>
                        <w:vMerge/>
                        <w:tcBorders>
                          <w:left w:val="single" w:sz="4" w:space="0" w:color="000000"/>
                          <w:bottom w:val="single" w:sz="4" w:space="0" w:color="000000"/>
                          <w:right w:val="single" w:sz="4" w:space="0" w:color="000000"/>
                        </w:tcBorders>
                        <w:shd w:val="clear" w:color="auto" w:fill="D2D2D2"/>
                      </w:tcPr>
                      <w:p>
                        <w:pPr/>
                      </w:p>
                    </w:tc>
                    <w:tc>
                      <w:tcPr>
                        <w:tcW w:w="1467" w:type="dxa"/>
                        <w:tcBorders>
                          <w:top w:val="nil" w:sz="6" w:space="0" w:color="auto"/>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14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single" w:sz="4" w:space="0" w:color="000000"/>
                          <w:right w:val="single" w:sz="4" w:space="0" w:color="000000"/>
                        </w:tcBorders>
                        <w:shd w:val="clear" w:color="auto" w:fill="D2D2D2"/>
                      </w:tcPr>
                      <w:p>
                        <w:pPr/>
                      </w:p>
                    </w:tc>
                    <w:tc>
                      <w:tcPr>
                        <w:tcW w:w="290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46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64,125,510.44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6.14%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93,892,442.54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6.91%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3" w:right="0"/>
                          <w:jc w:val="center"/>
                          <w:rPr>
                            <w:rFonts w:ascii="Times New Roman" w:hAnsi="Times New Roman" w:cs="Times New Roman" w:eastAsia="Times New Roman" w:hint="default"/>
                            <w:sz w:val="21"/>
                            <w:szCs w:val="21"/>
                          </w:rPr>
                        </w:pPr>
                        <w:r>
                          <w:rPr>
                            <w:rFonts w:ascii="Times New Roman"/>
                            <w:sz w:val="21"/>
                          </w:rPr>
                          <w:t>-0.77%</w:t>
                        </w:r>
                      </w:p>
                    </w:tc>
                    <w:tc>
                      <w:tcPr>
                        <w:tcW w:w="290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46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298,181,657.77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28.54%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2"/>
                            <w:sz w:val="21"/>
                          </w:rPr>
                          <w:t>357,542,111.51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26.32%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15" w:right="0"/>
                          <w:jc w:val="center"/>
                          <w:rPr>
                            <w:rFonts w:ascii="Times New Roman" w:hAnsi="Times New Roman" w:cs="Times New Roman" w:eastAsia="Times New Roman" w:hint="default"/>
                            <w:sz w:val="21"/>
                            <w:szCs w:val="21"/>
                          </w:rPr>
                        </w:pPr>
                        <w:r>
                          <w:rPr>
                            <w:rFonts w:ascii="Times New Roman"/>
                            <w:sz w:val="21"/>
                          </w:rPr>
                          <w:t>2.22%</w:t>
                        </w:r>
                      </w:p>
                    </w:tc>
                    <w:tc>
                      <w:tcPr>
                        <w:tcW w:w="2907"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467" w:type="dxa"/>
                        <w:vMerge w:val="restart"/>
                        <w:tcBorders>
                          <w:top w:val="single" w:sz="4" w:space="0" w:color="000000"/>
                          <w:left w:val="single" w:sz="9" w:space="0" w:color="D2D2D2"/>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16" w:right="0"/>
                          <w:jc w:val="left"/>
                          <w:rPr>
                            <w:rFonts w:ascii="Times New Roman" w:hAnsi="Times New Roman" w:cs="Times New Roman" w:eastAsia="Times New Roman" w:hint="default"/>
                            <w:sz w:val="21"/>
                            <w:szCs w:val="21"/>
                          </w:rPr>
                        </w:pPr>
                        <w:r>
                          <w:rPr>
                            <w:rFonts w:ascii="Times New Roman"/>
                            <w:sz w:val="21"/>
                          </w:rPr>
                          <w:t>122,513,629.38</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77" w:right="0"/>
                          <w:jc w:val="left"/>
                          <w:rPr>
                            <w:rFonts w:ascii="Times New Roman" w:hAnsi="Times New Roman" w:cs="Times New Roman" w:eastAsia="Times New Roman" w:hint="default"/>
                            <w:sz w:val="21"/>
                            <w:szCs w:val="21"/>
                          </w:rPr>
                        </w:pPr>
                        <w:r>
                          <w:rPr>
                            <w:rFonts w:ascii="Times New Roman"/>
                            <w:sz w:val="21"/>
                          </w:rPr>
                          <w:t>11.73%</w:t>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71" w:right="0"/>
                          <w:jc w:val="left"/>
                          <w:rPr>
                            <w:rFonts w:ascii="Times New Roman" w:hAnsi="Times New Roman" w:cs="Times New Roman" w:eastAsia="Times New Roman" w:hint="default"/>
                            <w:sz w:val="21"/>
                            <w:szCs w:val="21"/>
                          </w:rPr>
                        </w:pPr>
                        <w:r>
                          <w:rPr>
                            <w:rFonts w:ascii="Times New Roman"/>
                            <w:sz w:val="21"/>
                          </w:rPr>
                          <w:t>226,982,702.27</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70" w:right="0"/>
                          <w:jc w:val="left"/>
                          <w:rPr>
                            <w:rFonts w:ascii="Times New Roman" w:hAnsi="Times New Roman" w:cs="Times New Roman" w:eastAsia="Times New Roman" w:hint="default"/>
                            <w:sz w:val="21"/>
                            <w:szCs w:val="21"/>
                          </w:rPr>
                        </w:pPr>
                        <w:r>
                          <w:rPr>
                            <w:rFonts w:ascii="Times New Roman"/>
                            <w:sz w:val="21"/>
                          </w:rPr>
                          <w:t>16.71%</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64" w:right="0"/>
                          <w:jc w:val="left"/>
                          <w:rPr>
                            <w:rFonts w:ascii="Times New Roman" w:hAnsi="Times New Roman" w:cs="Times New Roman" w:eastAsia="Times New Roman" w:hint="default"/>
                            <w:sz w:val="21"/>
                            <w:szCs w:val="21"/>
                          </w:rPr>
                        </w:pPr>
                        <w:r>
                          <w:rPr>
                            <w:rFonts w:ascii="Times New Roman"/>
                            <w:sz w:val="21"/>
                          </w:rPr>
                          <w:t>-4.98%</w:t>
                        </w:r>
                      </w:p>
                    </w:tc>
                    <w:tc>
                      <w:tcPr>
                        <w:tcW w:w="2907" w:type="dxa"/>
                        <w:vMerge w:val="restart"/>
                        <w:tcBorders>
                          <w:top w:val="single" w:sz="4" w:space="0" w:color="000000"/>
                          <w:left w:val="single" w:sz="4" w:space="0" w:color="000000"/>
                          <w:right w:val="single" w:sz="4" w:space="0" w:color="000000"/>
                        </w:tcBorders>
                      </w:tcPr>
                      <w:p>
                        <w:pPr>
                          <w:pStyle w:val="TableParagraph"/>
                          <w:spacing w:line="273" w:lineRule="auto" w:before="28"/>
                          <w:ind w:left="24" w:right="17"/>
                          <w:jc w:val="left"/>
                          <w:rPr>
                            <w:rFonts w:ascii="宋体" w:hAnsi="宋体" w:cs="宋体" w:eastAsia="宋体" w:hint="default"/>
                            <w:sz w:val="21"/>
                            <w:szCs w:val="21"/>
                          </w:rPr>
                        </w:pPr>
                        <w:r>
                          <w:rPr>
                            <w:rFonts w:ascii="宋体" w:hAnsi="宋体" w:cs="宋体" w:eastAsia="宋体" w:hint="default"/>
                            <w:spacing w:val="-8"/>
                            <w:w w:val="100"/>
                            <w:sz w:val="21"/>
                            <w:szCs w:val="21"/>
                          </w:rPr>
                          <w:t>本期产品销量减少，同时公司严</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z w:val="21"/>
                            <w:szCs w:val="21"/>
                          </w:rPr>
                          <w:t>控库存量，并推进去库存工作</w:t>
                        </w:r>
                      </w:p>
                    </w:tc>
                  </w:tr>
                  <w:tr>
                    <w:trPr>
                      <w:trHeight w:val="394"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467" w:type="dxa"/>
                        <w:vMerge/>
                        <w:tcBorders>
                          <w:left w:val="single" w:sz="9" w:space="0" w:color="D2D2D2"/>
                          <w:right w:val="single" w:sz="4" w:space="0" w:color="000000"/>
                        </w:tcBorders>
                      </w:tcPr>
                      <w:p>
                        <w:pPr/>
                      </w:p>
                    </w:tc>
                    <w:tc>
                      <w:tcPr>
                        <w:tcW w:w="852"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2907" w:type="dxa"/>
                        <w:vMerge/>
                        <w:tcBorders>
                          <w:left w:val="single" w:sz="4" w:space="0" w:color="000000"/>
                          <w:right w:val="single" w:sz="4" w:space="0" w:color="000000"/>
                        </w:tcBorders>
                      </w:tcPr>
                      <w:p>
                        <w:pPr/>
                      </w:p>
                    </w:tc>
                  </w:tr>
                  <w:tr>
                    <w:trPr>
                      <w:trHeight w:val="161"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467" w:type="dxa"/>
                        <w:vMerge/>
                        <w:tcBorders>
                          <w:left w:val="single" w:sz="9" w:space="0" w:color="D2D2D2"/>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2907" w:type="dxa"/>
                        <w:vMerge/>
                        <w:tcBorders>
                          <w:left w:val="single" w:sz="4" w:space="0" w:color="000000"/>
                          <w:bottom w:val="single" w:sz="4" w:space="0" w:color="000000"/>
                          <w:right w:val="single" w:sz="4" w:space="0" w:color="000000"/>
                        </w:tcBorders>
                      </w:tcPr>
                      <w:p>
                        <w:pPr/>
                      </w:p>
                    </w:tc>
                  </w:tr>
                  <w:tr>
                    <w:trPr>
                      <w:trHeight w:val="161"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467" w:type="dxa"/>
                        <w:vMerge w:val="restart"/>
                        <w:tcBorders>
                          <w:top w:val="single" w:sz="4" w:space="0" w:color="000000"/>
                          <w:left w:val="single" w:sz="9" w:space="0" w:color="D2D2D2"/>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16" w:right="0"/>
                          <w:jc w:val="left"/>
                          <w:rPr>
                            <w:rFonts w:ascii="Times New Roman" w:hAnsi="Times New Roman" w:cs="Times New Roman" w:eastAsia="Times New Roman" w:hint="default"/>
                            <w:sz w:val="21"/>
                            <w:szCs w:val="21"/>
                          </w:rPr>
                        </w:pPr>
                        <w:r>
                          <w:rPr>
                            <w:rFonts w:ascii="Times New Roman"/>
                            <w:sz w:val="21"/>
                          </w:rPr>
                          <w:t>301,566,266.83</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70" w:right="0"/>
                          <w:jc w:val="left"/>
                          <w:rPr>
                            <w:rFonts w:ascii="Times New Roman" w:hAnsi="Times New Roman" w:cs="Times New Roman" w:eastAsia="Times New Roman" w:hint="default"/>
                            <w:sz w:val="21"/>
                            <w:szCs w:val="21"/>
                          </w:rPr>
                        </w:pPr>
                        <w:r>
                          <w:rPr>
                            <w:rFonts w:ascii="Times New Roman"/>
                            <w:sz w:val="21"/>
                          </w:rPr>
                          <w:t>28.86%</w:t>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71" w:right="0"/>
                          <w:jc w:val="left"/>
                          <w:rPr>
                            <w:rFonts w:ascii="Times New Roman" w:hAnsi="Times New Roman" w:cs="Times New Roman" w:eastAsia="Times New Roman" w:hint="default"/>
                            <w:sz w:val="21"/>
                            <w:szCs w:val="21"/>
                          </w:rPr>
                        </w:pPr>
                        <w:r>
                          <w:rPr>
                            <w:rFonts w:ascii="Times New Roman"/>
                            <w:sz w:val="21"/>
                          </w:rPr>
                          <w:t>308,736,521.98</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70" w:right="0"/>
                          <w:jc w:val="left"/>
                          <w:rPr>
                            <w:rFonts w:ascii="Times New Roman" w:hAnsi="Times New Roman" w:cs="Times New Roman" w:eastAsia="Times New Roman" w:hint="default"/>
                            <w:sz w:val="21"/>
                            <w:szCs w:val="21"/>
                          </w:rPr>
                        </w:pPr>
                        <w:r>
                          <w:rPr>
                            <w:rFonts w:ascii="Times New Roman"/>
                            <w:sz w:val="21"/>
                          </w:rPr>
                          <w:t>22.73%</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34" w:right="0"/>
                          <w:jc w:val="left"/>
                          <w:rPr>
                            <w:rFonts w:ascii="Times New Roman" w:hAnsi="Times New Roman" w:cs="Times New Roman" w:eastAsia="Times New Roman" w:hint="default"/>
                            <w:sz w:val="21"/>
                            <w:szCs w:val="21"/>
                          </w:rPr>
                        </w:pPr>
                        <w:r>
                          <w:rPr>
                            <w:rFonts w:ascii="Times New Roman"/>
                            <w:sz w:val="21"/>
                          </w:rPr>
                          <w:t>6.13%</w:t>
                        </w:r>
                      </w:p>
                    </w:tc>
                    <w:tc>
                      <w:tcPr>
                        <w:tcW w:w="2907" w:type="dxa"/>
                        <w:vMerge w:val="restart"/>
                        <w:tcBorders>
                          <w:top w:val="single" w:sz="4" w:space="0" w:color="000000"/>
                          <w:left w:val="single" w:sz="4" w:space="0" w:color="000000"/>
                          <w:right w:val="single" w:sz="4" w:space="0" w:color="000000"/>
                        </w:tcBorders>
                      </w:tcPr>
                      <w:p>
                        <w:pPr>
                          <w:pStyle w:val="TableParagraph"/>
                          <w:spacing w:line="273" w:lineRule="auto" w:before="28"/>
                          <w:ind w:left="24" w:right="17"/>
                          <w:jc w:val="left"/>
                          <w:rPr>
                            <w:rFonts w:ascii="宋体" w:hAnsi="宋体" w:cs="宋体" w:eastAsia="宋体" w:hint="default"/>
                            <w:sz w:val="21"/>
                            <w:szCs w:val="21"/>
                          </w:rPr>
                        </w:pPr>
                        <w:r>
                          <w:rPr>
                            <w:rFonts w:ascii="宋体" w:hAnsi="宋体" w:cs="宋体" w:eastAsia="宋体" w:hint="default"/>
                            <w:spacing w:val="-8"/>
                            <w:w w:val="100"/>
                            <w:sz w:val="21"/>
                            <w:szCs w:val="21"/>
                          </w:rPr>
                          <w:t>本期总资产减少，导致固定资产</w:t>
                        </w:r>
                        <w:r>
                          <w:rPr>
                            <w:rFonts w:ascii="宋体" w:hAnsi="宋体" w:cs="宋体" w:eastAsia="宋体" w:hint="default"/>
                            <w:spacing w:val="-100"/>
                            <w:w w:val="100"/>
                            <w:sz w:val="21"/>
                            <w:szCs w:val="21"/>
                          </w:rPr>
                          <w:t> </w:t>
                        </w:r>
                        <w:r>
                          <w:rPr>
                            <w:rFonts w:ascii="宋体" w:hAnsi="宋体" w:cs="宋体" w:eastAsia="宋体" w:hint="default"/>
                            <w:spacing w:val="-100"/>
                            <w:w w:val="100"/>
                            <w:sz w:val="21"/>
                            <w:szCs w:val="21"/>
                          </w:rPr>
                        </w:r>
                        <w:r>
                          <w:rPr>
                            <w:rFonts w:ascii="宋体" w:hAnsi="宋体" w:cs="宋体" w:eastAsia="宋体" w:hint="default"/>
                            <w:sz w:val="21"/>
                            <w:szCs w:val="21"/>
                          </w:rPr>
                          <w:t>占比增加。</w:t>
                        </w:r>
                      </w:p>
                    </w:tc>
                  </w:tr>
                  <w:tr>
                    <w:trPr>
                      <w:trHeight w:val="391"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467" w:type="dxa"/>
                        <w:vMerge/>
                        <w:tcBorders>
                          <w:left w:val="single" w:sz="9" w:space="0" w:color="D2D2D2"/>
                          <w:right w:val="single" w:sz="4" w:space="0" w:color="000000"/>
                        </w:tcBorders>
                      </w:tcPr>
                      <w:p>
                        <w:pPr/>
                      </w:p>
                    </w:tc>
                    <w:tc>
                      <w:tcPr>
                        <w:tcW w:w="852"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2907" w:type="dxa"/>
                        <w:vMerge/>
                        <w:tcBorders>
                          <w:left w:val="single" w:sz="4" w:space="0" w:color="000000"/>
                          <w:right w:val="single" w:sz="4" w:space="0" w:color="000000"/>
                        </w:tcBorders>
                      </w:tcPr>
                      <w:p>
                        <w:pPr/>
                      </w:p>
                    </w:tc>
                  </w:tr>
                  <w:tr>
                    <w:trPr>
                      <w:trHeight w:val="161"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467" w:type="dxa"/>
                        <w:vMerge/>
                        <w:tcBorders>
                          <w:left w:val="single" w:sz="9" w:space="0" w:color="D2D2D2"/>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2907" w:type="dxa"/>
                        <w:vMerge/>
                        <w:tcBorders>
                          <w:left w:val="single" w:sz="4" w:space="0" w:color="000000"/>
                          <w:bottom w:val="single" w:sz="4" w:space="0" w:color="000000"/>
                          <w:right w:val="single" w:sz="4" w:space="0" w:color="000000"/>
                        </w:tcBorders>
                      </w:tcPr>
                      <w:p>
                        <w:pP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46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9,327,951.85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0.89%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12,773,667.35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0.94%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3" w:right="0"/>
                          <w:jc w:val="center"/>
                          <w:rPr>
                            <w:rFonts w:ascii="Times New Roman" w:hAnsi="Times New Roman" w:cs="Times New Roman" w:eastAsia="Times New Roman" w:hint="default"/>
                            <w:sz w:val="21"/>
                            <w:szCs w:val="21"/>
                          </w:rPr>
                        </w:pPr>
                        <w:r>
                          <w:rPr>
                            <w:rFonts w:ascii="Times New Roman"/>
                            <w:sz w:val="21"/>
                          </w:rPr>
                          <w:t>-0.05%</w:t>
                        </w:r>
                      </w:p>
                    </w:tc>
                    <w:tc>
                      <w:tcPr>
                        <w:tcW w:w="290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46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30,000,000.00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2.87%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122,500,000.00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9.02%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3" w:right="0"/>
                          <w:jc w:val="center"/>
                          <w:rPr>
                            <w:rFonts w:ascii="Times New Roman" w:hAnsi="Times New Roman" w:cs="Times New Roman" w:eastAsia="Times New Roman" w:hint="default"/>
                            <w:sz w:val="21"/>
                            <w:szCs w:val="21"/>
                          </w:rPr>
                        </w:pPr>
                        <w:r>
                          <w:rPr>
                            <w:rFonts w:ascii="Times New Roman"/>
                            <w:sz w:val="21"/>
                          </w:rPr>
                          <w:t>-6.15%</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本期归还短期借款。</w:t>
                        </w: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467" w:type="dxa"/>
                        <w:tcBorders>
                          <w:top w:val="single" w:sz="4" w:space="0" w:color="000000"/>
                          <w:left w:val="single" w:sz="12" w:space="0" w:color="D2D2D2"/>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25,000,000.00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1.84%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3" w:right="0"/>
                          <w:jc w:val="center"/>
                          <w:rPr>
                            <w:rFonts w:ascii="Times New Roman" w:hAnsi="Times New Roman" w:cs="Times New Roman" w:eastAsia="Times New Roman" w:hint="default"/>
                            <w:sz w:val="21"/>
                            <w:szCs w:val="21"/>
                          </w:rPr>
                        </w:pPr>
                        <w:r>
                          <w:rPr>
                            <w:rFonts w:ascii="Times New Roman"/>
                            <w:sz w:val="21"/>
                          </w:rPr>
                          <w:t>-1.84%</w:t>
                        </w:r>
                      </w:p>
                    </w:tc>
                    <w:tc>
                      <w:tcPr>
                        <w:tcW w:w="2907"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w w:val="100"/>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tabs>
          <w:tab w:pos="8060" w:val="left" w:leader="none"/>
        </w:tabs>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2</w:t>
      </w:r>
      <w:r>
        <w:rPr>
          <w:rFonts w:ascii="宋体" w:hAnsi="宋体" w:cs="宋体" w:eastAsia="宋体" w:hint="default"/>
          <w:b/>
          <w:bCs/>
          <w:spacing w:val="-1"/>
          <w:sz w:val="21"/>
          <w:szCs w:val="21"/>
        </w:rPr>
        <w:t>、以公允价值计量的资产和负债</w:t>
        <w:tab/>
      </w:r>
      <w:r>
        <w:rPr>
          <w:rFonts w:ascii="Times New Roman" w:hAnsi="Times New Roman" w:cs="Times New Roman" w:eastAsia="Times New Roman" w:hint="default"/>
          <w:sz w:val="21"/>
          <w:szCs w:val="21"/>
        </w:rPr>
        <w:t>□  </w:t>
      </w:r>
      <w:r>
        <w:rPr>
          <w:rFonts w:ascii="宋体" w:hAnsi="宋体" w:cs="宋体" w:eastAsia="宋体" w:hint="default"/>
          <w:spacing w:val="-2"/>
          <w:sz w:val="21"/>
          <w:szCs w:val="21"/>
        </w:rPr>
        <w:t>适用</w:t>
      </w:r>
      <w:r>
        <w:rPr>
          <w:rFonts w:ascii="宋体" w:hAnsi="宋体" w:cs="宋体" w:eastAsia="宋体" w:hint="default"/>
          <w:sz w:val="21"/>
          <w:szCs w:val="21"/>
        </w:rPr>
        <w:t>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5"/>
          <w:sz w:val="21"/>
          <w:szCs w:val="21"/>
        </w:rPr>
        <w:t> </w:t>
      </w:r>
      <w:r>
        <w:rPr>
          <w:rFonts w:ascii="宋体" w:hAnsi="宋体" w:cs="宋体" w:eastAsia="宋体" w:hint="default"/>
          <w:spacing w:val="-1"/>
          <w:sz w:val="21"/>
          <w:szCs w:val="21"/>
        </w:rPr>
        <w:t>不适用</w:t>
      </w:r>
    </w:p>
    <w:p>
      <w:pPr>
        <w:spacing w:after="0"/>
        <w:jc w:val="left"/>
        <w:rPr>
          <w:rFonts w:ascii="宋体" w:hAnsi="宋体" w:cs="宋体" w:eastAsia="宋体" w:hint="default"/>
          <w:sz w:val="21"/>
          <w:szCs w:val="21"/>
        </w:rPr>
        <w:sectPr>
          <w:pgSz w:w="11910" w:h="16840"/>
          <w:pgMar w:header="745" w:footer="979" w:top="1060" w:bottom="1160" w:left="980" w:right="980"/>
        </w:sectPr>
      </w:pPr>
    </w:p>
    <w:p>
      <w:pPr>
        <w:pStyle w:val="Heading2"/>
        <w:spacing w:line="240" w:lineRule="auto" w:before="28"/>
        <w:ind w:left="140" w:right="0"/>
        <w:jc w:val="left"/>
        <w:rPr>
          <w:b w:val="0"/>
          <w:bCs w:val="0"/>
        </w:rPr>
      </w:pPr>
      <w:r>
        <w:rPr/>
        <w:pict>
          <v:group style="position:absolute;margin-left:70.559998pt;margin-top:2.195603pt;width:700.9pt;height:.1pt;mso-position-horizontal-relative:page;mso-position-vertical-relative:paragraph;z-index:-667648" coordorigin="1411,44" coordsize="14018,2">
            <v:shape style="position:absolute;left:1411;top:44;width:14018;height:2" coordorigin="1411,44" coordsize="14018,0" path="m1411,44l15429,44e" filled="false" stroked="true" strokeweight=".72pt" strokecolor="#000000">
              <v:path arrowok="t"/>
            </v:shape>
            <w10:wrap type="none"/>
          </v:group>
        </w:pict>
      </w:r>
      <w:r>
        <w:rPr/>
        <w:t>五、投资状况分析</w:t>
      </w:r>
      <w:r>
        <w:rPr>
          <w:b w:val="0"/>
          <w:bCs w:val="0"/>
        </w:rPr>
      </w:r>
    </w:p>
    <w:p>
      <w:pPr>
        <w:spacing w:line="240" w:lineRule="auto" w:before="12"/>
        <w:rPr>
          <w:rFonts w:ascii="宋体" w:hAnsi="宋体" w:cs="宋体" w:eastAsia="宋体" w:hint="default"/>
          <w:b/>
          <w:bCs/>
          <w:sz w:val="24"/>
          <w:szCs w:val="24"/>
        </w:rPr>
      </w:pPr>
    </w:p>
    <w:p>
      <w:pPr>
        <w:tabs>
          <w:tab w:pos="12473" w:val="left" w:leader="none"/>
        </w:tabs>
        <w:spacing w:before="0"/>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、总体情况</w:t>
        <w:tab/>
      </w: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4"/>
          <w:sz w:val="21"/>
          <w:szCs w:val="21"/>
        </w:rPr>
        <w:t> </w:t>
      </w:r>
      <w:r>
        <w:rPr>
          <w:rFonts w:ascii="宋体" w:hAnsi="宋体" w:cs="宋体" w:eastAsia="宋体" w:hint="default"/>
          <w:spacing w:val="-1"/>
          <w:sz w:val="21"/>
          <w:szCs w:val="21"/>
        </w:rPr>
        <w:t>不适用</w:t>
      </w:r>
    </w:p>
    <w:p>
      <w:pPr>
        <w:spacing w:line="240" w:lineRule="auto" w:before="9"/>
        <w:rPr>
          <w:rFonts w:ascii="宋体" w:hAnsi="宋体" w:cs="宋体" w:eastAsia="宋体" w:hint="default"/>
          <w:sz w:val="25"/>
          <w:szCs w:val="25"/>
        </w:rPr>
      </w:pPr>
    </w:p>
    <w:tbl>
      <w:tblPr>
        <w:tblW w:w="0" w:type="auto"/>
        <w:jc w:val="left"/>
        <w:tblInd w:w="135" w:type="dxa"/>
        <w:tblLayout w:type="fixed"/>
        <w:tblCellMar>
          <w:top w:w="0" w:type="dxa"/>
          <w:left w:w="0" w:type="dxa"/>
          <w:bottom w:w="0" w:type="dxa"/>
          <w:right w:w="0" w:type="dxa"/>
        </w:tblCellMar>
        <w:tblLook w:val="01E0"/>
      </w:tblPr>
      <w:tblGrid>
        <w:gridCol w:w="4631"/>
        <w:gridCol w:w="4632"/>
        <w:gridCol w:w="4630"/>
      </w:tblGrid>
      <w:tr>
        <w:trPr>
          <w:trHeight w:val="401" w:hRule="exact"/>
        </w:trPr>
        <w:tc>
          <w:tcPr>
            <w:tcW w:w="46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365" w:right="0"/>
              <w:jc w:val="left"/>
              <w:rPr>
                <w:rFonts w:ascii="宋体" w:hAnsi="宋体" w:cs="宋体" w:eastAsia="宋体" w:hint="default"/>
                <w:sz w:val="21"/>
                <w:szCs w:val="21"/>
              </w:rPr>
            </w:pPr>
            <w:r>
              <w:rPr>
                <w:rFonts w:ascii="宋体" w:hAnsi="宋体" w:cs="宋体" w:eastAsia="宋体" w:hint="default"/>
                <w:sz w:val="21"/>
                <w:szCs w:val="21"/>
              </w:rPr>
              <w:t>报告期投资额（元）</w:t>
            </w:r>
          </w:p>
        </w:tc>
        <w:tc>
          <w:tcPr>
            <w:tcW w:w="4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59" w:right="0"/>
              <w:jc w:val="left"/>
              <w:rPr>
                <w:rFonts w:ascii="宋体" w:hAnsi="宋体" w:cs="宋体" w:eastAsia="宋体" w:hint="default"/>
                <w:sz w:val="21"/>
                <w:szCs w:val="21"/>
              </w:rPr>
            </w:pPr>
            <w:r>
              <w:rPr>
                <w:rFonts w:ascii="宋体" w:hAnsi="宋体" w:cs="宋体" w:eastAsia="宋体" w:hint="default"/>
                <w:sz w:val="21"/>
                <w:szCs w:val="21"/>
              </w:rPr>
              <w:t>上年同期投资额（元）</w:t>
            </w:r>
          </w:p>
        </w:tc>
        <w:tc>
          <w:tcPr>
            <w:tcW w:w="4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变动幅度</w:t>
            </w:r>
          </w:p>
        </w:tc>
      </w:tr>
      <w:tr>
        <w:trPr>
          <w:trHeight w:val="403" w:hRule="exact"/>
        </w:trPr>
        <w:tc>
          <w:tcPr>
            <w:tcW w:w="4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12,100,000.00</w:t>
            </w:r>
          </w:p>
        </w:tc>
        <w:tc>
          <w:tcPr>
            <w:tcW w:w="4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10,000,000.00</w:t>
            </w:r>
          </w:p>
        </w:tc>
        <w:tc>
          <w:tcPr>
            <w:tcW w:w="4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21.00%</w:t>
            </w:r>
          </w:p>
        </w:tc>
      </w:tr>
    </w:tbl>
    <w:p>
      <w:pPr>
        <w:spacing w:line="240" w:lineRule="auto" w:before="3"/>
        <w:rPr>
          <w:rFonts w:ascii="宋体" w:hAnsi="宋体" w:cs="宋体" w:eastAsia="宋体" w:hint="default"/>
          <w:sz w:val="19"/>
          <w:szCs w:val="19"/>
        </w:rPr>
      </w:pPr>
    </w:p>
    <w:p>
      <w:pPr>
        <w:tabs>
          <w:tab w:pos="8046" w:val="left" w:leader="none"/>
        </w:tabs>
        <w:spacing w:before="36"/>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2</w:t>
      </w:r>
      <w:r>
        <w:rPr>
          <w:rFonts w:ascii="宋体" w:hAnsi="宋体" w:cs="宋体" w:eastAsia="宋体" w:hint="default"/>
          <w:b/>
          <w:bCs/>
          <w:spacing w:val="-1"/>
          <w:sz w:val="21"/>
          <w:szCs w:val="21"/>
        </w:rPr>
        <w:t>、报告期内获取的重大的股权投资情况</w:t>
        <w:tab/>
      </w:r>
      <w:r>
        <w:rPr>
          <w:rFonts w:ascii="Times New Roman" w:hAnsi="Times New Roman" w:cs="Times New Roman" w:eastAsia="Times New Roman" w:hint="default"/>
          <w:sz w:val="21"/>
          <w:szCs w:val="21"/>
        </w:rPr>
        <w:t>√  </w:t>
      </w:r>
      <w:r>
        <w:rPr>
          <w:rFonts w:ascii="宋体" w:hAnsi="宋体" w:cs="宋体" w:eastAsia="宋体" w:hint="default"/>
          <w:spacing w:val="-2"/>
          <w:sz w:val="21"/>
          <w:szCs w:val="21"/>
        </w:rPr>
        <w:t>适用</w:t>
      </w:r>
      <w:r>
        <w:rPr>
          <w:rFonts w:ascii="宋体" w:hAnsi="宋体" w:cs="宋体" w:eastAsia="宋体" w:hint="default"/>
          <w:sz w:val="21"/>
          <w:szCs w:val="21"/>
        </w:rPr>
        <w:t>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4"/>
          <w:sz w:val="21"/>
          <w:szCs w:val="21"/>
        </w:rPr>
        <w:t> </w:t>
      </w:r>
      <w:r>
        <w:rPr>
          <w:rFonts w:ascii="宋体" w:hAnsi="宋体" w:cs="宋体" w:eastAsia="宋体" w:hint="default"/>
          <w:spacing w:val="-1"/>
          <w:sz w:val="21"/>
          <w:szCs w:val="21"/>
        </w:rPr>
        <w:t>不适用</w:t>
      </w:r>
    </w:p>
    <w:p>
      <w:pPr>
        <w:spacing w:line="240" w:lineRule="auto" w:before="10"/>
        <w:rPr>
          <w:rFonts w:ascii="宋体" w:hAnsi="宋体" w:cs="宋体" w:eastAsia="宋体" w:hint="default"/>
          <w:sz w:val="21"/>
          <w:szCs w:val="21"/>
        </w:rPr>
      </w:pPr>
    </w:p>
    <w:p>
      <w:pPr>
        <w:pStyle w:val="BodyText"/>
        <w:spacing w:line="240" w:lineRule="auto" w:before="36"/>
        <w:ind w:left="0" w:right="224"/>
        <w:jc w:val="right"/>
      </w:pPr>
      <w:r>
        <w:rPr>
          <w:spacing w:val="-2"/>
        </w:rPr>
        <w:t>单位：元</w:t>
      </w:r>
    </w:p>
    <w:p>
      <w:pPr>
        <w:spacing w:line="240" w:lineRule="auto" w:before="12"/>
        <w:rPr>
          <w:rFonts w:ascii="宋体" w:hAnsi="宋体" w:cs="宋体" w:eastAsia="宋体" w:hint="default"/>
          <w:sz w:val="6"/>
          <w:szCs w:val="6"/>
        </w:rPr>
      </w:pPr>
    </w:p>
    <w:tbl>
      <w:tblPr>
        <w:tblW w:w="0" w:type="auto"/>
        <w:jc w:val="left"/>
        <w:tblInd w:w="135" w:type="dxa"/>
        <w:tblLayout w:type="fixed"/>
        <w:tblCellMar>
          <w:top w:w="0" w:type="dxa"/>
          <w:left w:w="0" w:type="dxa"/>
          <w:bottom w:w="0" w:type="dxa"/>
          <w:right w:w="0" w:type="dxa"/>
        </w:tblCellMar>
        <w:tblLook w:val="01E0"/>
      </w:tblPr>
      <w:tblGrid>
        <w:gridCol w:w="1560"/>
        <w:gridCol w:w="2269"/>
        <w:gridCol w:w="708"/>
        <w:gridCol w:w="1135"/>
        <w:gridCol w:w="708"/>
        <w:gridCol w:w="566"/>
        <w:gridCol w:w="1277"/>
        <w:gridCol w:w="566"/>
        <w:gridCol w:w="850"/>
        <w:gridCol w:w="994"/>
        <w:gridCol w:w="425"/>
        <w:gridCol w:w="710"/>
        <w:gridCol w:w="425"/>
        <w:gridCol w:w="850"/>
        <w:gridCol w:w="850"/>
      </w:tblGrid>
      <w:tr>
        <w:trPr>
          <w:trHeight w:val="1025"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46" w:right="0"/>
              <w:jc w:val="left"/>
              <w:rPr>
                <w:rFonts w:ascii="宋体" w:hAnsi="宋体" w:cs="宋体" w:eastAsia="宋体" w:hint="default"/>
                <w:sz w:val="18"/>
                <w:szCs w:val="18"/>
              </w:rPr>
            </w:pPr>
            <w:r>
              <w:rPr>
                <w:rFonts w:ascii="宋体" w:hAnsi="宋体" w:cs="宋体" w:eastAsia="宋体" w:hint="default"/>
                <w:sz w:val="18"/>
                <w:szCs w:val="18"/>
              </w:rPr>
              <w:t>被投资公司名称</w:t>
            </w:r>
          </w:p>
        </w:tc>
        <w:tc>
          <w:tcPr>
            <w:tcW w:w="2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 w:right="0"/>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4"/>
                <w:szCs w:val="14"/>
              </w:rPr>
            </w:pPr>
          </w:p>
          <w:p>
            <w:pPr>
              <w:pStyle w:val="TableParagraph"/>
              <w:spacing w:line="357" w:lineRule="auto"/>
              <w:ind w:left="170" w:right="167"/>
              <w:jc w:val="left"/>
              <w:rPr>
                <w:rFonts w:ascii="宋体" w:hAnsi="宋体" w:cs="宋体" w:eastAsia="宋体" w:hint="default"/>
                <w:sz w:val="18"/>
                <w:szCs w:val="18"/>
              </w:rPr>
            </w:pPr>
            <w:r>
              <w:rPr>
                <w:rFonts w:ascii="宋体" w:hAnsi="宋体" w:cs="宋体" w:eastAsia="宋体" w:hint="default"/>
                <w:sz w:val="18"/>
                <w:szCs w:val="18"/>
              </w:rPr>
              <w:t>投资 方式</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01" w:right="0"/>
              <w:jc w:val="left"/>
              <w:rPr>
                <w:rFonts w:ascii="宋体" w:hAnsi="宋体" w:cs="宋体" w:eastAsia="宋体" w:hint="default"/>
                <w:sz w:val="18"/>
                <w:szCs w:val="18"/>
              </w:rPr>
            </w:pPr>
            <w:r>
              <w:rPr>
                <w:rFonts w:ascii="宋体" w:hAnsi="宋体" w:cs="宋体" w:eastAsia="宋体" w:hint="default"/>
                <w:sz w:val="18"/>
                <w:szCs w:val="18"/>
              </w:rPr>
              <w:t>投资金额</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4"/>
                <w:szCs w:val="14"/>
              </w:rPr>
            </w:pPr>
          </w:p>
          <w:p>
            <w:pPr>
              <w:pStyle w:val="TableParagraph"/>
              <w:spacing w:line="357" w:lineRule="auto"/>
              <w:ind w:left="168" w:right="168"/>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8" w:right="96"/>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62"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8" w:right="96"/>
              <w:jc w:val="left"/>
              <w:rPr>
                <w:rFonts w:ascii="宋体" w:hAnsi="宋体" w:cs="宋体" w:eastAsia="宋体" w:hint="default"/>
                <w:sz w:val="18"/>
                <w:szCs w:val="18"/>
              </w:rPr>
            </w:pPr>
            <w:r>
              <w:rPr>
                <w:rFonts w:ascii="宋体" w:hAnsi="宋体" w:cs="宋体" w:eastAsia="宋体" w:hint="default"/>
                <w:sz w:val="18"/>
                <w:szCs w:val="18"/>
              </w:rPr>
              <w:t>投资 期限</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59" w:right="0"/>
              <w:jc w:val="left"/>
              <w:rPr>
                <w:rFonts w:ascii="宋体" w:hAnsi="宋体" w:cs="宋体" w:eastAsia="宋体" w:hint="default"/>
                <w:sz w:val="18"/>
                <w:szCs w:val="18"/>
              </w:rPr>
            </w:pPr>
            <w:r>
              <w:rPr>
                <w:rFonts w:ascii="宋体" w:hAnsi="宋体" w:cs="宋体" w:eastAsia="宋体" w:hint="default"/>
                <w:sz w:val="18"/>
                <w:szCs w:val="18"/>
              </w:rPr>
              <w:t>产品类型</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0" w:right="41"/>
              <w:jc w:val="center"/>
              <w:rPr>
                <w:rFonts w:ascii="宋体" w:hAnsi="宋体" w:cs="宋体" w:eastAsia="宋体" w:hint="default"/>
                <w:sz w:val="18"/>
                <w:szCs w:val="18"/>
              </w:rPr>
            </w:pPr>
            <w:r>
              <w:rPr>
                <w:rFonts w:ascii="宋体" w:hAnsi="宋体" w:cs="宋体" w:eastAsia="宋体" w:hint="default"/>
                <w:sz w:val="18"/>
                <w:szCs w:val="18"/>
              </w:rPr>
              <w:t>截至资产负 债表日的进 展情况</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9" w:right="24"/>
              <w:jc w:val="left"/>
              <w:rPr>
                <w:rFonts w:ascii="宋体" w:hAnsi="宋体" w:cs="宋体" w:eastAsia="宋体" w:hint="default"/>
                <w:sz w:val="18"/>
                <w:szCs w:val="18"/>
              </w:rPr>
            </w:pPr>
            <w:r>
              <w:rPr>
                <w:rFonts w:ascii="宋体" w:hAnsi="宋体" w:cs="宋体" w:eastAsia="宋体" w:hint="default"/>
                <w:sz w:val="18"/>
                <w:szCs w:val="18"/>
              </w:rPr>
              <w:t>预计 收益</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9" w:right="79"/>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6"/>
              <w:jc w:val="left"/>
              <w:rPr>
                <w:rFonts w:ascii="宋体" w:hAnsi="宋体" w:cs="宋体" w:eastAsia="宋体" w:hint="default"/>
                <w:sz w:val="18"/>
                <w:szCs w:val="18"/>
              </w:rPr>
            </w:pPr>
            <w:r>
              <w:rPr>
                <w:rFonts w:ascii="宋体" w:hAnsi="宋体" w:cs="宋体" w:eastAsia="宋体" w:hint="default"/>
                <w:sz w:val="18"/>
                <w:szCs w:val="18"/>
              </w:rPr>
              <w:t>是否 涉诉</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7" w:right="0"/>
              <w:jc w:val="left"/>
              <w:rPr>
                <w:rFonts w:ascii="宋体" w:hAnsi="宋体" w:cs="宋体" w:eastAsia="宋体" w:hint="default"/>
                <w:sz w:val="18"/>
                <w:szCs w:val="18"/>
              </w:rPr>
            </w:pPr>
            <w:r>
              <w:rPr>
                <w:rFonts w:ascii="宋体" w:hAnsi="宋体" w:cs="宋体" w:eastAsia="宋体" w:hint="default"/>
                <w:sz w:val="18"/>
                <w:szCs w:val="18"/>
              </w:rPr>
              <w:t>披露日期</w:t>
            </w:r>
          </w:p>
          <w:p>
            <w:pPr>
              <w:pStyle w:val="TableParagraph"/>
              <w:spacing w:line="240" w:lineRule="auto" w:before="76"/>
              <w:ind w:left="57"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7" w:right="0"/>
              <w:jc w:val="left"/>
              <w:rPr>
                <w:rFonts w:ascii="宋体" w:hAnsi="宋体" w:cs="宋体" w:eastAsia="宋体" w:hint="default"/>
                <w:sz w:val="18"/>
                <w:szCs w:val="18"/>
              </w:rPr>
            </w:pPr>
            <w:r>
              <w:rPr>
                <w:rFonts w:ascii="宋体" w:hAnsi="宋体" w:cs="宋体" w:eastAsia="宋体" w:hint="default"/>
                <w:sz w:val="18"/>
                <w:szCs w:val="18"/>
              </w:rPr>
              <w:t>披露索引</w:t>
            </w:r>
          </w:p>
          <w:p>
            <w:pPr>
              <w:pStyle w:val="TableParagraph"/>
              <w:spacing w:line="240" w:lineRule="auto" w:before="76"/>
              <w:ind w:left="57" w:right="0"/>
              <w:jc w:val="left"/>
              <w:rPr>
                <w:rFonts w:ascii="宋体" w:hAnsi="宋体" w:cs="宋体" w:eastAsia="宋体" w:hint="default"/>
                <w:sz w:val="18"/>
                <w:szCs w:val="18"/>
              </w:rPr>
            </w:pPr>
            <w:r>
              <w:rPr>
                <w:rFonts w:ascii="宋体" w:hAnsi="宋体" w:cs="宋体" w:eastAsia="宋体" w:hint="default"/>
                <w:sz w:val="18"/>
                <w:szCs w:val="18"/>
              </w:rPr>
              <w:t>（如有）</w:t>
            </w:r>
          </w:p>
        </w:tc>
      </w:tr>
      <w:tr>
        <w:trPr>
          <w:trHeight w:val="71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84"/>
              <w:jc w:val="left"/>
              <w:rPr>
                <w:rFonts w:ascii="宋体" w:hAnsi="宋体" w:cs="宋体" w:eastAsia="宋体" w:hint="default"/>
                <w:sz w:val="18"/>
                <w:szCs w:val="18"/>
              </w:rPr>
            </w:pPr>
            <w:r>
              <w:rPr>
                <w:rFonts w:ascii="宋体" w:hAnsi="宋体" w:cs="宋体" w:eastAsia="宋体" w:hint="default"/>
                <w:sz w:val="18"/>
                <w:szCs w:val="18"/>
              </w:rPr>
              <w:t>广东华声电缆有限 公司</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电线、电缆制造</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新设</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9,000,000.00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70"/>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61"/>
              <w:jc w:val="left"/>
              <w:rPr>
                <w:rFonts w:ascii="宋体" w:hAnsi="宋体" w:cs="宋体" w:eastAsia="宋体" w:hint="default"/>
                <w:sz w:val="18"/>
                <w:szCs w:val="18"/>
              </w:rPr>
            </w:pPr>
            <w:r>
              <w:rPr>
                <w:rFonts w:ascii="宋体" w:hAnsi="宋体" w:cs="宋体" w:eastAsia="宋体" w:hint="default"/>
                <w:sz w:val="18"/>
                <w:szCs w:val="18"/>
              </w:rPr>
              <w:t>中山科耐森贸 易有限公司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0"/>
              <w:jc w:val="right"/>
              <w:rPr>
                <w:rFonts w:ascii="宋体" w:hAnsi="宋体" w:cs="宋体" w:eastAsia="宋体" w:hint="default"/>
                <w:sz w:val="18"/>
                <w:szCs w:val="18"/>
              </w:rPr>
            </w:pPr>
            <w:r>
              <w:rPr>
                <w:rFonts w:ascii="宋体" w:hAnsi="宋体" w:cs="宋体" w:eastAsia="宋体" w:hint="default"/>
                <w:sz w:val="18"/>
                <w:szCs w:val="18"/>
              </w:rPr>
              <w:t>长期</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95"/>
              <w:jc w:val="left"/>
              <w:rPr>
                <w:rFonts w:ascii="宋体" w:hAnsi="宋体" w:cs="宋体" w:eastAsia="宋体" w:hint="default"/>
                <w:sz w:val="18"/>
                <w:szCs w:val="18"/>
              </w:rPr>
            </w:pPr>
            <w:r>
              <w:rPr>
                <w:rFonts w:ascii="宋体" w:hAnsi="宋体" w:cs="宋体" w:eastAsia="宋体" w:hint="default"/>
                <w:sz w:val="18"/>
                <w:szCs w:val="18"/>
              </w:rPr>
              <w:t>电线、电 缆</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完成设立</w:t>
            </w:r>
          </w:p>
        </w:tc>
        <w:tc>
          <w:tcPr>
            <w:tcW w:w="42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4"/>
              <w:jc w:val="left"/>
              <w:rPr>
                <w:rFonts w:ascii="宋体" w:hAnsi="宋体" w:cs="宋体" w:eastAsia="宋体" w:hint="default"/>
                <w:sz w:val="18"/>
                <w:szCs w:val="18"/>
              </w:rPr>
            </w:pPr>
            <w:r>
              <w:rPr>
                <w:rFonts w:ascii="宋体" w:hAnsi="宋体" w:cs="宋体" w:eastAsia="宋体" w:hint="default"/>
                <w:sz w:val="18"/>
                <w:szCs w:val="18"/>
              </w:rPr>
              <w:t>深圳华声前海投资 有限公司</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4"/>
              <w:jc w:val="left"/>
              <w:rPr>
                <w:rFonts w:ascii="宋体" w:hAnsi="宋体" w:cs="宋体" w:eastAsia="宋体" w:hint="default"/>
                <w:sz w:val="18"/>
                <w:szCs w:val="18"/>
              </w:rPr>
            </w:pPr>
            <w:r>
              <w:rPr>
                <w:rFonts w:ascii="宋体" w:hAnsi="宋体" w:cs="宋体" w:eastAsia="宋体" w:hint="default"/>
                <w:sz w:val="18"/>
                <w:szCs w:val="18"/>
              </w:rPr>
              <w:t>股权投资、投资咨询、财务 顾问</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新设</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2,500,000.00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0"/>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0"/>
              <w:jc w:val="right"/>
              <w:rPr>
                <w:rFonts w:ascii="宋体" w:hAnsi="宋体" w:cs="宋体" w:eastAsia="宋体" w:hint="default"/>
                <w:sz w:val="18"/>
                <w:szCs w:val="18"/>
              </w:rPr>
            </w:pPr>
            <w:r>
              <w:rPr>
                <w:rFonts w:ascii="宋体" w:hAnsi="宋体" w:cs="宋体" w:eastAsia="宋体" w:hint="default"/>
                <w:sz w:val="18"/>
                <w:szCs w:val="18"/>
              </w:rPr>
              <w:t>长期</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完成设立</w:t>
            </w:r>
          </w:p>
        </w:tc>
        <w:tc>
          <w:tcPr>
            <w:tcW w:w="42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3" w:right="84"/>
              <w:jc w:val="left"/>
              <w:rPr>
                <w:rFonts w:ascii="宋体" w:hAnsi="宋体" w:cs="宋体" w:eastAsia="宋体" w:hint="default"/>
                <w:sz w:val="18"/>
                <w:szCs w:val="18"/>
              </w:rPr>
            </w:pPr>
            <w:r>
              <w:rPr>
                <w:rFonts w:ascii="宋体" w:hAnsi="宋体" w:cs="宋体" w:eastAsia="宋体" w:hint="default"/>
                <w:sz w:val="18"/>
                <w:szCs w:val="18"/>
              </w:rPr>
              <w:t>广东华声电器实业 有限公司</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4"/>
              <w:jc w:val="both"/>
              <w:rPr>
                <w:rFonts w:ascii="宋体" w:hAnsi="宋体" w:cs="宋体" w:eastAsia="宋体" w:hint="default"/>
                <w:sz w:val="18"/>
                <w:szCs w:val="18"/>
              </w:rPr>
            </w:pPr>
            <w:r>
              <w:rPr>
                <w:rFonts w:ascii="宋体" w:hAnsi="宋体" w:cs="宋体" w:eastAsia="宋体" w:hint="default"/>
                <w:sz w:val="18"/>
                <w:szCs w:val="18"/>
              </w:rPr>
              <w:t>电器连接线、电源线、电线 电缆及相关材料的研发、生 产及销售</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新设</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3" w:right="170"/>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70"/>
              <w:jc w:val="right"/>
              <w:rPr>
                <w:rFonts w:ascii="宋体" w:hAnsi="宋体" w:cs="宋体" w:eastAsia="宋体" w:hint="default"/>
                <w:sz w:val="18"/>
                <w:szCs w:val="18"/>
              </w:rPr>
            </w:pPr>
            <w:r>
              <w:rPr>
                <w:rFonts w:ascii="宋体" w:hAnsi="宋体" w:cs="宋体" w:eastAsia="宋体" w:hint="default"/>
                <w:sz w:val="18"/>
                <w:szCs w:val="18"/>
              </w:rPr>
              <w:t>长期</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3" w:right="95"/>
              <w:jc w:val="left"/>
              <w:rPr>
                <w:rFonts w:ascii="宋体" w:hAnsi="宋体" w:cs="宋体" w:eastAsia="宋体" w:hint="default"/>
                <w:sz w:val="18"/>
                <w:szCs w:val="18"/>
              </w:rPr>
            </w:pPr>
            <w:r>
              <w:rPr>
                <w:rFonts w:ascii="宋体" w:hAnsi="宋体" w:cs="宋体" w:eastAsia="宋体" w:hint="default"/>
                <w:sz w:val="18"/>
                <w:szCs w:val="18"/>
              </w:rPr>
              <w:t>家电配线 组件</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完成设立</w:t>
            </w:r>
          </w:p>
        </w:tc>
        <w:tc>
          <w:tcPr>
            <w:tcW w:w="42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135" w:type="dxa"/>
            <w:tcBorders>
              <w:top w:val="single" w:sz="4" w:space="0" w:color="000000"/>
              <w:left w:val="single" w:sz="4" w:space="0" w:color="000000"/>
              <w:bottom w:val="single" w:sz="4" w:space="0" w:color="000000"/>
              <w:right w:val="single" w:sz="12" w:space="0" w:color="D2D2D2"/>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12,100,000.00</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16"/>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2" w:right="0"/>
              <w:jc w:val="left"/>
              <w:rPr>
                <w:rFonts w:ascii="Times New Roman" w:hAnsi="Times New Roman" w:cs="Times New Roman" w:eastAsia="Times New Roman" w:hint="default"/>
                <w:sz w:val="18"/>
                <w:szCs w:val="18"/>
              </w:rPr>
            </w:pPr>
            <w:r>
              <w:rPr>
                <w:rFonts w:ascii="Times New Roman"/>
                <w:sz w:val="18"/>
              </w:rPr>
              <w:t>0.00</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tabs>
          <w:tab w:pos="12473" w:val="left" w:leader="none"/>
        </w:tabs>
        <w:spacing w:before="36"/>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3</w:t>
      </w:r>
      <w:r>
        <w:rPr>
          <w:rFonts w:ascii="宋体" w:hAnsi="宋体" w:cs="宋体" w:eastAsia="宋体" w:hint="default"/>
          <w:b/>
          <w:bCs/>
          <w:spacing w:val="-1"/>
          <w:sz w:val="21"/>
          <w:szCs w:val="21"/>
        </w:rPr>
        <w:t>、报告期内正在进行的重大的非股权投资情况</w:t>
        <w:tab/>
      </w:r>
      <w:r>
        <w:rPr>
          <w:rFonts w:ascii="Times New Roman" w:hAnsi="Times New Roman" w:cs="Times New Roman" w:eastAsia="Times New Roman" w:hint="default"/>
          <w:sz w:val="21"/>
          <w:szCs w:val="21"/>
        </w:rPr>
        <w:t>□  </w:t>
      </w:r>
      <w:r>
        <w:rPr>
          <w:rFonts w:ascii="宋体" w:hAnsi="宋体" w:cs="宋体" w:eastAsia="宋体" w:hint="default"/>
          <w:spacing w:val="-2"/>
          <w:sz w:val="21"/>
          <w:szCs w:val="21"/>
        </w:rPr>
        <w:t>适用</w:t>
      </w:r>
      <w:r>
        <w:rPr>
          <w:rFonts w:ascii="宋体" w:hAnsi="宋体" w:cs="宋体" w:eastAsia="宋体" w:hint="default"/>
          <w:sz w:val="21"/>
          <w:szCs w:val="21"/>
        </w:rPr>
        <w:t>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7"/>
          <w:sz w:val="21"/>
          <w:szCs w:val="21"/>
        </w:rPr>
        <w:t> </w:t>
      </w:r>
      <w:r>
        <w:rPr>
          <w:rFonts w:ascii="宋体" w:hAnsi="宋体" w:cs="宋体" w:eastAsia="宋体" w:hint="default"/>
          <w:spacing w:val="-1"/>
          <w:sz w:val="21"/>
          <w:szCs w:val="21"/>
        </w:rPr>
        <w:t>不适用</w:t>
      </w:r>
    </w:p>
    <w:p>
      <w:pPr>
        <w:spacing w:line="240" w:lineRule="auto" w:before="7"/>
        <w:rPr>
          <w:rFonts w:ascii="宋体" w:hAnsi="宋体" w:cs="宋体" w:eastAsia="宋体" w:hint="default"/>
          <w:sz w:val="24"/>
          <w:szCs w:val="24"/>
        </w:rPr>
      </w:pPr>
    </w:p>
    <w:p>
      <w:pPr>
        <w:tabs>
          <w:tab w:pos="12473" w:val="left" w:leader="none"/>
        </w:tabs>
        <w:spacing w:before="0"/>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4</w:t>
      </w:r>
      <w:r>
        <w:rPr>
          <w:rFonts w:ascii="宋体" w:hAnsi="宋体" w:cs="宋体" w:eastAsia="宋体" w:hint="default"/>
          <w:b/>
          <w:bCs/>
          <w:spacing w:val="-1"/>
          <w:sz w:val="21"/>
          <w:szCs w:val="21"/>
        </w:rPr>
        <w:t>、以公允价值计量的金融资产</w:t>
        <w:tab/>
      </w:r>
      <w:r>
        <w:rPr>
          <w:rFonts w:ascii="Times New Roman" w:hAnsi="Times New Roman" w:cs="Times New Roman" w:eastAsia="Times New Roman" w:hint="default"/>
          <w:sz w:val="21"/>
          <w:szCs w:val="21"/>
        </w:rPr>
        <w:t>□  </w:t>
      </w:r>
      <w:r>
        <w:rPr>
          <w:rFonts w:ascii="宋体" w:hAnsi="宋体" w:cs="宋体" w:eastAsia="宋体" w:hint="default"/>
          <w:spacing w:val="-2"/>
          <w:sz w:val="21"/>
          <w:szCs w:val="21"/>
        </w:rPr>
        <w:t>适用</w:t>
      </w:r>
      <w:r>
        <w:rPr>
          <w:rFonts w:ascii="宋体" w:hAnsi="宋体" w:cs="宋体" w:eastAsia="宋体" w:hint="default"/>
          <w:sz w:val="21"/>
          <w:szCs w:val="21"/>
        </w:rPr>
        <w:t>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7"/>
          <w:sz w:val="21"/>
          <w:szCs w:val="21"/>
        </w:rPr>
        <w:t> </w:t>
      </w:r>
      <w:r>
        <w:rPr>
          <w:rFonts w:ascii="宋体" w:hAnsi="宋体" w:cs="宋体" w:eastAsia="宋体" w:hint="default"/>
          <w:spacing w:val="-1"/>
          <w:sz w:val="21"/>
          <w:szCs w:val="21"/>
        </w:rPr>
        <w:t>不适用</w:t>
      </w:r>
    </w:p>
    <w:p>
      <w:pPr>
        <w:spacing w:after="0"/>
        <w:jc w:val="left"/>
        <w:rPr>
          <w:rFonts w:ascii="宋体" w:hAnsi="宋体" w:cs="宋体" w:eastAsia="宋体" w:hint="default"/>
          <w:sz w:val="21"/>
          <w:szCs w:val="21"/>
        </w:rPr>
        <w:sectPr>
          <w:headerReference w:type="default" r:id="rId12"/>
          <w:footerReference w:type="default" r:id="rId13"/>
          <w:pgSz w:w="16840" w:h="11910" w:orient="landscape"/>
          <w:pgMar w:header="867" w:footer="979" w:top="1060" w:bottom="1160" w:left="1300" w:right="1300"/>
          <w:pgNumType w:start="16"/>
        </w:sectPr>
      </w:pPr>
    </w:p>
    <w:p>
      <w:pPr>
        <w:spacing w:line="240" w:lineRule="auto" w:before="11"/>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宋体" w:hAnsi="宋体" w:cs="宋体" w:eastAsia="宋体" w:hint="default"/>
          <w:sz w:val="2"/>
          <w:szCs w:val="2"/>
        </w:rPr>
      </w:r>
    </w:p>
    <w:p>
      <w:pPr>
        <w:tabs>
          <w:tab w:pos="12352" w:val="left" w:leader="none"/>
        </w:tabs>
        <w:spacing w:before="0"/>
        <w:ind w:left="0" w:right="193" w:firstLine="0"/>
        <w:jc w:val="right"/>
        <w:rPr>
          <w:rFonts w:ascii="宋体" w:hAnsi="宋体" w:cs="宋体" w:eastAsia="宋体" w:hint="default"/>
          <w:sz w:val="21"/>
          <w:szCs w:val="21"/>
        </w:rPr>
      </w:pPr>
      <w:r>
        <w:rPr>
          <w:rFonts w:ascii="Times New Roman" w:hAnsi="Times New Roman" w:cs="Times New Roman" w:eastAsia="Times New Roman" w:hint="default"/>
          <w:b/>
          <w:bCs/>
          <w:spacing w:val="-3"/>
          <w:w w:val="100"/>
          <w:sz w:val="21"/>
          <w:szCs w:val="21"/>
        </w:rPr>
        <w:t>5</w:t>
      </w:r>
      <w:r>
        <w:rPr>
          <w:rFonts w:ascii="宋体" w:hAnsi="宋体" w:cs="宋体" w:eastAsia="宋体" w:hint="default"/>
          <w:b/>
          <w:bCs/>
          <w:spacing w:val="-87"/>
          <w:w w:val="100"/>
          <w:sz w:val="21"/>
          <w:szCs w:val="21"/>
        </w:rPr>
        <w:t>、</w:t>
      </w:r>
      <w:r>
        <w:rPr>
          <w:rFonts w:ascii="宋体" w:hAnsi="宋体" w:cs="宋体" w:eastAsia="宋体" w:hint="default"/>
          <w:b/>
          <w:bCs/>
          <w:w w:val="100"/>
          <w:sz w:val="21"/>
          <w:szCs w:val="21"/>
        </w:rPr>
        <w:t>募集资金使用情况</w:t>
      </w:r>
      <w:r>
        <w:rPr>
          <w:rFonts w:ascii="宋体" w:hAnsi="宋体" w:cs="宋体" w:eastAsia="宋体" w:hint="default"/>
          <w:b/>
          <w:bCs/>
          <w:sz w:val="21"/>
          <w:szCs w:val="21"/>
        </w:rPr>
        <w:tab/>
      </w:r>
      <w:r>
        <w:rPr>
          <w:rFonts w:ascii="Times New Roman" w:hAnsi="Times New Roman" w:cs="Times New Roman" w:eastAsia="Times New Roman" w:hint="default"/>
          <w:w w:val="100"/>
          <w:sz w:val="21"/>
          <w:szCs w:val="21"/>
        </w:rPr>
        <w:t>√</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w w:val="100"/>
          <w:sz w:val="21"/>
          <w:szCs w:val="21"/>
        </w:rPr>
        <w:t>适用</w:t>
      </w:r>
      <w:r>
        <w:rPr>
          <w:rFonts w:ascii="宋体" w:hAnsi="宋体" w:cs="宋体" w:eastAsia="宋体" w:hint="default"/>
          <w:spacing w:val="-2"/>
          <w:sz w:val="21"/>
          <w:szCs w:val="21"/>
        </w:rPr>
        <w:t> </w:t>
      </w:r>
      <w:r>
        <w:rPr>
          <w:rFonts w:ascii="Times New Roman" w:hAnsi="Times New Roman" w:cs="Times New Roman" w:eastAsia="Times New Roman" w:hint="default"/>
          <w:w w:val="100"/>
          <w:sz w:val="21"/>
          <w:szCs w:val="21"/>
        </w:rPr>
        <w:t>□</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不</w:t>
      </w:r>
      <w:r>
        <w:rPr>
          <w:rFonts w:ascii="宋体" w:hAnsi="宋体" w:cs="宋体" w:eastAsia="宋体" w:hint="default"/>
          <w:w w:val="100"/>
          <w:sz w:val="21"/>
          <w:szCs w:val="21"/>
        </w:rPr>
        <w:t>适用</w:t>
      </w:r>
    </w:p>
    <w:p>
      <w:pPr>
        <w:spacing w:line="240" w:lineRule="auto" w:before="10"/>
        <w:rPr>
          <w:rFonts w:ascii="宋体" w:hAnsi="宋体" w:cs="宋体" w:eastAsia="宋体" w:hint="default"/>
          <w:sz w:val="24"/>
          <w:szCs w:val="24"/>
        </w:rPr>
      </w:pPr>
    </w:p>
    <w:p>
      <w:pPr>
        <w:tabs>
          <w:tab w:pos="12352" w:val="left" w:leader="none"/>
        </w:tabs>
        <w:spacing w:before="0"/>
        <w:ind w:left="0" w:right="195" w:firstLine="0"/>
        <w:jc w:val="right"/>
        <w:rPr>
          <w:rFonts w:ascii="宋体" w:hAnsi="宋体" w:cs="宋体" w:eastAsia="宋体" w:hint="default"/>
          <w:sz w:val="21"/>
          <w:szCs w:val="21"/>
        </w:rPr>
      </w:pPr>
      <w:r>
        <w:rPr>
          <w:rFonts w:ascii="宋体" w:hAnsi="宋体" w:cs="宋体" w:eastAsia="宋体" w:hint="default"/>
          <w:b/>
          <w:bCs/>
          <w:spacing w:val="2"/>
          <w:w w:val="100"/>
          <w:sz w:val="21"/>
          <w:szCs w:val="21"/>
        </w:rPr>
        <w:t>（</w:t>
      </w:r>
      <w:r>
        <w:rPr>
          <w:rFonts w:ascii="Times New Roman" w:hAnsi="Times New Roman" w:cs="Times New Roman" w:eastAsia="Times New Roman" w:hint="default"/>
          <w:b/>
          <w:bCs/>
          <w:spacing w:val="-2"/>
          <w:w w:val="100"/>
          <w:sz w:val="21"/>
          <w:szCs w:val="21"/>
        </w:rPr>
        <w:t>1</w:t>
      </w:r>
      <w:r>
        <w:rPr>
          <w:rFonts w:ascii="宋体" w:hAnsi="宋体" w:cs="宋体" w:eastAsia="宋体" w:hint="default"/>
          <w:b/>
          <w:bCs/>
          <w:spacing w:val="-87"/>
          <w:w w:val="100"/>
          <w:sz w:val="21"/>
          <w:szCs w:val="21"/>
        </w:rPr>
        <w:t>）</w:t>
      </w:r>
      <w:r>
        <w:rPr>
          <w:rFonts w:ascii="宋体" w:hAnsi="宋体" w:cs="宋体" w:eastAsia="宋体" w:hint="default"/>
          <w:b/>
          <w:bCs/>
          <w:w w:val="100"/>
          <w:sz w:val="21"/>
          <w:szCs w:val="21"/>
        </w:rPr>
        <w:t>募集资</w:t>
      </w:r>
      <w:r>
        <w:rPr>
          <w:rFonts w:ascii="宋体" w:hAnsi="宋体" w:cs="宋体" w:eastAsia="宋体" w:hint="default"/>
          <w:b/>
          <w:bCs/>
          <w:spacing w:val="-3"/>
          <w:w w:val="100"/>
          <w:sz w:val="21"/>
          <w:szCs w:val="21"/>
        </w:rPr>
        <w:t>金</w:t>
      </w:r>
      <w:r>
        <w:rPr>
          <w:rFonts w:ascii="宋体" w:hAnsi="宋体" w:cs="宋体" w:eastAsia="宋体" w:hint="default"/>
          <w:b/>
          <w:bCs/>
          <w:w w:val="100"/>
          <w:sz w:val="21"/>
          <w:szCs w:val="21"/>
        </w:rPr>
        <w:t>总体使用</w:t>
      </w:r>
      <w:r>
        <w:rPr>
          <w:rFonts w:ascii="宋体" w:hAnsi="宋体" w:cs="宋体" w:eastAsia="宋体" w:hint="default"/>
          <w:b/>
          <w:bCs/>
          <w:spacing w:val="-3"/>
          <w:w w:val="100"/>
          <w:sz w:val="21"/>
          <w:szCs w:val="21"/>
        </w:rPr>
        <w:t>情</w:t>
      </w:r>
      <w:r>
        <w:rPr>
          <w:rFonts w:ascii="宋体" w:hAnsi="宋体" w:cs="宋体" w:eastAsia="宋体" w:hint="default"/>
          <w:b/>
          <w:bCs/>
          <w:w w:val="100"/>
          <w:sz w:val="21"/>
          <w:szCs w:val="21"/>
        </w:rPr>
        <w:t>况</w:t>
      </w:r>
      <w:r>
        <w:rPr>
          <w:rFonts w:ascii="宋体" w:hAnsi="宋体" w:cs="宋体" w:eastAsia="宋体" w:hint="default"/>
          <w:b/>
          <w:bCs/>
          <w:sz w:val="21"/>
          <w:szCs w:val="21"/>
        </w:rPr>
        <w:tab/>
      </w:r>
      <w:r>
        <w:rPr>
          <w:rFonts w:ascii="Times New Roman" w:hAnsi="Times New Roman" w:cs="Times New Roman" w:eastAsia="Times New Roman" w:hint="default"/>
          <w:w w:val="100"/>
          <w:sz w:val="21"/>
          <w:szCs w:val="21"/>
        </w:rPr>
        <w:t>√</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w w:val="100"/>
          <w:sz w:val="21"/>
          <w:szCs w:val="21"/>
        </w:rPr>
        <w:t>适用</w:t>
      </w:r>
      <w:r>
        <w:rPr>
          <w:rFonts w:ascii="宋体" w:hAnsi="宋体" w:cs="宋体" w:eastAsia="宋体" w:hint="default"/>
          <w:spacing w:val="-2"/>
          <w:sz w:val="21"/>
          <w:szCs w:val="21"/>
        </w:rPr>
        <w:t> </w:t>
      </w:r>
      <w:r>
        <w:rPr>
          <w:rFonts w:ascii="Times New Roman" w:hAnsi="Times New Roman" w:cs="Times New Roman" w:eastAsia="Times New Roman" w:hint="default"/>
          <w:w w:val="100"/>
          <w:sz w:val="21"/>
          <w:szCs w:val="21"/>
        </w:rPr>
        <w:t>□</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不</w:t>
      </w:r>
      <w:r>
        <w:rPr>
          <w:rFonts w:ascii="宋体" w:hAnsi="宋体" w:cs="宋体" w:eastAsia="宋体" w:hint="default"/>
          <w:spacing w:val="-3"/>
          <w:w w:val="100"/>
          <w:sz w:val="21"/>
          <w:szCs w:val="21"/>
        </w:rPr>
        <w:t>适</w:t>
      </w:r>
      <w:r>
        <w:rPr>
          <w:rFonts w:ascii="宋体" w:hAnsi="宋体" w:cs="宋体" w:eastAsia="宋体" w:hint="default"/>
          <w:w w:val="100"/>
          <w:sz w:val="21"/>
          <w:szCs w:val="21"/>
        </w:rPr>
        <w:t>用</w:t>
      </w:r>
    </w:p>
    <w:p>
      <w:pPr>
        <w:spacing w:line="240" w:lineRule="auto" w:before="10"/>
        <w:rPr>
          <w:rFonts w:ascii="宋体" w:hAnsi="宋体" w:cs="宋体" w:eastAsia="宋体" w:hint="default"/>
          <w:sz w:val="24"/>
          <w:szCs w:val="24"/>
        </w:rPr>
      </w:pPr>
    </w:p>
    <w:p>
      <w:pPr>
        <w:pStyle w:val="BodyText"/>
        <w:spacing w:line="240" w:lineRule="auto"/>
        <w:ind w:left="0" w:right="193"/>
        <w:jc w:val="right"/>
      </w:pPr>
      <w:r>
        <w:rPr>
          <w:spacing w:val="-1"/>
        </w:rPr>
        <w:t>单位：万元</w:t>
      </w:r>
    </w:p>
    <w:p>
      <w:pPr>
        <w:spacing w:line="240" w:lineRule="auto" w:before="10"/>
        <w:rPr>
          <w:rFonts w:ascii="宋体" w:hAnsi="宋体" w:cs="宋体" w:eastAsia="宋体" w:hint="default"/>
          <w:sz w:val="6"/>
          <w:szCs w:val="6"/>
        </w:rPr>
      </w:pPr>
    </w:p>
    <w:tbl>
      <w:tblPr>
        <w:tblW w:w="0" w:type="auto"/>
        <w:jc w:val="left"/>
        <w:tblInd w:w="135" w:type="dxa"/>
        <w:tblLayout w:type="fixed"/>
        <w:tblCellMar>
          <w:top w:w="0" w:type="dxa"/>
          <w:left w:w="0" w:type="dxa"/>
          <w:bottom w:w="0" w:type="dxa"/>
          <w:right w:w="0" w:type="dxa"/>
        </w:tblCellMar>
        <w:tblLook w:val="01E0"/>
      </w:tblPr>
      <w:tblGrid>
        <w:gridCol w:w="867"/>
        <w:gridCol w:w="1260"/>
        <w:gridCol w:w="994"/>
        <w:gridCol w:w="1275"/>
        <w:gridCol w:w="1277"/>
        <w:gridCol w:w="1560"/>
        <w:gridCol w:w="1416"/>
        <w:gridCol w:w="1560"/>
        <w:gridCol w:w="1133"/>
        <w:gridCol w:w="1418"/>
        <w:gridCol w:w="1277"/>
      </w:tblGrid>
      <w:tr>
        <w:trPr>
          <w:trHeight w:val="715"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3" w:right="0"/>
              <w:jc w:val="left"/>
              <w:rPr>
                <w:rFonts w:ascii="宋体" w:hAnsi="宋体" w:cs="宋体" w:eastAsia="宋体" w:hint="default"/>
                <w:sz w:val="18"/>
                <w:szCs w:val="18"/>
              </w:rPr>
            </w:pPr>
            <w:r>
              <w:rPr>
                <w:rFonts w:ascii="宋体" w:hAnsi="宋体" w:cs="宋体" w:eastAsia="宋体" w:hint="default"/>
                <w:sz w:val="18"/>
                <w:szCs w:val="18"/>
              </w:rPr>
              <w:t>募集方式</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00" w:right="41" w:hanging="360"/>
              <w:jc w:val="left"/>
              <w:rPr>
                <w:rFonts w:ascii="宋体" w:hAnsi="宋体" w:cs="宋体" w:eastAsia="宋体" w:hint="default"/>
                <w:sz w:val="18"/>
                <w:szCs w:val="18"/>
              </w:rPr>
            </w:pPr>
            <w:r>
              <w:rPr>
                <w:rFonts w:ascii="宋体" w:hAnsi="宋体" w:cs="宋体" w:eastAsia="宋体" w:hint="default"/>
                <w:sz w:val="18"/>
                <w:szCs w:val="18"/>
              </w:rPr>
              <w:t>募集资金总 额</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79" w:right="92" w:hanging="89"/>
              <w:jc w:val="left"/>
              <w:rPr>
                <w:rFonts w:ascii="宋体" w:hAnsi="宋体" w:cs="宋体" w:eastAsia="宋体" w:hint="default"/>
                <w:sz w:val="18"/>
                <w:szCs w:val="18"/>
              </w:rPr>
            </w:pPr>
            <w:r>
              <w:rPr>
                <w:rFonts w:ascii="宋体" w:hAnsi="宋体" w:cs="宋体" w:eastAsia="宋体" w:hint="default"/>
                <w:sz w:val="18"/>
                <w:szCs w:val="18"/>
              </w:rPr>
              <w:t>本期已使用募 集资金总额</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91" w:hanging="89"/>
              <w:jc w:val="left"/>
              <w:rPr>
                <w:rFonts w:ascii="宋体" w:hAnsi="宋体" w:cs="宋体" w:eastAsia="宋体" w:hint="default"/>
                <w:sz w:val="18"/>
                <w:szCs w:val="18"/>
              </w:rPr>
            </w:pPr>
            <w:r>
              <w:rPr>
                <w:rFonts w:ascii="宋体" w:hAnsi="宋体" w:cs="宋体" w:eastAsia="宋体" w:hint="default"/>
                <w:sz w:val="18"/>
                <w:szCs w:val="18"/>
              </w:rPr>
              <w:t>已累计使用募 集资金总额</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44" w:right="57" w:hanging="92"/>
              <w:jc w:val="left"/>
              <w:rPr>
                <w:rFonts w:ascii="宋体" w:hAnsi="宋体" w:cs="宋体" w:eastAsia="宋体" w:hint="default"/>
                <w:sz w:val="18"/>
                <w:szCs w:val="18"/>
              </w:rPr>
            </w:pPr>
            <w:r>
              <w:rPr>
                <w:rFonts w:ascii="宋体" w:hAnsi="宋体" w:cs="宋体" w:eastAsia="宋体" w:hint="default"/>
                <w:sz w:val="18"/>
                <w:szCs w:val="18"/>
              </w:rPr>
              <w:t>报告期内变更用途 的募集资金总额</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60" w:right="72" w:hanging="89"/>
              <w:jc w:val="left"/>
              <w:rPr>
                <w:rFonts w:ascii="宋体" w:hAnsi="宋体" w:cs="宋体" w:eastAsia="宋体" w:hint="default"/>
                <w:sz w:val="18"/>
                <w:szCs w:val="18"/>
              </w:rPr>
            </w:pPr>
            <w:r>
              <w:rPr>
                <w:rFonts w:ascii="宋体" w:hAnsi="宋体" w:cs="宋体" w:eastAsia="宋体" w:hint="default"/>
                <w:sz w:val="18"/>
                <w:szCs w:val="18"/>
              </w:rPr>
              <w:t>累计变更用途的 募集资金总额</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44" w:right="53" w:hanging="89"/>
              <w:jc w:val="left"/>
              <w:rPr>
                <w:rFonts w:ascii="宋体" w:hAnsi="宋体" w:cs="宋体" w:eastAsia="宋体" w:hint="default"/>
                <w:sz w:val="18"/>
                <w:szCs w:val="18"/>
              </w:rPr>
            </w:pPr>
            <w:r>
              <w:rPr>
                <w:rFonts w:ascii="宋体" w:hAnsi="宋体" w:cs="宋体" w:eastAsia="宋体" w:hint="default"/>
                <w:sz w:val="18"/>
                <w:szCs w:val="18"/>
              </w:rPr>
              <w:t>累计变更用途的募 集资金总额比例</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 w:right="111"/>
              <w:jc w:val="left"/>
              <w:rPr>
                <w:rFonts w:ascii="宋体" w:hAnsi="宋体" w:cs="宋体" w:eastAsia="宋体" w:hint="default"/>
                <w:sz w:val="18"/>
                <w:szCs w:val="18"/>
              </w:rPr>
            </w:pPr>
            <w:r>
              <w:rPr>
                <w:rFonts w:ascii="宋体" w:hAnsi="宋体" w:cs="宋体" w:eastAsia="宋体" w:hint="default"/>
                <w:sz w:val="18"/>
                <w:szCs w:val="18"/>
              </w:rPr>
              <w:t>尚未使用募 集资金总额</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65" w:right="72" w:hanging="92"/>
              <w:jc w:val="left"/>
              <w:rPr>
                <w:rFonts w:ascii="宋体" w:hAnsi="宋体" w:cs="宋体" w:eastAsia="宋体" w:hint="default"/>
                <w:sz w:val="18"/>
                <w:szCs w:val="18"/>
              </w:rPr>
            </w:pPr>
            <w:r>
              <w:rPr>
                <w:rFonts w:ascii="宋体" w:hAnsi="宋体" w:cs="宋体" w:eastAsia="宋体" w:hint="default"/>
                <w:sz w:val="18"/>
                <w:szCs w:val="18"/>
              </w:rPr>
              <w:t>尚未使用募集资 金用途及去向</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1" w:right="95"/>
              <w:jc w:val="left"/>
              <w:rPr>
                <w:rFonts w:ascii="宋体" w:hAnsi="宋体" w:cs="宋体" w:eastAsia="宋体" w:hint="default"/>
                <w:sz w:val="18"/>
                <w:szCs w:val="18"/>
              </w:rPr>
            </w:pPr>
            <w:r>
              <w:rPr>
                <w:rFonts w:ascii="宋体" w:hAnsi="宋体" w:cs="宋体" w:eastAsia="宋体" w:hint="default"/>
                <w:sz w:val="18"/>
                <w:szCs w:val="18"/>
              </w:rPr>
              <w:t>闲置两年以上 募集资金金额</w:t>
            </w:r>
          </w:p>
        </w:tc>
      </w:tr>
      <w:tr>
        <w:trPr>
          <w:trHeight w:val="401"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公开发行股票</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33,466.75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0.58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34,043.59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33,466.75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0.58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34,043.59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3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4037"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715" w:hRule="exact"/>
        </w:trPr>
        <w:tc>
          <w:tcPr>
            <w:tcW w:w="14037"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年首次公开发行股票募集资金总额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365,000,000.00 </w:t>
            </w:r>
            <w:r>
              <w:rPr>
                <w:rFonts w:ascii="宋体" w:hAnsi="宋体" w:cs="宋体" w:eastAsia="宋体" w:hint="default"/>
                <w:sz w:val="18"/>
                <w:szCs w:val="18"/>
              </w:rPr>
              <w:t>元，扣除券商佣金及其他相关发行费用后实际募集资金净额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334,667,543.51 </w:t>
            </w:r>
            <w:r>
              <w:rPr>
                <w:rFonts w:ascii="宋体" w:hAnsi="宋体" w:cs="宋体" w:eastAsia="宋体" w:hint="default"/>
                <w:sz w:val="18"/>
                <w:szCs w:val="18"/>
              </w:rPr>
              <w:t>元，涉及募投项目已于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日前达到预定可使用状态。</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月，公司对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募集资金专户结息、销户，转出募集资金专户内结余募集资金本息金额合计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5,824.52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元用于补充公司流动资金。</w:t>
            </w:r>
          </w:p>
        </w:tc>
      </w:tr>
    </w:tbl>
    <w:p>
      <w:pPr>
        <w:spacing w:line="240" w:lineRule="auto" w:before="3"/>
        <w:rPr>
          <w:rFonts w:ascii="宋体" w:hAnsi="宋体" w:cs="宋体" w:eastAsia="宋体" w:hint="default"/>
          <w:sz w:val="19"/>
          <w:szCs w:val="19"/>
        </w:rPr>
      </w:pPr>
    </w:p>
    <w:p>
      <w:pPr>
        <w:tabs>
          <w:tab w:pos="12600" w:val="left" w:leader="none"/>
        </w:tabs>
        <w:spacing w:before="36"/>
        <w:ind w:left="140" w:right="0"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Times New Roman" w:hAnsi="Times New Roman" w:cs="Times New Roman" w:eastAsia="Times New Roman" w:hint="default"/>
          <w:b/>
          <w:bCs/>
          <w:spacing w:val="-1"/>
          <w:sz w:val="21"/>
          <w:szCs w:val="21"/>
        </w:rPr>
        <w:t>2</w:t>
      </w:r>
      <w:r>
        <w:rPr>
          <w:rFonts w:ascii="宋体" w:hAnsi="宋体" w:cs="宋体" w:eastAsia="宋体" w:hint="default"/>
          <w:b/>
          <w:bCs/>
          <w:spacing w:val="-1"/>
          <w:sz w:val="21"/>
          <w:szCs w:val="21"/>
        </w:rPr>
        <w:t>）募集资金承诺项目情况</w:t>
        <w:tab/>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适用</w:t>
      </w:r>
      <w:r>
        <w:rPr>
          <w:rFonts w:ascii="宋体" w:hAnsi="宋体" w:cs="宋体" w:eastAsia="宋体" w:hint="default"/>
          <w:sz w:val="21"/>
          <w:szCs w:val="21"/>
        </w:rPr>
        <w:t>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6"/>
          <w:sz w:val="21"/>
          <w:szCs w:val="21"/>
        </w:rPr>
        <w:t> </w:t>
      </w:r>
      <w:r>
        <w:rPr>
          <w:rFonts w:ascii="宋体" w:hAnsi="宋体" w:cs="宋体" w:eastAsia="宋体" w:hint="default"/>
          <w:spacing w:val="-1"/>
          <w:sz w:val="21"/>
          <w:szCs w:val="21"/>
        </w:rPr>
        <w:t>不适用</w:t>
      </w:r>
    </w:p>
    <w:p>
      <w:pPr>
        <w:pStyle w:val="Heading4"/>
        <w:spacing w:line="240" w:lineRule="auto" w:before="21"/>
        <w:ind w:left="140" w:right="0"/>
        <w:jc w:val="left"/>
        <w:rPr>
          <w:b w:val="0"/>
          <w:bCs w:val="0"/>
        </w:rPr>
      </w:pPr>
      <w:r>
        <w:rPr/>
        <w:t>（</w:t>
      </w:r>
      <w:r>
        <w:rPr>
          <w:rFonts w:ascii="Times New Roman" w:hAnsi="Times New Roman" w:cs="Times New Roman" w:eastAsia="Times New Roman" w:hint="default"/>
        </w:rPr>
        <w:t>3</w:t>
      </w:r>
      <w:r>
        <w:rPr/>
        <w:t>）公司报告期不存在募集资金变更项目情况。</w:t>
      </w:r>
      <w:r>
        <w:rPr>
          <w:b w:val="0"/>
          <w:bCs w:val="0"/>
        </w:rPr>
      </w:r>
    </w:p>
    <w:p>
      <w:pPr>
        <w:spacing w:after="0" w:line="240" w:lineRule="auto"/>
        <w:jc w:val="left"/>
        <w:sectPr>
          <w:pgSz w:w="16840" w:h="11910" w:orient="landscape"/>
          <w:pgMar w:header="867" w:footer="979" w:top="1060" w:bottom="1160" w:left="1300" w:right="1240"/>
        </w:sectPr>
      </w:pPr>
    </w:p>
    <w:p>
      <w:pPr>
        <w:pStyle w:val="Heading2"/>
        <w:spacing w:line="240" w:lineRule="auto" w:before="28"/>
        <w:ind w:left="160" w:right="0"/>
        <w:jc w:val="left"/>
        <w:rPr>
          <w:b w:val="0"/>
          <w:bCs w:val="0"/>
        </w:rPr>
      </w:pPr>
      <w:r>
        <w:rPr/>
        <w:pict>
          <v:group style="position:absolute;margin-left:70.559998pt;margin-top:2.195603pt;width:700.9pt;height:.1pt;mso-position-horizontal-relative:page;mso-position-vertical-relative:paragraph;z-index:-667600" coordorigin="1411,44" coordsize="14018,2">
            <v:shape style="position:absolute;left:1411;top:44;width:14018;height:2" coordorigin="1411,44" coordsize="14018,0" path="m1411,44l15429,44e" filled="false" stroked="true" strokeweight=".72pt" strokecolor="#000000">
              <v:path arrowok="t"/>
            </v:shape>
            <w10:wrap type="none"/>
          </v:group>
        </w:pict>
      </w:r>
      <w:r>
        <w:rPr/>
        <w:t>六、重大资产和股权出售</w:t>
      </w:r>
      <w:r>
        <w:rPr>
          <w:b w:val="0"/>
          <w:bCs w:val="0"/>
        </w:rPr>
      </w:r>
    </w:p>
    <w:p>
      <w:pPr>
        <w:spacing w:line="240" w:lineRule="auto" w:before="12"/>
        <w:rPr>
          <w:rFonts w:ascii="宋体" w:hAnsi="宋体" w:cs="宋体" w:eastAsia="宋体" w:hint="default"/>
          <w:b/>
          <w:bCs/>
          <w:sz w:val="24"/>
          <w:szCs w:val="24"/>
        </w:rPr>
      </w:pPr>
    </w:p>
    <w:p>
      <w:pPr>
        <w:tabs>
          <w:tab w:pos="12512" w:val="left" w:leader="none"/>
        </w:tabs>
        <w:spacing w:before="0"/>
        <w:ind w:left="160" w:right="0" w:firstLine="0"/>
        <w:jc w:val="left"/>
        <w:rPr>
          <w:rFonts w:ascii="宋体" w:hAnsi="宋体" w:cs="宋体" w:eastAsia="宋体" w:hint="default"/>
          <w:sz w:val="21"/>
          <w:szCs w:val="21"/>
        </w:rPr>
      </w:pPr>
      <w:r>
        <w:rPr>
          <w:rFonts w:ascii="Times New Roman" w:hAnsi="Times New Roman" w:cs="Times New Roman" w:eastAsia="Times New Roman" w:hint="default"/>
          <w:b/>
          <w:bCs/>
          <w:spacing w:val="-3"/>
          <w:w w:val="100"/>
          <w:sz w:val="21"/>
          <w:szCs w:val="21"/>
        </w:rPr>
        <w:t>1</w:t>
      </w:r>
      <w:r>
        <w:rPr>
          <w:rFonts w:ascii="宋体" w:hAnsi="宋体" w:cs="宋体" w:eastAsia="宋体" w:hint="default"/>
          <w:b/>
          <w:bCs/>
          <w:spacing w:val="-87"/>
          <w:w w:val="100"/>
          <w:sz w:val="21"/>
          <w:szCs w:val="21"/>
        </w:rPr>
        <w:t>、</w:t>
      </w:r>
      <w:r>
        <w:rPr>
          <w:rFonts w:ascii="宋体" w:hAnsi="宋体" w:cs="宋体" w:eastAsia="宋体" w:hint="default"/>
          <w:b/>
          <w:bCs/>
          <w:w w:val="100"/>
          <w:sz w:val="21"/>
          <w:szCs w:val="21"/>
        </w:rPr>
        <w:t>出售重大资产情况</w:t>
      </w:r>
      <w:r>
        <w:rPr>
          <w:rFonts w:ascii="宋体" w:hAnsi="宋体" w:cs="宋体" w:eastAsia="宋体" w:hint="default"/>
          <w:b/>
          <w:bCs/>
          <w:sz w:val="21"/>
          <w:szCs w:val="21"/>
        </w:rPr>
        <w:tab/>
      </w:r>
      <w:r>
        <w:rPr>
          <w:rFonts w:ascii="Times New Roman" w:hAnsi="Times New Roman" w:cs="Times New Roman" w:eastAsia="Times New Roman" w:hint="default"/>
          <w:w w:val="100"/>
          <w:sz w:val="21"/>
          <w:szCs w:val="21"/>
        </w:rPr>
        <w:t>□</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适</w:t>
      </w:r>
      <w:r>
        <w:rPr>
          <w:rFonts w:ascii="宋体" w:hAnsi="宋体" w:cs="宋体" w:eastAsia="宋体" w:hint="default"/>
          <w:w w:val="100"/>
          <w:sz w:val="21"/>
          <w:szCs w:val="21"/>
        </w:rPr>
        <w:t>用</w:t>
      </w:r>
      <w:r>
        <w:rPr>
          <w:rFonts w:ascii="宋体" w:hAnsi="宋体" w:cs="宋体" w:eastAsia="宋体" w:hint="default"/>
          <w:sz w:val="21"/>
          <w:szCs w:val="21"/>
        </w:rPr>
        <w:t> </w:t>
      </w:r>
      <w:r>
        <w:rPr>
          <w:rFonts w:ascii="Times New Roman" w:hAnsi="Times New Roman" w:cs="Times New Roman" w:eastAsia="Times New Roman" w:hint="default"/>
          <w:w w:val="100"/>
          <w:sz w:val="21"/>
          <w:szCs w:val="21"/>
        </w:rPr>
        <w:t>√</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spacing w:val="-3"/>
          <w:w w:val="100"/>
          <w:sz w:val="21"/>
          <w:szCs w:val="21"/>
        </w:rPr>
        <w:t>不</w:t>
      </w:r>
      <w:r>
        <w:rPr>
          <w:rFonts w:ascii="宋体" w:hAnsi="宋体" w:cs="宋体" w:eastAsia="宋体" w:hint="default"/>
          <w:w w:val="100"/>
          <w:sz w:val="21"/>
          <w:szCs w:val="21"/>
        </w:rPr>
        <w:t>适用</w:t>
      </w:r>
    </w:p>
    <w:p>
      <w:pPr>
        <w:spacing w:line="240" w:lineRule="auto" w:before="10"/>
        <w:rPr>
          <w:rFonts w:ascii="宋体" w:hAnsi="宋体" w:cs="宋体" w:eastAsia="宋体" w:hint="default"/>
          <w:sz w:val="24"/>
          <w:szCs w:val="24"/>
        </w:rPr>
      </w:pPr>
    </w:p>
    <w:p>
      <w:pPr>
        <w:tabs>
          <w:tab w:pos="12512" w:val="left" w:leader="none"/>
        </w:tabs>
        <w:spacing w:before="0"/>
        <w:ind w:left="160" w:right="0" w:firstLine="0"/>
        <w:jc w:val="left"/>
        <w:rPr>
          <w:rFonts w:ascii="宋体" w:hAnsi="宋体" w:cs="宋体" w:eastAsia="宋体" w:hint="default"/>
          <w:sz w:val="21"/>
          <w:szCs w:val="21"/>
        </w:rPr>
      </w:pPr>
      <w:r>
        <w:rPr>
          <w:rFonts w:ascii="Times New Roman" w:hAnsi="Times New Roman" w:cs="Times New Roman" w:eastAsia="Times New Roman" w:hint="default"/>
          <w:b/>
          <w:bCs/>
          <w:spacing w:val="-3"/>
          <w:w w:val="100"/>
          <w:sz w:val="21"/>
          <w:szCs w:val="21"/>
        </w:rPr>
        <w:t>2</w:t>
      </w:r>
      <w:r>
        <w:rPr>
          <w:rFonts w:ascii="宋体" w:hAnsi="宋体" w:cs="宋体" w:eastAsia="宋体" w:hint="default"/>
          <w:b/>
          <w:bCs/>
          <w:spacing w:val="-87"/>
          <w:w w:val="100"/>
          <w:sz w:val="21"/>
          <w:szCs w:val="21"/>
        </w:rPr>
        <w:t>、</w:t>
      </w:r>
      <w:r>
        <w:rPr>
          <w:rFonts w:ascii="宋体" w:hAnsi="宋体" w:cs="宋体" w:eastAsia="宋体" w:hint="default"/>
          <w:b/>
          <w:bCs/>
          <w:w w:val="100"/>
          <w:sz w:val="21"/>
          <w:szCs w:val="21"/>
        </w:rPr>
        <w:t>出售重大股权情况</w:t>
      </w:r>
      <w:r>
        <w:rPr>
          <w:rFonts w:ascii="宋体" w:hAnsi="宋体" w:cs="宋体" w:eastAsia="宋体" w:hint="default"/>
          <w:b/>
          <w:bCs/>
          <w:sz w:val="21"/>
          <w:szCs w:val="21"/>
        </w:rPr>
        <w:tab/>
      </w:r>
      <w:r>
        <w:rPr>
          <w:rFonts w:ascii="Times New Roman" w:hAnsi="Times New Roman" w:cs="Times New Roman" w:eastAsia="Times New Roman" w:hint="default"/>
          <w:w w:val="100"/>
          <w:sz w:val="21"/>
          <w:szCs w:val="21"/>
        </w:rPr>
        <w:t>□</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适</w:t>
      </w:r>
      <w:r>
        <w:rPr>
          <w:rFonts w:ascii="宋体" w:hAnsi="宋体" w:cs="宋体" w:eastAsia="宋体" w:hint="default"/>
          <w:w w:val="100"/>
          <w:sz w:val="21"/>
          <w:szCs w:val="21"/>
        </w:rPr>
        <w:t>用</w:t>
      </w:r>
      <w:r>
        <w:rPr>
          <w:rFonts w:ascii="宋体" w:hAnsi="宋体" w:cs="宋体" w:eastAsia="宋体" w:hint="default"/>
          <w:sz w:val="21"/>
          <w:szCs w:val="21"/>
        </w:rPr>
        <w:t> </w:t>
      </w:r>
      <w:r>
        <w:rPr>
          <w:rFonts w:ascii="Times New Roman" w:hAnsi="Times New Roman" w:cs="Times New Roman" w:eastAsia="Times New Roman" w:hint="default"/>
          <w:w w:val="100"/>
          <w:sz w:val="21"/>
          <w:szCs w:val="21"/>
        </w:rPr>
        <w:t>√</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spacing w:val="-3"/>
          <w:w w:val="100"/>
          <w:sz w:val="21"/>
          <w:szCs w:val="21"/>
        </w:rPr>
        <w:t>不</w:t>
      </w:r>
      <w:r>
        <w:rPr>
          <w:rFonts w:ascii="宋体" w:hAnsi="宋体" w:cs="宋体" w:eastAsia="宋体" w:hint="default"/>
          <w:w w:val="100"/>
          <w:sz w:val="21"/>
          <w:szCs w:val="21"/>
        </w:rPr>
        <w:t>适用</w:t>
      </w:r>
    </w:p>
    <w:p>
      <w:pPr>
        <w:spacing w:line="240" w:lineRule="auto" w:before="8"/>
        <w:rPr>
          <w:rFonts w:ascii="宋体" w:hAnsi="宋体" w:cs="宋体" w:eastAsia="宋体" w:hint="default"/>
          <w:sz w:val="22"/>
          <w:szCs w:val="22"/>
        </w:rPr>
      </w:pPr>
    </w:p>
    <w:p>
      <w:pPr>
        <w:tabs>
          <w:tab w:pos="12512" w:val="left" w:leader="none"/>
        </w:tabs>
        <w:spacing w:before="0"/>
        <w:ind w:left="160" w:right="0" w:firstLine="0"/>
        <w:jc w:val="left"/>
        <w:rPr>
          <w:rFonts w:ascii="宋体" w:hAnsi="宋体" w:cs="宋体" w:eastAsia="宋体" w:hint="default"/>
          <w:sz w:val="21"/>
          <w:szCs w:val="21"/>
        </w:rPr>
      </w:pPr>
      <w:r>
        <w:rPr>
          <w:rFonts w:ascii="宋体" w:hAnsi="宋体" w:cs="宋体" w:eastAsia="宋体" w:hint="default"/>
          <w:b/>
          <w:bCs/>
          <w:spacing w:val="-5"/>
          <w:sz w:val="24"/>
          <w:szCs w:val="24"/>
        </w:rPr>
        <w:t>七、主要控股参股公司分析</w:t>
        <w:tab/>
      </w: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宋体" w:hAnsi="宋体" w:cs="宋体" w:eastAsia="宋体" w:hint="default"/>
          <w:sz w:val="21"/>
          <w:szCs w:val="21"/>
        </w:rPr>
        <w:t>不适用</w:t>
      </w:r>
    </w:p>
    <w:p>
      <w:pPr>
        <w:spacing w:line="240" w:lineRule="auto" w:before="4"/>
        <w:rPr>
          <w:rFonts w:ascii="宋体" w:hAnsi="宋体" w:cs="宋体" w:eastAsia="宋体" w:hint="default"/>
          <w:sz w:val="21"/>
          <w:szCs w:val="21"/>
        </w:rPr>
      </w:pPr>
    </w:p>
    <w:p>
      <w:pPr>
        <w:pStyle w:val="BodyText"/>
        <w:spacing w:line="240" w:lineRule="auto" w:before="36"/>
        <w:ind w:left="160" w:right="0"/>
        <w:jc w:val="left"/>
      </w:pPr>
      <w:r>
        <w:rPr/>
        <w:t>主要子公司及对公司净利润影响达</w:t>
      </w:r>
      <w:r>
        <w:rPr>
          <w:spacing w:val="-56"/>
        </w:rPr>
        <w:t> </w:t>
      </w:r>
      <w:r>
        <w:rPr>
          <w:rFonts w:ascii="Times New Roman" w:hAnsi="Times New Roman" w:cs="Times New Roman" w:eastAsia="Times New Roman" w:hint="default"/>
        </w:rPr>
        <w:t>10%</w:t>
      </w:r>
      <w:r>
        <w:rPr/>
        <w:t>以上的参股公司情况</w:t>
      </w:r>
    </w:p>
    <w:p>
      <w:pPr>
        <w:pStyle w:val="BodyText"/>
        <w:spacing w:line="240" w:lineRule="auto" w:before="59"/>
        <w:ind w:left="0" w:right="153"/>
        <w:jc w:val="right"/>
      </w:pPr>
      <w:r>
        <w:rPr>
          <w:spacing w:val="-1"/>
        </w:rPr>
        <w:t>单位：元</w:t>
      </w:r>
    </w:p>
    <w:p>
      <w:pPr>
        <w:spacing w:line="240" w:lineRule="auto" w:before="12"/>
        <w:rPr>
          <w:rFonts w:ascii="宋体" w:hAnsi="宋体" w:cs="宋体" w:eastAsia="宋体" w:hint="default"/>
          <w:sz w:val="6"/>
          <w:szCs w:val="6"/>
        </w:rPr>
      </w:pPr>
    </w:p>
    <w:tbl>
      <w:tblPr>
        <w:tblW w:w="0" w:type="auto"/>
        <w:jc w:val="left"/>
        <w:tblInd w:w="116" w:type="dxa"/>
        <w:tblLayout w:type="fixed"/>
        <w:tblCellMar>
          <w:top w:w="0" w:type="dxa"/>
          <w:left w:w="0" w:type="dxa"/>
          <w:bottom w:w="0" w:type="dxa"/>
          <w:right w:w="0" w:type="dxa"/>
        </w:tblCellMar>
        <w:tblLook w:val="01E0"/>
      </w:tblPr>
      <w:tblGrid>
        <w:gridCol w:w="1560"/>
        <w:gridCol w:w="1843"/>
        <w:gridCol w:w="2693"/>
        <w:gridCol w:w="1135"/>
        <w:gridCol w:w="1416"/>
        <w:gridCol w:w="1418"/>
        <w:gridCol w:w="1417"/>
        <w:gridCol w:w="1277"/>
        <w:gridCol w:w="1277"/>
      </w:tblGrid>
      <w:tr>
        <w:trPr>
          <w:trHeight w:val="401"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55" w:right="0"/>
              <w:jc w:val="left"/>
              <w:rPr>
                <w:rFonts w:ascii="宋体" w:hAnsi="宋体" w:cs="宋体" w:eastAsia="宋体" w:hint="default"/>
                <w:sz w:val="21"/>
                <w:szCs w:val="21"/>
              </w:rPr>
            </w:pPr>
            <w:r>
              <w:rPr>
                <w:rFonts w:ascii="宋体" w:hAnsi="宋体" w:cs="宋体" w:eastAsia="宋体" w:hint="default"/>
                <w:sz w:val="21"/>
                <w:szCs w:val="21"/>
              </w:rPr>
              <w:t>公司名称</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公司类型</w:t>
            </w:r>
          </w:p>
        </w:tc>
        <w:tc>
          <w:tcPr>
            <w:tcW w:w="2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sz w:val="21"/>
                <w:szCs w:val="21"/>
              </w:rPr>
              <w:t>主要业务</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注册资本</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总资产</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净资产</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营业利润</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净利润</w:t>
            </w:r>
          </w:p>
        </w:tc>
      </w:tr>
      <w:tr>
        <w:trPr>
          <w:trHeight w:val="71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3" w:right="51"/>
              <w:jc w:val="left"/>
              <w:rPr>
                <w:rFonts w:ascii="宋体" w:hAnsi="宋体" w:cs="宋体" w:eastAsia="宋体" w:hint="default"/>
                <w:sz w:val="21"/>
                <w:szCs w:val="21"/>
              </w:rPr>
            </w:pPr>
            <w:r>
              <w:rPr>
                <w:rFonts w:ascii="宋体" w:hAnsi="宋体" w:cs="宋体" w:eastAsia="宋体" w:hint="default"/>
                <w:sz w:val="21"/>
                <w:szCs w:val="21"/>
              </w:rPr>
              <w:t>扬州华声电子实</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业有限公司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1" w:right="21"/>
              <w:jc w:val="left"/>
              <w:rPr>
                <w:rFonts w:ascii="宋体" w:hAnsi="宋体" w:cs="宋体" w:eastAsia="宋体" w:hint="default"/>
                <w:sz w:val="21"/>
                <w:szCs w:val="21"/>
              </w:rPr>
            </w:pPr>
            <w:r>
              <w:rPr>
                <w:rFonts w:ascii="宋体" w:hAnsi="宋体" w:cs="宋体" w:eastAsia="宋体" w:hint="default"/>
                <w:spacing w:val="-9"/>
                <w:sz w:val="21"/>
                <w:szCs w:val="21"/>
              </w:rPr>
              <w:t>生产、加工、销售连接线、连</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接器、电源线及插头、铜杆</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8" w:right="0"/>
              <w:jc w:val="center"/>
              <w:rPr>
                <w:rFonts w:ascii="Times New Roman" w:hAnsi="Times New Roman" w:cs="Times New Roman" w:eastAsia="Times New Roman" w:hint="default"/>
                <w:sz w:val="21"/>
                <w:szCs w:val="21"/>
              </w:rPr>
            </w:pPr>
            <w:r>
              <w:rPr>
                <w:rFonts w:ascii="Times New Roman"/>
                <w:sz w:val="21"/>
              </w:rPr>
              <w:t>120,000,000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48" w:right="0"/>
              <w:jc w:val="center"/>
              <w:rPr>
                <w:rFonts w:ascii="Times New Roman" w:hAnsi="Times New Roman" w:cs="Times New Roman" w:eastAsia="Times New Roman" w:hint="default"/>
                <w:sz w:val="21"/>
                <w:szCs w:val="21"/>
              </w:rPr>
            </w:pPr>
            <w:r>
              <w:rPr>
                <w:rFonts w:ascii="Times New Roman"/>
                <w:sz w:val="21"/>
              </w:rPr>
              <w:t>309,632,517.30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5" w:right="0"/>
              <w:jc w:val="center"/>
              <w:rPr>
                <w:rFonts w:ascii="Times New Roman" w:hAnsi="Times New Roman" w:cs="Times New Roman" w:eastAsia="Times New Roman" w:hint="default"/>
                <w:sz w:val="21"/>
                <w:szCs w:val="21"/>
              </w:rPr>
            </w:pPr>
            <w:r>
              <w:rPr>
                <w:rFonts w:ascii="Times New Roman"/>
                <w:sz w:val="21"/>
              </w:rPr>
              <w:t>182,479,947.90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2" w:right="0"/>
              <w:jc w:val="center"/>
              <w:rPr>
                <w:rFonts w:ascii="Times New Roman" w:hAnsi="Times New Roman" w:cs="Times New Roman" w:eastAsia="Times New Roman" w:hint="default"/>
                <w:sz w:val="21"/>
                <w:szCs w:val="21"/>
              </w:rPr>
            </w:pPr>
            <w:r>
              <w:rPr>
                <w:rFonts w:ascii="Times New Roman"/>
                <w:sz w:val="21"/>
              </w:rPr>
              <w:t>446,258,515.06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4" w:right="0"/>
              <w:jc w:val="center"/>
              <w:rPr>
                <w:rFonts w:ascii="Times New Roman" w:hAnsi="Times New Roman" w:cs="Times New Roman" w:eastAsia="Times New Roman" w:hint="default"/>
                <w:sz w:val="21"/>
                <w:szCs w:val="21"/>
              </w:rPr>
            </w:pPr>
            <w:r>
              <w:rPr>
                <w:rFonts w:ascii="Times New Roman"/>
                <w:sz w:val="21"/>
              </w:rPr>
              <w:t>25,155,568.39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4" w:right="0"/>
              <w:jc w:val="center"/>
              <w:rPr>
                <w:rFonts w:ascii="Times New Roman" w:hAnsi="Times New Roman" w:cs="Times New Roman" w:eastAsia="Times New Roman" w:hint="default"/>
                <w:sz w:val="21"/>
                <w:szCs w:val="21"/>
              </w:rPr>
            </w:pPr>
            <w:r>
              <w:rPr>
                <w:rFonts w:ascii="Times New Roman"/>
                <w:sz w:val="21"/>
              </w:rPr>
              <w:t>21,462,962.16</w:t>
            </w:r>
          </w:p>
        </w:tc>
      </w:tr>
    </w:tbl>
    <w:p>
      <w:pPr>
        <w:pStyle w:val="BodyText"/>
        <w:tabs>
          <w:tab w:pos="12447" w:val="left" w:leader="none"/>
        </w:tabs>
        <w:spacing w:line="240" w:lineRule="auto" w:before="28"/>
        <w:ind w:left="160" w:right="0"/>
        <w:jc w:val="left"/>
      </w:pPr>
      <w:r>
        <w:rPr>
          <w:spacing w:val="-2"/>
        </w:rPr>
        <w:t>报告期内取得和处置子公司的情况</w:t>
        <w:tab/>
      </w:r>
      <w:r>
        <w:rPr>
          <w:rFonts w:ascii="Times New Roman" w:hAnsi="Times New Roman" w:cs="Times New Roman" w:eastAsia="Times New Roman" w:hint="default"/>
        </w:rPr>
        <w:t>√  </w:t>
      </w:r>
      <w:r>
        <w:rPr>
          <w:spacing w:val="-2"/>
        </w:rPr>
        <w:t>适用</w:t>
      </w:r>
      <w:r>
        <w:rPr/>
        <w:t> </w:t>
      </w:r>
      <w:r>
        <w:rPr>
          <w:rFonts w:ascii="Times New Roman" w:hAnsi="Times New Roman" w:cs="Times New Roman" w:eastAsia="Times New Roman" w:hint="default"/>
        </w:rPr>
        <w:t>□ </w:t>
      </w:r>
      <w:r>
        <w:rPr>
          <w:rFonts w:ascii="Times New Roman" w:hAnsi="Times New Roman" w:cs="Times New Roman" w:eastAsia="Times New Roman" w:hint="default"/>
          <w:spacing w:val="4"/>
        </w:rPr>
        <w:t> </w:t>
      </w:r>
      <w:r>
        <w:rPr>
          <w:spacing w:val="-1"/>
        </w:rPr>
        <w:t>不适用</w:t>
      </w:r>
    </w:p>
    <w:p>
      <w:pPr>
        <w:spacing w:line="240" w:lineRule="auto" w:before="7"/>
        <w:rPr>
          <w:rFonts w:ascii="宋体" w:hAnsi="宋体" w:cs="宋体" w:eastAsia="宋体" w:hint="default"/>
          <w:sz w:val="5"/>
          <w:szCs w:val="5"/>
        </w:rPr>
      </w:pPr>
    </w:p>
    <w:tbl>
      <w:tblPr>
        <w:tblW w:w="0" w:type="auto"/>
        <w:jc w:val="left"/>
        <w:tblInd w:w="116" w:type="dxa"/>
        <w:tblLayout w:type="fixed"/>
        <w:tblCellMar>
          <w:top w:w="0" w:type="dxa"/>
          <w:left w:w="0" w:type="dxa"/>
          <w:bottom w:w="0" w:type="dxa"/>
          <w:right w:w="0" w:type="dxa"/>
        </w:tblCellMar>
        <w:tblLook w:val="01E0"/>
      </w:tblPr>
      <w:tblGrid>
        <w:gridCol w:w="4679"/>
        <w:gridCol w:w="3970"/>
        <w:gridCol w:w="5389"/>
      </w:tblGrid>
      <w:tr>
        <w:trPr>
          <w:trHeight w:val="404" w:hRule="exact"/>
        </w:trPr>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21"/>
                <w:szCs w:val="21"/>
              </w:rPr>
            </w:pPr>
            <w:r>
              <w:rPr>
                <w:rFonts w:ascii="宋体" w:hAnsi="宋体" w:cs="宋体" w:eastAsia="宋体" w:hint="default"/>
                <w:sz w:val="21"/>
                <w:szCs w:val="21"/>
              </w:rPr>
              <w:t>公司名称</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508" w:right="0"/>
              <w:jc w:val="left"/>
              <w:rPr>
                <w:rFonts w:ascii="宋体" w:hAnsi="宋体" w:cs="宋体" w:eastAsia="宋体" w:hint="default"/>
                <w:sz w:val="21"/>
                <w:szCs w:val="21"/>
              </w:rPr>
            </w:pPr>
            <w:r>
              <w:rPr>
                <w:rFonts w:ascii="宋体" w:hAnsi="宋体" w:cs="宋体" w:eastAsia="宋体" w:hint="default"/>
                <w:sz w:val="21"/>
                <w:szCs w:val="21"/>
              </w:rPr>
              <w:t>报告期内取得和处置子公司方式</w:t>
            </w:r>
          </w:p>
        </w:tc>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322" w:right="0"/>
              <w:jc w:val="left"/>
              <w:rPr>
                <w:rFonts w:ascii="宋体" w:hAnsi="宋体" w:cs="宋体" w:eastAsia="宋体" w:hint="default"/>
                <w:sz w:val="21"/>
                <w:szCs w:val="21"/>
              </w:rPr>
            </w:pPr>
            <w:r>
              <w:rPr>
                <w:rFonts w:ascii="宋体" w:hAnsi="宋体" w:cs="宋体" w:eastAsia="宋体" w:hint="default"/>
                <w:sz w:val="21"/>
                <w:szCs w:val="21"/>
              </w:rPr>
              <w:t>对整体生产经营和业绩的影响</w:t>
            </w:r>
          </w:p>
        </w:tc>
      </w:tr>
      <w:tr>
        <w:trPr>
          <w:trHeight w:val="401" w:hRule="exact"/>
        </w:trPr>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广东华声电缆有限公司</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自有资金投资</w:t>
            </w:r>
          </w:p>
        </w:tc>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对净利润影响额为</w:t>
            </w:r>
            <w:r>
              <w:rPr>
                <w:rFonts w:ascii="Times New Roman" w:hAnsi="Times New Roman" w:cs="Times New Roman" w:eastAsia="Times New Roman" w:hint="default"/>
                <w:sz w:val="21"/>
                <w:szCs w:val="21"/>
              </w:rPr>
              <w:t>-29.56 </w:t>
            </w:r>
            <w:r>
              <w:rPr>
                <w:rFonts w:ascii="宋体" w:hAnsi="宋体" w:cs="宋体" w:eastAsia="宋体" w:hint="default"/>
                <w:sz w:val="21"/>
                <w:szCs w:val="21"/>
              </w:rPr>
              <w:t>万元。</w:t>
            </w:r>
          </w:p>
        </w:tc>
      </w:tr>
      <w:tr>
        <w:trPr>
          <w:trHeight w:val="403" w:hRule="exact"/>
        </w:trPr>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深圳华声前海投资有限公司</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自有资金投资</w:t>
            </w:r>
          </w:p>
        </w:tc>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对净利润影响额为</w:t>
            </w:r>
            <w:r>
              <w:rPr>
                <w:rFonts w:ascii="Times New Roman" w:hAnsi="Times New Roman" w:cs="Times New Roman" w:eastAsia="Times New Roman" w:hint="default"/>
                <w:sz w:val="21"/>
                <w:szCs w:val="21"/>
              </w:rPr>
              <w:t>-18.63 </w:t>
            </w:r>
            <w:r>
              <w:rPr>
                <w:rFonts w:ascii="宋体" w:hAnsi="宋体" w:cs="宋体" w:eastAsia="宋体" w:hint="default"/>
                <w:sz w:val="21"/>
                <w:szCs w:val="21"/>
              </w:rPr>
              <w:t>万元。</w:t>
            </w:r>
          </w:p>
        </w:tc>
      </w:tr>
      <w:tr>
        <w:trPr>
          <w:trHeight w:val="401" w:hRule="exact"/>
        </w:trPr>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广东华声电器实业有限公司</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自有资金投资</w:t>
            </w:r>
          </w:p>
        </w:tc>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对净利润影响额为</w:t>
            </w:r>
            <w:r>
              <w:rPr>
                <w:rFonts w:ascii="Times New Roman" w:hAnsi="Times New Roman" w:cs="Times New Roman" w:eastAsia="Times New Roman" w:hint="default"/>
                <w:sz w:val="21"/>
                <w:szCs w:val="21"/>
              </w:rPr>
              <w:t>-16.50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元。</w:t>
            </w:r>
          </w:p>
        </w:tc>
      </w:tr>
      <w:tr>
        <w:trPr>
          <w:trHeight w:val="403" w:hRule="exact"/>
        </w:trPr>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Times New Roman" w:hAnsi="Times New Roman" w:cs="Times New Roman" w:eastAsia="Times New Roman" w:hint="default"/>
                <w:sz w:val="21"/>
                <w:szCs w:val="21"/>
              </w:rPr>
            </w:pPr>
            <w:r>
              <w:rPr>
                <w:rFonts w:ascii="Times New Roman"/>
                <w:spacing w:val="-9"/>
                <w:sz w:val="21"/>
              </w:rPr>
              <w:t>Wa </w:t>
            </w:r>
            <w:r>
              <w:rPr>
                <w:rFonts w:ascii="Times New Roman"/>
                <w:sz w:val="21"/>
              </w:rPr>
              <w:t>Sung Investment</w:t>
            </w:r>
            <w:r>
              <w:rPr>
                <w:rFonts w:ascii="Times New Roman"/>
                <w:spacing w:val="3"/>
                <w:sz w:val="21"/>
              </w:rPr>
              <w:t> </w:t>
            </w:r>
            <w:r>
              <w:rPr>
                <w:rFonts w:ascii="Times New Roman"/>
                <w:sz w:val="21"/>
              </w:rPr>
              <w:t>Limited</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自有资金投资</w:t>
            </w:r>
          </w:p>
        </w:tc>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5"/>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38"/>
                <w:sz w:val="21"/>
                <w:szCs w:val="21"/>
              </w:rPr>
              <w:t> </w:t>
            </w:r>
            <w:r>
              <w:rPr>
                <w:rFonts w:ascii="宋体" w:hAnsi="宋体" w:cs="宋体" w:eastAsia="宋体" w:hint="default"/>
                <w:spacing w:val="-3"/>
                <w:sz w:val="21"/>
                <w:szCs w:val="21"/>
              </w:rPr>
              <w:t>年底取得，报告期内对整体生产经营和业绩无影响。</w:t>
            </w:r>
          </w:p>
        </w:tc>
      </w:tr>
      <w:tr>
        <w:trPr>
          <w:trHeight w:val="401" w:hRule="exact"/>
        </w:trPr>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华声国际投资有限公司</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自有资金投资</w:t>
            </w:r>
          </w:p>
        </w:tc>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5"/>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38"/>
                <w:sz w:val="21"/>
                <w:szCs w:val="21"/>
              </w:rPr>
              <w:t> </w:t>
            </w:r>
            <w:r>
              <w:rPr>
                <w:rFonts w:ascii="宋体" w:hAnsi="宋体" w:cs="宋体" w:eastAsia="宋体" w:hint="default"/>
                <w:spacing w:val="-3"/>
                <w:sz w:val="21"/>
                <w:szCs w:val="21"/>
              </w:rPr>
              <w:t>年底取得，报告期内对整体生产经营和业绩无影响。</w:t>
            </w:r>
          </w:p>
        </w:tc>
      </w:tr>
      <w:tr>
        <w:trPr>
          <w:trHeight w:val="404" w:hRule="exact"/>
        </w:trPr>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3" w:right="0"/>
              <w:jc w:val="left"/>
              <w:rPr>
                <w:rFonts w:ascii="宋体" w:hAnsi="宋体" w:cs="宋体" w:eastAsia="宋体" w:hint="default"/>
                <w:sz w:val="21"/>
                <w:szCs w:val="21"/>
              </w:rPr>
            </w:pPr>
            <w:r>
              <w:rPr>
                <w:rFonts w:ascii="宋体" w:hAnsi="宋体" w:cs="宋体" w:eastAsia="宋体" w:hint="default"/>
                <w:sz w:val="21"/>
                <w:szCs w:val="21"/>
              </w:rPr>
              <w:t>华声互联网投资管理有限公司</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3" w:right="0"/>
              <w:jc w:val="left"/>
              <w:rPr>
                <w:rFonts w:ascii="宋体" w:hAnsi="宋体" w:cs="宋体" w:eastAsia="宋体" w:hint="default"/>
                <w:sz w:val="21"/>
                <w:szCs w:val="21"/>
              </w:rPr>
            </w:pPr>
            <w:r>
              <w:rPr>
                <w:rFonts w:ascii="宋体" w:hAnsi="宋体" w:cs="宋体" w:eastAsia="宋体" w:hint="default"/>
                <w:sz w:val="21"/>
                <w:szCs w:val="21"/>
              </w:rPr>
              <w:t>自有资金投资</w:t>
            </w:r>
          </w:p>
        </w:tc>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3" w:right="-5"/>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38"/>
                <w:sz w:val="21"/>
                <w:szCs w:val="21"/>
              </w:rPr>
              <w:t> </w:t>
            </w:r>
            <w:r>
              <w:rPr>
                <w:rFonts w:ascii="宋体" w:hAnsi="宋体" w:cs="宋体" w:eastAsia="宋体" w:hint="default"/>
                <w:spacing w:val="-3"/>
                <w:sz w:val="21"/>
                <w:szCs w:val="21"/>
              </w:rPr>
              <w:t>年底取得，报告期内对整体生产经营和业绩无影响。</w:t>
            </w:r>
          </w:p>
        </w:tc>
      </w:tr>
    </w:tbl>
    <w:p>
      <w:pPr>
        <w:spacing w:line="240" w:lineRule="auto" w:before="1"/>
        <w:rPr>
          <w:rFonts w:ascii="宋体" w:hAnsi="宋体" w:cs="宋体" w:eastAsia="宋体" w:hint="default"/>
          <w:sz w:val="18"/>
          <w:szCs w:val="18"/>
        </w:rPr>
      </w:pPr>
    </w:p>
    <w:p>
      <w:pPr>
        <w:tabs>
          <w:tab w:pos="12512" w:val="left" w:leader="none"/>
        </w:tabs>
        <w:spacing w:before="26"/>
        <w:ind w:left="160" w:right="0" w:firstLine="0"/>
        <w:jc w:val="left"/>
        <w:rPr>
          <w:rFonts w:ascii="宋体" w:hAnsi="宋体" w:cs="宋体" w:eastAsia="宋体" w:hint="default"/>
          <w:sz w:val="21"/>
          <w:szCs w:val="21"/>
        </w:rPr>
      </w:pPr>
      <w:r>
        <w:rPr>
          <w:rFonts w:ascii="宋体" w:hAnsi="宋体" w:cs="宋体" w:eastAsia="宋体" w:hint="default"/>
          <w:b/>
          <w:bCs/>
          <w:spacing w:val="-4"/>
          <w:w w:val="95"/>
          <w:sz w:val="24"/>
          <w:szCs w:val="24"/>
        </w:rPr>
        <w:t>八、公司控制的结构化主体情况</w:t>
        <w:tab/>
      </w: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不适用</w:t>
      </w:r>
    </w:p>
    <w:p>
      <w:pPr>
        <w:spacing w:after="0"/>
        <w:jc w:val="left"/>
        <w:rPr>
          <w:rFonts w:ascii="宋体" w:hAnsi="宋体" w:cs="宋体" w:eastAsia="宋体" w:hint="default"/>
          <w:sz w:val="21"/>
          <w:szCs w:val="21"/>
        </w:rPr>
        <w:sectPr>
          <w:pgSz w:w="16840" w:h="11910" w:orient="landscape"/>
          <w:pgMar w:header="867" w:footer="979" w:top="1060" w:bottom="1160" w:left="1280" w:right="1280"/>
        </w:sectPr>
      </w:pPr>
    </w:p>
    <w:p>
      <w:pPr>
        <w:spacing w:line="240" w:lineRule="auto" w:before="8"/>
        <w:rPr>
          <w:rFonts w:ascii="宋体" w:hAnsi="宋体" w:cs="宋体" w:eastAsia="宋体" w:hint="default"/>
          <w:sz w:val="23"/>
          <w:szCs w:val="23"/>
        </w:rPr>
      </w:pPr>
    </w:p>
    <w:p>
      <w:pPr>
        <w:pStyle w:val="Heading2"/>
        <w:spacing w:line="240" w:lineRule="auto" w:before="26"/>
        <w:ind w:right="0"/>
        <w:jc w:val="both"/>
        <w:rPr>
          <w:b w:val="0"/>
          <w:bCs w:val="0"/>
        </w:rPr>
      </w:pPr>
      <w:r>
        <w:rPr/>
        <w:t>九、公司未来发展的展望</w:t>
      </w:r>
      <w:r>
        <w:rPr>
          <w:b w:val="0"/>
          <w:bCs w:val="0"/>
        </w:rPr>
      </w:r>
    </w:p>
    <w:p>
      <w:pPr>
        <w:spacing w:line="240" w:lineRule="auto" w:before="12"/>
        <w:rPr>
          <w:rFonts w:ascii="宋体" w:hAnsi="宋体" w:cs="宋体" w:eastAsia="宋体" w:hint="default"/>
          <w:b/>
          <w:bCs/>
          <w:sz w:val="24"/>
          <w:szCs w:val="24"/>
        </w:rPr>
      </w:pPr>
    </w:p>
    <w:p>
      <w:pPr>
        <w:pStyle w:val="BodyText"/>
        <w:spacing w:line="273" w:lineRule="auto"/>
        <w:ind w:left="573" w:right="105" w:firstLine="2"/>
        <w:jc w:val="left"/>
      </w:pPr>
      <w:r>
        <w:rPr>
          <w:rFonts w:ascii="宋体" w:hAnsi="宋体" w:cs="宋体" w:eastAsia="宋体" w:hint="default"/>
          <w:b/>
          <w:bCs/>
        </w:rPr>
        <w:t>（一）未来发展战略</w:t>
      </w:r>
      <w:r>
        <w:rPr>
          <w:rFonts w:ascii="宋体" w:hAnsi="宋体" w:cs="宋体" w:eastAsia="宋体" w:hint="default"/>
          <w:b/>
          <w:bCs/>
          <w:w w:val="100"/>
        </w:rPr>
        <w:t> </w:t>
      </w:r>
      <w:r>
        <w:rPr>
          <w:spacing w:val="-2"/>
        </w:rPr>
        <w:t>公司长期发展战略为：通过内生式和外延式的发展，充分利用互联网创新手段，基于互联网生态圈，</w:t>
      </w:r>
    </w:p>
    <w:p>
      <w:pPr>
        <w:pStyle w:val="BodyText"/>
        <w:spacing w:line="273" w:lineRule="auto" w:before="7"/>
        <w:ind w:right="207"/>
        <w:jc w:val="both"/>
      </w:pPr>
      <w:r>
        <w:rPr>
          <w:spacing w:val="-2"/>
        </w:rPr>
        <w:t>逐步建立涵盖证券、保险、投资、信托等业务的金融服务体系，最终将公司打造为一个专业、创新、开放</w:t>
      </w:r>
      <w:r>
        <w:rPr>
          <w:spacing w:val="-42"/>
        </w:rPr>
        <w:t> </w:t>
      </w:r>
      <w:r>
        <w:rPr>
          <w:spacing w:val="-42"/>
        </w:rPr>
      </w:r>
      <w:r>
        <w:rPr/>
        <w:t>的互联网金控平台。</w:t>
      </w:r>
    </w:p>
    <w:p>
      <w:pPr>
        <w:spacing w:line="256" w:lineRule="auto" w:before="7"/>
        <w:ind w:left="573" w:right="105" w:firstLine="2"/>
        <w:jc w:val="left"/>
        <w:rPr>
          <w:rFonts w:ascii="宋体" w:hAnsi="宋体" w:cs="宋体" w:eastAsia="宋体" w:hint="default"/>
          <w:sz w:val="21"/>
          <w:szCs w:val="21"/>
        </w:rPr>
      </w:pPr>
      <w:r>
        <w:rPr>
          <w:rFonts w:ascii="宋体" w:hAnsi="宋体" w:cs="宋体" w:eastAsia="宋体" w:hint="default"/>
          <w:b/>
          <w:bCs/>
          <w:sz w:val="21"/>
          <w:szCs w:val="21"/>
        </w:rPr>
        <w:t>（二）</w:t>
      </w:r>
      <w:r>
        <w:rPr>
          <w:rFonts w:ascii="Times New Roman" w:hAnsi="Times New Roman" w:cs="Times New Roman" w:eastAsia="Times New Roman" w:hint="default"/>
          <w:b/>
          <w:bCs/>
          <w:sz w:val="21"/>
          <w:szCs w:val="21"/>
        </w:rPr>
        <w:t>2016</w:t>
      </w:r>
      <w:r>
        <w:rPr>
          <w:rFonts w:ascii="宋体" w:hAnsi="宋体" w:cs="宋体" w:eastAsia="宋体" w:hint="default"/>
          <w:b/>
          <w:bCs/>
          <w:sz w:val="21"/>
          <w:szCs w:val="21"/>
        </w:rPr>
        <w:t>年度工作规划</w:t>
      </w:r>
      <w:r>
        <w:rPr>
          <w:rFonts w:ascii="宋体" w:hAnsi="宋体" w:cs="宋体" w:eastAsia="宋体" w:hint="default"/>
          <w:b/>
          <w:bCs/>
          <w:w w:val="100"/>
          <w:sz w:val="21"/>
          <w:szCs w:val="21"/>
        </w:rPr>
        <w:t> </w:t>
      </w:r>
      <w:r>
        <w:rPr>
          <w:rFonts w:ascii="宋体" w:hAnsi="宋体" w:cs="宋体" w:eastAsia="宋体" w:hint="default"/>
          <w:spacing w:val="-2"/>
          <w:sz w:val="21"/>
          <w:szCs w:val="21"/>
        </w:rPr>
        <w:t>2016</w:t>
      </w:r>
      <w:r>
        <w:rPr>
          <w:rFonts w:ascii="宋体" w:hAnsi="宋体" w:cs="宋体" w:eastAsia="宋体" w:hint="default"/>
          <w:spacing w:val="-2"/>
          <w:sz w:val="21"/>
          <w:szCs w:val="21"/>
        </w:rPr>
        <w:t>年是公司战略和业务转型后的第一年，母公司和各业务模块将以长期战略目标和未来五年经营目</w:t>
      </w:r>
    </w:p>
    <w:p>
      <w:pPr>
        <w:pStyle w:val="BodyText"/>
        <w:spacing w:line="273" w:lineRule="auto" w:before="22"/>
        <w:ind w:left="573" w:right="6433" w:hanging="421"/>
        <w:jc w:val="left"/>
      </w:pPr>
      <w:r>
        <w:rPr>
          <w:spacing w:val="-2"/>
        </w:rPr>
        <w:t>标为引领，开展如下工作：</w:t>
      </w:r>
      <w:r>
        <w:rPr>
          <w:spacing w:val="-83"/>
        </w:rPr>
        <w:t> </w:t>
      </w:r>
      <w:r>
        <w:rPr>
          <w:spacing w:val="-83"/>
        </w:rPr>
      </w:r>
      <w:r>
        <w:rPr>
          <w:rFonts w:ascii="宋体" w:hAnsi="宋体" w:cs="宋体" w:eastAsia="宋体" w:hint="default"/>
        </w:rPr>
        <w:t>1</w:t>
      </w:r>
      <w:r>
        <w:rPr/>
        <w:t>、母公司</w:t>
      </w:r>
    </w:p>
    <w:p>
      <w:pPr>
        <w:pStyle w:val="BodyText"/>
        <w:spacing w:line="273" w:lineRule="auto" w:before="7"/>
        <w:ind w:right="105" w:firstLine="420"/>
        <w:jc w:val="left"/>
      </w:pPr>
      <w:r>
        <w:rPr>
          <w:spacing w:val="-5"/>
        </w:rPr>
        <w:t>公司将争取各方支持，尽早完成本次重组的实施。公司计划将线缆业务以划转方式整体下沉至子公司，</w:t>
      </w:r>
      <w:r>
        <w:rPr>
          <w:w w:val="100"/>
        </w:rPr>
        <w:t> </w:t>
      </w:r>
      <w:r>
        <w:rPr/>
        <w:t>划转后母公司升级为控股管理平台，其工作定位逐步调整为战略规划、投资管理、风险控制、财务管理、</w:t>
      </w:r>
      <w:r>
        <w:rPr>
          <w:w w:val="100"/>
        </w:rPr>
        <w:t> </w:t>
      </w:r>
      <w:r>
        <w:rPr>
          <w:spacing w:val="-2"/>
        </w:rPr>
        <w:t>人力资源管理和大行政统一管理。公司计划在上述划转工作完成后尽快启动制度、流程的梳理、调整与完</w:t>
      </w:r>
      <w:r>
        <w:rPr>
          <w:spacing w:val="-43"/>
        </w:rPr>
        <w:t> </w:t>
      </w:r>
      <w:r>
        <w:rPr>
          <w:spacing w:val="-43"/>
        </w:rPr>
      </w:r>
      <w:r>
        <w:rPr>
          <w:spacing w:val="-2"/>
        </w:rPr>
        <w:t>善工作，逐步建立能够有效管控三大业务模块的制度和流程体系；将吸纳互联网金融领域的运营管理人才</w:t>
      </w:r>
      <w:r>
        <w:rPr>
          <w:spacing w:val="-43"/>
        </w:rPr>
        <w:t> </w:t>
      </w:r>
      <w:r>
        <w:rPr>
          <w:spacing w:val="-43"/>
        </w:rPr>
      </w:r>
      <w:r>
        <w:rPr>
          <w:spacing w:val="-2"/>
        </w:rPr>
        <w:t>及其他专业人才，充实团队；将开展资源与企业文化整合，为充分发挥业务协同效应、实现集团资源的范</w:t>
      </w:r>
      <w:r>
        <w:rPr>
          <w:spacing w:val="-50"/>
        </w:rPr>
        <w:t> </w:t>
      </w:r>
      <w:r>
        <w:rPr>
          <w:spacing w:val="-50"/>
        </w:rPr>
      </w:r>
      <w:r>
        <w:rPr/>
        <w:t>围经济和规模经济创造良好氛围。</w:t>
      </w:r>
    </w:p>
    <w:p>
      <w:pPr>
        <w:pStyle w:val="BodyText"/>
        <w:spacing w:line="273" w:lineRule="auto" w:before="7"/>
        <w:ind w:right="105" w:firstLine="420"/>
        <w:jc w:val="left"/>
      </w:pPr>
      <w:r>
        <w:rPr>
          <w:spacing w:val="-2"/>
        </w:rPr>
        <w:t>公司将做好董事会换届工作，从适应重组后资产与业务特点并满足未来五年经营发展战略实施需要出</w:t>
      </w:r>
      <w:r>
        <w:rPr>
          <w:w w:val="100"/>
        </w:rPr>
        <w:t> </w:t>
      </w:r>
      <w:r>
        <w:rPr/>
        <w:t>发，稳步推进良好治理机制建设。</w:t>
      </w:r>
    </w:p>
    <w:p>
      <w:pPr>
        <w:pStyle w:val="BodyText"/>
        <w:spacing w:line="273" w:lineRule="auto" w:before="7"/>
        <w:ind w:left="573" w:right="105"/>
        <w:jc w:val="left"/>
      </w:pPr>
      <w:r>
        <w:rPr>
          <w:rFonts w:ascii="宋体" w:hAnsi="宋体" w:cs="宋体" w:eastAsia="宋体" w:hint="default"/>
        </w:rPr>
        <w:t>2</w:t>
      </w:r>
      <w:r>
        <w:rPr/>
        <w:t>、证券业务</w:t>
      </w:r>
      <w:r>
        <w:rPr>
          <w:w w:val="100"/>
        </w:rPr>
        <w:t> </w:t>
      </w:r>
      <w:r>
        <w:rPr>
          <w:spacing w:val="-2"/>
        </w:rPr>
        <w:t>公司将在本次重组完成后补充国盛证券资本金。国盛证券将以此为契机，提高综合实力，实现业务全</w:t>
      </w:r>
    </w:p>
    <w:p>
      <w:pPr>
        <w:pStyle w:val="BodyText"/>
        <w:spacing w:line="273" w:lineRule="auto" w:before="7"/>
        <w:ind w:right="206"/>
        <w:jc w:val="both"/>
      </w:pPr>
      <w:r>
        <w:rPr>
          <w:spacing w:val="-2"/>
        </w:rPr>
        <w:t>面升级。具体包括：推动传统经纪业务向财富管理等综合服务转型，建立与投资银行、资产管理等业务联</w:t>
      </w:r>
      <w:r>
        <w:rPr>
          <w:spacing w:val="-47"/>
        </w:rPr>
        <w:t> </w:t>
      </w:r>
      <w:r>
        <w:rPr>
          <w:spacing w:val="-47"/>
        </w:rPr>
      </w:r>
      <w:r>
        <w:rPr>
          <w:spacing w:val="-2"/>
        </w:rPr>
        <w:t>动发展的新型商业模式；密切关注发行制度改革、并购重组、多层次资本市场建设等前沿动态，推动投行</w:t>
      </w:r>
      <w:r>
        <w:rPr>
          <w:spacing w:val="-50"/>
        </w:rPr>
        <w:t> </w:t>
      </w:r>
      <w:r>
        <w:rPr>
          <w:spacing w:val="-50"/>
        </w:rPr>
      </w:r>
      <w:r>
        <w:rPr>
          <w:spacing w:val="-2"/>
        </w:rPr>
        <w:t>业务由股债承销业务向全方位、专业化服务转型；开发风险与收益层次丰富的多种产品，实现资产管理业</w:t>
      </w:r>
      <w:r>
        <w:rPr>
          <w:spacing w:val="-43"/>
        </w:rPr>
        <w:t> </w:t>
      </w:r>
      <w:r>
        <w:rPr>
          <w:spacing w:val="-43"/>
        </w:rPr>
      </w:r>
      <w:r>
        <w:rPr>
          <w:spacing w:val="-2"/>
        </w:rPr>
        <w:t>务规模和净收入的明显提升；控制自营投资风险，改善投资结构，努力实现自营投资的绝对收益；发展信</w:t>
      </w:r>
      <w:r>
        <w:rPr>
          <w:spacing w:val="-47"/>
        </w:rPr>
        <w:t> </w:t>
      </w:r>
      <w:r>
        <w:rPr>
          <w:spacing w:val="-47"/>
        </w:rPr>
      </w:r>
      <w:r>
        <w:rPr/>
        <w:t>用交易，做大融资融券和股票质押业务规模。</w:t>
      </w:r>
    </w:p>
    <w:p>
      <w:pPr>
        <w:pStyle w:val="BodyText"/>
        <w:spacing w:line="273" w:lineRule="auto" w:before="7"/>
        <w:ind w:left="573" w:right="105"/>
        <w:jc w:val="left"/>
      </w:pPr>
      <w:r>
        <w:rPr>
          <w:rFonts w:ascii="宋体" w:hAnsi="宋体" w:cs="宋体" w:eastAsia="宋体" w:hint="default"/>
        </w:rPr>
        <w:t>3</w:t>
      </w:r>
      <w:r>
        <w:rPr/>
        <w:t>、投资业务</w:t>
      </w:r>
      <w:r>
        <w:rPr>
          <w:w w:val="100"/>
        </w:rPr>
        <w:t> </w:t>
      </w:r>
      <w:r>
        <w:rPr>
          <w:spacing w:val="-2"/>
        </w:rPr>
        <w:t>公司投资业务包括集团内各主体对外投资和以下属子公司为运营实体开展的投资管理业务。基于以下</w:t>
      </w:r>
    </w:p>
    <w:p>
      <w:pPr>
        <w:pStyle w:val="BodyText"/>
        <w:spacing w:line="240" w:lineRule="auto" w:before="7"/>
        <w:ind w:right="0"/>
        <w:jc w:val="both"/>
      </w:pPr>
      <w:r>
        <w:rPr/>
        <w:t>考虑，</w:t>
      </w:r>
      <w:r>
        <w:rPr>
          <w:rFonts w:ascii="宋体" w:hAnsi="宋体" w:cs="宋体" w:eastAsia="宋体" w:hint="default"/>
        </w:rPr>
        <w:t>2016</w:t>
      </w:r>
      <w:r>
        <w:rPr/>
        <w:t>年公司将加速发展投资业务。</w:t>
      </w:r>
    </w:p>
    <w:p>
      <w:pPr>
        <w:pStyle w:val="BodyText"/>
        <w:spacing w:line="273" w:lineRule="auto" w:before="37"/>
        <w:ind w:right="105" w:firstLine="420"/>
        <w:jc w:val="left"/>
      </w:pPr>
      <w:r>
        <w:rPr/>
        <w:t>（</w:t>
      </w:r>
      <w:r>
        <w:rPr>
          <w:rFonts w:ascii="宋体" w:hAnsi="宋体" w:cs="宋体" w:eastAsia="宋体" w:hint="default"/>
        </w:rPr>
        <w:t>1</w:t>
      </w:r>
      <w:r>
        <w:rPr/>
        <w:t>）公司在投资业务上具有优势。公司管理层具有长期的股权投资运作经验，长期专注于互联网、</w:t>
      </w:r>
      <w:r>
        <w:rPr>
          <w:w w:val="100"/>
        </w:rPr>
        <w:t> </w:t>
      </w:r>
      <w:r>
        <w:rPr>
          <w:spacing w:val="-2"/>
        </w:rPr>
        <w:t>金融领域的股权投资，积累了广泛的市场资源；公司已经初步完成投资管理业务团队的组建、投资基金管</w:t>
      </w:r>
      <w:r>
        <w:rPr>
          <w:spacing w:val="-44"/>
        </w:rPr>
        <w:t> </w:t>
      </w:r>
      <w:r>
        <w:rPr>
          <w:spacing w:val="-44"/>
        </w:rPr>
      </w:r>
      <w:r>
        <w:rPr/>
        <w:t>理与运作制度建设等工作；公司可以发挥上市公司融资优势，降低投资成本。</w:t>
      </w:r>
    </w:p>
    <w:p>
      <w:pPr>
        <w:pStyle w:val="BodyText"/>
        <w:spacing w:line="273" w:lineRule="auto" w:before="7"/>
        <w:ind w:right="105" w:firstLine="420"/>
        <w:jc w:val="left"/>
      </w:pPr>
      <w:r>
        <w:rPr/>
        <w:t>（</w:t>
      </w:r>
      <w:r>
        <w:rPr>
          <w:rFonts w:ascii="宋体" w:hAnsi="宋体" w:cs="宋体" w:eastAsia="宋体" w:hint="default"/>
        </w:rPr>
        <w:t>2</w:t>
      </w:r>
      <w:r>
        <w:rPr/>
        <w:t>）公司开展投资业务的目的，一是取得长期股权投资收益或者投资管理收益，二是从被投资单位</w:t>
      </w:r>
      <w:r>
        <w:rPr>
          <w:w w:val="100"/>
        </w:rPr>
        <w:t> </w:t>
      </w:r>
      <w:r>
        <w:rPr>
          <w:spacing w:val="-2"/>
        </w:rPr>
        <w:t>以及合作投资单位之间寻求协同效应，提高公司资本、服务以及创新能力的延伸与覆盖，为以外延方式实</w:t>
      </w:r>
      <w:r>
        <w:rPr>
          <w:spacing w:val="-42"/>
        </w:rPr>
        <w:t> </w:t>
      </w:r>
      <w:r>
        <w:rPr>
          <w:spacing w:val="-42"/>
        </w:rPr>
      </w:r>
      <w:r>
        <w:rPr/>
        <w:t>现公司互联网金控平台建设创造条件。</w:t>
      </w:r>
    </w:p>
    <w:p>
      <w:pPr>
        <w:pStyle w:val="BodyText"/>
        <w:spacing w:line="240" w:lineRule="auto" w:before="8"/>
        <w:ind w:left="573" w:right="105"/>
        <w:jc w:val="left"/>
      </w:pPr>
      <w:r>
        <w:rPr/>
        <w:t>（</w:t>
      </w:r>
      <w:r>
        <w:rPr>
          <w:rFonts w:ascii="宋体" w:hAnsi="宋体" w:cs="宋体" w:eastAsia="宋体" w:hint="default"/>
        </w:rPr>
        <w:t>3</w:t>
      </w:r>
      <w:r>
        <w:rPr/>
        <w:t>）公司投资业务将遵循符合战略、收益适当、风险可控、合规运行原则。</w:t>
      </w:r>
    </w:p>
    <w:p>
      <w:pPr>
        <w:pStyle w:val="BodyText"/>
        <w:spacing w:line="273" w:lineRule="auto" w:before="34"/>
        <w:ind w:right="105" w:firstLine="420"/>
        <w:jc w:val="left"/>
      </w:pPr>
      <w:r>
        <w:rPr>
          <w:spacing w:val="-2"/>
        </w:rPr>
        <w:t>（</w:t>
      </w:r>
      <w:r>
        <w:rPr>
          <w:rFonts w:ascii="宋体" w:hAnsi="宋体" w:cs="宋体" w:eastAsia="宋体" w:hint="default"/>
          <w:spacing w:val="-2"/>
        </w:rPr>
        <w:t>4</w:t>
      </w:r>
      <w:r>
        <w:rPr>
          <w:spacing w:val="-2"/>
        </w:rPr>
        <w:t>）公司投资范围将专注于证券、信托、互联网金融与金融服务等方向的股权投资业务；在加强重</w:t>
      </w:r>
      <w:r>
        <w:rPr>
          <w:w w:val="100"/>
        </w:rPr>
        <w:t> </w:t>
      </w:r>
      <w:r>
        <w:rPr/>
        <w:t>点行业专业化投资基础上，公司将适度促进投资布局的多元化、多层次化。</w:t>
      </w:r>
    </w:p>
    <w:p>
      <w:pPr>
        <w:pStyle w:val="BodyText"/>
        <w:spacing w:line="273" w:lineRule="auto" w:before="7"/>
        <w:ind w:right="105" w:firstLine="420"/>
        <w:jc w:val="left"/>
      </w:pPr>
      <w:r>
        <w:rPr/>
        <w:t>（</w:t>
      </w:r>
      <w:r>
        <w:rPr>
          <w:rFonts w:ascii="宋体" w:hAnsi="宋体" w:cs="宋体" w:eastAsia="宋体" w:hint="default"/>
        </w:rPr>
        <w:t>5</w:t>
      </w:r>
      <w:r>
        <w:rPr/>
        <w:t>）公司投资业务开展方式根据项目需求相机确定。如：母公司或下属公司直接投资；通过投资管</w:t>
      </w:r>
      <w:r>
        <w:rPr>
          <w:w w:val="100"/>
        </w:rPr>
        <w:t> </w:t>
      </w:r>
      <w:r>
        <w:rPr>
          <w:spacing w:val="-2"/>
        </w:rPr>
        <w:t>理业务实施平台以管理股权投资基金、并购基金等方式实现对被投资单位的投资；以有限合伙人身份参与</w:t>
      </w:r>
      <w:r>
        <w:rPr>
          <w:spacing w:val="-43"/>
        </w:rPr>
        <w:t> </w:t>
      </w:r>
      <w:r>
        <w:rPr>
          <w:spacing w:val="-43"/>
        </w:rPr>
      </w:r>
      <w:r>
        <w:rPr/>
        <w:t>其他专业投资人设立的基金而实现对优秀标的的投资；等等。</w:t>
      </w:r>
    </w:p>
    <w:p>
      <w:pPr>
        <w:pStyle w:val="BodyText"/>
        <w:spacing w:line="273" w:lineRule="auto" w:before="7"/>
        <w:ind w:right="105" w:firstLine="420"/>
        <w:jc w:val="left"/>
      </w:pPr>
      <w:r>
        <w:rPr>
          <w:rFonts w:ascii="宋体" w:hAnsi="宋体" w:cs="宋体" w:eastAsia="宋体" w:hint="default"/>
        </w:rPr>
        <w:t>2016</w:t>
      </w:r>
      <w:r>
        <w:rPr/>
        <w:t>年以来，公司投资业务取得若干阶段性成果。一是公司于</w:t>
      </w:r>
      <w:r>
        <w:rPr>
          <w:rFonts w:ascii="宋体" w:hAnsi="宋体" w:cs="宋体" w:eastAsia="宋体" w:hint="default"/>
        </w:rPr>
        <w:t>2016</w:t>
      </w:r>
      <w:r>
        <w:rPr/>
        <w:t>年</w:t>
      </w:r>
      <w:r>
        <w:rPr>
          <w:rFonts w:ascii="宋体" w:hAnsi="宋体" w:cs="宋体" w:eastAsia="宋体" w:hint="default"/>
        </w:rPr>
        <w:t>3</w:t>
      </w:r>
      <w:r>
        <w:rPr/>
        <w:t>月参与发起设立君安人寿保险</w:t>
      </w:r>
      <w:r>
        <w:rPr>
          <w:w w:val="100"/>
        </w:rPr>
        <w:t> </w:t>
      </w:r>
      <w:r>
        <w:rPr>
          <w:spacing w:val="-5"/>
        </w:rPr>
        <w:t>股份有限公司（尚需公司股东大会审议以及中国保监会核准）。二是公司理顺境外投资管理平台股权架构， </w:t>
      </w:r>
      <w:r>
        <w:rPr>
          <w:spacing w:val="-5"/>
        </w:rPr>
      </w:r>
      <w:r>
        <w:rPr>
          <w:spacing w:val="-2"/>
        </w:rPr>
        <w:t>清晰呈现华声股份全资持有华声香港投资、华声香港投资全资持有</w:t>
      </w:r>
      <w:r>
        <w:rPr>
          <w:rFonts w:ascii="宋体" w:hAnsi="宋体" w:cs="宋体" w:eastAsia="宋体" w:hint="default"/>
          <w:spacing w:val="-2"/>
        </w:rPr>
        <w:t>BVI</w:t>
      </w:r>
      <w:r>
        <w:rPr>
          <w:spacing w:val="-2"/>
        </w:rPr>
        <w:t>华声、</w:t>
      </w:r>
      <w:r>
        <w:rPr>
          <w:rFonts w:ascii="宋体" w:hAnsi="宋体" w:cs="宋体" w:eastAsia="宋体" w:hint="default"/>
          <w:spacing w:val="-2"/>
        </w:rPr>
        <w:t>BVI</w:t>
      </w:r>
      <w:r>
        <w:rPr>
          <w:spacing w:val="-2"/>
        </w:rPr>
        <w:t>华声全资持有开曼华声的</w:t>
      </w:r>
      <w:r>
        <w:rPr>
          <w:spacing w:val="-42"/>
        </w:rPr>
        <w:t> </w:t>
      </w:r>
      <w:r>
        <w:rPr>
          <w:spacing w:val="-42"/>
        </w:rPr>
      </w:r>
      <w:r>
        <w:rPr>
          <w:spacing w:val="-2"/>
        </w:rPr>
        <w:t>控制链条。三是</w:t>
      </w:r>
      <w:r>
        <w:rPr>
          <w:rFonts w:ascii="宋体" w:hAnsi="宋体" w:cs="宋体" w:eastAsia="宋体" w:hint="default"/>
          <w:spacing w:val="-2"/>
        </w:rPr>
        <w:t>2016</w:t>
      </w:r>
      <w:r>
        <w:rPr>
          <w:spacing w:val="-2"/>
        </w:rPr>
        <w:t>年</w:t>
      </w:r>
      <w:r>
        <w:rPr>
          <w:rFonts w:ascii="宋体" w:hAnsi="宋体" w:cs="宋体" w:eastAsia="宋体" w:hint="default"/>
          <w:spacing w:val="-2"/>
        </w:rPr>
        <w:t>1</w:t>
      </w:r>
      <w:r>
        <w:rPr>
          <w:spacing w:val="-2"/>
        </w:rPr>
        <w:t>月，开曼华声担任普通合伙人的开曼有限合伙以</w:t>
      </w:r>
      <w:r>
        <w:rPr>
          <w:rFonts w:ascii="宋体" w:hAnsi="宋体" w:cs="宋体" w:eastAsia="宋体" w:hint="default"/>
          <w:spacing w:val="-2"/>
        </w:rPr>
        <w:t>1.1</w:t>
      </w:r>
      <w:r>
        <w:rPr>
          <w:spacing w:val="-2"/>
        </w:rPr>
        <w:t>亿美元认购陆金所控股有限公</w:t>
      </w:r>
    </w:p>
    <w:p>
      <w:pPr>
        <w:spacing w:after="0" w:line="273" w:lineRule="auto"/>
        <w:jc w:val="left"/>
        <w:sectPr>
          <w:headerReference w:type="default" r:id="rId14"/>
          <w:footerReference w:type="default" r:id="rId15"/>
          <w:pgSz w:w="11910" w:h="16840"/>
          <w:pgMar w:header="877" w:footer="979" w:top="1060" w:bottom="1160" w:left="980" w:right="920"/>
          <w:pgNumType w:start="19"/>
        </w:sectPr>
      </w:pPr>
    </w:p>
    <w:p>
      <w:pPr>
        <w:spacing w:line="240" w:lineRule="auto" w:before="11"/>
        <w:rPr>
          <w:rFonts w:ascii="宋体" w:hAnsi="宋体" w:cs="宋体" w:eastAsia="宋体" w:hint="default"/>
          <w:sz w:val="20"/>
          <w:szCs w:val="20"/>
        </w:rPr>
      </w:pPr>
    </w:p>
    <w:p>
      <w:pPr>
        <w:pStyle w:val="BodyText"/>
        <w:spacing w:line="273" w:lineRule="auto" w:before="36"/>
        <w:ind w:right="105"/>
        <w:jc w:val="left"/>
      </w:pPr>
      <w:r>
        <w:rPr/>
        <w:t>司增发的</w:t>
      </w:r>
      <w:r>
        <w:rPr>
          <w:rFonts w:ascii="宋体" w:hAnsi="宋体" w:cs="宋体" w:eastAsia="宋体" w:hint="default"/>
        </w:rPr>
        <w:t>B</w:t>
      </w:r>
      <w:r>
        <w:rPr/>
        <w:t>类普通股并完成股份登记。根据开曼有限合伙协议，开曼有限合伙如实现投资收益，普通合伙</w:t>
      </w:r>
      <w:r>
        <w:rPr>
          <w:w w:val="100"/>
        </w:rPr>
        <w:t> </w:t>
      </w:r>
      <w:r>
        <w:rPr>
          <w:spacing w:val="-2"/>
        </w:rPr>
        <w:t>人享有约定比例的收益分成权利。（注：由于被投资单位盈利水平以及本次投资退出时间等因素存在不确</w:t>
      </w:r>
      <w:r>
        <w:rPr>
          <w:spacing w:val="-41"/>
        </w:rPr>
        <w:t> </w:t>
      </w:r>
      <w:r>
        <w:rPr>
          <w:spacing w:val="-41"/>
        </w:rPr>
      </w:r>
      <w:r>
        <w:rPr/>
        <w:t>定性，上述投资对公司的影响存在不确定性。）</w:t>
      </w:r>
    </w:p>
    <w:p>
      <w:pPr>
        <w:pStyle w:val="BodyText"/>
        <w:spacing w:line="240" w:lineRule="auto" w:before="7"/>
        <w:ind w:left="573" w:right="105"/>
        <w:jc w:val="left"/>
      </w:pPr>
      <w:r>
        <w:rPr>
          <w:rFonts w:ascii="宋体" w:hAnsi="宋体" w:cs="宋体" w:eastAsia="宋体" w:hint="default"/>
        </w:rPr>
        <w:t>2016</w:t>
      </w:r>
      <w:r>
        <w:rPr/>
        <w:t>年</w:t>
      </w:r>
      <w:r>
        <w:rPr>
          <w:rFonts w:ascii="宋体" w:hAnsi="宋体" w:cs="宋体" w:eastAsia="宋体" w:hint="default"/>
        </w:rPr>
        <w:t>5-12</w:t>
      </w:r>
      <w:r>
        <w:rPr/>
        <w:t>月，公司投资业务模块将按照前述工作思路，做好下述具体工作：</w:t>
      </w:r>
    </w:p>
    <w:p>
      <w:pPr>
        <w:pStyle w:val="BodyText"/>
        <w:spacing w:line="240" w:lineRule="auto" w:before="37"/>
        <w:ind w:left="573" w:right="105"/>
        <w:jc w:val="left"/>
      </w:pPr>
      <w:r>
        <w:rPr/>
        <w:t>（</w:t>
      </w:r>
      <w:r>
        <w:rPr>
          <w:rFonts w:ascii="宋体" w:hAnsi="宋体" w:cs="宋体" w:eastAsia="宋体" w:hint="default"/>
        </w:rPr>
        <w:t>1</w:t>
      </w:r>
      <w:r>
        <w:rPr/>
        <w:t>）配合、推进百安保险、君安人寿两个项目在中国保监会的审核。</w:t>
      </w:r>
    </w:p>
    <w:p>
      <w:pPr>
        <w:pStyle w:val="BodyText"/>
        <w:spacing w:line="240" w:lineRule="auto" w:before="37"/>
        <w:ind w:left="573" w:right="105"/>
        <w:jc w:val="left"/>
      </w:pPr>
      <w:r>
        <w:rPr/>
        <w:t>（</w:t>
      </w:r>
      <w:r>
        <w:rPr>
          <w:rFonts w:ascii="宋体" w:hAnsi="宋体" w:cs="宋体" w:eastAsia="宋体" w:hint="default"/>
        </w:rPr>
        <w:t>2</w:t>
      </w:r>
      <w:r>
        <w:rPr/>
        <w:t>）在境内外寻求合适的证券、保险、信托类金融企业或金融服务企业股权投资机会。</w:t>
      </w:r>
    </w:p>
    <w:p>
      <w:pPr>
        <w:pStyle w:val="BodyText"/>
        <w:spacing w:line="273" w:lineRule="auto" w:before="37"/>
        <w:ind w:right="105" w:firstLine="420"/>
        <w:jc w:val="left"/>
      </w:pPr>
      <w:r>
        <w:rPr>
          <w:spacing w:val="-2"/>
        </w:rPr>
        <w:t>（</w:t>
      </w:r>
      <w:r>
        <w:rPr>
          <w:rFonts w:ascii="宋体" w:hAnsi="宋体" w:cs="宋体" w:eastAsia="宋体" w:hint="default"/>
          <w:spacing w:val="-2"/>
        </w:rPr>
        <w:t>3</w:t>
      </w:r>
      <w:r>
        <w:rPr>
          <w:spacing w:val="-2"/>
        </w:rPr>
        <w:t>）完善投资管理业务运作机制，提高投资研究团队对市场需求的响应速度和投资机会发现能力，</w:t>
      </w:r>
      <w:r>
        <w:rPr>
          <w:w w:val="100"/>
        </w:rPr>
        <w:t> </w:t>
      </w:r>
      <w:r>
        <w:rPr/>
        <w:t>提高投资决策委员会投资决策能力，提高投后管理团队对投资项目执行能力。</w:t>
      </w:r>
    </w:p>
    <w:p>
      <w:pPr>
        <w:pStyle w:val="BodyText"/>
        <w:spacing w:line="273" w:lineRule="auto" w:before="7"/>
        <w:ind w:left="573" w:right="2702"/>
        <w:jc w:val="left"/>
      </w:pPr>
      <w:r>
        <w:rPr>
          <w:spacing w:val="-2"/>
        </w:rPr>
        <w:t>（</w:t>
      </w:r>
      <w:r>
        <w:rPr>
          <w:rFonts w:ascii="宋体" w:hAnsi="宋体" w:cs="宋体" w:eastAsia="宋体" w:hint="default"/>
          <w:spacing w:val="-2"/>
        </w:rPr>
        <w:t>4</w:t>
      </w:r>
      <w:r>
        <w:rPr>
          <w:spacing w:val="-2"/>
        </w:rPr>
        <w:t>）统筹财务管理体系，提高资金对投资项目快速反应的适应性。</w:t>
      </w:r>
      <w:r>
        <w:rPr>
          <w:spacing w:val="-50"/>
        </w:rPr>
        <w:t> </w:t>
      </w:r>
      <w:r>
        <w:rPr>
          <w:spacing w:val="-50"/>
        </w:rPr>
      </w:r>
      <w:r>
        <w:rPr>
          <w:rFonts w:ascii="宋体" w:hAnsi="宋体" w:cs="宋体" w:eastAsia="宋体" w:hint="default"/>
        </w:rPr>
        <w:t>4</w:t>
      </w:r>
      <w:r>
        <w:rPr/>
        <w:t>、线缆业务</w:t>
      </w:r>
    </w:p>
    <w:p>
      <w:pPr>
        <w:pStyle w:val="BodyText"/>
        <w:spacing w:line="273" w:lineRule="auto" w:before="7"/>
        <w:ind w:right="105" w:firstLine="420"/>
        <w:jc w:val="left"/>
      </w:pPr>
      <w:r>
        <w:rPr>
          <w:spacing w:val="-2"/>
        </w:rPr>
        <w:t>（</w:t>
      </w:r>
      <w:r>
        <w:rPr>
          <w:rFonts w:ascii="宋体" w:hAnsi="宋体" w:cs="宋体" w:eastAsia="宋体" w:hint="default"/>
          <w:spacing w:val="-2"/>
        </w:rPr>
        <w:t>1</w:t>
      </w:r>
      <w:r>
        <w:rPr>
          <w:spacing w:val="-2"/>
        </w:rPr>
        <w:t>）坚持以关键客户需求为导向，加强品质监控检测，有效提高产品性能、质量，稳固空调连接组</w:t>
      </w:r>
      <w:r>
        <w:rPr>
          <w:w w:val="100"/>
        </w:rPr>
        <w:t> </w:t>
      </w:r>
      <w:r>
        <w:rPr/>
        <w:t>件的市场龙头地位，保持“华声”品牌在市场上的竞争力。</w:t>
      </w:r>
    </w:p>
    <w:p>
      <w:pPr>
        <w:pStyle w:val="BodyText"/>
        <w:spacing w:line="273" w:lineRule="auto" w:before="8"/>
        <w:ind w:right="105" w:firstLine="420"/>
        <w:jc w:val="left"/>
      </w:pPr>
      <w:r>
        <w:rPr>
          <w:spacing w:val="-2"/>
        </w:rPr>
        <w:t>（</w:t>
      </w:r>
      <w:r>
        <w:rPr>
          <w:rFonts w:ascii="宋体" w:hAnsi="宋体" w:cs="宋体" w:eastAsia="宋体" w:hint="default"/>
          <w:spacing w:val="-2"/>
        </w:rPr>
        <w:t>2</w:t>
      </w:r>
      <w:r>
        <w:rPr>
          <w:spacing w:val="-2"/>
        </w:rPr>
        <w:t>）加大新产品开发力度，扩大橡套产品应用领域，继续开拓小家电、特种电缆等客户及海外市场，</w:t>
      </w:r>
      <w:r>
        <w:rPr>
          <w:w w:val="100"/>
        </w:rPr>
        <w:t> </w:t>
      </w:r>
      <w:r>
        <w:rPr/>
        <w:t>减轻家电行业季节性波动影响。</w:t>
      </w:r>
    </w:p>
    <w:p>
      <w:pPr>
        <w:pStyle w:val="BodyText"/>
        <w:spacing w:line="273" w:lineRule="auto" w:before="7"/>
        <w:ind w:right="105" w:firstLine="420"/>
        <w:jc w:val="left"/>
      </w:pPr>
      <w:r>
        <w:rPr>
          <w:spacing w:val="-2"/>
        </w:rPr>
        <w:t>（</w:t>
      </w:r>
      <w:r>
        <w:rPr>
          <w:rFonts w:ascii="宋体" w:hAnsi="宋体" w:cs="宋体" w:eastAsia="宋体" w:hint="default"/>
          <w:spacing w:val="-2"/>
        </w:rPr>
        <w:t>3</w:t>
      </w:r>
      <w:r>
        <w:rPr>
          <w:spacing w:val="-2"/>
        </w:rPr>
        <w:t>）配合做好母公司与线缆有关有关资产、负债、业务、人员划转安排；结合管理咨询二期项目的</w:t>
      </w:r>
      <w:r>
        <w:rPr>
          <w:w w:val="100"/>
        </w:rPr>
        <w:t> </w:t>
      </w:r>
      <w:r>
        <w:rPr/>
        <w:t>实施，建立并完善线缆模块管理架构，精兵简政。</w:t>
      </w:r>
    </w:p>
    <w:p>
      <w:pPr>
        <w:pStyle w:val="BodyText"/>
        <w:spacing w:line="273" w:lineRule="auto" w:before="7"/>
        <w:ind w:right="105" w:firstLine="420"/>
        <w:jc w:val="left"/>
      </w:pPr>
      <w:r>
        <w:rPr>
          <w:spacing w:val="-2"/>
        </w:rPr>
        <w:t>（</w:t>
      </w:r>
      <w:r>
        <w:rPr>
          <w:rFonts w:ascii="宋体" w:hAnsi="宋体" w:cs="宋体" w:eastAsia="宋体" w:hint="default"/>
          <w:spacing w:val="-2"/>
        </w:rPr>
        <w:t>4</w:t>
      </w:r>
      <w:r>
        <w:rPr>
          <w:spacing w:val="-2"/>
        </w:rPr>
        <w:t>）围绕存货周转率、投入产出率、应收账款周转率三大指标，加强预算管理、订单管理、生产管</w:t>
      </w:r>
      <w:r>
        <w:rPr>
          <w:w w:val="100"/>
        </w:rPr>
        <w:t> </w:t>
      </w:r>
      <w:r>
        <w:rPr/>
        <w:t>理、存货管理、回款管理，提高营运效率。</w:t>
      </w:r>
    </w:p>
    <w:p>
      <w:pPr>
        <w:spacing w:line="273" w:lineRule="auto" w:before="7"/>
        <w:ind w:left="573" w:right="105" w:firstLine="2"/>
        <w:jc w:val="left"/>
        <w:rPr>
          <w:rFonts w:ascii="宋体" w:hAnsi="宋体" w:cs="宋体" w:eastAsia="宋体" w:hint="default"/>
          <w:sz w:val="21"/>
          <w:szCs w:val="21"/>
        </w:rPr>
      </w:pPr>
      <w:r>
        <w:rPr>
          <w:rFonts w:ascii="宋体" w:hAnsi="宋体" w:cs="宋体" w:eastAsia="宋体" w:hint="default"/>
          <w:b/>
          <w:bCs/>
          <w:sz w:val="21"/>
          <w:szCs w:val="21"/>
        </w:rPr>
        <w:t>（三）未来重点资本支出计划</w:t>
      </w:r>
      <w:r>
        <w:rPr>
          <w:rFonts w:ascii="宋体" w:hAnsi="宋体" w:cs="宋体" w:eastAsia="宋体" w:hint="default"/>
          <w:b/>
          <w:bCs/>
          <w:w w:val="100"/>
          <w:sz w:val="21"/>
          <w:szCs w:val="21"/>
        </w:rPr>
        <w:t> </w:t>
      </w:r>
      <w:r>
        <w:rPr>
          <w:rFonts w:ascii="宋体" w:hAnsi="宋体" w:cs="宋体" w:eastAsia="宋体" w:hint="default"/>
          <w:spacing w:val="-2"/>
          <w:sz w:val="21"/>
          <w:szCs w:val="21"/>
        </w:rPr>
        <w:t>根据发展规划，</w:t>
      </w:r>
      <w:r>
        <w:rPr>
          <w:rFonts w:ascii="Times New Roman" w:hAnsi="Times New Roman" w:cs="Times New Roman" w:eastAsia="Times New Roman" w:hint="default"/>
          <w:spacing w:val="-2"/>
          <w:sz w:val="21"/>
          <w:szCs w:val="21"/>
        </w:rPr>
        <w:t>2016</w:t>
      </w:r>
      <w:r>
        <w:rPr>
          <w:rFonts w:ascii="宋体" w:hAnsi="宋体" w:cs="宋体" w:eastAsia="宋体" w:hint="default"/>
          <w:spacing w:val="-2"/>
          <w:sz w:val="21"/>
          <w:szCs w:val="21"/>
        </w:rPr>
        <w:t>年公司将通过内生式和外延式的发展，逐步进入保险、信托、投资等领域，以构</w:t>
      </w:r>
    </w:p>
    <w:p>
      <w:pPr>
        <w:pStyle w:val="BodyText"/>
        <w:spacing w:line="264" w:lineRule="exact"/>
        <w:ind w:right="105"/>
        <w:jc w:val="left"/>
      </w:pPr>
      <w:r>
        <w:rPr/>
        <w:t>建互联网金控平台。公司无重大基建扩能类项目投资计划。</w:t>
      </w:r>
    </w:p>
    <w:p>
      <w:pPr>
        <w:pStyle w:val="Heading4"/>
        <w:spacing w:line="240" w:lineRule="auto" w:before="37"/>
        <w:ind w:left="575" w:right="105"/>
        <w:jc w:val="left"/>
        <w:rPr>
          <w:b w:val="0"/>
          <w:bCs w:val="0"/>
        </w:rPr>
      </w:pPr>
      <w:r>
        <w:rPr/>
        <w:t>（四）公司未来发展面临的主要风险</w:t>
      </w:r>
      <w:r>
        <w:rPr>
          <w:b w:val="0"/>
          <w:bCs w:val="0"/>
        </w:rPr>
      </w:r>
    </w:p>
    <w:p>
      <w:pPr>
        <w:pStyle w:val="BodyText"/>
        <w:spacing w:line="266" w:lineRule="auto" w:before="37"/>
        <w:ind w:right="105" w:firstLine="420"/>
        <w:jc w:val="left"/>
      </w:pPr>
      <w:r>
        <w:rPr>
          <w:rFonts w:ascii="Times New Roman" w:hAnsi="Times New Roman" w:cs="Times New Roman" w:eastAsia="Times New Roman" w:hint="default"/>
        </w:rPr>
        <w:t>1</w:t>
      </w:r>
      <w:r>
        <w:rPr/>
        <w:t>、公司拟将自身打造为互联网金控平台，管理金融、制造、投资三大模块业务，各模块业务在经营</w:t>
      </w:r>
      <w:r>
        <w:rPr>
          <w:w w:val="100"/>
        </w:rPr>
        <w:t> </w:t>
      </w:r>
      <w:r>
        <w:rPr>
          <w:spacing w:val="-2"/>
        </w:rPr>
        <w:t>模式、内部运营管理体系等方面存在较大差异，公司需在企业文化及资产、人员、财务等方面对其进行整</w:t>
      </w:r>
      <w:r>
        <w:rPr>
          <w:spacing w:val="-50"/>
        </w:rPr>
        <w:t> </w:t>
      </w:r>
      <w:r>
        <w:rPr>
          <w:spacing w:val="-50"/>
        </w:rPr>
      </w:r>
      <w:r>
        <w:rPr/>
        <w:t>合，能否实现顺利整合及整合后能否达到预期效果，存在一定的不确定性。</w:t>
      </w:r>
    </w:p>
    <w:p>
      <w:pPr>
        <w:pStyle w:val="BodyText"/>
        <w:spacing w:line="256" w:lineRule="auto" w:before="14"/>
        <w:ind w:right="105" w:firstLine="420"/>
        <w:jc w:val="left"/>
      </w:pPr>
      <w:r>
        <w:rPr>
          <w:rFonts w:ascii="Times New Roman" w:hAnsi="Times New Roman" w:cs="Times New Roman" w:eastAsia="Times New Roman" w:hint="default"/>
        </w:rPr>
        <w:t>2</w:t>
      </w:r>
      <w:r>
        <w:rPr/>
        <w:t>、若本次重大资产重组顺利实施，公司将进入证券行业。而我国证券市场行业的周期性波动对证券</w:t>
      </w:r>
      <w:r>
        <w:rPr>
          <w:w w:val="100"/>
        </w:rPr>
        <w:t> </w:t>
      </w:r>
      <w:r>
        <w:rPr>
          <w:spacing w:val="-5"/>
        </w:rPr>
        <w:t>公司的经营业绩有较大影响，证券市场的景气度将影响证券公司经纪、自营、投资银行与资产管理等业务。</w:t>
      </w:r>
    </w:p>
    <w:p>
      <w:pPr>
        <w:pStyle w:val="BodyText"/>
        <w:spacing w:line="268" w:lineRule="auto" w:before="22"/>
        <w:ind w:right="105" w:firstLine="420"/>
        <w:jc w:val="left"/>
      </w:pPr>
      <w:r>
        <w:rPr>
          <w:rFonts w:ascii="宋体" w:hAnsi="宋体" w:cs="宋体" w:eastAsia="宋体" w:hint="default"/>
        </w:rPr>
        <w:t>3</w:t>
      </w:r>
      <w:r>
        <w:rPr/>
        <w:t>、由于家电市场需求受经济形势和宏观调控的影响较大，如果宏观经济或消费者需求增长出现放缓</w:t>
      </w:r>
      <w:r>
        <w:rPr>
          <w:w w:val="100"/>
        </w:rPr>
        <w:t> </w:t>
      </w:r>
      <w:r>
        <w:rPr>
          <w:spacing w:val="-2"/>
        </w:rPr>
        <w:t>趋势，将对公司线缆业务生产经营和市场销售产生不利影响。因家电制造业集中度较高，近三年，公司对</w:t>
      </w:r>
      <w:r>
        <w:rPr>
          <w:spacing w:val="-47"/>
        </w:rPr>
        <w:t> </w:t>
      </w:r>
      <w:r>
        <w:rPr>
          <w:spacing w:val="-47"/>
        </w:rPr>
      </w:r>
      <w:r>
        <w:rPr>
          <w:spacing w:val="-6"/>
          <w:w w:val="100"/>
        </w:rPr>
        <w:t>前五大客户（属于同一实际控制人控制的客户销售额合并计算）的合计销售收入占营业收入的比重均达</w:t>
      </w:r>
      <w:r>
        <w:rPr>
          <w:rFonts w:ascii="Times New Roman" w:hAnsi="Times New Roman" w:cs="Times New Roman" w:eastAsia="Times New Roman" w:hint="default"/>
          <w:spacing w:val="-6"/>
          <w:w w:val="100"/>
        </w:rPr>
        <w:t>80%</w:t>
      </w:r>
      <w:r>
        <w:rPr>
          <w:rFonts w:ascii="Times New Roman" w:hAnsi="Times New Roman" w:cs="Times New Roman" w:eastAsia="Times New Roman" w:hint="default"/>
          <w:spacing w:val="-27"/>
          <w:w w:val="100"/>
        </w:rPr>
        <w:t> </w:t>
      </w:r>
      <w:r>
        <w:rPr>
          <w:rFonts w:ascii="Times New Roman" w:hAnsi="Times New Roman" w:cs="Times New Roman" w:eastAsia="Times New Roman" w:hint="default"/>
          <w:spacing w:val="-27"/>
          <w:w w:val="100"/>
        </w:rPr>
      </w:r>
      <w:r>
        <w:rPr>
          <w:spacing w:val="-2"/>
        </w:rPr>
        <w:t>以上。如果上述家电客户经营发生重大不利变化或减少订单，可能对公司家电配线组件产品的生产和销售</w:t>
      </w:r>
      <w:r>
        <w:rPr>
          <w:spacing w:val="-42"/>
        </w:rPr>
        <w:t> </w:t>
      </w:r>
      <w:r>
        <w:rPr>
          <w:spacing w:val="-42"/>
        </w:rPr>
      </w:r>
      <w:r>
        <w:rPr/>
        <w:t>带来不利影响。</w:t>
      </w:r>
    </w:p>
    <w:p>
      <w:pPr>
        <w:pStyle w:val="BodyText"/>
        <w:spacing w:line="256" w:lineRule="auto" w:before="12"/>
        <w:ind w:right="105" w:firstLine="420"/>
        <w:jc w:val="left"/>
      </w:pPr>
      <w:r>
        <w:rPr>
          <w:rFonts w:ascii="Times New Roman" w:hAnsi="Times New Roman" w:cs="Times New Roman" w:eastAsia="Times New Roman" w:hint="default"/>
          <w:spacing w:val="-2"/>
        </w:rPr>
        <w:t>4</w:t>
      </w:r>
      <w:r>
        <w:rPr>
          <w:spacing w:val="-2"/>
        </w:rPr>
        <w:t>、公司投资业务受宏观经济形势、金融市场政策等因素影响以及公司对投资标的的风险判断及控制</w:t>
      </w:r>
      <w:r>
        <w:rPr>
          <w:w w:val="100"/>
        </w:rPr>
        <w:t> </w:t>
      </w:r>
      <w:r>
        <w:rPr/>
        <w:t>能力影响，存在经营风险。</w:t>
      </w:r>
    </w:p>
    <w:p>
      <w:pPr>
        <w:spacing w:line="240" w:lineRule="auto" w:before="10"/>
        <w:rPr>
          <w:rFonts w:ascii="宋体" w:hAnsi="宋体" w:cs="宋体" w:eastAsia="宋体" w:hint="default"/>
          <w:sz w:val="22"/>
          <w:szCs w:val="22"/>
        </w:rPr>
      </w:pPr>
    </w:p>
    <w:p>
      <w:pPr>
        <w:pStyle w:val="Heading2"/>
        <w:spacing w:line="240" w:lineRule="auto"/>
        <w:ind w:right="105"/>
        <w:jc w:val="left"/>
        <w:rPr>
          <w:b w:val="0"/>
          <w:bCs w:val="0"/>
        </w:rPr>
      </w:pPr>
      <w:r>
        <w:rPr/>
        <w:t>十、接待调研、沟通、采访等活动</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05"/>
        <w:jc w:val="left"/>
        <w:rPr>
          <w:b w:val="0"/>
          <w:bCs w:val="0"/>
        </w:rPr>
      </w:pPr>
      <w:r>
        <w:rPr>
          <w:rFonts w:ascii="Times New Roman" w:hAnsi="Times New Roman" w:cs="Times New Roman" w:eastAsia="Times New Roman" w:hint="default"/>
        </w:rPr>
        <w:t>1</w:t>
      </w:r>
      <w:r>
        <w:rPr/>
        <w:t>、公司报告期内未发生接待调研、沟通、采访等活动。</w:t>
      </w:r>
      <w:r>
        <w:rPr>
          <w:b w:val="0"/>
          <w:bCs w:val="0"/>
        </w:rPr>
      </w:r>
    </w:p>
    <w:p>
      <w:pPr>
        <w:spacing w:after="0" w:line="240" w:lineRule="auto"/>
        <w:jc w:val="left"/>
        <w:sectPr>
          <w:pgSz w:w="11910" w:h="16840"/>
          <w:pgMar w:header="877" w:footer="979" w:top="1100" w:bottom="1160" w:left="980" w:right="92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6"/>
          <w:szCs w:val="16"/>
        </w:rPr>
      </w:pPr>
    </w:p>
    <w:p>
      <w:pPr>
        <w:pStyle w:val="Heading1"/>
        <w:spacing w:line="240" w:lineRule="auto"/>
        <w:ind w:left="1823" w:right="1821"/>
        <w:jc w:val="center"/>
        <w:rPr>
          <w:b w:val="0"/>
          <w:bCs w:val="0"/>
        </w:rPr>
      </w:pPr>
      <w:bookmarkStart w:name="_bookmark3" w:id="4"/>
      <w:bookmarkEnd w:id="4"/>
      <w:r>
        <w:rPr>
          <w:b w:val="0"/>
          <w:bCs w:val="0"/>
        </w:rPr>
      </w:r>
      <w:r>
        <w:rPr/>
        <w:t>第五节</w:t>
      </w:r>
      <w:r>
        <w:rPr>
          <w:spacing w:val="-2"/>
        </w:rPr>
        <w:t> </w:t>
      </w:r>
      <w:r>
        <w:rPr/>
        <w:t>重要事项</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left"/>
        <w:rPr>
          <w:b w:val="0"/>
          <w:bCs w:val="0"/>
        </w:rPr>
      </w:pPr>
      <w:r>
        <w:rPr/>
        <w:t>一、公司普通股利润分配及资本公积金转增股本情况</w:t>
      </w:r>
      <w:r>
        <w:rPr>
          <w:b w:val="0"/>
          <w:bCs w:val="0"/>
        </w:rPr>
      </w:r>
    </w:p>
    <w:p>
      <w:pPr>
        <w:spacing w:line="240" w:lineRule="auto" w:before="9"/>
        <w:rPr>
          <w:rFonts w:ascii="宋体" w:hAnsi="宋体" w:cs="宋体" w:eastAsia="宋体" w:hint="default"/>
          <w:b/>
          <w:bCs/>
          <w:sz w:val="24"/>
          <w:szCs w:val="24"/>
        </w:rPr>
      </w:pPr>
    </w:p>
    <w:p>
      <w:pPr>
        <w:pStyle w:val="BodyText"/>
        <w:tabs>
          <w:tab w:pos="8187" w:val="left" w:leader="none"/>
        </w:tabs>
        <w:spacing w:line="290" w:lineRule="auto"/>
        <w:ind w:left="573" w:right="148" w:hanging="421"/>
        <w:jc w:val="left"/>
      </w:pPr>
      <w:r>
        <w:rPr>
          <w:spacing w:val="-4"/>
        </w:rPr>
        <w:t>报告期内普通股利润分配政策，特别是现金分红政策的制定、执行或调整情况</w:t>
        <w:tab/>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r>
        <w:rPr>
          <w:w w:val="100"/>
        </w:rPr>
        <w:t> </w:t>
      </w:r>
      <w:r>
        <w:rPr>
          <w:spacing w:val="-2"/>
        </w:rPr>
        <w:t>根据公司</w:t>
      </w:r>
      <w:r>
        <w:rPr>
          <w:rFonts w:ascii="Times New Roman" w:hAnsi="Times New Roman" w:cs="Times New Roman" w:eastAsia="Times New Roman" w:hint="default"/>
          <w:spacing w:val="-2"/>
        </w:rPr>
        <w:t>2014</w:t>
      </w:r>
      <w:r>
        <w:rPr>
          <w:spacing w:val="-2"/>
        </w:rPr>
        <w:t>年度股东大会决议，公司以</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日总股本</w:t>
      </w:r>
      <w:r>
        <w:rPr>
          <w:rFonts w:ascii="Times New Roman" w:hAnsi="Times New Roman" w:cs="Times New Roman" w:eastAsia="Times New Roman" w:hint="default"/>
          <w:spacing w:val="-2"/>
        </w:rPr>
        <w:t>20,000</w:t>
      </w:r>
      <w:r>
        <w:rPr>
          <w:spacing w:val="-2"/>
        </w:rPr>
        <w:t>万股为基数，向全体股东共计</w:t>
      </w:r>
    </w:p>
    <w:p>
      <w:pPr>
        <w:pStyle w:val="BodyText"/>
        <w:spacing w:line="263" w:lineRule="exact"/>
        <w:ind w:right="0"/>
        <w:jc w:val="left"/>
      </w:pPr>
      <w:r>
        <w:rPr/>
        <w:t>分配利润人民币</w:t>
      </w:r>
      <w:r>
        <w:rPr>
          <w:rFonts w:ascii="Times New Roman" w:hAnsi="Times New Roman" w:cs="Times New Roman" w:eastAsia="Times New Roman" w:hint="default"/>
        </w:rPr>
        <w:t>8,000</w:t>
      </w:r>
      <w:r>
        <w:rPr/>
        <w:t>万元，即每股派发现金红利</w:t>
      </w:r>
      <w:r>
        <w:rPr>
          <w:rFonts w:ascii="Times New Roman" w:hAnsi="Times New Roman" w:cs="Times New Roman" w:eastAsia="Times New Roman" w:hint="default"/>
        </w:rPr>
        <w:t>4.00</w:t>
      </w:r>
      <w:r>
        <w:rPr/>
        <w:t>元（含税）。公司于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29</w:t>
      </w:r>
      <w:r>
        <w:rPr/>
        <w:t>日在巨潮资讯网</w:t>
      </w:r>
    </w:p>
    <w:p>
      <w:pPr>
        <w:pStyle w:val="BodyText"/>
        <w:spacing w:line="256" w:lineRule="auto" w:before="21"/>
        <w:ind w:right="0"/>
        <w:jc w:val="left"/>
      </w:pPr>
      <w:r>
        <w:rPr>
          <w:spacing w:val="-3"/>
        </w:rPr>
        <w:t>（</w:t>
      </w:r>
      <w:hyperlink r:id="rId11">
        <w:r>
          <w:rPr>
            <w:rFonts w:ascii="Times New Roman" w:hAnsi="Times New Roman" w:cs="Times New Roman" w:eastAsia="Times New Roman" w:hint="default"/>
            <w:spacing w:val="-3"/>
          </w:rPr>
          <w:t>www.cninfo.com.cn</w:t>
        </w:r>
      </w:hyperlink>
      <w:r>
        <w:rPr>
          <w:spacing w:val="-3"/>
        </w:rPr>
        <w:t>）、《中国证券报》、《证券时报》刊登了《</w:t>
      </w:r>
      <w:r>
        <w:rPr>
          <w:rFonts w:ascii="Times New Roman" w:hAnsi="Times New Roman" w:cs="Times New Roman" w:eastAsia="Times New Roman" w:hint="default"/>
          <w:spacing w:val="-3"/>
        </w:rPr>
        <w:t>2014</w:t>
      </w:r>
      <w:r>
        <w:rPr>
          <w:spacing w:val="-3"/>
        </w:rPr>
        <w:t>年度分红派息实施公告》，以</w:t>
      </w:r>
      <w:r>
        <w:rPr>
          <w:rFonts w:ascii="Times New Roman" w:hAnsi="Times New Roman" w:cs="Times New Roman" w:eastAsia="Times New Roman" w:hint="default"/>
          <w:spacing w:val="-3"/>
        </w:rPr>
        <w:t>2015</w:t>
      </w:r>
      <w:r>
        <w:rPr>
          <w:rFonts w:ascii="Times New Roman" w:hAnsi="Times New Roman" w:cs="Times New Roman" w:eastAsia="Times New Roman" w:hint="default"/>
          <w:spacing w:val="5"/>
        </w:rPr>
        <w:t> </w:t>
      </w:r>
      <w:r>
        <w:rPr>
          <w:rFonts w:ascii="Times New Roman" w:hAnsi="Times New Roman" w:cs="Times New Roman" w:eastAsia="Times New Roman" w:hint="default"/>
          <w:spacing w:val="5"/>
        </w:rPr>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w:t>
      </w:r>
      <w:r>
        <w:rPr/>
        <w:t>日为股权登记日，</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4</w:t>
      </w:r>
      <w:r>
        <w:rPr/>
        <w:t>日为除权除息日，实施</w:t>
      </w:r>
      <w:r>
        <w:rPr>
          <w:rFonts w:ascii="Times New Roman" w:hAnsi="Times New Roman" w:cs="Times New Roman" w:eastAsia="Times New Roman" w:hint="default"/>
        </w:rPr>
        <w:t>2014</w:t>
      </w:r>
      <w:r>
        <w:rPr/>
        <w:t>年度利润分配方案。</w:t>
      </w:r>
    </w:p>
    <w:tbl>
      <w:tblPr>
        <w:tblW w:w="0" w:type="auto"/>
        <w:jc w:val="left"/>
        <w:tblInd w:w="160" w:type="dxa"/>
        <w:tblLayout w:type="fixed"/>
        <w:tblCellMar>
          <w:top w:w="0" w:type="dxa"/>
          <w:left w:w="0" w:type="dxa"/>
          <w:bottom w:w="0" w:type="dxa"/>
          <w:right w:w="0" w:type="dxa"/>
        </w:tblCellMar>
        <w:tblLook w:val="01E0"/>
      </w:tblPr>
      <w:tblGrid>
        <w:gridCol w:w="6075"/>
        <w:gridCol w:w="3484"/>
      </w:tblGrid>
      <w:tr>
        <w:trPr>
          <w:trHeight w:val="401"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 w:right="7"/>
              <w:jc w:val="center"/>
              <w:rPr>
                <w:rFonts w:ascii="宋体" w:hAnsi="宋体" w:cs="宋体" w:eastAsia="宋体" w:hint="default"/>
                <w:sz w:val="21"/>
                <w:szCs w:val="21"/>
              </w:rPr>
            </w:pPr>
            <w:r>
              <w:rPr>
                <w:rFonts w:ascii="宋体" w:hAnsi="宋体" w:cs="宋体" w:eastAsia="宋体" w:hint="default"/>
                <w:sz w:val="21"/>
                <w:szCs w:val="21"/>
              </w:rPr>
              <w:t>现金分红政策的专项说明</w:t>
            </w:r>
          </w:p>
        </w:tc>
      </w:tr>
      <w:tr>
        <w:trPr>
          <w:trHeight w:val="403" w:hRule="exact"/>
        </w:trPr>
        <w:tc>
          <w:tcPr>
            <w:tcW w:w="6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是否符合公司章程的规定或股东大会决议的要求：</w:t>
            </w:r>
          </w:p>
        </w:tc>
        <w:tc>
          <w:tcPr>
            <w:tcW w:w="348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01" w:hRule="exact"/>
        </w:trPr>
        <w:tc>
          <w:tcPr>
            <w:tcW w:w="6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分红标准和比例是否明确和清晰：</w:t>
            </w:r>
          </w:p>
        </w:tc>
        <w:tc>
          <w:tcPr>
            <w:tcW w:w="348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03" w:hRule="exact"/>
        </w:trPr>
        <w:tc>
          <w:tcPr>
            <w:tcW w:w="6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相关的决策程序和机制是否完备：</w:t>
            </w:r>
          </w:p>
        </w:tc>
        <w:tc>
          <w:tcPr>
            <w:tcW w:w="348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01" w:hRule="exact"/>
        </w:trPr>
        <w:tc>
          <w:tcPr>
            <w:tcW w:w="6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独立董事是否履职尽责并发挥了应有的作用：</w:t>
            </w:r>
          </w:p>
        </w:tc>
        <w:tc>
          <w:tcPr>
            <w:tcW w:w="348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715" w:hRule="exact"/>
        </w:trPr>
        <w:tc>
          <w:tcPr>
            <w:tcW w:w="6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4"/>
              <w:jc w:val="left"/>
              <w:rPr>
                <w:rFonts w:ascii="宋体" w:hAnsi="宋体" w:cs="宋体" w:eastAsia="宋体" w:hint="default"/>
                <w:sz w:val="21"/>
                <w:szCs w:val="21"/>
              </w:rPr>
            </w:pPr>
            <w:r>
              <w:rPr>
                <w:rFonts w:ascii="宋体" w:hAnsi="宋体" w:cs="宋体" w:eastAsia="宋体" w:hint="default"/>
                <w:spacing w:val="-3"/>
                <w:sz w:val="21"/>
                <w:szCs w:val="21"/>
              </w:rPr>
              <w:t>中小股东是否有充分表达意见和诉求的机会，其合法权益是否得到</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了充分保护：</w:t>
            </w:r>
          </w:p>
        </w:tc>
        <w:tc>
          <w:tcPr>
            <w:tcW w:w="348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01" w:hRule="exact"/>
        </w:trPr>
        <w:tc>
          <w:tcPr>
            <w:tcW w:w="6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现金分红政策进行调整或变更的，条件及程序是否合规、透明：</w:t>
            </w:r>
          </w:p>
        </w:tc>
        <w:tc>
          <w:tcPr>
            <w:tcW w:w="348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不适用</w:t>
            </w:r>
          </w:p>
        </w:tc>
      </w:tr>
    </w:tbl>
    <w:p>
      <w:pPr>
        <w:pStyle w:val="BodyText"/>
        <w:spacing w:line="273" w:lineRule="auto" w:before="46"/>
        <w:ind w:left="573" w:right="439" w:hanging="421"/>
        <w:jc w:val="left"/>
      </w:pPr>
      <w:r>
        <w:rPr>
          <w:spacing w:val="-1"/>
          <w:w w:val="100"/>
        </w:rPr>
        <w:t>公司近</w:t>
      </w:r>
      <w:r>
        <w:rPr>
          <w:spacing w:val="-52"/>
          <w:w w:val="100"/>
        </w:rPr>
        <w:t> </w:t>
      </w:r>
      <w:r>
        <w:rPr>
          <w:rFonts w:ascii="Times New Roman" w:hAnsi="Times New Roman" w:cs="Times New Roman" w:eastAsia="Times New Roman" w:hint="default"/>
          <w:w w:val="100"/>
        </w:rPr>
        <w:t>3 </w:t>
      </w:r>
      <w:r>
        <w:rPr>
          <w:spacing w:val="-4"/>
          <w:w w:val="100"/>
        </w:rPr>
        <w:t>年（包括本报告期）的普通股股利分配方案（预案）、资本公积金转增股本方案（预案）情况</w:t>
      </w:r>
      <w:r>
        <w:rPr>
          <w:w w:val="100"/>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2015</w:t>
      </w:r>
      <w:r>
        <w:rPr/>
        <w:t>年度利润分配预案</w:t>
      </w:r>
      <w:r>
        <w:rPr>
          <w:w w:val="100"/>
        </w:rPr>
        <w:t> </w:t>
      </w:r>
      <w:r>
        <w:rPr/>
        <w:t>公司</w:t>
      </w:r>
      <w:r>
        <w:rPr>
          <w:rFonts w:ascii="Times New Roman" w:hAnsi="Times New Roman" w:cs="Times New Roman" w:eastAsia="Times New Roman" w:hint="default"/>
        </w:rPr>
        <w:t>2015</w:t>
      </w:r>
      <w:r>
        <w:rPr/>
        <w:t>年度计划不派发现金红利、不送红股，不以公积金转增股本。</w:t>
      </w:r>
    </w:p>
    <w:p>
      <w:pPr>
        <w:pStyle w:val="BodyText"/>
        <w:spacing w:line="256" w:lineRule="auto"/>
        <w:ind w:left="573" w:right="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2013-2014</w:t>
      </w:r>
      <w:r>
        <w:rPr/>
        <w:t>年度利润分配方案</w:t>
      </w:r>
      <w:r>
        <w:rPr>
          <w:w w:val="100"/>
        </w:rPr>
        <w:t> </w:t>
      </w:r>
      <w:r>
        <w:rPr>
          <w:spacing w:val="-2"/>
        </w:rPr>
        <w:t>公司</w:t>
      </w:r>
      <w:r>
        <w:rPr>
          <w:rFonts w:ascii="Times New Roman" w:hAnsi="Times New Roman" w:cs="Times New Roman" w:eastAsia="Times New Roman" w:hint="default"/>
          <w:spacing w:val="-2"/>
        </w:rPr>
        <w:t>2014</w:t>
      </w:r>
      <w:r>
        <w:rPr>
          <w:spacing w:val="-2"/>
        </w:rPr>
        <w:t>年度利润分配方案为：以</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日公司总股本</w:t>
      </w:r>
      <w:r>
        <w:rPr>
          <w:rFonts w:ascii="Times New Roman" w:hAnsi="Times New Roman" w:cs="Times New Roman" w:eastAsia="Times New Roman" w:hint="default"/>
          <w:spacing w:val="-2"/>
        </w:rPr>
        <w:t>20,000</w:t>
      </w:r>
      <w:r>
        <w:rPr>
          <w:spacing w:val="-2"/>
        </w:rPr>
        <w:t>万股为基数，向全体股东共计分</w:t>
      </w:r>
    </w:p>
    <w:p>
      <w:pPr>
        <w:pStyle w:val="BodyText"/>
        <w:spacing w:line="240" w:lineRule="auto" w:before="5"/>
        <w:ind w:right="0"/>
        <w:jc w:val="left"/>
      </w:pPr>
      <w:r>
        <w:rPr/>
        <w:t>配利润人民币</w:t>
      </w:r>
      <w:r>
        <w:rPr>
          <w:rFonts w:ascii="Times New Roman" w:hAnsi="Times New Roman" w:cs="Times New Roman" w:eastAsia="Times New Roman" w:hint="default"/>
        </w:rPr>
        <w:t>8,000</w:t>
      </w:r>
      <w:r>
        <w:rPr/>
        <w:t>万元整，即每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4.00</w:t>
      </w:r>
      <w:r>
        <w:rPr/>
        <w:t>元（含税）。此议案经</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26</w:t>
      </w:r>
      <w:r>
        <w:rPr/>
        <w:t>日召开的公司</w:t>
      </w:r>
    </w:p>
    <w:p>
      <w:pPr>
        <w:pStyle w:val="BodyText"/>
        <w:spacing w:line="256" w:lineRule="auto" w:before="21"/>
        <w:ind w:left="573" w:right="0" w:hanging="421"/>
        <w:jc w:val="left"/>
      </w:pPr>
      <w:r>
        <w:rPr>
          <w:rFonts w:ascii="Times New Roman" w:hAnsi="Times New Roman" w:cs="Times New Roman" w:eastAsia="Times New Roman" w:hint="default"/>
        </w:rPr>
        <w:t>2014</w:t>
      </w:r>
      <w:r>
        <w:rPr/>
        <w:t>年度股东大会审议通过后实施，并于</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4</w:t>
      </w:r>
      <w:r>
        <w:rPr/>
        <w:t>日实施完毕。</w:t>
      </w:r>
      <w:r>
        <w:rPr>
          <w:w w:val="100"/>
        </w:rPr>
        <w:t> </w:t>
      </w:r>
      <w:r>
        <w:rPr>
          <w:spacing w:val="-2"/>
        </w:rPr>
        <w:t>公司</w:t>
      </w:r>
      <w:r>
        <w:rPr>
          <w:rFonts w:ascii="Times New Roman" w:hAnsi="Times New Roman" w:cs="Times New Roman" w:eastAsia="Times New Roman" w:hint="default"/>
          <w:spacing w:val="-2"/>
        </w:rPr>
        <w:t>2013</w:t>
      </w:r>
      <w:r>
        <w:rPr>
          <w:spacing w:val="-2"/>
        </w:rPr>
        <w:t>年度利润分配方案为：以</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日公司总股本</w:t>
      </w:r>
      <w:r>
        <w:rPr>
          <w:rFonts w:ascii="Times New Roman" w:hAnsi="Times New Roman" w:cs="Times New Roman" w:eastAsia="Times New Roman" w:hint="default"/>
          <w:spacing w:val="-2"/>
        </w:rPr>
        <w:t>20,000</w:t>
      </w:r>
      <w:r>
        <w:rPr>
          <w:spacing w:val="-2"/>
        </w:rPr>
        <w:t>万股为基数，向全体股东共计分</w:t>
      </w:r>
    </w:p>
    <w:p>
      <w:pPr>
        <w:pStyle w:val="BodyText"/>
        <w:spacing w:line="273" w:lineRule="auto" w:before="5"/>
        <w:ind w:right="0"/>
        <w:jc w:val="left"/>
      </w:pPr>
      <w:r>
        <w:rPr>
          <w:spacing w:val="-2"/>
        </w:rPr>
        <w:t>配利润人民币</w:t>
      </w:r>
      <w:r>
        <w:rPr>
          <w:rFonts w:ascii="Times New Roman" w:hAnsi="Times New Roman" w:cs="Times New Roman" w:eastAsia="Times New Roman" w:hint="default"/>
          <w:spacing w:val="-2"/>
        </w:rPr>
        <w:t>6,000</w:t>
      </w:r>
      <w:r>
        <w:rPr>
          <w:spacing w:val="-2"/>
        </w:rPr>
        <w:t>万元整，即每</w:t>
      </w:r>
      <w:r>
        <w:rPr>
          <w:rFonts w:ascii="Times New Roman" w:hAnsi="Times New Roman" w:cs="Times New Roman" w:eastAsia="Times New Roman" w:hint="default"/>
          <w:spacing w:val="-2"/>
        </w:rPr>
        <w:t>10</w:t>
      </w:r>
      <w:r>
        <w:rPr>
          <w:spacing w:val="-2"/>
        </w:rPr>
        <w:t>股派发现金红利</w:t>
      </w:r>
      <w:r>
        <w:rPr>
          <w:rFonts w:ascii="Times New Roman" w:hAnsi="Times New Roman" w:cs="Times New Roman" w:eastAsia="Times New Roman" w:hint="default"/>
          <w:spacing w:val="-2"/>
        </w:rPr>
        <w:t>3.00</w:t>
      </w:r>
      <w:r>
        <w:rPr>
          <w:spacing w:val="-2"/>
        </w:rPr>
        <w:t>元（含税）。此议案经</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14</w:t>
      </w:r>
      <w:r>
        <w:rPr>
          <w:spacing w:val="-2"/>
        </w:rPr>
        <w:t>日召开的公司</w:t>
      </w:r>
      <w:r>
        <w:rPr>
          <w:spacing w:val="-9"/>
        </w:rPr>
        <w:t> </w:t>
      </w:r>
      <w:r>
        <w:rPr>
          <w:spacing w:val="-9"/>
        </w:rPr>
      </w:r>
      <w:r>
        <w:rPr>
          <w:rFonts w:ascii="Times New Roman" w:hAnsi="Times New Roman" w:cs="Times New Roman" w:eastAsia="Times New Roman" w:hint="default"/>
        </w:rPr>
        <w:t>2013</w:t>
      </w:r>
      <w:r>
        <w:rPr/>
        <w:t>年度股东大会审议通过后实施，并于</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23</w:t>
      </w:r>
      <w:r>
        <w:rPr/>
        <w:t>日实施完毕。</w:t>
      </w:r>
      <w:r>
        <w:rPr>
          <w:w w:val="100"/>
        </w:rPr>
        <w:t> </w:t>
      </w:r>
      <w:r>
        <w:rPr/>
        <w:t>公司近三年（包括本报告期）普通股现金分红情况表</w:t>
      </w:r>
    </w:p>
    <w:p>
      <w:pPr>
        <w:pStyle w:val="BodyText"/>
        <w:spacing w:line="240" w:lineRule="auto" w:before="46"/>
        <w:ind w:left="0" w:right="254"/>
        <w:jc w:val="right"/>
      </w:pPr>
      <w:r>
        <w:rPr>
          <w:spacing w:val="-1"/>
        </w:rPr>
        <w:t>单位：元</w:t>
      </w:r>
    </w:p>
    <w:p>
      <w:pPr>
        <w:spacing w:line="240" w:lineRule="auto" w:before="13"/>
        <w:rPr>
          <w:rFonts w:ascii="宋体" w:hAnsi="宋体" w:cs="宋体" w:eastAsia="宋体" w:hint="default"/>
          <w:sz w:val="6"/>
          <w:szCs w:val="6"/>
        </w:rPr>
      </w:pPr>
    </w:p>
    <w:tbl>
      <w:tblPr>
        <w:tblW w:w="0" w:type="auto"/>
        <w:jc w:val="left"/>
        <w:tblInd w:w="136" w:type="dxa"/>
        <w:tblLayout w:type="fixed"/>
        <w:tblCellMar>
          <w:top w:w="0" w:type="dxa"/>
          <w:left w:w="0" w:type="dxa"/>
          <w:bottom w:w="0" w:type="dxa"/>
          <w:right w:w="0" w:type="dxa"/>
        </w:tblCellMar>
        <w:tblLook w:val="01E0"/>
      </w:tblPr>
      <w:tblGrid>
        <w:gridCol w:w="994"/>
        <w:gridCol w:w="1274"/>
        <w:gridCol w:w="2269"/>
        <w:gridCol w:w="2268"/>
        <w:gridCol w:w="1419"/>
        <w:gridCol w:w="1344"/>
      </w:tblGrid>
      <w:tr>
        <w:trPr>
          <w:trHeight w:val="161" w:hRule="exact"/>
        </w:trPr>
        <w:tc>
          <w:tcPr>
            <w:tcW w:w="994" w:type="dxa"/>
            <w:vMerge w:val="restart"/>
            <w:tcBorders>
              <w:top w:val="single" w:sz="4" w:space="0" w:color="000000"/>
              <w:left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nil" w:sz="6" w:space="0" w:color="auto"/>
              <w:right w:val="single" w:sz="4" w:space="0" w:color="000000"/>
            </w:tcBorders>
            <w:shd w:val="clear" w:color="auto" w:fill="D2D2D2"/>
          </w:tcPr>
          <w:p>
            <w:pPr/>
          </w:p>
        </w:tc>
        <w:tc>
          <w:tcPr>
            <w:tcW w:w="2269"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8"/>
              <w:ind w:left="79" w:right="75"/>
              <w:jc w:val="center"/>
              <w:rPr>
                <w:rFonts w:ascii="宋体" w:hAnsi="宋体" w:cs="宋体" w:eastAsia="宋体" w:hint="default"/>
                <w:sz w:val="21"/>
                <w:szCs w:val="21"/>
              </w:rPr>
            </w:pPr>
            <w:r>
              <w:rPr>
                <w:rFonts w:ascii="宋体" w:hAnsi="宋体" w:cs="宋体" w:eastAsia="宋体" w:hint="default"/>
                <w:spacing w:val="-2"/>
                <w:sz w:val="21"/>
                <w:szCs w:val="21"/>
              </w:rPr>
              <w:t>分红年度合并报表中归</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2"/>
                <w:sz w:val="21"/>
                <w:szCs w:val="21"/>
              </w:rPr>
              <w:t>属于上市公司普通股股</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东的净利润</w:t>
            </w:r>
          </w:p>
        </w:tc>
        <w:tc>
          <w:tcPr>
            <w:tcW w:w="2268"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8"/>
              <w:ind w:left="79" w:right="74"/>
              <w:jc w:val="center"/>
              <w:rPr>
                <w:rFonts w:ascii="宋体" w:hAnsi="宋体" w:cs="宋体" w:eastAsia="宋体" w:hint="default"/>
                <w:sz w:val="21"/>
                <w:szCs w:val="21"/>
              </w:rPr>
            </w:pPr>
            <w:r>
              <w:rPr>
                <w:rFonts w:ascii="宋体" w:hAnsi="宋体" w:cs="宋体" w:eastAsia="宋体" w:hint="default"/>
                <w:spacing w:val="-2"/>
                <w:sz w:val="21"/>
                <w:szCs w:val="21"/>
              </w:rPr>
              <w:t>占合并报表中归属于上</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2"/>
                <w:sz w:val="21"/>
                <w:szCs w:val="21"/>
              </w:rPr>
              <w:t>市公司普通股股东的净</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利润的比率</w:t>
            </w:r>
          </w:p>
        </w:tc>
        <w:tc>
          <w:tcPr>
            <w:tcW w:w="14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74" w:right="70"/>
              <w:jc w:val="left"/>
              <w:rPr>
                <w:rFonts w:ascii="宋体" w:hAnsi="宋体" w:cs="宋体" w:eastAsia="宋体" w:hint="default"/>
                <w:sz w:val="21"/>
                <w:szCs w:val="21"/>
              </w:rPr>
            </w:pPr>
            <w:r>
              <w:rPr>
                <w:rFonts w:ascii="宋体" w:hAnsi="宋体" w:cs="宋体" w:eastAsia="宋体" w:hint="default"/>
                <w:sz w:val="21"/>
                <w:szCs w:val="21"/>
              </w:rPr>
              <w:t>以其他方式现</w:t>
            </w:r>
            <w:r>
              <w:rPr>
                <w:rFonts w:ascii="宋体" w:hAnsi="宋体" w:cs="宋体" w:eastAsia="宋体" w:hint="default"/>
                <w:w w:val="100"/>
                <w:sz w:val="21"/>
                <w:szCs w:val="21"/>
              </w:rPr>
              <w:t> </w:t>
            </w:r>
            <w:r>
              <w:rPr>
                <w:rFonts w:ascii="宋体" w:hAnsi="宋体" w:cs="宋体" w:eastAsia="宋体" w:hint="default"/>
                <w:sz w:val="21"/>
                <w:szCs w:val="21"/>
              </w:rPr>
              <w:t>金分红的金额</w:t>
            </w:r>
          </w:p>
        </w:tc>
        <w:tc>
          <w:tcPr>
            <w:tcW w:w="134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38" w:right="31"/>
              <w:jc w:val="left"/>
              <w:rPr>
                <w:rFonts w:ascii="宋体" w:hAnsi="宋体" w:cs="宋体" w:eastAsia="宋体" w:hint="default"/>
                <w:sz w:val="21"/>
                <w:szCs w:val="21"/>
              </w:rPr>
            </w:pPr>
            <w:r>
              <w:rPr>
                <w:rFonts w:ascii="宋体" w:hAnsi="宋体" w:cs="宋体" w:eastAsia="宋体" w:hint="default"/>
                <w:sz w:val="21"/>
                <w:szCs w:val="21"/>
              </w:rPr>
              <w:t>以其他方式现</w:t>
            </w:r>
            <w:r>
              <w:rPr>
                <w:rFonts w:ascii="宋体" w:hAnsi="宋体" w:cs="宋体" w:eastAsia="宋体" w:hint="default"/>
                <w:w w:val="100"/>
                <w:sz w:val="21"/>
                <w:szCs w:val="21"/>
              </w:rPr>
              <w:t> </w:t>
            </w:r>
            <w:r>
              <w:rPr>
                <w:rFonts w:ascii="宋体" w:hAnsi="宋体" w:cs="宋体" w:eastAsia="宋体" w:hint="default"/>
                <w:sz w:val="21"/>
                <w:szCs w:val="21"/>
              </w:rPr>
              <w:t>金分红的比例</w:t>
            </w:r>
          </w:p>
        </w:tc>
      </w:tr>
      <w:tr>
        <w:trPr>
          <w:trHeight w:val="156" w:hRule="exact"/>
        </w:trPr>
        <w:tc>
          <w:tcPr>
            <w:tcW w:w="994" w:type="dxa"/>
            <w:vMerge/>
            <w:tcBorders>
              <w:left w:val="single" w:sz="4" w:space="0" w:color="000000"/>
              <w:bottom w:val="nil" w:sz="6" w:space="0" w:color="auto"/>
              <w:right w:val="single" w:sz="4" w:space="0" w:color="000000"/>
            </w:tcBorders>
            <w:shd w:val="clear" w:color="auto" w:fill="D2D2D2"/>
          </w:tcPr>
          <w:p>
            <w:pPr/>
          </w:p>
        </w:tc>
        <w:tc>
          <w:tcPr>
            <w:tcW w:w="1274"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8"/>
              <w:ind w:left="107" w:right="101"/>
              <w:jc w:val="left"/>
              <w:rPr>
                <w:rFonts w:ascii="宋体" w:hAnsi="宋体" w:cs="宋体" w:eastAsia="宋体" w:hint="default"/>
                <w:sz w:val="21"/>
                <w:szCs w:val="21"/>
              </w:rPr>
            </w:pPr>
            <w:r>
              <w:rPr>
                <w:rFonts w:ascii="宋体" w:hAnsi="宋体" w:cs="宋体" w:eastAsia="宋体" w:hint="default"/>
                <w:sz w:val="21"/>
                <w:szCs w:val="21"/>
              </w:rPr>
              <w:t>现金分红金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额（含税）</w:t>
            </w:r>
          </w:p>
        </w:tc>
        <w:tc>
          <w:tcPr>
            <w:tcW w:w="2269" w:type="dxa"/>
            <w:vMerge/>
            <w:tcBorders>
              <w:left w:val="single" w:sz="4" w:space="0" w:color="000000"/>
              <w:right w:val="single" w:sz="4" w:space="0" w:color="000000"/>
            </w:tcBorders>
            <w:shd w:val="clear" w:color="auto" w:fill="D2D2D2"/>
          </w:tcPr>
          <w:p>
            <w:pPr/>
          </w:p>
        </w:tc>
        <w:tc>
          <w:tcPr>
            <w:tcW w:w="2268"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shd w:val="clear" w:color="auto" w:fill="D2D2D2"/>
          </w:tcPr>
          <w:p>
            <w:pPr/>
          </w:p>
        </w:tc>
        <w:tc>
          <w:tcPr>
            <w:tcW w:w="1344" w:type="dxa"/>
            <w:vMerge/>
            <w:tcBorders>
              <w:left w:val="single" w:sz="4" w:space="0" w:color="000000"/>
              <w:right w:val="single" w:sz="4" w:space="0" w:color="000000"/>
            </w:tcBorders>
            <w:shd w:val="clear" w:color="auto" w:fill="D2D2D2"/>
          </w:tcPr>
          <w:p>
            <w:pPr/>
          </w:p>
        </w:tc>
      </w:tr>
      <w:tr>
        <w:trPr>
          <w:trHeight w:val="391" w:hRule="exact"/>
        </w:trPr>
        <w:tc>
          <w:tcPr>
            <w:tcW w:w="994" w:type="dxa"/>
            <w:tcBorders>
              <w:top w:val="nil" w:sz="6" w:space="0" w:color="auto"/>
              <w:left w:val="single" w:sz="13" w:space="0" w:color="D2D2D2"/>
              <w:bottom w:val="nil" w:sz="6" w:space="0" w:color="auto"/>
              <w:right w:val="single" w:sz="10" w:space="0" w:color="D2D2D2"/>
            </w:tcBorders>
          </w:tcPr>
          <w:p>
            <w:pPr>
              <w:pStyle w:val="TableParagraph"/>
              <w:tabs>
                <w:tab w:pos="950" w:val="left" w:leader="none"/>
              </w:tabs>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spacing w:val="-5"/>
                <w:w w:val="100"/>
                <w:sz w:val="21"/>
                <w:szCs w:val="21"/>
                <w:shd w:fill="D2D2D2" w:color="auto" w:val="clear"/>
              </w:rPr>
              <w:t> </w:t>
            </w:r>
            <w:r>
              <w:rPr>
                <w:rFonts w:ascii="宋体" w:hAnsi="宋体" w:cs="宋体" w:eastAsia="宋体" w:hint="default"/>
                <w:sz w:val="21"/>
                <w:szCs w:val="21"/>
                <w:shd w:fill="D2D2D2" w:color="auto" w:val="clear"/>
              </w:rPr>
              <w:t>分红年度</w:t>
              <w:tab/>
            </w:r>
            <w:r>
              <w:rPr>
                <w:rFonts w:ascii="宋体" w:hAnsi="宋体" w:cs="宋体" w:eastAsia="宋体" w:hint="default"/>
                <w:sz w:val="21"/>
                <w:szCs w:val="21"/>
              </w:rPr>
            </w:r>
          </w:p>
        </w:tc>
        <w:tc>
          <w:tcPr>
            <w:tcW w:w="1274" w:type="dxa"/>
            <w:vMerge/>
            <w:tcBorders>
              <w:left w:val="single" w:sz="4" w:space="0" w:color="000000"/>
              <w:right w:val="single" w:sz="4" w:space="0" w:color="000000"/>
            </w:tcBorders>
            <w:shd w:val="clear" w:color="auto" w:fill="D2D2D2"/>
          </w:tcPr>
          <w:p>
            <w:pPr/>
          </w:p>
        </w:tc>
        <w:tc>
          <w:tcPr>
            <w:tcW w:w="2269" w:type="dxa"/>
            <w:vMerge/>
            <w:tcBorders>
              <w:left w:val="single" w:sz="4" w:space="0" w:color="000000"/>
              <w:right w:val="single" w:sz="4" w:space="0" w:color="000000"/>
            </w:tcBorders>
            <w:shd w:val="clear" w:color="auto" w:fill="D2D2D2"/>
          </w:tcPr>
          <w:p>
            <w:pPr/>
          </w:p>
        </w:tc>
        <w:tc>
          <w:tcPr>
            <w:tcW w:w="2268"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shd w:val="clear" w:color="auto" w:fill="D2D2D2"/>
          </w:tcPr>
          <w:p>
            <w:pPr/>
          </w:p>
        </w:tc>
        <w:tc>
          <w:tcPr>
            <w:tcW w:w="1344" w:type="dxa"/>
            <w:vMerge/>
            <w:tcBorders>
              <w:left w:val="single" w:sz="4" w:space="0" w:color="000000"/>
              <w:right w:val="single" w:sz="4" w:space="0" w:color="000000"/>
            </w:tcBorders>
            <w:shd w:val="clear" w:color="auto" w:fill="D2D2D2"/>
          </w:tcPr>
          <w:p>
            <w:pPr/>
          </w:p>
        </w:tc>
      </w:tr>
      <w:tr>
        <w:trPr>
          <w:trHeight w:val="156" w:hRule="exact"/>
        </w:trPr>
        <w:tc>
          <w:tcPr>
            <w:tcW w:w="994" w:type="dxa"/>
            <w:vMerge w:val="restart"/>
            <w:tcBorders>
              <w:top w:val="nil" w:sz="6" w:space="0" w:color="auto"/>
              <w:left w:val="single" w:sz="4" w:space="0" w:color="000000"/>
              <w:right w:val="single" w:sz="4" w:space="0" w:color="000000"/>
            </w:tcBorders>
            <w:shd w:val="clear" w:color="auto" w:fill="D2D2D2"/>
          </w:tcPr>
          <w:p>
            <w:pPr/>
          </w:p>
        </w:tc>
        <w:tc>
          <w:tcPr>
            <w:tcW w:w="1274" w:type="dxa"/>
            <w:vMerge/>
            <w:tcBorders>
              <w:left w:val="single" w:sz="4" w:space="0" w:color="000000"/>
              <w:bottom w:val="nil" w:sz="6" w:space="0" w:color="auto"/>
              <w:right w:val="single" w:sz="4" w:space="0" w:color="000000"/>
            </w:tcBorders>
            <w:shd w:val="clear" w:color="auto" w:fill="D2D2D2"/>
          </w:tcPr>
          <w:p>
            <w:pPr/>
          </w:p>
        </w:tc>
        <w:tc>
          <w:tcPr>
            <w:tcW w:w="2269" w:type="dxa"/>
            <w:vMerge/>
            <w:tcBorders>
              <w:left w:val="single" w:sz="4" w:space="0" w:color="000000"/>
              <w:right w:val="single" w:sz="4" w:space="0" w:color="000000"/>
            </w:tcBorders>
            <w:shd w:val="clear" w:color="auto" w:fill="D2D2D2"/>
          </w:tcPr>
          <w:p>
            <w:pPr/>
          </w:p>
        </w:tc>
        <w:tc>
          <w:tcPr>
            <w:tcW w:w="2268"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shd w:val="clear" w:color="auto" w:fill="D2D2D2"/>
          </w:tcPr>
          <w:p>
            <w:pPr/>
          </w:p>
        </w:tc>
        <w:tc>
          <w:tcPr>
            <w:tcW w:w="1344" w:type="dxa"/>
            <w:vMerge/>
            <w:tcBorders>
              <w:left w:val="single" w:sz="4" w:space="0" w:color="000000"/>
              <w:right w:val="single" w:sz="4" w:space="0" w:color="000000"/>
            </w:tcBorders>
            <w:shd w:val="clear" w:color="auto" w:fill="D2D2D2"/>
          </w:tcPr>
          <w:p>
            <w:pPr/>
          </w:p>
        </w:tc>
      </w:tr>
      <w:tr>
        <w:trPr>
          <w:trHeight w:val="161" w:hRule="exact"/>
        </w:trPr>
        <w:tc>
          <w:tcPr>
            <w:tcW w:w="994" w:type="dxa"/>
            <w:vMerge/>
            <w:tcBorders>
              <w:left w:val="single" w:sz="4" w:space="0" w:color="000000"/>
              <w:bottom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single" w:sz="4" w:space="0" w:color="000000"/>
              <w:right w:val="single" w:sz="4" w:space="0" w:color="000000"/>
            </w:tcBorders>
            <w:shd w:val="clear" w:color="auto" w:fill="D2D2D2"/>
          </w:tcPr>
          <w:p>
            <w:pPr/>
          </w:p>
        </w:tc>
        <w:tc>
          <w:tcPr>
            <w:tcW w:w="2269" w:type="dxa"/>
            <w:vMerge/>
            <w:tcBorders>
              <w:left w:val="single" w:sz="4" w:space="0" w:color="000000"/>
              <w:bottom w:val="single" w:sz="4" w:space="0" w:color="000000"/>
              <w:right w:val="single" w:sz="4" w:space="0" w:color="000000"/>
            </w:tcBorders>
            <w:shd w:val="clear" w:color="auto" w:fill="D2D2D2"/>
          </w:tcPr>
          <w:p>
            <w:pPr/>
          </w:p>
        </w:tc>
        <w:tc>
          <w:tcPr>
            <w:tcW w:w="2268" w:type="dxa"/>
            <w:vMerge/>
            <w:tcBorders>
              <w:left w:val="single" w:sz="4" w:space="0" w:color="000000"/>
              <w:bottom w:val="single" w:sz="4" w:space="0" w:color="000000"/>
              <w:right w:val="single" w:sz="4" w:space="0" w:color="000000"/>
            </w:tcBorders>
            <w:shd w:val="clear" w:color="auto" w:fill="D2D2D2"/>
          </w:tcPr>
          <w:p>
            <w:pPr/>
          </w:p>
        </w:tc>
        <w:tc>
          <w:tcPr>
            <w:tcW w:w="1419" w:type="dxa"/>
            <w:vMerge/>
            <w:tcBorders>
              <w:left w:val="single" w:sz="4" w:space="0" w:color="000000"/>
              <w:bottom w:val="single" w:sz="4" w:space="0" w:color="000000"/>
              <w:right w:val="single" w:sz="4" w:space="0" w:color="000000"/>
            </w:tcBorders>
            <w:shd w:val="clear" w:color="auto" w:fill="D2D2D2"/>
          </w:tcPr>
          <w:p>
            <w:pPr/>
          </w:p>
        </w:tc>
        <w:tc>
          <w:tcPr>
            <w:tcW w:w="134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27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26,163,454.80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0.00%</w:t>
            </w: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27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80,000,000.00</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93,359,166.05</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85.69%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0.00%</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27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60,000,000.00</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90,625,042.03</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66.21%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0.00%</w:t>
            </w:r>
          </w:p>
        </w:tc>
      </w:tr>
    </w:tbl>
    <w:p>
      <w:pPr>
        <w:pStyle w:val="BodyText"/>
        <w:spacing w:line="240" w:lineRule="auto" w:before="28"/>
        <w:ind w:right="0"/>
        <w:jc w:val="left"/>
      </w:pPr>
      <w:r>
        <w:rPr/>
        <w:t>公司报告期内盈利且母公司可供普通股股东分配利润为正但未提出普通股现金红利分配预案</w:t>
      </w:r>
    </w:p>
    <w:p>
      <w:pPr>
        <w:pStyle w:val="BodyText"/>
        <w:spacing w:line="240" w:lineRule="auto" w:before="7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after="0" w:line="240" w:lineRule="auto"/>
        <w:jc w:val="left"/>
        <w:sectPr>
          <w:pgSz w:w="11910" w:h="16840"/>
          <w:pgMar w:header="877" w:footer="979" w:top="1100" w:bottom="1160" w:left="980" w:right="980"/>
        </w:sectPr>
      </w:pPr>
    </w:p>
    <w:p>
      <w:pPr>
        <w:spacing w:line="240" w:lineRule="auto" w:before="8"/>
        <w:rPr>
          <w:rFonts w:ascii="宋体" w:hAnsi="宋体" w:cs="宋体" w:eastAsia="宋体" w:hint="default"/>
          <w:sz w:val="24"/>
          <w:szCs w:val="24"/>
        </w:rPr>
      </w:pPr>
      <w:r>
        <w:rPr/>
        <w:pict>
          <v:shape style="position:absolute;margin-left:138.868637pt;margin-top:400.414978pt;width:65.3pt;height:22.8pt;mso-position-horizontal-relative:page;mso-position-vertical-relative:page;z-index:-667552" type="#_x0000_t202" filled="false" stroked="false">
            <v:textbox inset="0,0,0,0">
              <w:txbxContent>
                <w:p>
                  <w:pPr>
                    <w:pStyle w:val="BodyText"/>
                    <w:spacing w:line="211" w:lineRule="exact"/>
                    <w:ind w:left="0" w:right="0"/>
                    <w:jc w:val="left"/>
                  </w:pPr>
                  <w:r>
                    <w:rPr/>
                    <w:t>力、</w:t>
                  </w:r>
                </w:p>
              </w:txbxContent>
            </v:textbox>
            <w10:wrap type="none"/>
          </v:shape>
        </w:pict>
      </w:r>
      <w:r>
        <w:rPr/>
        <w:pict>
          <v:shape style="position:absolute;margin-left:138.868637pt;margin-top:615.505005pt;width:65.3pt;height:22.9pt;mso-position-horizontal-relative:page;mso-position-vertical-relative:page;z-index:-667528" type="#_x0000_t202" filled="false" stroked="false">
            <v:textbox inset="0,0,0,0">
              <w:txbxContent>
                <w:p>
                  <w:pPr>
                    <w:pStyle w:val="BodyText"/>
                    <w:spacing w:line="211" w:lineRule="exact"/>
                    <w:ind w:left="0" w:right="0"/>
                    <w:jc w:val="left"/>
                  </w:pPr>
                  <w:r>
                    <w:rPr/>
                    <w:t>力、</w:t>
                  </w:r>
                </w:p>
              </w:txbxContent>
            </v:textbox>
            <w10:wrap type="none"/>
          </v:shape>
        </w:pict>
      </w:r>
      <w:r>
        <w:rPr/>
        <w:pict>
          <v:shape style="position:absolute;margin-left:383.475922pt;margin-top:638.375977pt;width:55.85pt;height:124.8pt;mso-position-horizontal-relative:page;mso-position-vertical-relative:page;z-index:-667504" type="#_x0000_t202" filled="false" stroked="false">
            <v:textbox inset="0,0,0,0">
              <w:txbxContent>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48"/>
                    <w:ind w:left="0" w:right="0"/>
                    <w:jc w:val="left"/>
                  </w:pPr>
                  <w:r>
                    <w:rPr>
                      <w:w w:val="100"/>
                    </w:rPr>
                    <w:t>。</w:t>
                  </w:r>
                </w:p>
              </w:txbxContent>
            </v:textbox>
            <w10:wrap type="none"/>
          </v:shape>
        </w:pict>
      </w:r>
      <w:r>
        <w:rPr/>
        <w:pict>
          <v:group style="position:absolute;margin-left:156.259995pt;margin-top:602.536011pt;width:47.95pt;height:36.4pt;mso-position-horizontal-relative:page;mso-position-vertical-relative:page;z-index:-667480" coordorigin="3125,12051" coordsize="959,728">
            <v:group style="position:absolute;left:3136;top:12062;width:2;height:707" coordorigin="3136,12062" coordsize="2,707">
              <v:shape style="position:absolute;left:3136;top:12062;width:2;height:707" coordorigin="3136,12062" coordsize="0,707" path="m3136,12062l3136,12768e" filled="false" stroked="true" strokeweight="1.08pt" strokecolor="#ffffff">
                <v:path arrowok="t"/>
              </v:shape>
            </v:group>
            <v:group style="position:absolute;left:3147;top:12062;width:937;height:354" coordorigin="3147,12062" coordsize="937,354">
              <v:shape style="position:absolute;left:3147;top:12062;width:937;height:354" coordorigin="3147,12062" coordsize="937,354" path="m3147,12415l4083,12415,4083,12062,3147,12062,3147,12415xe" filled="true" fillcolor="#ffffff" stroked="false">
                <v:path arrowok="t"/>
                <v:fill type="solid"/>
              </v:shape>
            </v:group>
            <v:group style="position:absolute;left:3147;top:12415;width:937;height:353" coordorigin="3147,12415" coordsize="937,353">
              <v:shape style="position:absolute;left:3147;top:12415;width:937;height:353" coordorigin="3147,12415" coordsize="937,353" path="m3147,12768l4083,12768,4083,12415,3147,12415,3147,12768xe" filled="true" fillcolor="#ffffff" stroked="false">
                <v:path arrowok="t"/>
                <v:fill type="solid"/>
              </v:shape>
            </v:group>
            <w10:wrap type="none"/>
          </v:group>
        </w:pict>
      </w:r>
      <w:r>
        <w:rPr/>
        <w:pict>
          <v:group style="position:absolute;margin-left:390.190002pt;margin-top:638.375977pt;width:49.15pt;height:124.8pt;mso-position-horizontal-relative:page;mso-position-vertical-relative:page;z-index:-667456" coordorigin="7804,12768" coordsize="983,2496">
            <v:shape style="position:absolute;left:7804;top:12768;width:983;height:2496" coordorigin="7804,12768" coordsize="983,2496" path="m7804,15264l8786,15264,8786,12768,7804,12768,7804,15264xe" filled="true" fillcolor="#ffffff" stroked="false">
              <v:path arrowok="t"/>
              <v:fill type="solid"/>
            </v:shape>
            <w10:wrap type="none"/>
          </v:group>
        </w:pict>
      </w:r>
    </w:p>
    <w:tbl>
      <w:tblPr>
        <w:tblW w:w="0" w:type="auto"/>
        <w:jc w:val="left"/>
        <w:tblInd w:w="148" w:type="dxa"/>
        <w:tblLayout w:type="fixed"/>
        <w:tblCellMar>
          <w:top w:w="0" w:type="dxa"/>
          <w:left w:w="0" w:type="dxa"/>
          <w:bottom w:w="0" w:type="dxa"/>
          <w:right w:w="0" w:type="dxa"/>
        </w:tblCellMar>
        <w:tblLook w:val="01E0"/>
      </w:tblPr>
      <w:tblGrid>
        <w:gridCol w:w="5531"/>
        <w:gridCol w:w="4040"/>
      </w:tblGrid>
      <w:tr>
        <w:trPr>
          <w:trHeight w:val="713" w:hRule="exact"/>
        </w:trPr>
        <w:tc>
          <w:tcPr>
            <w:tcW w:w="5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183" w:right="24" w:hanging="1155"/>
              <w:jc w:val="left"/>
              <w:rPr>
                <w:rFonts w:ascii="宋体" w:hAnsi="宋体" w:cs="宋体" w:eastAsia="宋体" w:hint="default"/>
                <w:sz w:val="21"/>
                <w:szCs w:val="21"/>
              </w:rPr>
            </w:pPr>
            <w:r>
              <w:rPr>
                <w:rFonts w:ascii="宋体" w:hAnsi="宋体" w:cs="宋体" w:eastAsia="宋体" w:hint="default"/>
                <w:spacing w:val="-2"/>
                <w:sz w:val="21"/>
                <w:szCs w:val="21"/>
              </w:rPr>
              <w:t>报告期内盈利且母公司可供普通股股东分配利润为正但未提</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出普通股现金红利分配预案的原因</w:t>
            </w:r>
          </w:p>
        </w:tc>
        <w:tc>
          <w:tcPr>
            <w:tcW w:w="4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439" w:right="0"/>
              <w:jc w:val="left"/>
              <w:rPr>
                <w:rFonts w:ascii="宋体" w:hAnsi="宋体" w:cs="宋体" w:eastAsia="宋体" w:hint="default"/>
                <w:sz w:val="21"/>
                <w:szCs w:val="21"/>
              </w:rPr>
            </w:pPr>
            <w:r>
              <w:rPr>
                <w:rFonts w:ascii="宋体" w:hAnsi="宋体" w:cs="宋体" w:eastAsia="宋体" w:hint="default"/>
                <w:sz w:val="21"/>
                <w:szCs w:val="21"/>
              </w:rPr>
              <w:t>公司未分配利润的用途和使用计划</w:t>
            </w:r>
          </w:p>
        </w:tc>
      </w:tr>
      <w:tr>
        <w:trPr>
          <w:trHeight w:val="1027" w:hRule="exact"/>
        </w:trPr>
        <w:tc>
          <w:tcPr>
            <w:tcW w:w="5531"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before="30"/>
              <w:ind w:left="24" w:right="19"/>
              <w:jc w:val="both"/>
              <w:rPr>
                <w:rFonts w:ascii="宋体" w:hAnsi="宋体" w:cs="宋体" w:eastAsia="宋体" w:hint="default"/>
                <w:sz w:val="21"/>
                <w:szCs w:val="21"/>
              </w:rPr>
            </w:pPr>
            <w:r>
              <w:rPr>
                <w:rFonts w:ascii="宋体" w:hAnsi="宋体" w:cs="宋体" w:eastAsia="宋体" w:hint="default"/>
                <w:spacing w:val="-2"/>
                <w:sz w:val="21"/>
                <w:szCs w:val="21"/>
              </w:rPr>
              <w:t>公司目前处于战略转型发展阶段，为满足经营资金需求，保</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pacing w:val="-3"/>
                <w:sz w:val="21"/>
                <w:szCs w:val="21"/>
              </w:rPr>
              <w:t>证公司经营稳定及持续发展，董事会经讨论决定，</w:t>
            </w:r>
            <w:r>
              <w:rPr>
                <w:rFonts w:ascii="Times New Roman" w:hAnsi="Times New Roman" w:cs="Times New Roman" w:eastAsia="Times New Roman" w:hint="default"/>
                <w:spacing w:val="-3"/>
                <w:sz w:val="21"/>
                <w:szCs w:val="21"/>
              </w:rPr>
              <w:t>2015</w:t>
            </w:r>
            <w:r>
              <w:rPr>
                <w:rFonts w:ascii="Times New Roman" w:hAnsi="Times New Roman" w:cs="Times New Roman" w:eastAsia="Times New Roman" w:hint="default"/>
                <w:spacing w:val="27"/>
                <w:sz w:val="21"/>
                <w:szCs w:val="21"/>
              </w:rPr>
              <w:t> </w:t>
            </w:r>
            <w:r>
              <w:rPr>
                <w:rFonts w:ascii="宋体" w:hAnsi="宋体" w:cs="宋体" w:eastAsia="宋体" w:hint="default"/>
                <w:spacing w:val="-3"/>
                <w:sz w:val="21"/>
                <w:szCs w:val="21"/>
              </w:rPr>
              <w:t>年度</w:t>
            </w:r>
            <w:r>
              <w:rPr>
                <w:rFonts w:ascii="宋体" w:hAnsi="宋体" w:cs="宋体" w:eastAsia="宋体" w:hint="default"/>
                <w:spacing w:val="-94"/>
                <w:sz w:val="21"/>
                <w:szCs w:val="21"/>
              </w:rPr>
              <w:t> </w:t>
            </w:r>
            <w:r>
              <w:rPr>
                <w:rFonts w:ascii="宋体" w:hAnsi="宋体" w:cs="宋体" w:eastAsia="宋体" w:hint="default"/>
                <w:sz w:val="21"/>
                <w:szCs w:val="21"/>
              </w:rPr>
              <w:t>不派发现金红利、不送红股，不以资本公积金转增股本。</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71" w:lineRule="auto"/>
              <w:ind w:left="23" w:right="218"/>
              <w:jc w:val="left"/>
              <w:rPr>
                <w:rFonts w:ascii="宋体" w:hAnsi="宋体" w:cs="宋体" w:eastAsia="宋体" w:hint="default"/>
                <w:sz w:val="21"/>
                <w:szCs w:val="21"/>
              </w:rPr>
            </w:pPr>
            <w:r>
              <w:rPr>
                <w:rFonts w:ascii="宋体" w:hAnsi="宋体" w:cs="宋体" w:eastAsia="宋体" w:hint="default"/>
                <w:spacing w:val="-2"/>
                <w:sz w:val="21"/>
                <w:szCs w:val="21"/>
              </w:rPr>
              <w:t>公司未分配利润将用于补充营运资金以及</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项目投资。</w:t>
            </w:r>
          </w:p>
        </w:tc>
      </w:tr>
    </w:tbl>
    <w:p>
      <w:pPr>
        <w:spacing w:line="240" w:lineRule="auto" w:before="1"/>
        <w:rPr>
          <w:rFonts w:ascii="宋体" w:hAnsi="宋体" w:cs="宋体" w:eastAsia="宋体" w:hint="default"/>
          <w:sz w:val="18"/>
          <w:szCs w:val="18"/>
        </w:rPr>
      </w:pPr>
    </w:p>
    <w:p>
      <w:pPr>
        <w:tabs>
          <w:tab w:pos="8103" w:val="left" w:leader="none"/>
        </w:tabs>
        <w:spacing w:line="470" w:lineRule="auto" w:before="26"/>
        <w:ind w:left="573" w:right="227" w:hanging="421"/>
        <w:jc w:val="left"/>
        <w:rPr>
          <w:rFonts w:ascii="宋体" w:hAnsi="宋体" w:cs="宋体" w:eastAsia="宋体" w:hint="default"/>
          <w:sz w:val="21"/>
          <w:szCs w:val="21"/>
        </w:rPr>
      </w:pPr>
      <w:r>
        <w:rPr>
          <w:rFonts w:ascii="宋体" w:hAnsi="宋体" w:cs="宋体" w:eastAsia="宋体" w:hint="default"/>
          <w:b/>
          <w:bCs/>
          <w:w w:val="95"/>
          <w:sz w:val="24"/>
          <w:szCs w:val="24"/>
        </w:rPr>
        <w:t>二、本报告期利润分配及资本公积金转增股本预案</w:t>
        <w:tab/>
      </w: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sz w:val="21"/>
          <w:szCs w:val="21"/>
        </w:rPr>
        <w:t>公司计划年度不派发现金红利、不送红股，不以公积金转增股本。</w:t>
      </w:r>
    </w:p>
    <w:p>
      <w:pPr>
        <w:pStyle w:val="Heading2"/>
        <w:spacing w:line="240" w:lineRule="auto" w:before="107"/>
        <w:ind w:right="0"/>
        <w:jc w:val="left"/>
        <w:rPr>
          <w:b w:val="0"/>
          <w:bCs w:val="0"/>
        </w:rPr>
      </w:pPr>
      <w:r>
        <w:rPr/>
        <w:t>三、承诺事项履行情况</w:t>
      </w:r>
      <w:r>
        <w:rPr>
          <w:b w:val="0"/>
          <w:bCs w:val="0"/>
        </w:rPr>
      </w:r>
    </w:p>
    <w:p>
      <w:pPr>
        <w:spacing w:line="240" w:lineRule="auto" w:before="12"/>
        <w:rPr>
          <w:rFonts w:ascii="宋体" w:hAnsi="宋体" w:cs="宋体" w:eastAsia="宋体" w:hint="default"/>
          <w:b/>
          <w:bCs/>
          <w:sz w:val="24"/>
          <w:szCs w:val="24"/>
        </w:rPr>
      </w:pPr>
    </w:p>
    <w:p>
      <w:pPr>
        <w:pStyle w:val="Heading4"/>
        <w:tabs>
          <w:tab w:pos="8165" w:val="left" w:leader="none"/>
        </w:tabs>
        <w:spacing w:line="259" w:lineRule="auto"/>
        <w:ind w:right="156"/>
        <w:jc w:val="left"/>
        <w:rPr>
          <w:rFonts w:ascii="宋体" w:hAnsi="宋体" w:cs="宋体" w:eastAsia="宋体" w:hint="default"/>
          <w:b w:val="0"/>
          <w:bCs w:val="0"/>
        </w:rPr>
      </w:pPr>
      <w:r>
        <w:rPr>
          <w:rFonts w:ascii="Times New Roman" w:hAnsi="Times New Roman" w:cs="Times New Roman" w:eastAsia="Times New Roman" w:hint="default"/>
        </w:rPr>
        <w:t>1</w:t>
      </w:r>
      <w:r>
        <w:rPr/>
        <w:t>、公司、股东、实际控制人、收购人、董事、监事、高级管理人员或其他关联方在报告期内履行完毕及</w:t>
      </w:r>
      <w:r>
        <w:rPr>
          <w:spacing w:val="-65"/>
        </w:rPr>
        <w:t> </w:t>
      </w:r>
      <w:r>
        <w:rPr>
          <w:spacing w:val="-65"/>
        </w:rPr>
      </w:r>
      <w:r>
        <w:rPr>
          <w:spacing w:val="-1"/>
        </w:rPr>
        <w:t>截至报告期末尚未履行完毕的承诺事项</w:t>
        <w:tab/>
      </w:r>
      <w:r>
        <w:rPr>
          <w:rFonts w:ascii="Times New Roman" w:hAnsi="Times New Roman" w:cs="Times New Roman" w:eastAsia="Times New Roman" w:hint="default"/>
          <w:b w:val="0"/>
          <w:bCs w:val="0"/>
        </w:rPr>
        <w:t>√  </w:t>
      </w:r>
      <w:r>
        <w:rPr>
          <w:rFonts w:ascii="宋体" w:hAnsi="宋体" w:cs="宋体" w:eastAsia="宋体" w:hint="default"/>
          <w:b w:val="0"/>
          <w:bCs w:val="0"/>
          <w:spacing w:val="-2"/>
        </w:rPr>
        <w:t>适用</w:t>
      </w:r>
      <w:r>
        <w:rPr>
          <w:rFonts w:ascii="宋体" w:hAnsi="宋体" w:cs="宋体" w:eastAsia="宋体" w:hint="default"/>
          <w:b w:val="0"/>
          <w:bCs w:val="0"/>
        </w:rPr>
        <w:t> </w:t>
      </w:r>
      <w:r>
        <w:rPr>
          <w:rFonts w:ascii="Times New Roman" w:hAnsi="Times New Roman" w:cs="Times New Roman" w:eastAsia="Times New Roman" w:hint="default"/>
          <w:b w:val="0"/>
          <w:bCs w:val="0"/>
        </w:rPr>
        <w:t>□ </w:t>
      </w:r>
      <w:r>
        <w:rPr>
          <w:rFonts w:ascii="Times New Roman" w:hAnsi="Times New Roman" w:cs="Times New Roman" w:eastAsia="Times New Roman" w:hint="default"/>
          <w:b w:val="0"/>
          <w:bCs w:val="0"/>
          <w:spacing w:val="4"/>
        </w:rPr>
        <w:t> </w:t>
      </w:r>
      <w:r>
        <w:rPr>
          <w:rFonts w:ascii="宋体" w:hAnsi="宋体" w:cs="宋体" w:eastAsia="宋体" w:hint="default"/>
          <w:b w:val="0"/>
          <w:bCs w:val="0"/>
          <w:spacing w:val="-1"/>
        </w:rPr>
        <w:t>不适用</w:t>
      </w:r>
    </w:p>
    <w:p>
      <w:pPr>
        <w:spacing w:line="240" w:lineRule="auto" w:before="1"/>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994"/>
        <w:gridCol w:w="991"/>
        <w:gridCol w:w="992"/>
        <w:gridCol w:w="3687"/>
        <w:gridCol w:w="994"/>
        <w:gridCol w:w="991"/>
        <w:gridCol w:w="919"/>
      </w:tblGrid>
      <w:tr>
        <w:trPr>
          <w:trHeight w:val="403"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2" w:right="0"/>
              <w:jc w:val="left"/>
              <w:rPr>
                <w:rFonts w:ascii="宋体" w:hAnsi="宋体" w:cs="宋体" w:eastAsia="宋体" w:hint="default"/>
                <w:sz w:val="21"/>
                <w:szCs w:val="21"/>
              </w:rPr>
            </w:pPr>
            <w:r>
              <w:rPr>
                <w:rFonts w:ascii="宋体" w:hAnsi="宋体" w:cs="宋体" w:eastAsia="宋体" w:hint="default"/>
                <w:sz w:val="21"/>
                <w:szCs w:val="21"/>
              </w:rPr>
              <w:t>承诺事由</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75" w:right="0"/>
              <w:jc w:val="left"/>
              <w:rPr>
                <w:rFonts w:ascii="宋体" w:hAnsi="宋体" w:cs="宋体" w:eastAsia="宋体" w:hint="default"/>
                <w:sz w:val="21"/>
                <w:szCs w:val="21"/>
              </w:rPr>
            </w:pPr>
            <w:r>
              <w:rPr>
                <w:rFonts w:ascii="宋体" w:hAnsi="宋体" w:cs="宋体" w:eastAsia="宋体" w:hint="default"/>
                <w:sz w:val="21"/>
                <w:szCs w:val="21"/>
              </w:rPr>
              <w:t>承诺方</w:t>
            </w:r>
          </w:p>
        </w:tc>
        <w:tc>
          <w:tcPr>
            <w:tcW w:w="992"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28"/>
              <w:ind w:left="72" w:right="0"/>
              <w:jc w:val="left"/>
              <w:rPr>
                <w:rFonts w:ascii="宋体" w:hAnsi="宋体" w:cs="宋体" w:eastAsia="宋体" w:hint="default"/>
                <w:sz w:val="21"/>
                <w:szCs w:val="21"/>
              </w:rPr>
            </w:pPr>
            <w:r>
              <w:rPr>
                <w:rFonts w:ascii="宋体" w:hAnsi="宋体" w:cs="宋体" w:eastAsia="宋体" w:hint="default"/>
                <w:sz w:val="21"/>
                <w:szCs w:val="21"/>
              </w:rPr>
              <w:t>承诺类型</w:t>
            </w:r>
          </w:p>
        </w:tc>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 w:right="0"/>
              <w:jc w:val="center"/>
              <w:rPr>
                <w:rFonts w:ascii="宋体" w:hAnsi="宋体" w:cs="宋体" w:eastAsia="宋体" w:hint="default"/>
                <w:sz w:val="21"/>
                <w:szCs w:val="21"/>
              </w:rPr>
            </w:pPr>
            <w:r>
              <w:rPr>
                <w:rFonts w:ascii="宋体" w:hAnsi="宋体" w:cs="宋体" w:eastAsia="宋体" w:hint="default"/>
                <w:sz w:val="21"/>
                <w:szCs w:val="21"/>
              </w:rPr>
              <w:t>承诺内容</w:t>
            </w:r>
          </w:p>
        </w:tc>
        <w:tc>
          <w:tcPr>
            <w:tcW w:w="994"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28"/>
              <w:ind w:left="72" w:right="0"/>
              <w:jc w:val="left"/>
              <w:rPr>
                <w:rFonts w:ascii="宋体" w:hAnsi="宋体" w:cs="宋体" w:eastAsia="宋体" w:hint="default"/>
                <w:sz w:val="21"/>
                <w:szCs w:val="21"/>
              </w:rPr>
            </w:pPr>
            <w:r>
              <w:rPr>
                <w:rFonts w:ascii="宋体" w:hAnsi="宋体" w:cs="宋体" w:eastAsia="宋体" w:hint="default"/>
                <w:sz w:val="21"/>
                <w:szCs w:val="21"/>
              </w:rPr>
              <w:t>承诺时间</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1" w:right="0"/>
              <w:jc w:val="left"/>
              <w:rPr>
                <w:rFonts w:ascii="宋体" w:hAnsi="宋体" w:cs="宋体" w:eastAsia="宋体" w:hint="default"/>
                <w:sz w:val="21"/>
                <w:szCs w:val="21"/>
              </w:rPr>
            </w:pPr>
            <w:r>
              <w:rPr>
                <w:rFonts w:ascii="宋体" w:hAnsi="宋体" w:cs="宋体" w:eastAsia="宋体" w:hint="default"/>
                <w:sz w:val="21"/>
                <w:szCs w:val="21"/>
              </w:rPr>
              <w:t>承诺期限</w:t>
            </w:r>
          </w:p>
        </w:tc>
        <w:tc>
          <w:tcPr>
            <w:tcW w:w="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履行情况</w:t>
            </w:r>
          </w:p>
        </w:tc>
      </w:tr>
      <w:tr>
        <w:trPr>
          <w:trHeight w:val="2897" w:hRule="exact"/>
        </w:trPr>
        <w:tc>
          <w:tcPr>
            <w:tcW w:w="994" w:type="dxa"/>
            <w:vMerge w:val="restart"/>
            <w:tcBorders>
              <w:top w:val="single" w:sz="4" w:space="0" w:color="000000"/>
              <w:left w:val="single" w:sz="4" w:space="0" w:color="000000"/>
              <w:right w:val="single" w:sz="4" w:space="0" w:color="000000"/>
            </w:tcBorders>
            <w:shd w:val="clear" w:color="auto" w:fill="D2D2D2"/>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79"/>
              <w:ind w:left="23" w:right="323"/>
              <w:jc w:val="both"/>
              <w:rPr>
                <w:rFonts w:ascii="宋体" w:hAnsi="宋体" w:cs="宋体" w:eastAsia="宋体" w:hint="default"/>
                <w:sz w:val="21"/>
                <w:szCs w:val="21"/>
              </w:rPr>
            </w:pPr>
            <w:r>
              <w:rPr>
                <w:rFonts w:ascii="宋体" w:hAnsi="宋体" w:cs="宋体" w:eastAsia="宋体" w:hint="default"/>
                <w:sz w:val="21"/>
                <w:szCs w:val="21"/>
              </w:rPr>
              <w:t>凤凰财</w:t>
            </w:r>
            <w:r>
              <w:rPr>
                <w:rFonts w:ascii="宋体" w:hAnsi="宋体" w:cs="宋体" w:eastAsia="宋体" w:hint="default"/>
                <w:spacing w:val="-102"/>
                <w:sz w:val="21"/>
                <w:szCs w:val="21"/>
              </w:rPr>
              <w:t> </w:t>
            </w:r>
            <w:r>
              <w:rPr>
                <w:rFonts w:ascii="宋体" w:hAnsi="宋体" w:cs="宋体" w:eastAsia="宋体" w:hint="default"/>
                <w:spacing w:val="-4"/>
                <w:sz w:val="21"/>
                <w:szCs w:val="21"/>
              </w:rPr>
              <w:t>智、杜</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张巍</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73" w:lineRule="auto"/>
              <w:ind w:left="24" w:right="113"/>
              <w:jc w:val="left"/>
              <w:rPr>
                <w:rFonts w:ascii="宋体" w:hAnsi="宋体" w:cs="宋体" w:eastAsia="宋体" w:hint="default"/>
                <w:sz w:val="21"/>
                <w:szCs w:val="21"/>
              </w:rPr>
            </w:pPr>
            <w:r>
              <w:rPr>
                <w:rFonts w:ascii="宋体" w:hAnsi="宋体" w:cs="宋体" w:eastAsia="宋体" w:hint="default"/>
                <w:sz w:val="21"/>
                <w:szCs w:val="21"/>
              </w:rPr>
              <w:t>避免同业</w:t>
            </w:r>
            <w:r>
              <w:rPr>
                <w:rFonts w:ascii="宋体" w:hAnsi="宋体" w:cs="宋体" w:eastAsia="宋体" w:hint="default"/>
                <w:w w:val="100"/>
                <w:sz w:val="21"/>
                <w:szCs w:val="21"/>
              </w:rPr>
              <w:t> </w:t>
            </w:r>
            <w:r>
              <w:rPr>
                <w:rFonts w:ascii="宋体" w:hAnsi="宋体" w:cs="宋体" w:eastAsia="宋体" w:hint="default"/>
                <w:sz w:val="21"/>
                <w:szCs w:val="21"/>
              </w:rPr>
              <w:t>竞争</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2"/>
                <w:szCs w:val="22"/>
              </w:rPr>
            </w:pPr>
          </w:p>
          <w:p>
            <w:pPr>
              <w:pStyle w:val="TableParagraph"/>
              <w:spacing w:line="724" w:lineRule="exact"/>
              <w:ind w:left="2" w:right="-18"/>
              <w:jc w:val="left"/>
              <w:rPr>
                <w:rFonts w:ascii="宋体" w:hAnsi="宋体" w:cs="宋体" w:eastAsia="宋体" w:hint="default"/>
                <w:sz w:val="20"/>
                <w:szCs w:val="20"/>
              </w:rPr>
            </w:pPr>
            <w:r>
              <w:rPr>
                <w:rFonts w:ascii="宋体" w:hAnsi="宋体" w:cs="宋体" w:eastAsia="宋体" w:hint="default"/>
                <w:position w:val="-13"/>
                <w:sz w:val="20"/>
                <w:szCs w:val="20"/>
              </w:rPr>
              <w:pict>
                <v:group style="width:47.95pt;height:36.25pt;mso-position-horizontal-relative:char;mso-position-vertical-relative:line" coordorigin="0,0" coordsize="959,725">
                  <v:group style="position:absolute;left:11;top:11;width:2;height:704" coordorigin="11,11" coordsize="2,704">
                    <v:shape style="position:absolute;left:11;top:11;width:2;height:704" coordorigin="11,11" coordsize="0,704" path="m11,11l11,714e" filled="false" stroked="true" strokeweight="1.08pt" strokecolor="#ffffff">
                      <v:path arrowok="t"/>
                    </v:shape>
                  </v:group>
                  <v:group style="position:absolute;left:22;top:11;width:937;height:353" coordorigin="22,11" coordsize="937,353">
                    <v:shape style="position:absolute;left:22;top:11;width:937;height:353" coordorigin="22,11" coordsize="937,353" path="m22,364l958,364,958,11,22,11,22,364xe" filled="true" fillcolor="#ffffff" stroked="false">
                      <v:path arrowok="t"/>
                      <v:fill type="solid"/>
                    </v:shape>
                  </v:group>
                  <v:group style="position:absolute;left:22;top:364;width:937;height:351" coordorigin="22,364" coordsize="937,351">
                    <v:shape style="position:absolute;left:22;top:364;width:937;height:351" coordorigin="22,364" coordsize="937,351" path="m22,714l958,714,958,364,22,364,22,714xe" filled="true" fillcolor="#ffffff" stroked="false">
                      <v:path arrowok="t"/>
                      <v:fill type="solid"/>
                    </v:shape>
                  </v:group>
                </v:group>
              </w:pict>
            </w:r>
            <w:r>
              <w:rPr>
                <w:rFonts w:ascii="宋体" w:hAnsi="宋体" w:cs="宋体" w:eastAsia="宋体" w:hint="default"/>
                <w:position w:val="-13"/>
                <w:sz w:val="20"/>
                <w:szCs w:val="20"/>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68" w:lineRule="auto" w:before="28"/>
              <w:ind w:left="26" w:right="14"/>
              <w:jc w:val="both"/>
              <w:rPr>
                <w:rFonts w:ascii="宋体" w:hAnsi="宋体" w:cs="宋体" w:eastAsia="宋体" w:hint="default"/>
                <w:sz w:val="21"/>
                <w:szCs w:val="21"/>
              </w:rPr>
            </w:pPr>
            <w:r>
              <w:rPr>
                <w:rFonts w:ascii="Times New Roman" w:hAnsi="Times New Roman" w:cs="Times New Roman" w:eastAsia="Times New Roman" w:hint="default"/>
                <w:spacing w:val="-7"/>
                <w:w w:val="100"/>
                <w:sz w:val="21"/>
                <w:szCs w:val="21"/>
              </w:rPr>
              <w:t>1</w:t>
            </w:r>
            <w:r>
              <w:rPr>
                <w:rFonts w:ascii="宋体" w:hAnsi="宋体" w:cs="宋体" w:eastAsia="宋体" w:hint="default"/>
                <w:spacing w:val="-7"/>
                <w:w w:val="100"/>
                <w:sz w:val="21"/>
                <w:szCs w:val="21"/>
              </w:rPr>
              <w:t>、本企业</w:t>
            </w:r>
            <w:r>
              <w:rPr>
                <w:rFonts w:ascii="Times New Roman" w:hAnsi="Times New Roman" w:cs="Times New Roman" w:eastAsia="Times New Roman" w:hint="default"/>
                <w:spacing w:val="-7"/>
                <w:w w:val="100"/>
                <w:sz w:val="21"/>
                <w:szCs w:val="21"/>
              </w:rPr>
              <w:t>/</w:t>
            </w:r>
            <w:r>
              <w:rPr>
                <w:rFonts w:ascii="宋体" w:hAnsi="宋体" w:cs="宋体" w:eastAsia="宋体" w:hint="default"/>
                <w:spacing w:val="-7"/>
                <w:w w:val="100"/>
                <w:sz w:val="21"/>
                <w:szCs w:val="21"/>
              </w:rPr>
              <w:t>本人未来不会直接或间接从事</w:t>
            </w:r>
            <w:r>
              <w:rPr>
                <w:rFonts w:ascii="宋体" w:hAnsi="宋体" w:cs="宋体" w:eastAsia="宋体" w:hint="default"/>
                <w:spacing w:val="-100"/>
                <w:w w:val="100"/>
                <w:sz w:val="21"/>
                <w:szCs w:val="21"/>
              </w:rPr>
              <w:t> </w:t>
            </w:r>
            <w:r>
              <w:rPr>
                <w:rFonts w:ascii="宋体" w:hAnsi="宋体" w:cs="宋体" w:eastAsia="宋体" w:hint="default"/>
                <w:spacing w:val="-100"/>
                <w:w w:val="100"/>
                <w:sz w:val="21"/>
                <w:szCs w:val="21"/>
              </w:rPr>
            </w:r>
            <w:r>
              <w:rPr>
                <w:rFonts w:ascii="宋体" w:hAnsi="宋体" w:cs="宋体" w:eastAsia="宋体" w:hint="default"/>
                <w:sz w:val="21"/>
                <w:szCs w:val="21"/>
              </w:rPr>
              <w:t>与华声股份的主营业务构成或可能构成</w:t>
            </w:r>
            <w:r>
              <w:rPr>
                <w:rFonts w:ascii="宋体" w:hAnsi="宋体" w:cs="宋体" w:eastAsia="宋体" w:hint="default"/>
                <w:w w:val="100"/>
                <w:sz w:val="21"/>
                <w:szCs w:val="21"/>
              </w:rPr>
              <w:t> </w:t>
            </w:r>
            <w:r>
              <w:rPr>
                <w:rFonts w:ascii="宋体" w:hAnsi="宋体" w:cs="宋体" w:eastAsia="宋体" w:hint="default"/>
                <w:spacing w:val="-7"/>
                <w:sz w:val="21"/>
                <w:szCs w:val="21"/>
              </w:rPr>
              <w:t>竞争的业务。</w:t>
            </w:r>
            <w:r>
              <w:rPr>
                <w:rFonts w:ascii="Times New Roman" w:hAnsi="Times New Roman" w:cs="Times New Roman" w:eastAsia="Times New Roman" w:hint="default"/>
                <w:spacing w:val="-7"/>
                <w:sz w:val="21"/>
                <w:szCs w:val="21"/>
              </w:rPr>
              <w:t>2</w:t>
            </w:r>
            <w:r>
              <w:rPr>
                <w:rFonts w:ascii="宋体" w:hAnsi="宋体" w:cs="宋体" w:eastAsia="宋体" w:hint="default"/>
                <w:spacing w:val="-7"/>
                <w:sz w:val="21"/>
                <w:szCs w:val="21"/>
              </w:rPr>
              <w:t>、本企业</w:t>
            </w:r>
            <w:r>
              <w:rPr>
                <w:rFonts w:ascii="Times New Roman" w:hAnsi="Times New Roman" w:cs="Times New Roman" w:eastAsia="Times New Roman" w:hint="default"/>
                <w:spacing w:val="-7"/>
                <w:sz w:val="21"/>
                <w:szCs w:val="21"/>
              </w:rPr>
              <w:t>/</w:t>
            </w:r>
            <w:r>
              <w:rPr>
                <w:rFonts w:ascii="宋体" w:hAnsi="宋体" w:cs="宋体" w:eastAsia="宋体" w:hint="default"/>
                <w:spacing w:val="-7"/>
                <w:sz w:val="21"/>
                <w:szCs w:val="21"/>
              </w:rPr>
              <w:t>本人不会利用对</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华声股份的控制权干涉华声股份的生产</w:t>
            </w:r>
            <w:r>
              <w:rPr>
                <w:rFonts w:ascii="宋体" w:hAnsi="宋体" w:cs="宋体" w:eastAsia="宋体" w:hint="default"/>
                <w:w w:val="100"/>
                <w:sz w:val="21"/>
                <w:szCs w:val="21"/>
              </w:rPr>
              <w:t> </w:t>
            </w:r>
            <w:r>
              <w:rPr>
                <w:rFonts w:ascii="宋体" w:hAnsi="宋体" w:cs="宋体" w:eastAsia="宋体" w:hint="default"/>
                <w:sz w:val="21"/>
                <w:szCs w:val="21"/>
              </w:rPr>
              <w:t>经营活动，对于任何与华声股份主营业</w:t>
            </w:r>
            <w:r>
              <w:rPr>
                <w:rFonts w:ascii="宋体" w:hAnsi="宋体" w:cs="宋体" w:eastAsia="宋体" w:hint="default"/>
                <w:w w:val="100"/>
                <w:sz w:val="21"/>
                <w:szCs w:val="21"/>
              </w:rPr>
              <w:t> </w:t>
            </w:r>
            <w:r>
              <w:rPr>
                <w:rFonts w:ascii="宋体" w:hAnsi="宋体" w:cs="宋体" w:eastAsia="宋体" w:hint="default"/>
                <w:sz w:val="21"/>
                <w:szCs w:val="21"/>
              </w:rPr>
              <w:t>务构成实质竞争的业务或业务机会，本</w:t>
            </w:r>
            <w:r>
              <w:rPr>
                <w:rFonts w:ascii="宋体" w:hAnsi="宋体" w:cs="宋体" w:eastAsia="宋体" w:hint="default"/>
                <w:w w:val="100"/>
                <w:sz w:val="21"/>
                <w:szCs w:val="21"/>
              </w:rPr>
              <w:t> </w:t>
            </w:r>
            <w:r>
              <w:rPr>
                <w:rFonts w:ascii="宋体" w:hAnsi="宋体" w:cs="宋体" w:eastAsia="宋体" w:hint="default"/>
                <w:sz w:val="21"/>
                <w:szCs w:val="21"/>
              </w:rPr>
              <w:t>企业将采取一切措施促使该业务或业务</w:t>
            </w:r>
            <w:r>
              <w:rPr>
                <w:rFonts w:ascii="宋体" w:hAnsi="宋体" w:cs="宋体" w:eastAsia="宋体" w:hint="default"/>
                <w:w w:val="100"/>
                <w:sz w:val="21"/>
                <w:szCs w:val="21"/>
              </w:rPr>
              <w:t> </w:t>
            </w:r>
            <w:r>
              <w:rPr>
                <w:rFonts w:ascii="宋体" w:hAnsi="宋体" w:cs="宋体" w:eastAsia="宋体" w:hint="default"/>
                <w:sz w:val="21"/>
                <w:szCs w:val="21"/>
              </w:rPr>
              <w:t>机会按合理和公平的条件由华声股份优</w:t>
            </w:r>
            <w:r>
              <w:rPr>
                <w:rFonts w:ascii="宋体" w:hAnsi="宋体" w:cs="宋体" w:eastAsia="宋体" w:hint="default"/>
                <w:w w:val="100"/>
                <w:sz w:val="21"/>
                <w:szCs w:val="21"/>
              </w:rPr>
              <w:t> </w:t>
            </w:r>
            <w:r>
              <w:rPr>
                <w:rFonts w:ascii="宋体" w:hAnsi="宋体" w:cs="宋体" w:eastAsia="宋体" w:hint="default"/>
                <w:sz w:val="21"/>
                <w:szCs w:val="21"/>
              </w:rPr>
              <w:t>先开展。</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05</w:t>
            </w:r>
          </w:p>
          <w:p>
            <w:pPr>
              <w:pStyle w:val="TableParagraph"/>
              <w:spacing w:line="240" w:lineRule="auto" w:before="21"/>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长期</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7"/>
              <w:jc w:val="center"/>
              <w:rPr>
                <w:rFonts w:ascii="宋体" w:hAnsi="宋体" w:cs="宋体" w:eastAsia="宋体" w:hint="default"/>
                <w:sz w:val="21"/>
                <w:szCs w:val="21"/>
              </w:rPr>
            </w:pPr>
            <w:r>
              <w:rPr>
                <w:rFonts w:ascii="宋体" w:hAnsi="宋体" w:cs="宋体" w:eastAsia="宋体" w:hint="default"/>
                <w:sz w:val="21"/>
                <w:szCs w:val="21"/>
              </w:rPr>
              <w:t>严格履行</w:t>
            </w:r>
          </w:p>
        </w:tc>
      </w:tr>
      <w:tr>
        <w:trPr>
          <w:trHeight w:val="586" w:hRule="exact"/>
        </w:trPr>
        <w:tc>
          <w:tcPr>
            <w:tcW w:w="994" w:type="dxa"/>
            <w:vMerge/>
            <w:tcBorders>
              <w:left w:val="single" w:sz="4" w:space="0" w:color="000000"/>
              <w:bottom w:val="nil" w:sz="6" w:space="0" w:color="auto"/>
              <w:right w:val="single" w:sz="4" w:space="0" w:color="000000"/>
            </w:tcBorders>
            <w:shd w:val="clear" w:color="auto" w:fill="D2D2D2"/>
          </w:tcPr>
          <w:p>
            <w:pPr/>
          </w:p>
        </w:tc>
        <w:tc>
          <w:tcPr>
            <w:tcW w:w="991"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73" w:lineRule="auto"/>
              <w:ind w:left="18" w:right="323"/>
              <w:jc w:val="both"/>
              <w:rPr>
                <w:rFonts w:ascii="宋体" w:hAnsi="宋体" w:cs="宋体" w:eastAsia="宋体" w:hint="default"/>
                <w:sz w:val="21"/>
                <w:szCs w:val="21"/>
              </w:rPr>
            </w:pPr>
            <w:r>
              <w:rPr>
                <w:rFonts w:ascii="宋体" w:hAnsi="宋体" w:cs="宋体" w:eastAsia="宋体" w:hint="default"/>
                <w:sz w:val="21"/>
                <w:szCs w:val="21"/>
              </w:rPr>
              <w:t>凤凰财</w:t>
            </w:r>
            <w:r>
              <w:rPr>
                <w:rFonts w:ascii="宋体" w:hAnsi="宋体" w:cs="宋体" w:eastAsia="宋体" w:hint="default"/>
                <w:spacing w:val="-102"/>
                <w:sz w:val="21"/>
                <w:szCs w:val="21"/>
              </w:rPr>
              <w:t> </w:t>
            </w:r>
            <w:r>
              <w:rPr>
                <w:rFonts w:ascii="宋体" w:hAnsi="宋体" w:cs="宋体" w:eastAsia="宋体" w:hint="default"/>
                <w:spacing w:val="-4"/>
                <w:sz w:val="21"/>
                <w:szCs w:val="21"/>
              </w:rPr>
              <w:t>智、杜</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张巍</w:t>
            </w:r>
          </w:p>
        </w:tc>
        <w:tc>
          <w:tcPr>
            <w:tcW w:w="992" w:type="dxa"/>
            <w:tcBorders>
              <w:top w:val="single" w:sz="4" w:space="0" w:color="000000"/>
              <w:left w:val="single" w:sz="4" w:space="0" w:color="000000"/>
              <w:bottom w:val="nil" w:sz="6" w:space="0" w:color="auto"/>
              <w:right w:val="single" w:sz="4" w:space="0" w:color="000000"/>
            </w:tcBorders>
          </w:tcPr>
          <w:p>
            <w:pPr/>
          </w:p>
        </w:tc>
        <w:tc>
          <w:tcPr>
            <w:tcW w:w="3687" w:type="dxa"/>
            <w:vMerge w:val="restart"/>
            <w:tcBorders>
              <w:top w:val="single" w:sz="4" w:space="0" w:color="000000"/>
              <w:left w:val="single" w:sz="4" w:space="0" w:color="000000"/>
              <w:right w:val="single" w:sz="4" w:space="0" w:color="000000"/>
            </w:tcBorders>
          </w:tcPr>
          <w:p>
            <w:pPr>
              <w:pStyle w:val="TableParagraph"/>
              <w:spacing w:line="266" w:lineRule="auto" w:before="28"/>
              <w:ind w:left="26" w:right="14"/>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1</w:t>
            </w:r>
            <w:r>
              <w:rPr>
                <w:rFonts w:ascii="宋体" w:hAnsi="宋体" w:cs="宋体" w:eastAsia="宋体" w:hint="default"/>
                <w:spacing w:val="-4"/>
                <w:sz w:val="21"/>
                <w:szCs w:val="21"/>
              </w:rPr>
              <w:t>、在华声股份今后的经营活动中，本企</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2"/>
                <w:sz w:val="21"/>
                <w:szCs w:val="21"/>
              </w:rPr>
              <w:t>业</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本人及控制的其他企业将尽最大的努</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力减少或避免与华声股份之间的关联交</w:t>
            </w:r>
            <w:r>
              <w:rPr>
                <w:rFonts w:ascii="宋体" w:hAnsi="宋体" w:cs="宋体" w:eastAsia="宋体" w:hint="default"/>
                <w:w w:val="100"/>
                <w:sz w:val="21"/>
                <w:szCs w:val="21"/>
              </w:rPr>
              <w:t> </w:t>
            </w:r>
            <w:r>
              <w:rPr>
                <w:rFonts w:ascii="宋体" w:hAnsi="宋体" w:cs="宋体" w:eastAsia="宋体" w:hint="default"/>
                <w:spacing w:val="-7"/>
                <w:sz w:val="21"/>
                <w:szCs w:val="21"/>
              </w:rPr>
              <w:t>易行为。</w:t>
            </w:r>
            <w:r>
              <w:rPr>
                <w:rFonts w:ascii="Times New Roman" w:hAnsi="Times New Roman" w:cs="Times New Roman" w:eastAsia="Times New Roman" w:hint="default"/>
                <w:spacing w:val="-7"/>
                <w:sz w:val="21"/>
                <w:szCs w:val="21"/>
              </w:rPr>
              <w:t>2</w:t>
            </w:r>
            <w:r>
              <w:rPr>
                <w:rFonts w:ascii="宋体" w:hAnsi="宋体" w:cs="宋体" w:eastAsia="宋体" w:hint="default"/>
                <w:spacing w:val="-7"/>
                <w:sz w:val="21"/>
                <w:szCs w:val="21"/>
              </w:rPr>
              <w:t>、若本企业</w:t>
            </w:r>
            <w:r>
              <w:rPr>
                <w:rFonts w:ascii="Times New Roman" w:hAnsi="Times New Roman" w:cs="Times New Roman" w:eastAsia="Times New Roman" w:hint="default"/>
                <w:spacing w:val="-7"/>
                <w:sz w:val="21"/>
                <w:szCs w:val="21"/>
              </w:rPr>
              <w:t>/</w:t>
            </w:r>
            <w:r>
              <w:rPr>
                <w:rFonts w:ascii="宋体" w:hAnsi="宋体" w:cs="宋体" w:eastAsia="宋体" w:hint="default"/>
                <w:spacing w:val="-7"/>
                <w:sz w:val="21"/>
                <w:szCs w:val="21"/>
              </w:rPr>
              <w:t>本人及控制的其他</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企业与华声股份发生无法避免的关联交</w:t>
            </w:r>
            <w:r>
              <w:rPr>
                <w:rFonts w:ascii="宋体" w:hAnsi="宋体" w:cs="宋体" w:eastAsia="宋体" w:hint="default"/>
                <w:w w:val="100"/>
                <w:sz w:val="21"/>
                <w:szCs w:val="21"/>
              </w:rPr>
              <w:t> </w:t>
            </w:r>
            <w:r>
              <w:rPr>
                <w:rFonts w:ascii="宋体" w:hAnsi="宋体" w:cs="宋体" w:eastAsia="宋体" w:hint="default"/>
                <w:sz w:val="21"/>
                <w:szCs w:val="21"/>
              </w:rPr>
              <w:t>易，则此种关联交易须遵循正常商业行</w:t>
            </w:r>
            <w:r>
              <w:rPr>
                <w:rFonts w:ascii="宋体" w:hAnsi="宋体" w:cs="宋体" w:eastAsia="宋体" w:hint="default"/>
                <w:w w:val="100"/>
                <w:sz w:val="21"/>
                <w:szCs w:val="21"/>
              </w:rPr>
              <w:t> </w:t>
            </w:r>
            <w:r>
              <w:rPr>
                <w:rFonts w:ascii="宋体" w:hAnsi="宋体" w:cs="宋体" w:eastAsia="宋体" w:hint="default"/>
                <w:sz w:val="21"/>
                <w:szCs w:val="21"/>
              </w:rPr>
              <w:t>为准则，遵循公开、公平、公正的市场</w:t>
            </w:r>
            <w:r>
              <w:rPr>
                <w:rFonts w:ascii="宋体" w:hAnsi="宋体" w:cs="宋体" w:eastAsia="宋体" w:hint="default"/>
                <w:w w:val="100"/>
                <w:sz w:val="21"/>
                <w:szCs w:val="21"/>
              </w:rPr>
              <w:t> </w:t>
            </w:r>
            <w:r>
              <w:rPr>
                <w:rFonts w:ascii="宋体" w:hAnsi="宋体" w:cs="宋体" w:eastAsia="宋体" w:hint="default"/>
                <w:sz w:val="21"/>
                <w:szCs w:val="21"/>
              </w:rPr>
              <w:t>定价原则，不要求或接受华声股份以低</w:t>
            </w:r>
            <w:r>
              <w:rPr>
                <w:rFonts w:ascii="宋体" w:hAnsi="宋体" w:cs="宋体" w:eastAsia="宋体" w:hint="default"/>
                <w:w w:val="100"/>
                <w:sz w:val="21"/>
                <w:szCs w:val="21"/>
              </w:rPr>
              <w:t> </w:t>
            </w:r>
            <w:r>
              <w:rPr>
                <w:rFonts w:ascii="宋体" w:hAnsi="宋体" w:cs="宋体" w:eastAsia="宋体" w:hint="default"/>
                <w:sz w:val="21"/>
                <w:szCs w:val="21"/>
              </w:rPr>
              <w:t>于市场价或华声股份给予其他任何第三</w:t>
            </w:r>
            <w:r>
              <w:rPr>
                <w:rFonts w:ascii="宋体" w:hAnsi="宋体" w:cs="宋体" w:eastAsia="宋体" w:hint="default"/>
                <w:w w:val="100"/>
                <w:sz w:val="21"/>
                <w:szCs w:val="21"/>
              </w:rPr>
              <w:t> </w:t>
            </w:r>
            <w:r>
              <w:rPr>
                <w:rFonts w:ascii="宋体" w:hAnsi="宋体" w:cs="宋体" w:eastAsia="宋体" w:hint="default"/>
                <w:sz w:val="21"/>
                <w:szCs w:val="21"/>
              </w:rPr>
              <w:t>方的价格向本企业及控制的其他企业销</w:t>
            </w:r>
            <w:r>
              <w:rPr>
                <w:rFonts w:ascii="宋体" w:hAnsi="宋体" w:cs="宋体" w:eastAsia="宋体" w:hint="default"/>
                <w:w w:val="100"/>
                <w:sz w:val="21"/>
                <w:szCs w:val="21"/>
              </w:rPr>
              <w:t> </w:t>
            </w:r>
            <w:r>
              <w:rPr>
                <w:rFonts w:ascii="宋体" w:hAnsi="宋体" w:cs="宋体" w:eastAsia="宋体" w:hint="default"/>
                <w:sz w:val="21"/>
                <w:szCs w:val="21"/>
              </w:rPr>
              <w:t>售货物或提供劳务，不以高于市场价或</w:t>
            </w:r>
            <w:r>
              <w:rPr>
                <w:rFonts w:ascii="宋体" w:hAnsi="宋体" w:cs="宋体" w:eastAsia="宋体" w:hint="default"/>
                <w:w w:val="100"/>
                <w:sz w:val="21"/>
                <w:szCs w:val="21"/>
              </w:rPr>
              <w:t> </w:t>
            </w:r>
            <w:r>
              <w:rPr>
                <w:rFonts w:ascii="宋体" w:hAnsi="宋体" w:cs="宋体" w:eastAsia="宋体" w:hint="default"/>
                <w:spacing w:val="-2"/>
                <w:sz w:val="21"/>
                <w:szCs w:val="21"/>
              </w:rPr>
              <w:t>本企业</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本人及控制的其他企业给予任何</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第三方的价格向华声股份销售货物或提</w:t>
            </w:r>
            <w:r>
              <w:rPr>
                <w:rFonts w:ascii="宋体" w:hAnsi="宋体" w:cs="宋体" w:eastAsia="宋体" w:hint="default"/>
                <w:w w:val="100"/>
                <w:sz w:val="21"/>
                <w:szCs w:val="21"/>
              </w:rPr>
              <w:t> </w:t>
            </w:r>
            <w:r>
              <w:rPr>
                <w:rFonts w:ascii="宋体" w:hAnsi="宋体" w:cs="宋体" w:eastAsia="宋体" w:hint="default"/>
                <w:spacing w:val="-4"/>
                <w:sz w:val="21"/>
                <w:szCs w:val="21"/>
              </w:rPr>
              <w:t>供劳务。</w:t>
            </w:r>
            <w:r>
              <w:rPr>
                <w:rFonts w:ascii="Times New Roman" w:hAnsi="Times New Roman" w:cs="Times New Roman" w:eastAsia="Times New Roman" w:hint="default"/>
                <w:spacing w:val="-4"/>
                <w:sz w:val="21"/>
                <w:szCs w:val="21"/>
              </w:rPr>
              <w:t>3</w:t>
            </w:r>
            <w:r>
              <w:rPr>
                <w:rFonts w:ascii="宋体" w:hAnsi="宋体" w:cs="宋体" w:eastAsia="宋体" w:hint="default"/>
                <w:spacing w:val="-4"/>
                <w:sz w:val="21"/>
                <w:szCs w:val="21"/>
              </w:rPr>
              <w:t>、除非凤凰财智不再为华声股</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4"/>
                <w:sz w:val="21"/>
                <w:szCs w:val="21"/>
              </w:rPr>
              <w:t>份控股股东，本承诺始终为有效之承诺</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2"/>
                <w:sz w:val="21"/>
                <w:szCs w:val="21"/>
              </w:rPr>
              <w:t>本企业</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本人同意对因未履行上述承诺而</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给华声股份造成的一切损失承担赔偿责</w:t>
            </w:r>
            <w:r>
              <w:rPr>
                <w:rFonts w:ascii="宋体" w:hAnsi="宋体" w:cs="宋体" w:eastAsia="宋体" w:hint="default"/>
                <w:w w:val="100"/>
                <w:sz w:val="21"/>
                <w:szCs w:val="21"/>
              </w:rPr>
              <w:t> </w:t>
            </w:r>
            <w:r>
              <w:rPr>
                <w:rFonts w:ascii="宋体" w:hAnsi="宋体" w:cs="宋体" w:eastAsia="宋体" w:hint="default"/>
                <w:sz w:val="21"/>
                <w:szCs w:val="21"/>
              </w:rPr>
              <w:t>任。</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05</w:t>
            </w:r>
          </w:p>
          <w:p>
            <w:pPr>
              <w:pStyle w:val="TableParagraph"/>
              <w:spacing w:line="240" w:lineRule="auto" w:before="21"/>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长期</w:t>
            </w:r>
          </w:p>
        </w:tc>
        <w:tc>
          <w:tcPr>
            <w:tcW w:w="91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严格履行</w:t>
            </w:r>
          </w:p>
        </w:tc>
      </w:tr>
      <w:tr>
        <w:trPr>
          <w:trHeight w:val="1639" w:hRule="exact"/>
        </w:trPr>
        <w:tc>
          <w:tcPr>
            <w:tcW w:w="9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1" w:lineRule="auto" w:before="28"/>
              <w:ind w:left="24" w:right="115"/>
              <w:jc w:val="both"/>
              <w:rPr>
                <w:rFonts w:ascii="宋体" w:hAnsi="宋体" w:cs="宋体" w:eastAsia="宋体" w:hint="default"/>
                <w:sz w:val="21"/>
                <w:szCs w:val="21"/>
              </w:rPr>
            </w:pPr>
            <w:r>
              <w:rPr>
                <w:rFonts w:ascii="宋体" w:hAnsi="宋体" w:cs="宋体" w:eastAsia="宋体" w:hint="default"/>
                <w:sz w:val="21"/>
                <w:szCs w:val="21"/>
              </w:rPr>
              <w:t>收购报告</w:t>
            </w:r>
            <w:r>
              <w:rPr>
                <w:rFonts w:ascii="宋体" w:hAnsi="宋体" w:cs="宋体" w:eastAsia="宋体" w:hint="default"/>
                <w:w w:val="100"/>
                <w:sz w:val="21"/>
                <w:szCs w:val="21"/>
              </w:rPr>
              <w:t> </w:t>
            </w:r>
            <w:r>
              <w:rPr>
                <w:rFonts w:ascii="宋体" w:hAnsi="宋体" w:cs="宋体" w:eastAsia="宋体" w:hint="default"/>
                <w:sz w:val="21"/>
                <w:szCs w:val="21"/>
              </w:rPr>
              <w:t>书或权益</w:t>
            </w:r>
            <w:r>
              <w:rPr>
                <w:rFonts w:ascii="宋体" w:hAnsi="宋体" w:cs="宋体" w:eastAsia="宋体" w:hint="default"/>
                <w:w w:val="100"/>
                <w:sz w:val="21"/>
                <w:szCs w:val="21"/>
              </w:rPr>
              <w:t> </w:t>
            </w:r>
            <w:r>
              <w:rPr>
                <w:rFonts w:ascii="宋体" w:hAnsi="宋体" w:cs="宋体" w:eastAsia="宋体" w:hint="default"/>
                <w:sz w:val="21"/>
                <w:szCs w:val="21"/>
              </w:rPr>
              <w:t>变动报告</w:t>
            </w:r>
            <w:r>
              <w:rPr>
                <w:rFonts w:ascii="宋体" w:hAnsi="宋体" w:cs="宋体" w:eastAsia="宋体" w:hint="default"/>
                <w:w w:val="100"/>
                <w:sz w:val="21"/>
                <w:szCs w:val="21"/>
              </w:rPr>
              <w:t> </w:t>
            </w:r>
            <w:r>
              <w:rPr>
                <w:rFonts w:ascii="宋体" w:hAnsi="宋体" w:cs="宋体" w:eastAsia="宋体" w:hint="default"/>
                <w:sz w:val="21"/>
                <w:szCs w:val="21"/>
              </w:rPr>
              <w:t>书中所作</w:t>
            </w:r>
            <w:r>
              <w:rPr>
                <w:rFonts w:ascii="宋体" w:hAnsi="宋体" w:cs="宋体" w:eastAsia="宋体" w:hint="default"/>
                <w:w w:val="100"/>
                <w:sz w:val="21"/>
                <w:szCs w:val="21"/>
              </w:rPr>
              <w:t> </w:t>
            </w:r>
            <w:r>
              <w:rPr>
                <w:rFonts w:ascii="宋体" w:hAnsi="宋体" w:cs="宋体" w:eastAsia="宋体" w:hint="default"/>
                <w:sz w:val="21"/>
                <w:szCs w:val="21"/>
              </w:rPr>
              <w:t>承诺</w:t>
            </w:r>
          </w:p>
        </w:tc>
        <w:tc>
          <w:tcPr>
            <w:tcW w:w="991" w:type="dxa"/>
            <w:vMerge/>
            <w:tcBorders>
              <w:left w:val="single" w:sz="9" w:space="0" w:color="D2D2D2"/>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3687"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483" w:hRule="exact"/>
        </w:trPr>
        <w:tc>
          <w:tcPr>
            <w:tcW w:w="994" w:type="dxa"/>
            <w:tcBorders>
              <w:top w:val="nil" w:sz="6" w:space="0" w:color="auto"/>
              <w:left w:val="single" w:sz="4" w:space="0" w:color="000000"/>
              <w:bottom w:val="single" w:sz="4" w:space="0" w:color="000000"/>
              <w:right w:val="single" w:sz="4" w:space="0" w:color="000000"/>
            </w:tcBorders>
            <w:shd w:val="clear" w:color="auto" w:fill="D2D2D2"/>
          </w:tcPr>
          <w:p>
            <w:pPr/>
          </w:p>
        </w:tc>
        <w:tc>
          <w:tcPr>
            <w:tcW w:w="991" w:type="dxa"/>
            <w:vMerge/>
            <w:tcBorders>
              <w:left w:val="single" w:sz="9" w:space="0" w:color="D2D2D2"/>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73" w:lineRule="auto"/>
              <w:ind w:left="24" w:right="113"/>
              <w:jc w:val="left"/>
              <w:rPr>
                <w:rFonts w:ascii="宋体" w:hAnsi="宋体" w:cs="宋体" w:eastAsia="宋体" w:hint="default"/>
                <w:sz w:val="21"/>
                <w:szCs w:val="21"/>
              </w:rPr>
            </w:pPr>
            <w:r>
              <w:rPr>
                <w:rFonts w:ascii="宋体" w:hAnsi="宋体" w:cs="宋体" w:eastAsia="宋体" w:hint="default"/>
                <w:sz w:val="21"/>
                <w:szCs w:val="21"/>
              </w:rPr>
              <w:t>规范关联</w:t>
            </w:r>
            <w:r>
              <w:rPr>
                <w:rFonts w:ascii="宋体" w:hAnsi="宋体" w:cs="宋体" w:eastAsia="宋体" w:hint="default"/>
                <w:w w:val="100"/>
                <w:sz w:val="21"/>
                <w:szCs w:val="21"/>
              </w:rPr>
              <w:t> </w:t>
            </w:r>
            <w:r>
              <w:rPr>
                <w:rFonts w:ascii="宋体" w:hAnsi="宋体" w:cs="宋体" w:eastAsia="宋体" w:hint="default"/>
                <w:sz w:val="21"/>
                <w:szCs w:val="21"/>
              </w:rPr>
              <w:t>交易</w:t>
            </w:r>
          </w:p>
        </w:tc>
        <w:tc>
          <w:tcPr>
            <w:tcW w:w="3687"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919"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980"/>
        </w:sectPr>
      </w:pPr>
    </w:p>
    <w:p>
      <w:pPr>
        <w:spacing w:line="240" w:lineRule="auto" w:before="11"/>
        <w:rPr>
          <w:rFonts w:ascii="Times New Roman" w:hAnsi="Times New Roman" w:cs="Times New Roman" w:eastAsia="Times New Roman" w:hint="default"/>
          <w:sz w:val="27"/>
          <w:szCs w:val="27"/>
        </w:rPr>
      </w:pPr>
      <w:r>
        <w:rPr/>
        <w:pict>
          <v:shape style="position:absolute;margin-left:138.868637pt;margin-top:408.889984pt;width:65.3pt;height:15.6pt;mso-position-horizontal-relative:page;mso-position-vertical-relative:page;z-index:-667384" type="#_x0000_t202" filled="false" stroked="false">
            <v:textbox inset="0,0,0,0">
              <w:txbxContent>
                <w:p>
                  <w:pPr>
                    <w:pStyle w:val="BodyText"/>
                    <w:spacing w:line="262" w:lineRule="exact"/>
                    <w:ind w:left="0" w:right="0"/>
                    <w:jc w:val="left"/>
                  </w:pPr>
                  <w:r>
                    <w:rPr/>
                    <w:t>力、</w:t>
                  </w:r>
                </w:p>
              </w:txbxContent>
            </v:textbox>
            <w10:wrap type="none"/>
          </v:shape>
        </w:pict>
      </w:r>
      <w:r>
        <w:rPr/>
        <w:pict>
          <v:shape style="position:absolute;margin-left:383.470001pt;margin-top:72.47998pt;width:55.85pt;height:326.7pt;mso-position-horizontal-relative:page;mso-position-vertical-relative:page;z-index:-667360" type="#_x0000_t202" filled="false" stroked="false">
            <v:textbox inset="0,0,0,0">
              <w:txbxContent>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59"/>
                    <w:ind w:left="0" w:right="0"/>
                    <w:jc w:val="left"/>
                  </w:pPr>
                  <w:r>
                    <w:rPr>
                      <w:w w:val="100"/>
                    </w:rPr>
                    <w:t>）</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8"/>
                      <w:szCs w:val="18"/>
                    </w:rPr>
                  </w:pPr>
                </w:p>
                <w:p>
                  <w:pPr>
                    <w:pStyle w:val="BodyText"/>
                    <w:spacing w:line="240" w:lineRule="auto"/>
                    <w:ind w:left="0" w:right="0"/>
                    <w:jc w:val="left"/>
                  </w:pPr>
                  <w:r>
                    <w:rPr>
                      <w:w w:val="100"/>
                    </w:rPr>
                    <w:t>）</w:t>
                  </w:r>
                </w:p>
              </w:txbxContent>
            </v:textbox>
            <w10:wrap type="none"/>
          </v:shape>
        </w:pict>
      </w:r>
    </w:p>
    <w:tbl>
      <w:tblPr>
        <w:tblW w:w="0" w:type="auto"/>
        <w:jc w:val="left"/>
        <w:tblInd w:w="149" w:type="dxa"/>
        <w:tblLayout w:type="fixed"/>
        <w:tblCellMar>
          <w:top w:w="0" w:type="dxa"/>
          <w:left w:w="0" w:type="dxa"/>
          <w:bottom w:w="0" w:type="dxa"/>
          <w:right w:w="0" w:type="dxa"/>
        </w:tblCellMar>
        <w:tblLook w:val="01E0"/>
      </w:tblPr>
      <w:tblGrid>
        <w:gridCol w:w="993"/>
        <w:gridCol w:w="991"/>
        <w:gridCol w:w="992"/>
        <w:gridCol w:w="3687"/>
        <w:gridCol w:w="994"/>
        <w:gridCol w:w="991"/>
        <w:gridCol w:w="919"/>
      </w:tblGrid>
      <w:tr>
        <w:trPr>
          <w:trHeight w:val="13780"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91"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71" w:lineRule="auto"/>
              <w:ind w:left="23" w:right="317"/>
              <w:jc w:val="both"/>
              <w:rPr>
                <w:rFonts w:ascii="宋体" w:hAnsi="宋体" w:cs="宋体" w:eastAsia="宋体" w:hint="default"/>
                <w:sz w:val="21"/>
                <w:szCs w:val="21"/>
              </w:rPr>
            </w:pPr>
            <w:r>
              <w:rPr>
                <w:rFonts w:ascii="宋体" w:hAnsi="宋体" w:cs="宋体" w:eastAsia="宋体" w:hint="default"/>
                <w:sz w:val="21"/>
                <w:szCs w:val="21"/>
              </w:rPr>
              <w:t>凤凰财</w:t>
            </w:r>
            <w:r>
              <w:rPr>
                <w:rFonts w:ascii="宋体" w:hAnsi="宋体" w:cs="宋体" w:eastAsia="宋体" w:hint="default"/>
                <w:spacing w:val="-102"/>
                <w:sz w:val="21"/>
                <w:szCs w:val="21"/>
              </w:rPr>
              <w:t> </w:t>
            </w:r>
            <w:r>
              <w:rPr>
                <w:rFonts w:ascii="宋体" w:hAnsi="宋体" w:cs="宋体" w:eastAsia="宋体" w:hint="default"/>
                <w:spacing w:val="-4"/>
                <w:sz w:val="21"/>
                <w:szCs w:val="21"/>
              </w:rPr>
              <w:t>智、杜</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张巍</w:t>
            </w:r>
          </w:p>
        </w:tc>
        <w:tc>
          <w:tcPr>
            <w:tcW w:w="992"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71" w:lineRule="auto"/>
              <w:ind w:left="18" w:right="113"/>
              <w:jc w:val="both"/>
              <w:rPr>
                <w:rFonts w:ascii="宋体" w:hAnsi="宋体" w:cs="宋体" w:eastAsia="宋体" w:hint="default"/>
                <w:sz w:val="21"/>
                <w:szCs w:val="21"/>
              </w:rPr>
            </w:pPr>
            <w:r>
              <w:rPr>
                <w:rFonts w:ascii="宋体" w:hAnsi="宋体" w:cs="宋体" w:eastAsia="宋体" w:hint="default"/>
                <w:sz w:val="21"/>
                <w:szCs w:val="21"/>
              </w:rPr>
              <w:t>保持上市</w:t>
            </w:r>
            <w:r>
              <w:rPr>
                <w:rFonts w:ascii="宋体" w:hAnsi="宋体" w:cs="宋体" w:eastAsia="宋体" w:hint="default"/>
                <w:w w:val="100"/>
                <w:sz w:val="21"/>
                <w:szCs w:val="21"/>
              </w:rPr>
              <w:t> </w:t>
            </w:r>
            <w:r>
              <w:rPr>
                <w:rFonts w:ascii="宋体" w:hAnsi="宋体" w:cs="宋体" w:eastAsia="宋体" w:hint="default"/>
                <w:sz w:val="21"/>
                <w:szCs w:val="21"/>
              </w:rPr>
              <w:t>公司独立</w:t>
            </w:r>
            <w:r>
              <w:rPr>
                <w:rFonts w:ascii="宋体" w:hAnsi="宋体" w:cs="宋体" w:eastAsia="宋体" w:hint="default"/>
                <w:w w:val="100"/>
                <w:sz w:val="21"/>
                <w:szCs w:val="21"/>
              </w:rPr>
              <w:t> </w:t>
            </w:r>
            <w:r>
              <w:rPr>
                <w:rFonts w:ascii="宋体" w:hAnsi="宋体" w:cs="宋体" w:eastAsia="宋体" w:hint="default"/>
                <w:sz w:val="21"/>
                <w:szCs w:val="21"/>
              </w:rPr>
              <w:t>性</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312" w:lineRule="exact"/>
              <w:ind w:left="18" w:right="-29"/>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pict>
                <v:group style="width:46.85pt;height:15.6pt;mso-position-horizontal-relative:char;mso-position-vertical-relative:line" coordorigin="0,0" coordsize="937,312">
                  <v:group style="position:absolute;left:0;top:0;width:937;height:312" coordorigin="0,0" coordsize="937,312">
                    <v:shape style="position:absolute;left:0;top:0;width:937;height:312" coordorigin="0,0" coordsize="937,312" path="m0,312l936,312,936,0,0,0,0,312xe" filled="true" fillcolor="#ffffff" stroked="false">
                      <v:path arrowok="t"/>
                      <v:fill type="solid"/>
                    </v:shape>
                  </v:group>
                </v:group>
              </w:pict>
            </w:r>
            <w:r>
              <w:rPr>
                <w:rFonts w:ascii="Times New Roman" w:hAnsi="Times New Roman" w:cs="Times New Roman" w:eastAsia="Times New Roman" w:hint="default"/>
                <w:position w:val="-5"/>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5"/>
                <w:szCs w:val="25"/>
              </w:rPr>
            </w:pP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before="28"/>
              <w:ind w:left="26" w:right="14"/>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、保证华声股份人员独立（</w:t>
            </w:r>
            <w:r>
              <w:rPr>
                <w:rFonts w:ascii="Times New Roman" w:hAnsi="Times New Roman" w:cs="Times New Roman" w:eastAsia="Times New Roman" w:hint="default"/>
                <w:sz w:val="21"/>
                <w:szCs w:val="21"/>
              </w:rPr>
              <w:t>1</w:t>
            </w:r>
            <w:r>
              <w:rPr>
                <w:rFonts w:ascii="宋体" w:hAnsi="宋体" w:cs="宋体" w:eastAsia="宋体" w:hint="default"/>
                <w:sz w:val="21"/>
                <w:szCs w:val="21"/>
              </w:rPr>
              <w:t>）保证华</w:t>
            </w:r>
            <w:r>
              <w:rPr>
                <w:rFonts w:ascii="宋体" w:hAnsi="宋体" w:cs="宋体" w:eastAsia="宋体" w:hint="default"/>
                <w:w w:val="100"/>
                <w:sz w:val="21"/>
                <w:szCs w:val="21"/>
              </w:rPr>
              <w:t> </w:t>
            </w:r>
            <w:r>
              <w:rPr>
                <w:rFonts w:ascii="宋体" w:hAnsi="宋体" w:cs="宋体" w:eastAsia="宋体" w:hint="default"/>
                <w:sz w:val="21"/>
                <w:szCs w:val="21"/>
              </w:rPr>
              <w:t>声股份的生产经营与行政管理（包括劳</w:t>
            </w:r>
            <w:r>
              <w:rPr>
                <w:rFonts w:ascii="宋体" w:hAnsi="宋体" w:cs="宋体" w:eastAsia="宋体" w:hint="default"/>
                <w:w w:val="100"/>
                <w:sz w:val="21"/>
                <w:szCs w:val="21"/>
              </w:rPr>
              <w:t> </w:t>
            </w:r>
            <w:r>
              <w:rPr>
                <w:rFonts w:ascii="宋体" w:hAnsi="宋体" w:cs="宋体" w:eastAsia="宋体" w:hint="default"/>
                <w:sz w:val="21"/>
                <w:szCs w:val="21"/>
              </w:rPr>
              <w:t>动、人事及工资管理等）完全独立于凤</w:t>
            </w:r>
            <w:r>
              <w:rPr>
                <w:rFonts w:ascii="宋体" w:hAnsi="宋体" w:cs="宋体" w:eastAsia="宋体" w:hint="default"/>
                <w:w w:val="100"/>
                <w:sz w:val="21"/>
                <w:szCs w:val="21"/>
              </w:rPr>
              <w:t> </w:t>
            </w:r>
            <w:r>
              <w:rPr>
                <w:rFonts w:ascii="宋体" w:hAnsi="宋体" w:cs="宋体" w:eastAsia="宋体" w:hint="default"/>
                <w:spacing w:val="-8"/>
                <w:w w:val="100"/>
                <w:sz w:val="21"/>
                <w:szCs w:val="21"/>
              </w:rPr>
              <w:t>凰财智。（</w:t>
            </w:r>
            <w:r>
              <w:rPr>
                <w:rFonts w:ascii="Times New Roman" w:hAnsi="Times New Roman" w:cs="Times New Roman" w:eastAsia="Times New Roman" w:hint="default"/>
                <w:spacing w:val="-8"/>
                <w:w w:val="100"/>
                <w:sz w:val="21"/>
                <w:szCs w:val="21"/>
              </w:rPr>
              <w:t>2</w:t>
            </w:r>
            <w:r>
              <w:rPr>
                <w:rFonts w:ascii="宋体" w:hAnsi="宋体" w:cs="宋体" w:eastAsia="宋体" w:hint="default"/>
                <w:spacing w:val="-8"/>
                <w:w w:val="100"/>
                <w:sz w:val="21"/>
                <w:szCs w:val="21"/>
              </w:rPr>
              <w:t>）保证华声股份的董事、监</w:t>
            </w:r>
            <w:r>
              <w:rPr>
                <w:rFonts w:ascii="宋体" w:hAnsi="宋体" w:cs="宋体" w:eastAsia="宋体" w:hint="default"/>
                <w:spacing w:val="-90"/>
                <w:w w:val="100"/>
                <w:sz w:val="21"/>
                <w:szCs w:val="21"/>
              </w:rPr>
              <w:t> </w:t>
            </w:r>
            <w:r>
              <w:rPr>
                <w:rFonts w:ascii="宋体" w:hAnsi="宋体" w:cs="宋体" w:eastAsia="宋体" w:hint="default"/>
                <w:spacing w:val="-90"/>
                <w:w w:val="100"/>
                <w:sz w:val="21"/>
                <w:szCs w:val="21"/>
              </w:rPr>
            </w:r>
            <w:r>
              <w:rPr>
                <w:rFonts w:ascii="宋体" w:hAnsi="宋体" w:cs="宋体" w:eastAsia="宋体" w:hint="default"/>
                <w:sz w:val="21"/>
                <w:szCs w:val="21"/>
              </w:rPr>
              <w:t>事及高级管理人员严格按照《中华人民</w:t>
            </w:r>
            <w:r>
              <w:rPr>
                <w:rFonts w:ascii="宋体" w:hAnsi="宋体" w:cs="宋体" w:eastAsia="宋体" w:hint="default"/>
                <w:w w:val="100"/>
                <w:sz w:val="21"/>
                <w:szCs w:val="21"/>
              </w:rPr>
              <w:t> </w:t>
            </w:r>
            <w:r>
              <w:rPr>
                <w:rFonts w:ascii="宋体" w:hAnsi="宋体" w:cs="宋体" w:eastAsia="宋体" w:hint="default"/>
                <w:spacing w:val="-10"/>
                <w:w w:val="100"/>
                <w:sz w:val="21"/>
                <w:szCs w:val="21"/>
              </w:rPr>
              <w:t>共和国公司法》、华声股份公司章程的有</w:t>
            </w:r>
            <w:r>
              <w:rPr>
                <w:rFonts w:ascii="宋体" w:hAnsi="宋体" w:cs="宋体" w:eastAsia="宋体" w:hint="default"/>
                <w:spacing w:val="-98"/>
                <w:w w:val="100"/>
                <w:sz w:val="21"/>
                <w:szCs w:val="21"/>
              </w:rPr>
              <w:t> </w:t>
            </w:r>
            <w:r>
              <w:rPr>
                <w:rFonts w:ascii="宋体" w:hAnsi="宋体" w:cs="宋体" w:eastAsia="宋体" w:hint="default"/>
                <w:spacing w:val="-98"/>
                <w:w w:val="100"/>
                <w:sz w:val="21"/>
                <w:szCs w:val="21"/>
              </w:rPr>
            </w:r>
            <w:r>
              <w:rPr>
                <w:rFonts w:ascii="宋体" w:hAnsi="宋体" w:cs="宋体" w:eastAsia="宋体" w:hint="default"/>
                <w:sz w:val="21"/>
                <w:szCs w:val="21"/>
              </w:rPr>
              <w:t>关规定选举产生；保证凤凰财智推荐出</w:t>
            </w:r>
            <w:r>
              <w:rPr>
                <w:rFonts w:ascii="宋体" w:hAnsi="宋体" w:cs="宋体" w:eastAsia="宋体" w:hint="default"/>
                <w:w w:val="100"/>
                <w:sz w:val="21"/>
                <w:szCs w:val="21"/>
              </w:rPr>
              <w:t> </w:t>
            </w:r>
            <w:r>
              <w:rPr>
                <w:rFonts w:ascii="宋体" w:hAnsi="宋体" w:cs="宋体" w:eastAsia="宋体" w:hint="default"/>
                <w:sz w:val="21"/>
                <w:szCs w:val="21"/>
              </w:rPr>
              <w:t>任华声股份董事、监事和高级管理人员</w:t>
            </w:r>
            <w:r>
              <w:rPr>
                <w:rFonts w:ascii="宋体" w:hAnsi="宋体" w:cs="宋体" w:eastAsia="宋体" w:hint="default"/>
                <w:w w:val="100"/>
                <w:sz w:val="21"/>
                <w:szCs w:val="21"/>
              </w:rPr>
              <w:t> </w:t>
            </w:r>
            <w:r>
              <w:rPr>
                <w:rFonts w:ascii="宋体" w:hAnsi="宋体" w:cs="宋体" w:eastAsia="宋体" w:hint="default"/>
                <w:spacing w:val="-2"/>
                <w:sz w:val="21"/>
                <w:szCs w:val="21"/>
              </w:rPr>
              <w:t>的人选都通过合法的程序产生，本企业</w:t>
            </w:r>
            <w:r>
              <w:rPr>
                <w:rFonts w:ascii="Times New Roman" w:hAnsi="Times New Roman" w:cs="Times New Roman" w:eastAsia="Times New Roman" w:hint="default"/>
                <w:spacing w:val="-2"/>
                <w:sz w:val="21"/>
                <w:szCs w:val="21"/>
              </w:rPr>
              <w:t>/</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本人不干预华声股份董事会、监事会和</w:t>
            </w:r>
            <w:r>
              <w:rPr>
                <w:rFonts w:ascii="宋体" w:hAnsi="宋体" w:cs="宋体" w:eastAsia="宋体" w:hint="default"/>
                <w:w w:val="100"/>
                <w:sz w:val="21"/>
                <w:szCs w:val="21"/>
              </w:rPr>
              <w:t> </w:t>
            </w:r>
            <w:r>
              <w:rPr>
                <w:rFonts w:ascii="宋体" w:hAnsi="宋体" w:cs="宋体" w:eastAsia="宋体" w:hint="default"/>
                <w:spacing w:val="-10"/>
                <w:w w:val="100"/>
                <w:sz w:val="21"/>
                <w:szCs w:val="21"/>
              </w:rPr>
              <w:t>股东大会已经做出的人事任免决定。（</w:t>
            </w:r>
            <w:r>
              <w:rPr>
                <w:rFonts w:ascii="Times New Roman" w:hAnsi="Times New Roman" w:cs="Times New Roman" w:eastAsia="Times New Roman" w:hint="default"/>
                <w:spacing w:val="-10"/>
                <w:w w:val="100"/>
                <w:sz w:val="21"/>
                <w:szCs w:val="21"/>
              </w:rPr>
              <w:t>3</w:t>
            </w:r>
            <w:r>
              <w:rPr>
                <w:rFonts w:ascii="Times New Roman" w:hAnsi="Times New Roman" w:cs="Times New Roman" w:eastAsia="Times New Roman" w:hint="default"/>
                <w:spacing w:val="-46"/>
                <w:w w:val="100"/>
                <w:sz w:val="21"/>
                <w:szCs w:val="21"/>
              </w:rPr>
              <w:t> </w:t>
            </w:r>
            <w:r>
              <w:rPr>
                <w:rFonts w:ascii="宋体" w:hAnsi="宋体" w:cs="宋体" w:eastAsia="宋体" w:hint="default"/>
                <w:sz w:val="21"/>
                <w:szCs w:val="21"/>
              </w:rPr>
              <w:t>保证华声股份的总经理、副总经理、财</w:t>
            </w:r>
            <w:r>
              <w:rPr>
                <w:rFonts w:ascii="宋体" w:hAnsi="宋体" w:cs="宋体" w:eastAsia="宋体" w:hint="default"/>
                <w:w w:val="100"/>
                <w:sz w:val="21"/>
                <w:szCs w:val="21"/>
              </w:rPr>
              <w:t> </w:t>
            </w:r>
            <w:r>
              <w:rPr>
                <w:rFonts w:ascii="宋体" w:hAnsi="宋体" w:cs="宋体" w:eastAsia="宋体" w:hint="default"/>
                <w:sz w:val="21"/>
                <w:szCs w:val="21"/>
              </w:rPr>
              <w:t>务负责人、董事会秘书等高级管理人员</w:t>
            </w:r>
            <w:r>
              <w:rPr>
                <w:rFonts w:ascii="宋体" w:hAnsi="宋体" w:cs="宋体" w:eastAsia="宋体" w:hint="default"/>
                <w:w w:val="100"/>
                <w:sz w:val="21"/>
                <w:szCs w:val="21"/>
              </w:rPr>
              <w:t> </w:t>
            </w:r>
            <w:r>
              <w:rPr>
                <w:rFonts w:ascii="宋体" w:hAnsi="宋体" w:cs="宋体" w:eastAsia="宋体" w:hint="default"/>
                <w:spacing w:val="-2"/>
                <w:sz w:val="21"/>
                <w:szCs w:val="21"/>
              </w:rPr>
              <w:t>在华声股份专职工作，不在本企业</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凤凰</w:t>
            </w:r>
            <w:r>
              <w:rPr>
                <w:rFonts w:ascii="宋体" w:hAnsi="宋体" w:cs="宋体" w:eastAsia="宋体" w:hint="default"/>
                <w:spacing w:val="-76"/>
                <w:sz w:val="21"/>
                <w:szCs w:val="21"/>
              </w:rPr>
              <w:t> </w:t>
            </w:r>
            <w:r>
              <w:rPr>
                <w:rFonts w:ascii="宋体" w:hAnsi="宋体" w:cs="宋体" w:eastAsia="宋体" w:hint="default"/>
                <w:sz w:val="21"/>
                <w:szCs w:val="21"/>
              </w:rPr>
              <w:t>财智及本人控制的其他企业担任除董</w:t>
            </w:r>
            <w:r>
              <w:rPr>
                <w:rFonts w:ascii="宋体" w:hAnsi="宋体" w:cs="宋体" w:eastAsia="宋体" w:hint="default"/>
                <w:w w:val="100"/>
                <w:sz w:val="21"/>
                <w:szCs w:val="21"/>
              </w:rPr>
              <w:t> </w:t>
            </w:r>
            <w:r>
              <w:rPr>
                <w:rFonts w:ascii="宋体" w:hAnsi="宋体" w:cs="宋体" w:eastAsia="宋体" w:hint="default"/>
                <w:spacing w:val="-2"/>
                <w:sz w:val="21"/>
                <w:szCs w:val="21"/>
              </w:rPr>
              <w:t>事、监事以外的职务，不会在本企业</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凤</w:t>
            </w:r>
            <w:r>
              <w:rPr>
                <w:rFonts w:ascii="宋体" w:hAnsi="宋体" w:cs="宋体" w:eastAsia="宋体" w:hint="default"/>
                <w:spacing w:val="-72"/>
                <w:sz w:val="21"/>
                <w:szCs w:val="21"/>
              </w:rPr>
              <w:t> </w:t>
            </w:r>
            <w:r>
              <w:rPr>
                <w:rFonts w:ascii="宋体" w:hAnsi="宋体" w:cs="宋体" w:eastAsia="宋体" w:hint="default"/>
                <w:spacing w:val="-10"/>
                <w:w w:val="100"/>
                <w:sz w:val="21"/>
                <w:szCs w:val="21"/>
              </w:rPr>
              <w:t>凰财智及本人控制的其他企业领薪。（</w:t>
            </w:r>
            <w:r>
              <w:rPr>
                <w:rFonts w:ascii="Times New Roman" w:hAnsi="Times New Roman" w:cs="Times New Roman" w:eastAsia="Times New Roman" w:hint="default"/>
                <w:spacing w:val="-10"/>
                <w:w w:val="100"/>
                <w:sz w:val="21"/>
                <w:szCs w:val="21"/>
              </w:rPr>
              <w:t>4</w:t>
            </w:r>
            <w:r>
              <w:rPr>
                <w:rFonts w:ascii="Times New Roman" w:hAnsi="Times New Roman" w:cs="Times New Roman" w:eastAsia="Times New Roman" w:hint="default"/>
                <w:spacing w:val="-46"/>
                <w:w w:val="100"/>
                <w:sz w:val="21"/>
                <w:szCs w:val="21"/>
              </w:rPr>
              <w:t> </w:t>
            </w:r>
            <w:r>
              <w:rPr>
                <w:rFonts w:ascii="宋体" w:hAnsi="宋体" w:cs="宋体" w:eastAsia="宋体" w:hint="default"/>
                <w:sz w:val="21"/>
                <w:szCs w:val="21"/>
              </w:rPr>
              <w:t>保证华声股份的财务人员独立，不在凤</w:t>
            </w:r>
            <w:r>
              <w:rPr>
                <w:rFonts w:ascii="宋体" w:hAnsi="宋体" w:cs="宋体" w:eastAsia="宋体" w:hint="default"/>
                <w:w w:val="100"/>
                <w:sz w:val="21"/>
                <w:szCs w:val="21"/>
              </w:rPr>
              <w:t> </w:t>
            </w:r>
            <w:r>
              <w:rPr>
                <w:rFonts w:ascii="宋体" w:hAnsi="宋体" w:cs="宋体" w:eastAsia="宋体" w:hint="default"/>
                <w:spacing w:val="-4"/>
                <w:sz w:val="21"/>
                <w:szCs w:val="21"/>
              </w:rPr>
              <w:t>凰财智兼职和领取报酬。</w:t>
            </w:r>
            <w:r>
              <w:rPr>
                <w:rFonts w:ascii="Times New Roman" w:hAnsi="Times New Roman" w:cs="Times New Roman" w:eastAsia="Times New Roman" w:hint="default"/>
                <w:spacing w:val="-4"/>
                <w:sz w:val="21"/>
                <w:szCs w:val="21"/>
              </w:rPr>
              <w:t>2</w:t>
            </w:r>
            <w:r>
              <w:rPr>
                <w:rFonts w:ascii="宋体" w:hAnsi="宋体" w:cs="宋体" w:eastAsia="宋体" w:hint="default"/>
                <w:spacing w:val="-4"/>
                <w:sz w:val="21"/>
                <w:szCs w:val="21"/>
              </w:rPr>
              <w:t>、保证华声股</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4"/>
                <w:sz w:val="21"/>
                <w:szCs w:val="21"/>
              </w:rPr>
              <w:t>份资产独立完整（</w:t>
            </w:r>
            <w:r>
              <w:rPr>
                <w:rFonts w:ascii="Times New Roman" w:hAnsi="Times New Roman" w:cs="Times New Roman" w:eastAsia="Times New Roman" w:hint="default"/>
                <w:spacing w:val="-4"/>
                <w:sz w:val="21"/>
                <w:szCs w:val="21"/>
              </w:rPr>
              <w:t>1</w:t>
            </w:r>
            <w:r>
              <w:rPr>
                <w:rFonts w:ascii="宋体" w:hAnsi="宋体" w:cs="宋体" w:eastAsia="宋体" w:hint="default"/>
                <w:spacing w:val="-4"/>
                <w:sz w:val="21"/>
                <w:szCs w:val="21"/>
              </w:rPr>
              <w:t>）保证华声股份具有</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独立完整的资产，华声股份的资产全部</w:t>
            </w:r>
            <w:r>
              <w:rPr>
                <w:rFonts w:ascii="宋体" w:hAnsi="宋体" w:cs="宋体" w:eastAsia="宋体" w:hint="default"/>
                <w:w w:val="100"/>
                <w:sz w:val="21"/>
                <w:szCs w:val="21"/>
              </w:rPr>
              <w:t> </w:t>
            </w:r>
            <w:r>
              <w:rPr>
                <w:rFonts w:ascii="宋体" w:hAnsi="宋体" w:cs="宋体" w:eastAsia="宋体" w:hint="default"/>
                <w:sz w:val="21"/>
                <w:szCs w:val="21"/>
              </w:rPr>
              <w:t>处于华声股份的控制之下，并为华声股</w:t>
            </w:r>
            <w:r>
              <w:rPr>
                <w:rFonts w:ascii="宋体" w:hAnsi="宋体" w:cs="宋体" w:eastAsia="宋体" w:hint="default"/>
                <w:w w:val="100"/>
                <w:sz w:val="21"/>
                <w:szCs w:val="21"/>
              </w:rPr>
              <w:t> </w:t>
            </w:r>
            <w:r>
              <w:rPr>
                <w:rFonts w:ascii="宋体" w:hAnsi="宋体" w:cs="宋体" w:eastAsia="宋体" w:hint="default"/>
                <w:spacing w:val="-7"/>
                <w:w w:val="100"/>
                <w:sz w:val="21"/>
                <w:szCs w:val="21"/>
              </w:rPr>
              <w:t>份独立拥有和运营。（</w:t>
            </w:r>
            <w:r>
              <w:rPr>
                <w:rFonts w:ascii="Times New Roman" w:hAnsi="Times New Roman" w:cs="Times New Roman" w:eastAsia="Times New Roman" w:hint="default"/>
                <w:spacing w:val="-7"/>
                <w:w w:val="100"/>
                <w:sz w:val="21"/>
                <w:szCs w:val="21"/>
              </w:rPr>
              <w:t>2</w:t>
            </w:r>
            <w:r>
              <w:rPr>
                <w:rFonts w:ascii="宋体" w:hAnsi="宋体" w:cs="宋体" w:eastAsia="宋体" w:hint="default"/>
                <w:spacing w:val="-7"/>
                <w:w w:val="100"/>
                <w:sz w:val="21"/>
                <w:szCs w:val="21"/>
              </w:rPr>
              <w:t>）保证本企业</w:t>
            </w:r>
            <w:r>
              <w:rPr>
                <w:rFonts w:ascii="Times New Roman" w:hAnsi="Times New Roman" w:cs="Times New Roman" w:eastAsia="Times New Roman" w:hint="default"/>
                <w:spacing w:val="-7"/>
                <w:w w:val="100"/>
                <w:sz w:val="21"/>
                <w:szCs w:val="21"/>
              </w:rPr>
              <w:t>/</w:t>
            </w:r>
            <w:r>
              <w:rPr>
                <w:rFonts w:ascii="宋体" w:hAnsi="宋体" w:cs="宋体" w:eastAsia="宋体" w:hint="default"/>
                <w:spacing w:val="-7"/>
                <w:w w:val="100"/>
                <w:sz w:val="21"/>
                <w:szCs w:val="21"/>
              </w:rPr>
              <w:t>凤</w:t>
            </w:r>
            <w:r>
              <w:rPr>
                <w:rFonts w:ascii="宋体" w:hAnsi="宋体" w:cs="宋体" w:eastAsia="宋体" w:hint="default"/>
                <w:spacing w:val="-101"/>
                <w:w w:val="100"/>
                <w:sz w:val="21"/>
                <w:szCs w:val="21"/>
              </w:rPr>
              <w:t> </w:t>
            </w:r>
            <w:r>
              <w:rPr>
                <w:rFonts w:ascii="宋体" w:hAnsi="宋体" w:cs="宋体" w:eastAsia="宋体" w:hint="default"/>
                <w:sz w:val="21"/>
                <w:szCs w:val="21"/>
              </w:rPr>
              <w:t>凰财智及本人控制的其他企业不以任何</w:t>
            </w:r>
            <w:r>
              <w:rPr>
                <w:rFonts w:ascii="宋体" w:hAnsi="宋体" w:cs="宋体" w:eastAsia="宋体" w:hint="default"/>
                <w:w w:val="100"/>
                <w:sz w:val="21"/>
                <w:szCs w:val="21"/>
              </w:rPr>
              <w:t> </w:t>
            </w:r>
            <w:r>
              <w:rPr>
                <w:rFonts w:ascii="宋体" w:hAnsi="宋体" w:cs="宋体" w:eastAsia="宋体" w:hint="default"/>
                <w:sz w:val="21"/>
                <w:szCs w:val="21"/>
              </w:rPr>
              <w:t>方式违法违规占有华声股份的资金、资</w:t>
            </w:r>
            <w:r>
              <w:rPr>
                <w:rFonts w:ascii="宋体" w:hAnsi="宋体" w:cs="宋体" w:eastAsia="宋体" w:hint="default"/>
                <w:w w:val="100"/>
                <w:sz w:val="21"/>
                <w:szCs w:val="21"/>
              </w:rPr>
              <w:t> </w:t>
            </w:r>
            <w:r>
              <w:rPr>
                <w:rFonts w:ascii="宋体" w:hAnsi="宋体" w:cs="宋体" w:eastAsia="宋体" w:hint="default"/>
                <w:sz w:val="21"/>
                <w:szCs w:val="21"/>
              </w:rPr>
              <w:t>产。</w:t>
            </w:r>
            <w:r>
              <w:rPr>
                <w:rFonts w:ascii="Times New Roman" w:hAnsi="Times New Roman" w:cs="Times New Roman" w:eastAsia="Times New Roman" w:hint="default"/>
                <w:sz w:val="21"/>
                <w:szCs w:val="21"/>
              </w:rPr>
              <w:t>3</w:t>
            </w:r>
            <w:r>
              <w:rPr>
                <w:rFonts w:ascii="宋体" w:hAnsi="宋体" w:cs="宋体" w:eastAsia="宋体" w:hint="default"/>
                <w:sz w:val="21"/>
                <w:szCs w:val="21"/>
              </w:rPr>
              <w:t>、保证华声股份的财务独立（</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保证华声股份建立独立的财务部门和独</w:t>
            </w:r>
            <w:r>
              <w:rPr>
                <w:rFonts w:ascii="宋体" w:hAnsi="宋体" w:cs="宋体" w:eastAsia="宋体" w:hint="default"/>
                <w:w w:val="100"/>
                <w:sz w:val="21"/>
                <w:szCs w:val="21"/>
              </w:rPr>
              <w:t> </w:t>
            </w:r>
            <w:r>
              <w:rPr>
                <w:rFonts w:ascii="宋体" w:hAnsi="宋体" w:cs="宋体" w:eastAsia="宋体" w:hint="default"/>
                <w:spacing w:val="-7"/>
                <w:w w:val="100"/>
                <w:sz w:val="21"/>
                <w:szCs w:val="21"/>
              </w:rPr>
              <w:t>立的财务核算体系。（</w:t>
            </w:r>
            <w:r>
              <w:rPr>
                <w:rFonts w:ascii="Times New Roman" w:hAnsi="Times New Roman" w:cs="Times New Roman" w:eastAsia="Times New Roman" w:hint="default"/>
                <w:spacing w:val="-7"/>
                <w:w w:val="100"/>
                <w:sz w:val="21"/>
                <w:szCs w:val="21"/>
              </w:rPr>
              <w:t>2</w:t>
            </w:r>
            <w:r>
              <w:rPr>
                <w:rFonts w:ascii="宋体" w:hAnsi="宋体" w:cs="宋体" w:eastAsia="宋体" w:hint="default"/>
                <w:spacing w:val="-7"/>
                <w:w w:val="100"/>
                <w:sz w:val="21"/>
                <w:szCs w:val="21"/>
              </w:rPr>
              <w:t>）保证华声股份</w:t>
            </w:r>
            <w:r>
              <w:rPr>
                <w:rFonts w:ascii="宋体" w:hAnsi="宋体" w:cs="宋体" w:eastAsia="宋体" w:hint="default"/>
                <w:w w:val="100"/>
                <w:sz w:val="21"/>
                <w:szCs w:val="21"/>
              </w:rPr>
              <w:t> </w:t>
            </w:r>
            <w:r>
              <w:rPr>
                <w:rFonts w:ascii="宋体" w:hAnsi="宋体" w:cs="宋体" w:eastAsia="宋体" w:hint="default"/>
                <w:sz w:val="21"/>
                <w:szCs w:val="21"/>
              </w:rPr>
              <w:t>具有规范、独立的财务会计制度和对分</w:t>
            </w:r>
            <w:r>
              <w:rPr>
                <w:rFonts w:ascii="宋体" w:hAnsi="宋体" w:cs="宋体" w:eastAsia="宋体" w:hint="default"/>
                <w:w w:val="100"/>
                <w:sz w:val="21"/>
                <w:szCs w:val="21"/>
              </w:rPr>
              <w:t> </w:t>
            </w:r>
            <w:r>
              <w:rPr>
                <w:rFonts w:ascii="宋体" w:hAnsi="宋体" w:cs="宋体" w:eastAsia="宋体" w:hint="default"/>
                <w:spacing w:val="-8"/>
                <w:w w:val="100"/>
                <w:sz w:val="21"/>
                <w:szCs w:val="21"/>
              </w:rPr>
              <w:t>公司、子公司的财务管理制度。（</w:t>
            </w:r>
            <w:r>
              <w:rPr>
                <w:rFonts w:ascii="Times New Roman" w:hAnsi="Times New Roman" w:cs="Times New Roman" w:eastAsia="Times New Roman" w:hint="default"/>
                <w:spacing w:val="-8"/>
                <w:w w:val="100"/>
                <w:sz w:val="21"/>
                <w:szCs w:val="21"/>
              </w:rPr>
              <w:t>3</w:t>
            </w:r>
            <w:r>
              <w:rPr>
                <w:rFonts w:ascii="宋体" w:hAnsi="宋体" w:cs="宋体" w:eastAsia="宋体" w:hint="default"/>
                <w:spacing w:val="-8"/>
                <w:w w:val="100"/>
                <w:sz w:val="21"/>
                <w:szCs w:val="21"/>
              </w:rPr>
              <w:t>）保</w:t>
            </w:r>
            <w:r>
              <w:rPr>
                <w:rFonts w:ascii="宋体" w:hAnsi="宋体" w:cs="宋体" w:eastAsia="宋体" w:hint="default"/>
                <w:spacing w:val="-92"/>
                <w:w w:val="100"/>
                <w:sz w:val="21"/>
                <w:szCs w:val="21"/>
              </w:rPr>
              <w:t> </w:t>
            </w:r>
            <w:r>
              <w:rPr>
                <w:rFonts w:ascii="宋体" w:hAnsi="宋体" w:cs="宋体" w:eastAsia="宋体" w:hint="default"/>
                <w:sz w:val="21"/>
                <w:szCs w:val="21"/>
              </w:rPr>
              <w:t>证华声股份保持自己独立的银行帐户，</w:t>
            </w:r>
            <w:r>
              <w:rPr>
                <w:rFonts w:ascii="宋体" w:hAnsi="宋体" w:cs="宋体" w:eastAsia="宋体" w:hint="default"/>
                <w:w w:val="100"/>
                <w:sz w:val="21"/>
                <w:szCs w:val="21"/>
              </w:rPr>
              <w:t> </w:t>
            </w:r>
            <w:r>
              <w:rPr>
                <w:rFonts w:ascii="宋体" w:hAnsi="宋体" w:cs="宋体" w:eastAsia="宋体" w:hint="default"/>
                <w:spacing w:val="-2"/>
                <w:sz w:val="21"/>
                <w:szCs w:val="21"/>
              </w:rPr>
              <w:t>不与本企业</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凤凰财智及本人控制的其他</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7"/>
                <w:w w:val="100"/>
                <w:sz w:val="21"/>
                <w:szCs w:val="21"/>
              </w:rPr>
              <w:t>企业共用银行账户。（</w:t>
            </w:r>
            <w:r>
              <w:rPr>
                <w:rFonts w:ascii="Times New Roman" w:hAnsi="Times New Roman" w:cs="Times New Roman" w:eastAsia="Times New Roman" w:hint="default"/>
                <w:spacing w:val="-7"/>
                <w:w w:val="100"/>
                <w:sz w:val="21"/>
                <w:szCs w:val="21"/>
              </w:rPr>
              <w:t>4</w:t>
            </w:r>
            <w:r>
              <w:rPr>
                <w:rFonts w:ascii="宋体" w:hAnsi="宋体" w:cs="宋体" w:eastAsia="宋体" w:hint="default"/>
                <w:spacing w:val="-7"/>
                <w:w w:val="100"/>
                <w:sz w:val="21"/>
                <w:szCs w:val="21"/>
              </w:rPr>
              <w:t>）保证华声股份</w:t>
            </w:r>
            <w:r>
              <w:rPr>
                <w:rFonts w:ascii="宋体" w:hAnsi="宋体" w:cs="宋体" w:eastAsia="宋体" w:hint="default"/>
                <w:w w:val="100"/>
                <w:sz w:val="21"/>
                <w:szCs w:val="21"/>
              </w:rPr>
              <w:t> </w:t>
            </w:r>
            <w:r>
              <w:rPr>
                <w:rFonts w:ascii="宋体" w:hAnsi="宋体" w:cs="宋体" w:eastAsia="宋体" w:hint="default"/>
                <w:spacing w:val="-7"/>
                <w:w w:val="100"/>
                <w:sz w:val="21"/>
                <w:szCs w:val="21"/>
              </w:rPr>
              <w:t>依法独立纳税。（</w:t>
            </w:r>
            <w:r>
              <w:rPr>
                <w:rFonts w:ascii="Times New Roman" w:hAnsi="Times New Roman" w:cs="Times New Roman" w:eastAsia="Times New Roman" w:hint="default"/>
                <w:spacing w:val="-7"/>
                <w:w w:val="100"/>
                <w:sz w:val="21"/>
                <w:szCs w:val="21"/>
              </w:rPr>
              <w:t>5</w:t>
            </w:r>
            <w:r>
              <w:rPr>
                <w:rFonts w:ascii="宋体" w:hAnsi="宋体" w:cs="宋体" w:eastAsia="宋体" w:hint="default"/>
                <w:spacing w:val="-7"/>
                <w:w w:val="100"/>
                <w:sz w:val="21"/>
                <w:szCs w:val="21"/>
              </w:rPr>
              <w:t>）保证华声股份能够</w:t>
            </w:r>
            <w:r>
              <w:rPr>
                <w:rFonts w:ascii="宋体" w:hAnsi="宋体" w:cs="宋体" w:eastAsia="宋体" w:hint="default"/>
                <w:w w:val="100"/>
                <w:sz w:val="21"/>
                <w:szCs w:val="21"/>
              </w:rPr>
              <w:t> </w:t>
            </w:r>
            <w:r>
              <w:rPr>
                <w:rFonts w:ascii="宋体" w:hAnsi="宋体" w:cs="宋体" w:eastAsia="宋体" w:hint="default"/>
                <w:spacing w:val="-2"/>
                <w:sz w:val="21"/>
                <w:szCs w:val="21"/>
              </w:rPr>
              <w:t>独立作出财务决策，本企业</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凤凰财智及</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本人控制的其他企业不干预华声股份的</w:t>
            </w:r>
            <w:r>
              <w:rPr>
                <w:rFonts w:ascii="宋体" w:hAnsi="宋体" w:cs="宋体" w:eastAsia="宋体" w:hint="default"/>
                <w:w w:val="100"/>
                <w:sz w:val="21"/>
                <w:szCs w:val="21"/>
              </w:rPr>
              <w:t> </w:t>
            </w:r>
            <w:r>
              <w:rPr>
                <w:rFonts w:ascii="宋体" w:hAnsi="宋体" w:cs="宋体" w:eastAsia="宋体" w:hint="default"/>
                <w:spacing w:val="-4"/>
                <w:sz w:val="21"/>
                <w:szCs w:val="21"/>
              </w:rPr>
              <w:t>资金使用调度。</w:t>
            </w:r>
            <w:r>
              <w:rPr>
                <w:rFonts w:ascii="Times New Roman" w:hAnsi="Times New Roman" w:cs="Times New Roman" w:eastAsia="Times New Roman" w:hint="default"/>
                <w:spacing w:val="-4"/>
                <w:sz w:val="21"/>
                <w:szCs w:val="21"/>
              </w:rPr>
              <w:t>4</w:t>
            </w:r>
            <w:r>
              <w:rPr>
                <w:rFonts w:ascii="宋体" w:hAnsi="宋体" w:cs="宋体" w:eastAsia="宋体" w:hint="default"/>
                <w:spacing w:val="-4"/>
                <w:sz w:val="21"/>
                <w:szCs w:val="21"/>
              </w:rPr>
              <w:t>、保证华声股份机构独</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4"/>
                <w:sz w:val="21"/>
                <w:szCs w:val="21"/>
              </w:rPr>
              <w:t>立（</w:t>
            </w:r>
            <w:r>
              <w:rPr>
                <w:rFonts w:ascii="Times New Roman" w:hAnsi="Times New Roman" w:cs="Times New Roman" w:eastAsia="Times New Roman" w:hint="default"/>
                <w:spacing w:val="-4"/>
                <w:sz w:val="21"/>
                <w:szCs w:val="21"/>
              </w:rPr>
              <w:t>1</w:t>
            </w:r>
            <w:r>
              <w:rPr>
                <w:rFonts w:ascii="宋体" w:hAnsi="宋体" w:cs="宋体" w:eastAsia="宋体" w:hint="default"/>
                <w:spacing w:val="-4"/>
                <w:sz w:val="21"/>
                <w:szCs w:val="21"/>
              </w:rPr>
              <w:t>）保证华声股份的机构设置独立于</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本企业</w:t>
            </w:r>
            <w:r>
              <w:rPr>
                <w:rFonts w:ascii="Times New Roman" w:hAnsi="Times New Roman" w:cs="Times New Roman" w:eastAsia="Times New Roman" w:hint="default"/>
                <w:sz w:val="21"/>
                <w:szCs w:val="21"/>
              </w:rPr>
              <w:t>/</w:t>
            </w:r>
            <w:r>
              <w:rPr>
                <w:rFonts w:ascii="宋体" w:hAnsi="宋体" w:cs="宋体" w:eastAsia="宋体" w:hint="default"/>
                <w:sz w:val="21"/>
                <w:szCs w:val="21"/>
              </w:rPr>
              <w:t>凤凰财智及本人控制的其他企</w:t>
            </w:r>
            <w:r>
              <w:rPr>
                <w:rFonts w:ascii="宋体" w:hAnsi="宋体" w:cs="宋体" w:eastAsia="宋体" w:hint="default"/>
                <w:w w:val="100"/>
                <w:sz w:val="21"/>
                <w:szCs w:val="21"/>
              </w:rPr>
              <w:t> </w:t>
            </w:r>
            <w:r>
              <w:rPr>
                <w:rFonts w:ascii="宋体" w:hAnsi="宋体" w:cs="宋体" w:eastAsia="宋体" w:hint="default"/>
                <w:spacing w:val="-8"/>
                <w:w w:val="100"/>
                <w:sz w:val="21"/>
                <w:szCs w:val="21"/>
              </w:rPr>
              <w:t>业，并能独立自主地运作。（</w:t>
            </w:r>
            <w:r>
              <w:rPr>
                <w:rFonts w:ascii="Times New Roman" w:hAnsi="Times New Roman" w:cs="Times New Roman" w:eastAsia="Times New Roman" w:hint="default"/>
                <w:spacing w:val="-8"/>
                <w:w w:val="100"/>
                <w:sz w:val="21"/>
                <w:szCs w:val="21"/>
              </w:rPr>
              <w:t>2</w:t>
            </w:r>
            <w:r>
              <w:rPr>
                <w:rFonts w:ascii="宋体" w:hAnsi="宋体" w:cs="宋体" w:eastAsia="宋体" w:hint="default"/>
                <w:spacing w:val="-8"/>
                <w:w w:val="100"/>
                <w:sz w:val="21"/>
                <w:szCs w:val="21"/>
              </w:rPr>
              <w:t>）保证华</w:t>
            </w:r>
            <w:r>
              <w:rPr>
                <w:rFonts w:ascii="宋体" w:hAnsi="宋体" w:cs="宋体" w:eastAsia="宋体" w:hint="default"/>
                <w:spacing w:val="-92"/>
                <w:w w:val="100"/>
                <w:sz w:val="21"/>
                <w:szCs w:val="21"/>
              </w:rPr>
              <w:t> </w:t>
            </w:r>
            <w:r>
              <w:rPr>
                <w:rFonts w:ascii="宋体" w:hAnsi="宋体" w:cs="宋体" w:eastAsia="宋体" w:hint="default"/>
                <w:spacing w:val="-92"/>
                <w:w w:val="100"/>
                <w:sz w:val="21"/>
                <w:szCs w:val="21"/>
              </w:rPr>
            </w:r>
            <w:r>
              <w:rPr>
                <w:rFonts w:ascii="宋体" w:hAnsi="宋体" w:cs="宋体" w:eastAsia="宋体" w:hint="default"/>
                <w:sz w:val="21"/>
                <w:szCs w:val="21"/>
              </w:rPr>
              <w:t>声股份办公机构和生产经营场所与本企</w:t>
            </w:r>
            <w:r>
              <w:rPr>
                <w:rFonts w:ascii="宋体" w:hAnsi="宋体" w:cs="宋体" w:eastAsia="宋体" w:hint="default"/>
                <w:w w:val="100"/>
                <w:sz w:val="21"/>
                <w:szCs w:val="21"/>
              </w:rPr>
              <w:t> </w:t>
            </w:r>
            <w:r>
              <w:rPr>
                <w:rFonts w:ascii="宋体" w:hAnsi="宋体" w:cs="宋体" w:eastAsia="宋体" w:hint="default"/>
                <w:sz w:val="21"/>
                <w:szCs w:val="21"/>
              </w:rPr>
              <w:t>业</w:t>
            </w:r>
            <w:r>
              <w:rPr>
                <w:rFonts w:ascii="Times New Roman" w:hAnsi="Times New Roman" w:cs="Times New Roman" w:eastAsia="Times New Roman" w:hint="default"/>
                <w:sz w:val="21"/>
                <w:szCs w:val="21"/>
              </w:rPr>
              <w:t>/</w:t>
            </w:r>
            <w:r>
              <w:rPr>
                <w:rFonts w:ascii="宋体" w:hAnsi="宋体" w:cs="宋体" w:eastAsia="宋体" w:hint="default"/>
                <w:sz w:val="21"/>
                <w:szCs w:val="21"/>
              </w:rPr>
              <w:t>凤凰财智及本人控制的其他企业分</w:t>
            </w:r>
            <w:r>
              <w:rPr>
                <w:rFonts w:ascii="宋体" w:hAnsi="宋体" w:cs="宋体" w:eastAsia="宋体" w:hint="default"/>
                <w:w w:val="100"/>
                <w:sz w:val="21"/>
                <w:szCs w:val="21"/>
              </w:rPr>
              <w:t> </w:t>
            </w:r>
            <w:r>
              <w:rPr>
                <w:rFonts w:ascii="宋体" w:hAnsi="宋体" w:cs="宋体" w:eastAsia="宋体" w:hint="default"/>
                <w:spacing w:val="-7"/>
                <w:w w:val="100"/>
                <w:sz w:val="21"/>
                <w:szCs w:val="21"/>
              </w:rPr>
              <w:t>开；（</w:t>
            </w:r>
            <w:r>
              <w:rPr>
                <w:rFonts w:ascii="Times New Roman" w:hAnsi="Times New Roman" w:cs="Times New Roman" w:eastAsia="Times New Roman" w:hint="default"/>
                <w:spacing w:val="-7"/>
                <w:w w:val="100"/>
                <w:sz w:val="21"/>
                <w:szCs w:val="21"/>
              </w:rPr>
              <w:t>3</w:t>
            </w:r>
            <w:r>
              <w:rPr>
                <w:rFonts w:ascii="宋体" w:hAnsi="宋体" w:cs="宋体" w:eastAsia="宋体" w:hint="default"/>
                <w:spacing w:val="-7"/>
                <w:w w:val="100"/>
                <w:sz w:val="21"/>
                <w:szCs w:val="21"/>
              </w:rPr>
              <w:t>）保证华声股份董事会、监事会</w:t>
            </w:r>
            <w:r>
              <w:rPr>
                <w:rFonts w:ascii="宋体" w:hAnsi="宋体" w:cs="宋体" w:eastAsia="宋体" w:hint="default"/>
                <w:w w:val="100"/>
                <w:sz w:val="21"/>
                <w:szCs w:val="21"/>
              </w:rPr>
              <w:t> </w:t>
            </w:r>
            <w:r>
              <w:rPr>
                <w:rFonts w:ascii="宋体" w:hAnsi="宋体" w:cs="宋体" w:eastAsia="宋体" w:hint="default"/>
                <w:sz w:val="21"/>
                <w:szCs w:val="21"/>
              </w:rPr>
              <w:t>以及各职能部门独立运作，不存在与本</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6533" w:lineRule="exact"/>
              <w:ind w:left="2"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30"/>
                <w:sz w:val="20"/>
                <w:szCs w:val="20"/>
              </w:rPr>
              <w:pict>
                <v:group style="width:49.15pt;height:326.7pt;mso-position-horizontal-relative:char;mso-position-vertical-relative:line" coordorigin="0,0" coordsize="983,6534">
                  <v:group style="position:absolute;left:0;top:0;width:983;height:6534" coordorigin="0,0" coordsize="983,6534">
                    <v:shape style="position:absolute;left:0;top:0;width:983;height:6534" coordorigin="0,0" coordsize="983,6534" path="m0,6534l982,6534,982,0,0,0,0,6534xe" filled="true" fillcolor="#ffffff" stroked="false">
                      <v:path arrowok="t"/>
                      <v:fill type="solid"/>
                    </v:shape>
                  </v:group>
                </v:group>
              </w:pict>
            </w:r>
            <w:r>
              <w:rPr>
                <w:rFonts w:ascii="Times New Roman" w:hAnsi="Times New Roman" w:cs="Times New Roman" w:eastAsia="Times New Roman" w:hint="default"/>
                <w:position w:val="-130"/>
                <w:sz w:val="20"/>
                <w:szCs w:val="20"/>
              </w:rPr>
            </w:r>
          </w:p>
          <w:p>
            <w:pPr>
              <w:pStyle w:val="TableParagraph"/>
              <w:spacing w:line="240" w:lineRule="auto" w:before="29"/>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05</w:t>
            </w:r>
          </w:p>
          <w:p>
            <w:pPr>
              <w:pStyle w:val="TableParagraph"/>
              <w:spacing w:line="240" w:lineRule="auto" w:before="19"/>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7"/>
                <w:szCs w:val="17"/>
              </w:rPr>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长期</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严格履行</w:t>
            </w:r>
          </w:p>
        </w:tc>
      </w:tr>
    </w:tbl>
    <w:p>
      <w:pPr>
        <w:spacing w:after="0" w:line="240" w:lineRule="auto"/>
        <w:jc w:val="left"/>
        <w:rPr>
          <w:rFonts w:ascii="宋体" w:hAnsi="宋体" w:cs="宋体" w:eastAsia="宋体" w:hint="default"/>
          <w:sz w:val="21"/>
          <w:szCs w:val="21"/>
        </w:rPr>
        <w:sectPr>
          <w:pgSz w:w="11910" w:h="16840"/>
          <w:pgMar w:header="877" w:footer="979"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993"/>
        <w:gridCol w:w="991"/>
        <w:gridCol w:w="992"/>
        <w:gridCol w:w="3687"/>
        <w:gridCol w:w="994"/>
        <w:gridCol w:w="991"/>
        <w:gridCol w:w="919"/>
      </w:tblGrid>
      <w:tr>
        <w:trPr>
          <w:trHeight w:val="4419" w:hRule="exact"/>
        </w:trPr>
        <w:tc>
          <w:tcPr>
            <w:tcW w:w="993" w:type="dxa"/>
            <w:vMerge w:val="restart"/>
            <w:tcBorders>
              <w:top w:val="single" w:sz="4" w:space="0" w:color="000000"/>
              <w:left w:val="single" w:sz="4" w:space="0" w:color="000000"/>
              <w:right w:val="single" w:sz="4" w:space="0" w:color="000000"/>
            </w:tcBorders>
            <w:shd w:val="clear" w:color="auto" w:fill="D2D2D2"/>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ind w:left="26" w:right="14"/>
              <w:jc w:val="both"/>
              <w:rPr>
                <w:rFonts w:ascii="宋体" w:hAnsi="宋体" w:cs="宋体" w:eastAsia="宋体" w:hint="default"/>
                <w:sz w:val="21"/>
                <w:szCs w:val="21"/>
              </w:rPr>
            </w:pPr>
            <w:r>
              <w:rPr>
                <w:rFonts w:ascii="宋体" w:hAnsi="宋体" w:cs="宋体" w:eastAsia="宋体" w:hint="default"/>
                <w:spacing w:val="-2"/>
                <w:sz w:val="21"/>
                <w:szCs w:val="21"/>
              </w:rPr>
              <w:t>企业</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凤凰财智及本人控制的其他企业职</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4"/>
                <w:sz w:val="21"/>
                <w:szCs w:val="21"/>
              </w:rPr>
              <w:t>能部门之间的从属关系。</w:t>
            </w:r>
            <w:r>
              <w:rPr>
                <w:rFonts w:ascii="Times New Roman" w:hAnsi="Times New Roman" w:cs="Times New Roman" w:eastAsia="Times New Roman" w:hint="default"/>
                <w:spacing w:val="-4"/>
                <w:sz w:val="21"/>
                <w:szCs w:val="21"/>
              </w:rPr>
              <w:t>5</w:t>
            </w:r>
            <w:r>
              <w:rPr>
                <w:rFonts w:ascii="宋体" w:hAnsi="宋体" w:cs="宋体" w:eastAsia="宋体" w:hint="default"/>
                <w:spacing w:val="-4"/>
                <w:sz w:val="21"/>
                <w:szCs w:val="21"/>
              </w:rPr>
              <w:t>、保证华声股</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8"/>
                <w:w w:val="100"/>
                <w:sz w:val="21"/>
                <w:szCs w:val="21"/>
              </w:rPr>
              <w:t>份业务独立。（</w:t>
            </w:r>
            <w:r>
              <w:rPr>
                <w:rFonts w:ascii="Times New Roman" w:hAnsi="Times New Roman" w:cs="Times New Roman" w:eastAsia="Times New Roman" w:hint="default"/>
                <w:spacing w:val="-8"/>
                <w:w w:val="100"/>
                <w:sz w:val="21"/>
                <w:szCs w:val="21"/>
              </w:rPr>
              <w:t>1</w:t>
            </w:r>
            <w:r>
              <w:rPr>
                <w:rFonts w:ascii="宋体" w:hAnsi="宋体" w:cs="宋体" w:eastAsia="宋体" w:hint="default"/>
                <w:spacing w:val="-8"/>
                <w:w w:val="100"/>
                <w:sz w:val="21"/>
                <w:szCs w:val="21"/>
              </w:rPr>
              <w:t>）保证华声股份拥有独</w:t>
            </w:r>
            <w:r>
              <w:rPr>
                <w:rFonts w:ascii="宋体" w:hAnsi="宋体" w:cs="宋体" w:eastAsia="宋体" w:hint="default"/>
                <w:spacing w:val="-90"/>
                <w:w w:val="100"/>
                <w:sz w:val="21"/>
                <w:szCs w:val="21"/>
              </w:rPr>
              <w:t> </w:t>
            </w:r>
            <w:r>
              <w:rPr>
                <w:rFonts w:ascii="宋体" w:hAnsi="宋体" w:cs="宋体" w:eastAsia="宋体" w:hint="default"/>
                <w:spacing w:val="-90"/>
                <w:w w:val="100"/>
                <w:sz w:val="21"/>
                <w:szCs w:val="21"/>
              </w:rPr>
            </w:r>
            <w:r>
              <w:rPr>
                <w:rFonts w:ascii="宋体" w:hAnsi="宋体" w:cs="宋体" w:eastAsia="宋体" w:hint="default"/>
                <w:sz w:val="21"/>
                <w:szCs w:val="21"/>
              </w:rPr>
              <w:t>立开展经营活动的资产、人员、资质和</w:t>
            </w:r>
            <w:r>
              <w:rPr>
                <w:rFonts w:ascii="宋体" w:hAnsi="宋体" w:cs="宋体" w:eastAsia="宋体" w:hint="default"/>
                <w:w w:val="100"/>
                <w:sz w:val="21"/>
                <w:szCs w:val="21"/>
              </w:rPr>
              <w:t> </w:t>
            </w:r>
            <w:r>
              <w:rPr>
                <w:rFonts w:ascii="宋体" w:hAnsi="宋体" w:cs="宋体" w:eastAsia="宋体" w:hint="default"/>
                <w:sz w:val="21"/>
                <w:szCs w:val="21"/>
              </w:rPr>
              <w:t>能力，华声股份具有面向市场独立自主</w:t>
            </w:r>
            <w:r>
              <w:rPr>
                <w:rFonts w:ascii="宋体" w:hAnsi="宋体" w:cs="宋体" w:eastAsia="宋体" w:hint="default"/>
                <w:w w:val="100"/>
                <w:sz w:val="21"/>
                <w:szCs w:val="21"/>
              </w:rPr>
              <w:t> </w:t>
            </w:r>
            <w:r>
              <w:rPr>
                <w:rFonts w:ascii="宋体" w:hAnsi="宋体" w:cs="宋体" w:eastAsia="宋体" w:hint="default"/>
                <w:spacing w:val="-8"/>
                <w:w w:val="100"/>
                <w:sz w:val="21"/>
                <w:szCs w:val="21"/>
              </w:rPr>
              <w:t>经营的能力。（</w:t>
            </w:r>
            <w:r>
              <w:rPr>
                <w:rFonts w:ascii="Times New Roman" w:hAnsi="Times New Roman" w:cs="Times New Roman" w:eastAsia="Times New Roman" w:hint="default"/>
                <w:spacing w:val="-8"/>
                <w:w w:val="100"/>
                <w:sz w:val="21"/>
                <w:szCs w:val="21"/>
              </w:rPr>
              <w:t>2</w:t>
            </w:r>
            <w:r>
              <w:rPr>
                <w:rFonts w:ascii="宋体" w:hAnsi="宋体" w:cs="宋体" w:eastAsia="宋体" w:hint="default"/>
                <w:spacing w:val="-8"/>
                <w:w w:val="100"/>
                <w:sz w:val="21"/>
                <w:szCs w:val="21"/>
              </w:rPr>
              <w:t>）保证凤凰财智除通过</w:t>
            </w:r>
            <w:r>
              <w:rPr>
                <w:rFonts w:ascii="宋体" w:hAnsi="宋体" w:cs="宋体" w:eastAsia="宋体" w:hint="default"/>
                <w:spacing w:val="-90"/>
                <w:w w:val="100"/>
                <w:sz w:val="21"/>
                <w:szCs w:val="21"/>
              </w:rPr>
              <w:t> </w:t>
            </w:r>
            <w:r>
              <w:rPr>
                <w:rFonts w:ascii="宋体" w:hAnsi="宋体" w:cs="宋体" w:eastAsia="宋体" w:hint="default"/>
                <w:spacing w:val="-90"/>
                <w:w w:val="100"/>
                <w:sz w:val="21"/>
                <w:szCs w:val="21"/>
              </w:rPr>
            </w:r>
            <w:r>
              <w:rPr>
                <w:rFonts w:ascii="宋体" w:hAnsi="宋体" w:cs="宋体" w:eastAsia="宋体" w:hint="default"/>
                <w:sz w:val="21"/>
                <w:szCs w:val="21"/>
              </w:rPr>
              <w:t>行使股东权利之外，不对华声股份的业</w:t>
            </w:r>
            <w:r>
              <w:rPr>
                <w:rFonts w:ascii="宋体" w:hAnsi="宋体" w:cs="宋体" w:eastAsia="宋体" w:hint="default"/>
                <w:w w:val="100"/>
                <w:sz w:val="21"/>
                <w:szCs w:val="21"/>
              </w:rPr>
              <w:t> </w:t>
            </w:r>
            <w:r>
              <w:rPr>
                <w:rFonts w:ascii="宋体" w:hAnsi="宋体" w:cs="宋体" w:eastAsia="宋体" w:hint="default"/>
                <w:spacing w:val="-7"/>
                <w:w w:val="100"/>
                <w:sz w:val="21"/>
                <w:szCs w:val="21"/>
              </w:rPr>
              <w:t>务活动进行干预。（</w:t>
            </w:r>
            <w:r>
              <w:rPr>
                <w:rFonts w:ascii="Times New Roman" w:hAnsi="Times New Roman" w:cs="Times New Roman" w:eastAsia="Times New Roman" w:hint="default"/>
                <w:spacing w:val="-7"/>
                <w:w w:val="100"/>
                <w:sz w:val="21"/>
                <w:szCs w:val="21"/>
              </w:rPr>
              <w:t>3</w:t>
            </w:r>
            <w:r>
              <w:rPr>
                <w:rFonts w:ascii="宋体" w:hAnsi="宋体" w:cs="宋体" w:eastAsia="宋体" w:hint="default"/>
                <w:spacing w:val="-7"/>
                <w:w w:val="100"/>
                <w:sz w:val="21"/>
                <w:szCs w:val="21"/>
              </w:rPr>
              <w:t>）保证本企业</w:t>
            </w:r>
            <w:r>
              <w:rPr>
                <w:rFonts w:ascii="Times New Roman" w:hAnsi="Times New Roman" w:cs="Times New Roman" w:eastAsia="Times New Roman" w:hint="default"/>
                <w:spacing w:val="-7"/>
                <w:w w:val="100"/>
                <w:sz w:val="21"/>
                <w:szCs w:val="21"/>
              </w:rPr>
              <w:t>/</w:t>
            </w:r>
            <w:r>
              <w:rPr>
                <w:rFonts w:ascii="宋体" w:hAnsi="宋体" w:cs="宋体" w:eastAsia="宋体" w:hint="default"/>
                <w:spacing w:val="-7"/>
                <w:w w:val="100"/>
                <w:sz w:val="21"/>
                <w:szCs w:val="21"/>
              </w:rPr>
              <w:t>凤凰</w:t>
            </w:r>
            <w:r>
              <w:rPr>
                <w:rFonts w:ascii="宋体" w:hAnsi="宋体" w:cs="宋体" w:eastAsia="宋体" w:hint="default"/>
                <w:spacing w:val="-3"/>
                <w:w w:val="100"/>
                <w:sz w:val="21"/>
                <w:szCs w:val="21"/>
              </w:rPr>
              <w:t> </w:t>
            </w:r>
            <w:r>
              <w:rPr>
                <w:rFonts w:ascii="宋体" w:hAnsi="宋体" w:cs="宋体" w:eastAsia="宋体" w:hint="default"/>
                <w:sz w:val="21"/>
                <w:szCs w:val="21"/>
              </w:rPr>
              <w:t>财智及本人控制的其他企业不从事与华</w:t>
            </w:r>
            <w:r>
              <w:rPr>
                <w:rFonts w:ascii="宋体" w:hAnsi="宋体" w:cs="宋体" w:eastAsia="宋体" w:hint="default"/>
                <w:w w:val="100"/>
                <w:sz w:val="21"/>
                <w:szCs w:val="21"/>
              </w:rPr>
              <w:t> </w:t>
            </w:r>
            <w:r>
              <w:rPr>
                <w:rFonts w:ascii="宋体" w:hAnsi="宋体" w:cs="宋体" w:eastAsia="宋体" w:hint="default"/>
                <w:spacing w:val="-7"/>
                <w:w w:val="100"/>
                <w:sz w:val="21"/>
                <w:szCs w:val="21"/>
              </w:rPr>
              <w:t>声股份相竞争的业务。（</w:t>
            </w:r>
            <w:r>
              <w:rPr>
                <w:rFonts w:ascii="Times New Roman" w:hAnsi="Times New Roman" w:cs="Times New Roman" w:eastAsia="Times New Roman" w:hint="default"/>
                <w:spacing w:val="-7"/>
                <w:w w:val="100"/>
                <w:sz w:val="21"/>
                <w:szCs w:val="21"/>
              </w:rPr>
              <w:t>4</w:t>
            </w:r>
            <w:r>
              <w:rPr>
                <w:rFonts w:ascii="宋体" w:hAnsi="宋体" w:cs="宋体" w:eastAsia="宋体" w:hint="default"/>
                <w:spacing w:val="-7"/>
                <w:w w:val="100"/>
                <w:sz w:val="21"/>
                <w:szCs w:val="21"/>
              </w:rPr>
              <w:t>）保证尽可能</w:t>
            </w:r>
            <w:r>
              <w:rPr>
                <w:rFonts w:ascii="宋体" w:hAnsi="宋体" w:cs="宋体" w:eastAsia="宋体" w:hint="default"/>
                <w:w w:val="100"/>
                <w:sz w:val="21"/>
                <w:szCs w:val="21"/>
              </w:rPr>
              <w:t> </w:t>
            </w:r>
            <w:r>
              <w:rPr>
                <w:rFonts w:ascii="宋体" w:hAnsi="宋体" w:cs="宋体" w:eastAsia="宋体" w:hint="default"/>
                <w:spacing w:val="-2"/>
                <w:sz w:val="21"/>
                <w:szCs w:val="21"/>
              </w:rPr>
              <w:t>避免或减少华声股份与本企业</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凤凰财智</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及本人控制的其他企业间的持续性关联</w:t>
            </w:r>
            <w:r>
              <w:rPr>
                <w:rFonts w:ascii="宋体" w:hAnsi="宋体" w:cs="宋体" w:eastAsia="宋体" w:hint="default"/>
                <w:w w:val="100"/>
                <w:sz w:val="21"/>
                <w:szCs w:val="21"/>
              </w:rPr>
              <w:t> </w:t>
            </w:r>
            <w:r>
              <w:rPr>
                <w:rFonts w:ascii="宋体" w:hAnsi="宋体" w:cs="宋体" w:eastAsia="宋体" w:hint="default"/>
                <w:sz w:val="21"/>
                <w:szCs w:val="21"/>
              </w:rPr>
              <w:t>交易。对于无法避免的关联交易将本着</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公平、公正、公开</w:t>
            </w:r>
            <w:r>
              <w:rPr>
                <w:rFonts w:ascii="Times New Roman" w:hAnsi="Times New Roman" w:cs="Times New Roman" w:eastAsia="Times New Roman" w:hint="default"/>
                <w:sz w:val="21"/>
                <w:szCs w:val="21"/>
              </w:rPr>
              <w:t>”</w:t>
            </w:r>
            <w:r>
              <w:rPr>
                <w:rFonts w:ascii="宋体" w:hAnsi="宋体" w:cs="宋体" w:eastAsia="宋体" w:hint="default"/>
                <w:sz w:val="21"/>
                <w:szCs w:val="21"/>
              </w:rPr>
              <w:t>的原则依法进行。</w:t>
            </w: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993" w:type="dxa"/>
            <w:vMerge/>
            <w:tcBorders>
              <w:left w:val="single" w:sz="4" w:space="0" w:color="000000"/>
              <w:right w:val="single" w:sz="4" w:space="0" w:color="000000"/>
            </w:tcBorders>
            <w:shd w:val="clear" w:color="auto" w:fill="D2D2D2"/>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凤凰财智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73" w:lineRule="auto"/>
              <w:ind w:left="24" w:right="113"/>
              <w:jc w:val="left"/>
              <w:rPr>
                <w:rFonts w:ascii="宋体" w:hAnsi="宋体" w:cs="宋体" w:eastAsia="宋体" w:hint="default"/>
                <w:sz w:val="21"/>
                <w:szCs w:val="21"/>
              </w:rPr>
            </w:pPr>
            <w:r>
              <w:rPr>
                <w:rFonts w:ascii="宋体" w:hAnsi="宋体" w:cs="宋体" w:eastAsia="宋体" w:hint="default"/>
                <w:sz w:val="21"/>
                <w:szCs w:val="21"/>
              </w:rPr>
              <w:t>股份锁定</w:t>
            </w:r>
            <w:r>
              <w:rPr>
                <w:rFonts w:ascii="宋体" w:hAnsi="宋体" w:cs="宋体" w:eastAsia="宋体" w:hint="default"/>
                <w:w w:val="100"/>
                <w:sz w:val="21"/>
                <w:szCs w:val="21"/>
              </w:rPr>
              <w:t> </w:t>
            </w:r>
            <w:r>
              <w:rPr>
                <w:rFonts w:ascii="宋体" w:hAnsi="宋体" w:cs="宋体" w:eastAsia="宋体" w:hint="default"/>
                <w:sz w:val="21"/>
                <w:szCs w:val="21"/>
              </w:rPr>
              <w:t>承诺</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before="28"/>
              <w:ind w:left="26" w:right="14"/>
              <w:jc w:val="both"/>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日起十二个月内不转让</w:t>
            </w:r>
            <w:r>
              <w:rPr>
                <w:rFonts w:ascii="宋体" w:hAnsi="宋体" w:cs="宋体" w:eastAsia="宋体" w:hint="default"/>
                <w:w w:val="100"/>
                <w:sz w:val="21"/>
                <w:szCs w:val="21"/>
              </w:rPr>
              <w:t> </w:t>
            </w:r>
            <w:r>
              <w:rPr>
                <w:rFonts w:ascii="宋体" w:hAnsi="宋体" w:cs="宋体" w:eastAsia="宋体" w:hint="default"/>
                <w:sz w:val="21"/>
                <w:szCs w:val="21"/>
              </w:rPr>
              <w:t>其协议受让香港华声、远茂化工所持公</w:t>
            </w:r>
            <w:r>
              <w:rPr>
                <w:rFonts w:ascii="宋体" w:hAnsi="宋体" w:cs="宋体" w:eastAsia="宋体" w:hint="default"/>
                <w:w w:val="100"/>
                <w:sz w:val="21"/>
                <w:szCs w:val="21"/>
              </w:rPr>
              <w:t> </w:t>
            </w:r>
            <w:r>
              <w:rPr>
                <w:rFonts w:ascii="宋体" w:hAnsi="宋体" w:cs="宋体" w:eastAsia="宋体" w:hint="default"/>
                <w:sz w:val="21"/>
                <w:szCs w:val="21"/>
              </w:rPr>
              <w:t>司股份共计</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59,658,719 </w:t>
            </w:r>
            <w:r>
              <w:rPr>
                <w:rFonts w:ascii="宋体" w:hAnsi="宋体" w:cs="宋体" w:eastAsia="宋体" w:hint="default"/>
                <w:spacing w:val="-3"/>
                <w:sz w:val="21"/>
                <w:szCs w:val="21"/>
              </w:rPr>
              <w:t>股。</w:t>
            </w:r>
            <w:r>
              <w:rPr>
                <w:rFonts w:ascii="宋体" w:hAnsi="宋体" w:cs="宋体" w:eastAsia="宋体" w:hint="default"/>
                <w:sz w:val="21"/>
                <w:szCs w:val="21"/>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06</w:t>
            </w:r>
          </w:p>
          <w:p>
            <w:pPr>
              <w:pStyle w:val="TableParagraph"/>
              <w:spacing w:line="240" w:lineRule="auto" w:before="21"/>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pacing w:val="-3"/>
                <w:sz w:val="21"/>
                <w:szCs w:val="21"/>
              </w:rPr>
              <w:t>个月</w:t>
            </w:r>
            <w:r>
              <w:rPr>
                <w:rFonts w:ascii="宋体" w:hAnsi="宋体" w:cs="宋体" w:eastAsia="宋体" w:hint="default"/>
                <w:sz w:val="21"/>
                <w:szCs w:val="21"/>
              </w:rPr>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17"/>
              <w:jc w:val="center"/>
              <w:rPr>
                <w:rFonts w:ascii="宋体" w:hAnsi="宋体" w:cs="宋体" w:eastAsia="宋体" w:hint="default"/>
                <w:sz w:val="21"/>
                <w:szCs w:val="21"/>
              </w:rPr>
            </w:pPr>
            <w:r>
              <w:rPr>
                <w:rFonts w:ascii="宋体" w:hAnsi="宋体" w:cs="宋体" w:eastAsia="宋体" w:hint="default"/>
                <w:sz w:val="21"/>
                <w:szCs w:val="21"/>
              </w:rPr>
              <w:t>严格履行</w:t>
            </w:r>
          </w:p>
        </w:tc>
      </w:tr>
      <w:tr>
        <w:trPr>
          <w:trHeight w:val="1339" w:hRule="exact"/>
        </w:trPr>
        <w:tc>
          <w:tcPr>
            <w:tcW w:w="993" w:type="dxa"/>
            <w:vMerge/>
            <w:tcBorders>
              <w:left w:val="single" w:sz="4" w:space="0" w:color="000000"/>
              <w:right w:val="single" w:sz="4" w:space="0" w:color="000000"/>
            </w:tcBorders>
            <w:shd w:val="clear" w:color="auto" w:fill="D2D2D2"/>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73" w:lineRule="auto"/>
              <w:ind w:left="23" w:right="113"/>
              <w:jc w:val="both"/>
              <w:rPr>
                <w:rFonts w:ascii="宋体" w:hAnsi="宋体" w:cs="宋体" w:eastAsia="宋体" w:hint="default"/>
                <w:sz w:val="21"/>
                <w:szCs w:val="21"/>
              </w:rPr>
            </w:pPr>
            <w:r>
              <w:rPr>
                <w:rFonts w:ascii="宋体" w:hAnsi="宋体" w:cs="宋体" w:eastAsia="宋体" w:hint="default"/>
                <w:sz w:val="21"/>
                <w:szCs w:val="21"/>
              </w:rPr>
              <w:t>罗桥胜、</w:t>
            </w:r>
            <w:r>
              <w:rPr>
                <w:rFonts w:ascii="宋体" w:hAnsi="宋体" w:cs="宋体" w:eastAsia="宋体" w:hint="default"/>
                <w:w w:val="100"/>
                <w:sz w:val="21"/>
                <w:szCs w:val="21"/>
              </w:rPr>
              <w:t> </w:t>
            </w:r>
            <w:r>
              <w:rPr>
                <w:rFonts w:ascii="宋体" w:hAnsi="宋体" w:cs="宋体" w:eastAsia="宋体" w:hint="default"/>
                <w:sz w:val="21"/>
                <w:szCs w:val="21"/>
              </w:rPr>
              <w:t>张盛根、</w:t>
            </w:r>
            <w:r>
              <w:rPr>
                <w:rFonts w:ascii="宋体" w:hAnsi="宋体" w:cs="宋体" w:eastAsia="宋体" w:hint="default"/>
                <w:spacing w:val="-3"/>
                <w:w w:val="100"/>
                <w:sz w:val="21"/>
                <w:szCs w:val="21"/>
              </w:rPr>
              <w:t> </w:t>
            </w:r>
            <w:r>
              <w:rPr>
                <w:rFonts w:ascii="宋体" w:hAnsi="宋体" w:cs="宋体" w:eastAsia="宋体" w:hint="default"/>
                <w:sz w:val="21"/>
                <w:szCs w:val="21"/>
              </w:rPr>
              <w:t>萧志刚</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73" w:lineRule="auto"/>
              <w:ind w:left="24" w:right="113"/>
              <w:jc w:val="left"/>
              <w:rPr>
                <w:rFonts w:ascii="宋体" w:hAnsi="宋体" w:cs="宋体" w:eastAsia="宋体" w:hint="default"/>
                <w:sz w:val="21"/>
                <w:szCs w:val="21"/>
              </w:rPr>
            </w:pPr>
            <w:r>
              <w:rPr>
                <w:rFonts w:ascii="宋体" w:hAnsi="宋体" w:cs="宋体" w:eastAsia="宋体" w:hint="default"/>
                <w:sz w:val="21"/>
                <w:szCs w:val="21"/>
              </w:rPr>
              <w:t>股份锁定</w:t>
            </w:r>
            <w:r>
              <w:rPr>
                <w:rFonts w:ascii="宋体" w:hAnsi="宋体" w:cs="宋体" w:eastAsia="宋体" w:hint="default"/>
                <w:w w:val="100"/>
                <w:sz w:val="21"/>
                <w:szCs w:val="21"/>
              </w:rPr>
              <w:t> </w:t>
            </w:r>
            <w:r>
              <w:rPr>
                <w:rFonts w:ascii="宋体" w:hAnsi="宋体" w:cs="宋体" w:eastAsia="宋体" w:hint="default"/>
                <w:sz w:val="21"/>
                <w:szCs w:val="21"/>
              </w:rPr>
              <w:t>承诺</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61" w:lineRule="auto" w:before="28"/>
              <w:ind w:left="26" w:right="24"/>
              <w:jc w:val="left"/>
              <w:rPr>
                <w:rFonts w:ascii="宋体" w:hAnsi="宋体" w:cs="宋体" w:eastAsia="宋体" w:hint="default"/>
                <w:sz w:val="21"/>
                <w:szCs w:val="21"/>
              </w:rPr>
            </w:pPr>
            <w:r>
              <w:rPr>
                <w:rFonts w:ascii="宋体" w:hAnsi="宋体" w:cs="宋体" w:eastAsia="宋体" w:hint="default"/>
                <w:sz w:val="21"/>
                <w:szCs w:val="21"/>
              </w:rPr>
              <w:t>遵守证监会公告</w:t>
            </w:r>
            <w:r>
              <w:rPr>
                <w:rFonts w:ascii="Times New Roman" w:hAnsi="Times New Roman" w:cs="Times New Roman" w:eastAsia="Times New Roman" w:hint="default"/>
                <w:sz w:val="21"/>
                <w:szCs w:val="21"/>
              </w:rPr>
              <w:t>[2015]18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号规定，自</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日起六个月内不通过二级</w:t>
            </w:r>
            <w:r>
              <w:rPr>
                <w:rFonts w:ascii="宋体" w:hAnsi="宋体" w:cs="宋体" w:eastAsia="宋体" w:hint="default"/>
                <w:w w:val="100"/>
                <w:sz w:val="21"/>
                <w:szCs w:val="21"/>
              </w:rPr>
              <w:t> </w:t>
            </w:r>
            <w:r>
              <w:rPr>
                <w:rFonts w:ascii="宋体" w:hAnsi="宋体" w:cs="宋体" w:eastAsia="宋体" w:hint="default"/>
                <w:sz w:val="21"/>
                <w:szCs w:val="21"/>
              </w:rPr>
              <w:t>市场转让其协议受让江西达顺投资有限</w:t>
            </w:r>
            <w:r>
              <w:rPr>
                <w:rFonts w:ascii="宋体" w:hAnsi="宋体" w:cs="宋体" w:eastAsia="宋体" w:hint="default"/>
                <w:w w:val="100"/>
                <w:sz w:val="21"/>
                <w:szCs w:val="21"/>
              </w:rPr>
              <w:t> </w:t>
            </w:r>
            <w:r>
              <w:rPr>
                <w:rFonts w:ascii="宋体" w:hAnsi="宋体" w:cs="宋体" w:eastAsia="宋体" w:hint="default"/>
                <w:sz w:val="21"/>
                <w:szCs w:val="21"/>
              </w:rPr>
              <w:t>公司所持公司股份。</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09</w:t>
            </w:r>
          </w:p>
          <w:p>
            <w:pPr>
              <w:pStyle w:val="TableParagraph"/>
              <w:spacing w:line="240" w:lineRule="auto" w:before="21"/>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p>
          <w:p>
            <w:pPr>
              <w:pStyle w:val="TableParagraph"/>
              <w:spacing w:line="240" w:lineRule="auto" w:before="21"/>
              <w:ind w:left="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月</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日起</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6</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个月</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17"/>
              <w:jc w:val="center"/>
              <w:rPr>
                <w:rFonts w:ascii="宋体" w:hAnsi="宋体" w:cs="宋体" w:eastAsia="宋体" w:hint="default"/>
                <w:sz w:val="21"/>
                <w:szCs w:val="21"/>
              </w:rPr>
            </w:pPr>
            <w:r>
              <w:rPr>
                <w:rFonts w:ascii="宋体" w:hAnsi="宋体" w:cs="宋体" w:eastAsia="宋体" w:hint="default"/>
                <w:sz w:val="21"/>
                <w:szCs w:val="21"/>
              </w:rPr>
              <w:t>严格履行</w:t>
            </w:r>
          </w:p>
        </w:tc>
      </w:tr>
      <w:tr>
        <w:trPr>
          <w:trHeight w:val="1337" w:hRule="exact"/>
        </w:trPr>
        <w:tc>
          <w:tcPr>
            <w:tcW w:w="993" w:type="dxa"/>
            <w:vMerge/>
            <w:tcBorders>
              <w:left w:val="single" w:sz="4" w:space="0" w:color="000000"/>
              <w:bottom w:val="single" w:sz="4" w:space="0" w:color="000000"/>
              <w:right w:val="single" w:sz="4" w:space="0" w:color="000000"/>
            </w:tcBorders>
            <w:shd w:val="clear" w:color="auto" w:fill="D2D2D2"/>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73" w:lineRule="auto"/>
              <w:ind w:left="23" w:right="113"/>
              <w:jc w:val="left"/>
              <w:rPr>
                <w:rFonts w:ascii="宋体" w:hAnsi="宋体" w:cs="宋体" w:eastAsia="宋体" w:hint="default"/>
                <w:sz w:val="21"/>
                <w:szCs w:val="21"/>
              </w:rPr>
            </w:pPr>
            <w:r>
              <w:rPr>
                <w:rFonts w:ascii="宋体" w:hAnsi="宋体" w:cs="宋体" w:eastAsia="宋体" w:hint="default"/>
                <w:sz w:val="21"/>
                <w:szCs w:val="21"/>
              </w:rPr>
              <w:t>谭少伦、</w:t>
            </w:r>
            <w:r>
              <w:rPr>
                <w:rFonts w:ascii="宋体" w:hAnsi="宋体" w:cs="宋体" w:eastAsia="宋体" w:hint="default"/>
                <w:w w:val="100"/>
                <w:sz w:val="21"/>
                <w:szCs w:val="21"/>
              </w:rPr>
              <w:t> </w:t>
            </w:r>
            <w:r>
              <w:rPr>
                <w:rFonts w:ascii="宋体" w:hAnsi="宋体" w:cs="宋体" w:eastAsia="宋体" w:hint="default"/>
                <w:sz w:val="21"/>
                <w:szCs w:val="21"/>
              </w:rPr>
              <w:t>廖起雄</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73" w:lineRule="auto"/>
              <w:ind w:left="24" w:right="113"/>
              <w:jc w:val="left"/>
              <w:rPr>
                <w:rFonts w:ascii="宋体" w:hAnsi="宋体" w:cs="宋体" w:eastAsia="宋体" w:hint="default"/>
                <w:sz w:val="21"/>
                <w:szCs w:val="21"/>
              </w:rPr>
            </w:pPr>
            <w:r>
              <w:rPr>
                <w:rFonts w:ascii="宋体" w:hAnsi="宋体" w:cs="宋体" w:eastAsia="宋体" w:hint="default"/>
                <w:sz w:val="21"/>
                <w:szCs w:val="21"/>
              </w:rPr>
              <w:t>股份锁定</w:t>
            </w:r>
            <w:r>
              <w:rPr>
                <w:rFonts w:ascii="宋体" w:hAnsi="宋体" w:cs="宋体" w:eastAsia="宋体" w:hint="default"/>
                <w:w w:val="100"/>
                <w:sz w:val="21"/>
                <w:szCs w:val="21"/>
              </w:rPr>
              <w:t> </w:t>
            </w:r>
            <w:r>
              <w:rPr>
                <w:rFonts w:ascii="宋体" w:hAnsi="宋体" w:cs="宋体" w:eastAsia="宋体" w:hint="default"/>
                <w:sz w:val="21"/>
                <w:szCs w:val="21"/>
              </w:rPr>
              <w:t>承诺</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61" w:lineRule="auto" w:before="28"/>
              <w:ind w:left="26" w:right="24"/>
              <w:jc w:val="left"/>
              <w:rPr>
                <w:rFonts w:ascii="宋体" w:hAnsi="宋体" w:cs="宋体" w:eastAsia="宋体" w:hint="default"/>
                <w:sz w:val="21"/>
                <w:szCs w:val="21"/>
              </w:rPr>
            </w:pPr>
            <w:r>
              <w:rPr>
                <w:rFonts w:ascii="宋体" w:hAnsi="宋体" w:cs="宋体" w:eastAsia="宋体" w:hint="default"/>
                <w:sz w:val="21"/>
                <w:szCs w:val="21"/>
              </w:rPr>
              <w:t>遵守证监会公告</w:t>
            </w:r>
            <w:r>
              <w:rPr>
                <w:rFonts w:ascii="Times New Roman" w:hAnsi="Times New Roman" w:cs="Times New Roman" w:eastAsia="Times New Roman" w:hint="default"/>
                <w:sz w:val="21"/>
                <w:szCs w:val="21"/>
              </w:rPr>
              <w:t>[2015]18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号规定，自</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日起六个月内不通过二级</w:t>
            </w:r>
            <w:r>
              <w:rPr>
                <w:rFonts w:ascii="宋体" w:hAnsi="宋体" w:cs="宋体" w:eastAsia="宋体" w:hint="default"/>
                <w:w w:val="100"/>
                <w:sz w:val="21"/>
                <w:szCs w:val="21"/>
              </w:rPr>
              <w:t> </w:t>
            </w:r>
            <w:r>
              <w:rPr>
                <w:rFonts w:ascii="宋体" w:hAnsi="宋体" w:cs="宋体" w:eastAsia="宋体" w:hint="default"/>
                <w:sz w:val="21"/>
                <w:szCs w:val="21"/>
              </w:rPr>
              <w:t>市场转让其协议受让佛山市顺德区远茂</w:t>
            </w:r>
            <w:r>
              <w:rPr>
                <w:rFonts w:ascii="宋体" w:hAnsi="宋体" w:cs="宋体" w:eastAsia="宋体" w:hint="default"/>
                <w:w w:val="100"/>
                <w:sz w:val="21"/>
                <w:szCs w:val="21"/>
              </w:rPr>
              <w:t> </w:t>
            </w:r>
            <w:r>
              <w:rPr>
                <w:rFonts w:ascii="宋体" w:hAnsi="宋体" w:cs="宋体" w:eastAsia="宋体" w:hint="default"/>
                <w:sz w:val="21"/>
                <w:szCs w:val="21"/>
              </w:rPr>
              <w:t>化工实业有限公司所持公司股份。</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09</w:t>
            </w:r>
          </w:p>
          <w:p>
            <w:pPr>
              <w:pStyle w:val="TableParagraph"/>
              <w:spacing w:line="240" w:lineRule="auto" w:before="21"/>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p>
          <w:p>
            <w:pPr>
              <w:pStyle w:val="TableParagraph"/>
              <w:spacing w:line="240" w:lineRule="auto" w:before="21"/>
              <w:ind w:left="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月</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日起</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6</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个月</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17"/>
              <w:jc w:val="center"/>
              <w:rPr>
                <w:rFonts w:ascii="宋体" w:hAnsi="宋体" w:cs="宋体" w:eastAsia="宋体" w:hint="default"/>
                <w:sz w:val="21"/>
                <w:szCs w:val="21"/>
              </w:rPr>
            </w:pPr>
            <w:r>
              <w:rPr>
                <w:rFonts w:ascii="宋体" w:hAnsi="宋体" w:cs="宋体" w:eastAsia="宋体" w:hint="default"/>
                <w:sz w:val="21"/>
                <w:szCs w:val="21"/>
              </w:rPr>
              <w:t>严格履行</w:t>
            </w:r>
          </w:p>
        </w:tc>
      </w:tr>
      <w:tr>
        <w:trPr>
          <w:trHeight w:val="1963" w:hRule="exact"/>
        </w:trPr>
        <w:tc>
          <w:tcPr>
            <w:tcW w:w="9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71" w:lineRule="auto"/>
              <w:ind w:left="22" w:right="115"/>
              <w:jc w:val="both"/>
              <w:rPr>
                <w:rFonts w:ascii="宋体" w:hAnsi="宋体" w:cs="宋体" w:eastAsia="宋体" w:hint="default"/>
                <w:sz w:val="21"/>
                <w:szCs w:val="21"/>
              </w:rPr>
            </w:pPr>
            <w:r>
              <w:rPr>
                <w:rFonts w:ascii="宋体" w:hAnsi="宋体" w:cs="宋体" w:eastAsia="宋体" w:hint="default"/>
                <w:sz w:val="21"/>
                <w:szCs w:val="21"/>
              </w:rPr>
              <w:t>首次公开</w:t>
            </w:r>
            <w:r>
              <w:rPr>
                <w:rFonts w:ascii="宋体" w:hAnsi="宋体" w:cs="宋体" w:eastAsia="宋体" w:hint="default"/>
                <w:w w:val="100"/>
                <w:sz w:val="21"/>
                <w:szCs w:val="21"/>
              </w:rPr>
              <w:t> </w:t>
            </w:r>
            <w:r>
              <w:rPr>
                <w:rFonts w:ascii="宋体" w:hAnsi="宋体" w:cs="宋体" w:eastAsia="宋体" w:hint="default"/>
                <w:sz w:val="21"/>
                <w:szCs w:val="21"/>
              </w:rPr>
              <w:t>发行或再</w:t>
            </w:r>
            <w:r>
              <w:rPr>
                <w:rFonts w:ascii="宋体" w:hAnsi="宋体" w:cs="宋体" w:eastAsia="宋体" w:hint="default"/>
                <w:w w:val="100"/>
                <w:sz w:val="21"/>
                <w:szCs w:val="21"/>
              </w:rPr>
              <w:t> </w:t>
            </w:r>
            <w:r>
              <w:rPr>
                <w:rFonts w:ascii="宋体" w:hAnsi="宋体" w:cs="宋体" w:eastAsia="宋体" w:hint="default"/>
                <w:sz w:val="21"/>
                <w:szCs w:val="21"/>
              </w:rPr>
              <w:t>融资时所</w:t>
            </w:r>
            <w:r>
              <w:rPr>
                <w:rFonts w:ascii="宋体" w:hAnsi="宋体" w:cs="宋体" w:eastAsia="宋体" w:hint="default"/>
                <w:w w:val="100"/>
                <w:sz w:val="21"/>
                <w:szCs w:val="21"/>
              </w:rPr>
              <w:t> </w:t>
            </w:r>
            <w:r>
              <w:rPr>
                <w:rFonts w:ascii="宋体" w:hAnsi="宋体" w:cs="宋体" w:eastAsia="宋体" w:hint="default"/>
                <w:sz w:val="21"/>
                <w:szCs w:val="21"/>
              </w:rPr>
              <w:t>作承诺</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73" w:lineRule="auto"/>
              <w:ind w:left="23" w:right="113"/>
              <w:jc w:val="left"/>
              <w:rPr>
                <w:rFonts w:ascii="宋体" w:hAnsi="宋体" w:cs="宋体" w:eastAsia="宋体" w:hint="default"/>
                <w:sz w:val="21"/>
                <w:szCs w:val="21"/>
              </w:rPr>
            </w:pPr>
            <w:r>
              <w:rPr>
                <w:rFonts w:ascii="宋体" w:hAnsi="宋体" w:cs="宋体" w:eastAsia="宋体" w:hint="default"/>
                <w:sz w:val="21"/>
                <w:szCs w:val="21"/>
              </w:rPr>
              <w:t>锐达投</w:t>
            </w:r>
            <w:r>
              <w:rPr>
                <w:rFonts w:ascii="宋体" w:hAnsi="宋体" w:cs="宋体" w:eastAsia="宋体" w:hint="default"/>
                <w:spacing w:val="-102"/>
                <w:sz w:val="21"/>
                <w:szCs w:val="21"/>
              </w:rPr>
              <w:t> </w:t>
            </w:r>
            <w:r>
              <w:rPr>
                <w:rFonts w:ascii="宋体" w:hAnsi="宋体" w:cs="宋体" w:eastAsia="宋体" w:hint="default"/>
                <w:sz w:val="21"/>
                <w:szCs w:val="21"/>
              </w:rPr>
              <w:t>资、香港</w:t>
            </w:r>
            <w:r>
              <w:rPr>
                <w:rFonts w:ascii="宋体" w:hAnsi="宋体" w:cs="宋体" w:eastAsia="宋体" w:hint="default"/>
                <w:w w:val="100"/>
                <w:sz w:val="21"/>
                <w:szCs w:val="21"/>
              </w:rPr>
              <w:t> </w:t>
            </w:r>
            <w:r>
              <w:rPr>
                <w:rFonts w:ascii="宋体" w:hAnsi="宋体" w:cs="宋体" w:eastAsia="宋体" w:hint="default"/>
                <w:sz w:val="21"/>
                <w:szCs w:val="21"/>
              </w:rPr>
              <w:t>华声</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73" w:lineRule="auto"/>
              <w:ind w:left="24" w:right="113"/>
              <w:jc w:val="left"/>
              <w:rPr>
                <w:rFonts w:ascii="宋体" w:hAnsi="宋体" w:cs="宋体" w:eastAsia="宋体" w:hint="default"/>
                <w:sz w:val="21"/>
                <w:szCs w:val="21"/>
              </w:rPr>
            </w:pPr>
            <w:r>
              <w:rPr>
                <w:rFonts w:ascii="宋体" w:hAnsi="宋体" w:cs="宋体" w:eastAsia="宋体" w:hint="default"/>
                <w:sz w:val="21"/>
                <w:szCs w:val="21"/>
              </w:rPr>
              <w:t>股份限售</w:t>
            </w:r>
            <w:r>
              <w:rPr>
                <w:rFonts w:ascii="宋体" w:hAnsi="宋体" w:cs="宋体" w:eastAsia="宋体" w:hint="default"/>
                <w:w w:val="100"/>
                <w:sz w:val="21"/>
                <w:szCs w:val="21"/>
              </w:rPr>
              <w:t> </w:t>
            </w:r>
            <w:r>
              <w:rPr>
                <w:rFonts w:ascii="宋体" w:hAnsi="宋体" w:cs="宋体" w:eastAsia="宋体" w:hint="default"/>
                <w:sz w:val="21"/>
                <w:szCs w:val="21"/>
              </w:rPr>
              <w:t>承诺</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6" w:right="74"/>
              <w:jc w:val="left"/>
              <w:rPr>
                <w:rFonts w:ascii="宋体" w:hAnsi="宋体" w:cs="宋体" w:eastAsia="宋体" w:hint="default"/>
                <w:sz w:val="21"/>
                <w:szCs w:val="21"/>
              </w:rPr>
            </w:pPr>
            <w:r>
              <w:rPr>
                <w:rFonts w:ascii="宋体" w:hAnsi="宋体" w:cs="宋体" w:eastAsia="宋体" w:hint="default"/>
                <w:sz w:val="21"/>
                <w:szCs w:val="21"/>
              </w:rPr>
              <w:t>自本公司股票上市之日起三十六个月</w:t>
            </w:r>
            <w:r>
              <w:rPr>
                <w:rFonts w:ascii="宋体" w:hAnsi="宋体" w:cs="宋体" w:eastAsia="宋体" w:hint="default"/>
                <w:w w:val="100"/>
                <w:sz w:val="21"/>
                <w:szCs w:val="21"/>
              </w:rPr>
              <w:t> </w:t>
            </w:r>
            <w:r>
              <w:rPr>
                <w:rFonts w:ascii="宋体" w:hAnsi="宋体" w:cs="宋体" w:eastAsia="宋体" w:hint="default"/>
                <w:spacing w:val="-2"/>
                <w:sz w:val="21"/>
                <w:szCs w:val="21"/>
              </w:rPr>
              <w:t>内，除香港华声与锐达投资存在股份委</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托管理的情形外，香港华声及锐达投资</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不转让或者委托他人管理其持有的本公</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司股份，也不由本公司回购其持有的股</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份。</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46"/>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04</w:t>
            </w:r>
          </w:p>
          <w:p>
            <w:pPr>
              <w:pStyle w:val="TableParagraph"/>
              <w:spacing w:line="240" w:lineRule="auto" w:before="21"/>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36</w:t>
            </w:r>
            <w:r>
              <w:rPr>
                <w:rFonts w:ascii="Times New Roman" w:hAnsi="Times New Roman" w:cs="Times New Roman" w:eastAsia="Times New Roman" w:hint="default"/>
                <w:spacing w:val="3"/>
                <w:sz w:val="21"/>
                <w:szCs w:val="21"/>
              </w:rPr>
              <w:t> </w:t>
            </w:r>
            <w:r>
              <w:rPr>
                <w:rFonts w:ascii="宋体" w:hAnsi="宋体" w:cs="宋体" w:eastAsia="宋体" w:hint="default"/>
                <w:spacing w:val="-3"/>
                <w:sz w:val="21"/>
                <w:szCs w:val="21"/>
              </w:rPr>
              <w:t>个月</w:t>
            </w:r>
            <w:r>
              <w:rPr>
                <w:rFonts w:ascii="宋体" w:hAnsi="宋体" w:cs="宋体" w:eastAsia="宋体" w:hint="default"/>
                <w:sz w:val="21"/>
                <w:szCs w:val="21"/>
              </w:rPr>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64" w:lineRule="auto"/>
              <w:ind w:left="24" w:right="17"/>
              <w:jc w:val="left"/>
              <w:rPr>
                <w:rFonts w:ascii="宋体" w:hAnsi="宋体" w:cs="宋体" w:eastAsia="宋体" w:hint="default"/>
                <w:sz w:val="21"/>
                <w:szCs w:val="21"/>
              </w:rPr>
            </w:pPr>
            <w:r>
              <w:rPr>
                <w:rFonts w:ascii="宋体" w:hAnsi="宋体" w:cs="宋体" w:eastAsia="宋体" w:hint="default"/>
                <w:sz w:val="21"/>
                <w:szCs w:val="21"/>
              </w:rPr>
              <w:t>严格履</w:t>
            </w:r>
            <w:r>
              <w:rPr>
                <w:rFonts w:ascii="宋体" w:hAnsi="宋体" w:cs="宋体" w:eastAsia="宋体" w:hint="default"/>
                <w:spacing w:val="-102"/>
                <w:sz w:val="21"/>
                <w:szCs w:val="21"/>
              </w:rPr>
              <w:t> </w:t>
            </w:r>
            <w:r>
              <w:rPr>
                <w:rFonts w:ascii="宋体" w:hAnsi="宋体" w:cs="宋体" w:eastAsia="宋体" w:hint="default"/>
                <w:sz w:val="21"/>
                <w:szCs w:val="21"/>
              </w:rPr>
              <w:t>行；</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日承诺到</w:t>
            </w:r>
            <w:r>
              <w:rPr>
                <w:rFonts w:ascii="宋体" w:hAnsi="宋体" w:cs="宋体" w:eastAsia="宋体" w:hint="default"/>
                <w:w w:val="100"/>
                <w:sz w:val="21"/>
                <w:szCs w:val="21"/>
              </w:rPr>
              <w:t> </w:t>
            </w:r>
            <w:r>
              <w:rPr>
                <w:rFonts w:ascii="宋体" w:hAnsi="宋体" w:cs="宋体" w:eastAsia="宋体" w:hint="default"/>
                <w:sz w:val="21"/>
                <w:szCs w:val="21"/>
              </w:rPr>
              <w:t>期。</w:t>
            </w:r>
          </w:p>
        </w:tc>
      </w:tr>
      <w:tr>
        <w:trPr>
          <w:trHeight w:val="1649" w:hRule="exact"/>
        </w:trPr>
        <w:tc>
          <w:tcPr>
            <w:tcW w:w="993" w:type="dxa"/>
            <w:vMerge/>
            <w:tcBorders>
              <w:left w:val="single" w:sz="4" w:space="0" w:color="000000"/>
              <w:right w:val="single" w:sz="4" w:space="0" w:color="000000"/>
            </w:tcBorders>
            <w:shd w:val="clear" w:color="auto" w:fill="D2D2D2"/>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远茂化工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73" w:lineRule="auto"/>
              <w:ind w:left="24" w:right="113"/>
              <w:jc w:val="left"/>
              <w:rPr>
                <w:rFonts w:ascii="宋体" w:hAnsi="宋体" w:cs="宋体" w:eastAsia="宋体" w:hint="default"/>
                <w:sz w:val="21"/>
                <w:szCs w:val="21"/>
              </w:rPr>
            </w:pPr>
            <w:r>
              <w:rPr>
                <w:rFonts w:ascii="宋体" w:hAnsi="宋体" w:cs="宋体" w:eastAsia="宋体" w:hint="default"/>
                <w:sz w:val="21"/>
                <w:szCs w:val="21"/>
              </w:rPr>
              <w:t>股份限售</w:t>
            </w:r>
            <w:r>
              <w:rPr>
                <w:rFonts w:ascii="宋体" w:hAnsi="宋体" w:cs="宋体" w:eastAsia="宋体" w:hint="default"/>
                <w:w w:val="100"/>
                <w:sz w:val="21"/>
                <w:szCs w:val="21"/>
              </w:rPr>
              <w:t> </w:t>
            </w:r>
            <w:r>
              <w:rPr>
                <w:rFonts w:ascii="宋体" w:hAnsi="宋体" w:cs="宋体" w:eastAsia="宋体" w:hint="default"/>
                <w:sz w:val="21"/>
                <w:szCs w:val="21"/>
              </w:rPr>
              <w:t>承诺</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73" w:lineRule="auto"/>
              <w:ind w:left="26" w:right="74"/>
              <w:jc w:val="left"/>
              <w:rPr>
                <w:rFonts w:ascii="宋体" w:hAnsi="宋体" w:cs="宋体" w:eastAsia="宋体" w:hint="default"/>
                <w:sz w:val="21"/>
                <w:szCs w:val="21"/>
              </w:rPr>
            </w:pPr>
            <w:r>
              <w:rPr>
                <w:rFonts w:ascii="宋体" w:hAnsi="宋体" w:cs="宋体" w:eastAsia="宋体" w:hint="default"/>
                <w:sz w:val="21"/>
                <w:szCs w:val="21"/>
              </w:rPr>
              <w:t>自本公司股票上市之日起三十六个月</w:t>
            </w:r>
            <w:r>
              <w:rPr>
                <w:rFonts w:ascii="宋体" w:hAnsi="宋体" w:cs="宋体" w:eastAsia="宋体" w:hint="default"/>
                <w:w w:val="100"/>
                <w:sz w:val="21"/>
                <w:szCs w:val="21"/>
              </w:rPr>
              <w:t> </w:t>
            </w:r>
            <w:r>
              <w:rPr>
                <w:rFonts w:ascii="宋体" w:hAnsi="宋体" w:cs="宋体" w:eastAsia="宋体" w:hint="default"/>
                <w:spacing w:val="-2"/>
                <w:sz w:val="21"/>
                <w:szCs w:val="21"/>
              </w:rPr>
              <w:t>内，不转让或者委托他人管理其持有的</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本公司股份，也不由本公司回购其持有</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的股份。</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04</w:t>
            </w:r>
          </w:p>
          <w:p>
            <w:pPr>
              <w:pStyle w:val="TableParagraph"/>
              <w:spacing w:line="240" w:lineRule="auto" w:before="21"/>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47"/>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36</w:t>
            </w:r>
            <w:r>
              <w:rPr>
                <w:rFonts w:ascii="Times New Roman" w:hAnsi="Times New Roman" w:cs="Times New Roman" w:eastAsia="Times New Roman" w:hint="default"/>
                <w:spacing w:val="3"/>
                <w:sz w:val="21"/>
                <w:szCs w:val="21"/>
              </w:rPr>
              <w:t> </w:t>
            </w:r>
            <w:r>
              <w:rPr>
                <w:rFonts w:ascii="宋体" w:hAnsi="宋体" w:cs="宋体" w:eastAsia="宋体" w:hint="default"/>
                <w:spacing w:val="-3"/>
                <w:sz w:val="21"/>
                <w:szCs w:val="21"/>
              </w:rPr>
              <w:t>个月</w:t>
            </w:r>
            <w:r>
              <w:rPr>
                <w:rFonts w:ascii="宋体" w:hAnsi="宋体" w:cs="宋体" w:eastAsia="宋体" w:hint="default"/>
                <w:sz w:val="21"/>
                <w:szCs w:val="21"/>
              </w:rPr>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before="28"/>
              <w:ind w:left="24" w:right="17"/>
              <w:jc w:val="left"/>
              <w:rPr>
                <w:rFonts w:ascii="宋体" w:hAnsi="宋体" w:cs="宋体" w:eastAsia="宋体" w:hint="default"/>
                <w:sz w:val="21"/>
                <w:szCs w:val="21"/>
              </w:rPr>
            </w:pPr>
            <w:r>
              <w:rPr>
                <w:rFonts w:ascii="宋体" w:hAnsi="宋体" w:cs="宋体" w:eastAsia="宋体" w:hint="default"/>
                <w:sz w:val="21"/>
                <w:szCs w:val="21"/>
              </w:rPr>
              <w:t>严格履</w:t>
            </w:r>
            <w:r>
              <w:rPr>
                <w:rFonts w:ascii="宋体" w:hAnsi="宋体" w:cs="宋体" w:eastAsia="宋体" w:hint="default"/>
                <w:spacing w:val="-102"/>
                <w:sz w:val="21"/>
                <w:szCs w:val="21"/>
              </w:rPr>
              <w:t> </w:t>
            </w:r>
            <w:r>
              <w:rPr>
                <w:rFonts w:ascii="宋体" w:hAnsi="宋体" w:cs="宋体" w:eastAsia="宋体" w:hint="default"/>
                <w:sz w:val="21"/>
                <w:szCs w:val="21"/>
              </w:rPr>
              <w:t>行；</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日承诺到</w:t>
            </w:r>
            <w:r>
              <w:rPr>
                <w:rFonts w:ascii="宋体" w:hAnsi="宋体" w:cs="宋体" w:eastAsia="宋体" w:hint="default"/>
                <w:w w:val="100"/>
                <w:sz w:val="21"/>
                <w:szCs w:val="21"/>
              </w:rPr>
              <w:t> </w:t>
            </w:r>
            <w:r>
              <w:rPr>
                <w:rFonts w:ascii="宋体" w:hAnsi="宋体" w:cs="宋体" w:eastAsia="宋体" w:hint="default"/>
                <w:sz w:val="21"/>
                <w:szCs w:val="21"/>
              </w:rPr>
              <w:t>期。</w:t>
            </w:r>
          </w:p>
        </w:tc>
      </w:tr>
      <w:tr>
        <w:trPr>
          <w:trHeight w:val="1922" w:hRule="exact"/>
        </w:trPr>
        <w:tc>
          <w:tcPr>
            <w:tcW w:w="993" w:type="dxa"/>
            <w:vMerge/>
            <w:tcBorders>
              <w:left w:val="single" w:sz="4" w:space="0" w:color="000000"/>
              <w:bottom w:val="single" w:sz="4" w:space="0" w:color="000000"/>
              <w:right w:val="single" w:sz="4" w:space="0" w:color="000000"/>
            </w:tcBorders>
            <w:shd w:val="clear" w:color="auto" w:fill="D2D2D2"/>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73"/>
              <w:ind w:left="23" w:right="113"/>
              <w:jc w:val="left"/>
              <w:rPr>
                <w:rFonts w:ascii="宋体" w:hAnsi="宋体" w:cs="宋体" w:eastAsia="宋体" w:hint="default"/>
                <w:sz w:val="21"/>
                <w:szCs w:val="21"/>
              </w:rPr>
            </w:pPr>
            <w:r>
              <w:rPr>
                <w:rFonts w:ascii="宋体" w:hAnsi="宋体" w:cs="宋体" w:eastAsia="宋体" w:hint="default"/>
                <w:sz w:val="21"/>
                <w:szCs w:val="21"/>
              </w:rPr>
              <w:t>罗桥胜、</w:t>
            </w:r>
            <w:r>
              <w:rPr>
                <w:rFonts w:ascii="宋体" w:hAnsi="宋体" w:cs="宋体" w:eastAsia="宋体" w:hint="default"/>
                <w:w w:val="100"/>
                <w:sz w:val="21"/>
                <w:szCs w:val="21"/>
              </w:rPr>
              <w:t> </w:t>
            </w:r>
            <w:r>
              <w:rPr>
                <w:rFonts w:ascii="宋体" w:hAnsi="宋体" w:cs="宋体" w:eastAsia="宋体" w:hint="default"/>
                <w:sz w:val="21"/>
                <w:szCs w:val="21"/>
              </w:rPr>
              <w:t>冯倩红</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其他承诺</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6" w:right="74"/>
              <w:jc w:val="left"/>
              <w:rPr>
                <w:rFonts w:ascii="宋体" w:hAnsi="宋体" w:cs="宋体" w:eastAsia="宋体" w:hint="default"/>
                <w:sz w:val="21"/>
                <w:szCs w:val="21"/>
              </w:rPr>
            </w:pPr>
            <w:r>
              <w:rPr>
                <w:rFonts w:ascii="宋体" w:hAnsi="宋体" w:cs="宋体" w:eastAsia="宋体" w:hint="default"/>
                <w:sz w:val="21"/>
                <w:szCs w:val="21"/>
              </w:rPr>
              <w:t>自本公司股票上市之日起三十六个月</w:t>
            </w:r>
            <w:r>
              <w:rPr>
                <w:rFonts w:ascii="宋体" w:hAnsi="宋体" w:cs="宋体" w:eastAsia="宋体" w:hint="default"/>
                <w:w w:val="100"/>
                <w:sz w:val="21"/>
                <w:szCs w:val="21"/>
              </w:rPr>
              <w:t> </w:t>
            </w:r>
            <w:r>
              <w:rPr>
                <w:rFonts w:ascii="宋体" w:hAnsi="宋体" w:cs="宋体" w:eastAsia="宋体" w:hint="default"/>
                <w:spacing w:val="-2"/>
                <w:sz w:val="21"/>
                <w:szCs w:val="21"/>
              </w:rPr>
              <w:t>内，不转让或者委托他人管理其于本公</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司公开发行股票前已经持有的香港华</w:t>
            </w:r>
            <w:r>
              <w:rPr>
                <w:rFonts w:ascii="宋体" w:hAnsi="宋体" w:cs="宋体" w:eastAsia="宋体" w:hint="default"/>
                <w:w w:val="100"/>
                <w:sz w:val="21"/>
                <w:szCs w:val="21"/>
              </w:rPr>
              <w:t> </w:t>
            </w:r>
            <w:r>
              <w:rPr>
                <w:rFonts w:ascii="宋体" w:hAnsi="宋体" w:cs="宋体" w:eastAsia="宋体" w:hint="default"/>
                <w:spacing w:val="-2"/>
                <w:sz w:val="21"/>
                <w:szCs w:val="21"/>
              </w:rPr>
              <w:t>声、锐达投资股权，也不由香港华声、</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锐达投资回购其所持股权；不转让或者</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委托他人管理其持有的本公司股份，也</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27"/>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04</w:t>
            </w:r>
          </w:p>
          <w:p>
            <w:pPr>
              <w:pStyle w:val="TableParagraph"/>
              <w:spacing w:line="240" w:lineRule="auto" w:before="21"/>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36</w:t>
            </w:r>
            <w:r>
              <w:rPr>
                <w:rFonts w:ascii="Times New Roman" w:hAnsi="Times New Roman" w:cs="Times New Roman" w:eastAsia="Times New Roman" w:hint="default"/>
                <w:spacing w:val="3"/>
                <w:sz w:val="21"/>
                <w:szCs w:val="21"/>
              </w:rPr>
              <w:t> </w:t>
            </w:r>
            <w:r>
              <w:rPr>
                <w:rFonts w:ascii="宋体" w:hAnsi="宋体" w:cs="宋体" w:eastAsia="宋体" w:hint="default"/>
                <w:spacing w:val="-3"/>
                <w:sz w:val="21"/>
                <w:szCs w:val="21"/>
              </w:rPr>
              <w:t>个月</w:t>
            </w:r>
            <w:r>
              <w:rPr>
                <w:rFonts w:ascii="宋体" w:hAnsi="宋体" w:cs="宋体" w:eastAsia="宋体" w:hint="default"/>
                <w:sz w:val="21"/>
                <w:szCs w:val="21"/>
              </w:rPr>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before="165"/>
              <w:ind w:left="24" w:right="17"/>
              <w:jc w:val="left"/>
              <w:rPr>
                <w:rFonts w:ascii="宋体" w:hAnsi="宋体" w:cs="宋体" w:eastAsia="宋体" w:hint="default"/>
                <w:sz w:val="21"/>
                <w:szCs w:val="21"/>
              </w:rPr>
            </w:pPr>
            <w:r>
              <w:rPr>
                <w:rFonts w:ascii="宋体" w:hAnsi="宋体" w:cs="宋体" w:eastAsia="宋体" w:hint="default"/>
                <w:sz w:val="21"/>
                <w:szCs w:val="21"/>
              </w:rPr>
              <w:t>严格履</w:t>
            </w:r>
            <w:r>
              <w:rPr>
                <w:rFonts w:ascii="宋体" w:hAnsi="宋体" w:cs="宋体" w:eastAsia="宋体" w:hint="default"/>
                <w:spacing w:val="-102"/>
                <w:sz w:val="21"/>
                <w:szCs w:val="21"/>
              </w:rPr>
              <w:t> </w:t>
            </w:r>
            <w:r>
              <w:rPr>
                <w:rFonts w:ascii="宋体" w:hAnsi="宋体" w:cs="宋体" w:eastAsia="宋体" w:hint="default"/>
                <w:sz w:val="21"/>
                <w:szCs w:val="21"/>
              </w:rPr>
              <w:t>行；</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日承诺到</w:t>
            </w:r>
            <w:r>
              <w:rPr>
                <w:rFonts w:ascii="宋体" w:hAnsi="宋体" w:cs="宋体" w:eastAsia="宋体" w:hint="default"/>
                <w:w w:val="100"/>
                <w:sz w:val="21"/>
                <w:szCs w:val="21"/>
              </w:rPr>
              <w:t> </w:t>
            </w:r>
            <w:r>
              <w:rPr>
                <w:rFonts w:ascii="宋体" w:hAnsi="宋体" w:cs="宋体" w:eastAsia="宋体" w:hint="default"/>
                <w:sz w:val="21"/>
                <w:szCs w:val="21"/>
              </w:rPr>
              <w:t>期。</w:t>
            </w:r>
          </w:p>
        </w:tc>
      </w:tr>
    </w:tbl>
    <w:p>
      <w:pPr>
        <w:spacing w:after="0" w:line="264" w:lineRule="auto"/>
        <w:jc w:val="left"/>
        <w:rPr>
          <w:rFonts w:ascii="宋体" w:hAnsi="宋体" w:cs="宋体" w:eastAsia="宋体" w:hint="default"/>
          <w:sz w:val="21"/>
          <w:szCs w:val="21"/>
        </w:rPr>
        <w:sectPr>
          <w:pgSz w:w="11910" w:h="16840"/>
          <w:pgMar w:header="877" w:footer="979"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993"/>
        <w:gridCol w:w="991"/>
        <w:gridCol w:w="992"/>
        <w:gridCol w:w="3687"/>
        <w:gridCol w:w="994"/>
        <w:gridCol w:w="991"/>
        <w:gridCol w:w="919"/>
      </w:tblGrid>
      <w:tr>
        <w:trPr>
          <w:trHeight w:val="363" w:hRule="exact"/>
        </w:trPr>
        <w:tc>
          <w:tcPr>
            <w:tcW w:w="993" w:type="dxa"/>
            <w:vMerge w:val="restart"/>
            <w:tcBorders>
              <w:top w:val="single" w:sz="4" w:space="0" w:color="000000"/>
              <w:left w:val="single" w:sz="4" w:space="0" w:color="000000"/>
              <w:right w:val="single" w:sz="4" w:space="0" w:color="000000"/>
            </w:tcBorders>
            <w:shd w:val="clear" w:color="auto" w:fill="D2D2D2"/>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不由本公司回购其持有的股份。</w:t>
            </w: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2897" w:hRule="exact"/>
        </w:trPr>
        <w:tc>
          <w:tcPr>
            <w:tcW w:w="993" w:type="dxa"/>
            <w:vMerge/>
            <w:tcBorders>
              <w:left w:val="single" w:sz="4" w:space="0" w:color="000000"/>
              <w:right w:val="single" w:sz="4" w:space="0" w:color="000000"/>
            </w:tcBorders>
            <w:shd w:val="clear" w:color="auto" w:fill="D2D2D2"/>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73" w:lineRule="auto"/>
              <w:ind w:left="23" w:right="113"/>
              <w:jc w:val="both"/>
              <w:rPr>
                <w:rFonts w:ascii="宋体" w:hAnsi="宋体" w:cs="宋体" w:eastAsia="宋体" w:hint="default"/>
                <w:sz w:val="21"/>
                <w:szCs w:val="21"/>
              </w:rPr>
            </w:pPr>
            <w:r>
              <w:rPr>
                <w:rFonts w:ascii="宋体" w:hAnsi="宋体" w:cs="宋体" w:eastAsia="宋体" w:hint="default"/>
                <w:sz w:val="21"/>
                <w:szCs w:val="21"/>
              </w:rPr>
              <w:t>罗桥胜、</w:t>
            </w:r>
            <w:r>
              <w:rPr>
                <w:rFonts w:ascii="宋体" w:hAnsi="宋体" w:cs="宋体" w:eastAsia="宋体" w:hint="default"/>
                <w:w w:val="100"/>
                <w:sz w:val="21"/>
                <w:szCs w:val="21"/>
              </w:rPr>
              <w:t> </w:t>
            </w:r>
            <w:r>
              <w:rPr>
                <w:rFonts w:ascii="宋体" w:hAnsi="宋体" w:cs="宋体" w:eastAsia="宋体" w:hint="default"/>
                <w:sz w:val="21"/>
                <w:szCs w:val="21"/>
              </w:rPr>
              <w:t>冯倩红、</w:t>
            </w:r>
            <w:r>
              <w:rPr>
                <w:rFonts w:ascii="宋体" w:hAnsi="宋体" w:cs="宋体" w:eastAsia="宋体" w:hint="default"/>
                <w:w w:val="100"/>
                <w:sz w:val="21"/>
                <w:szCs w:val="21"/>
              </w:rPr>
              <w:t> </w:t>
            </w:r>
            <w:r>
              <w:rPr>
                <w:rFonts w:ascii="宋体" w:hAnsi="宋体" w:cs="宋体" w:eastAsia="宋体" w:hint="default"/>
                <w:sz w:val="21"/>
                <w:szCs w:val="21"/>
              </w:rPr>
              <w:t>卢锡球、</w:t>
            </w:r>
            <w:r>
              <w:rPr>
                <w:rFonts w:ascii="宋体" w:hAnsi="宋体" w:cs="宋体" w:eastAsia="宋体" w:hint="default"/>
                <w:w w:val="100"/>
                <w:sz w:val="21"/>
                <w:szCs w:val="21"/>
              </w:rPr>
              <w:t> </w:t>
            </w:r>
            <w:r>
              <w:rPr>
                <w:rFonts w:ascii="宋体" w:hAnsi="宋体" w:cs="宋体" w:eastAsia="宋体" w:hint="default"/>
                <w:sz w:val="21"/>
                <w:szCs w:val="21"/>
              </w:rPr>
              <w:t>黄喜强、</w:t>
            </w:r>
            <w:r>
              <w:rPr>
                <w:rFonts w:ascii="宋体" w:hAnsi="宋体" w:cs="宋体" w:eastAsia="宋体" w:hint="default"/>
                <w:w w:val="100"/>
                <w:sz w:val="21"/>
                <w:szCs w:val="21"/>
              </w:rPr>
              <w:t> </w:t>
            </w:r>
            <w:r>
              <w:rPr>
                <w:rFonts w:ascii="宋体" w:hAnsi="宋体" w:cs="宋体" w:eastAsia="宋体" w:hint="default"/>
                <w:sz w:val="21"/>
                <w:szCs w:val="21"/>
              </w:rPr>
              <w:t>谢基柱、</w:t>
            </w:r>
            <w:r>
              <w:rPr>
                <w:rFonts w:ascii="宋体" w:hAnsi="宋体" w:cs="宋体" w:eastAsia="宋体" w:hint="default"/>
                <w:w w:val="100"/>
                <w:sz w:val="21"/>
                <w:szCs w:val="21"/>
              </w:rPr>
              <w:t> </w:t>
            </w:r>
            <w:r>
              <w:rPr>
                <w:rFonts w:ascii="宋体" w:hAnsi="宋体" w:cs="宋体" w:eastAsia="宋体" w:hint="default"/>
                <w:sz w:val="21"/>
                <w:szCs w:val="21"/>
              </w:rPr>
              <w:t>卢惠全、</w:t>
            </w:r>
            <w:r>
              <w:rPr>
                <w:rFonts w:ascii="宋体" w:hAnsi="宋体" w:cs="宋体" w:eastAsia="宋体" w:hint="default"/>
                <w:w w:val="100"/>
                <w:sz w:val="21"/>
                <w:szCs w:val="21"/>
              </w:rPr>
              <w:t> </w:t>
            </w:r>
            <w:r>
              <w:rPr>
                <w:rFonts w:ascii="宋体" w:hAnsi="宋体" w:cs="宋体" w:eastAsia="宋体" w:hint="default"/>
                <w:sz w:val="21"/>
                <w:szCs w:val="21"/>
              </w:rPr>
              <w:t>刘琛、刘</w:t>
            </w:r>
            <w:r>
              <w:rPr>
                <w:rFonts w:ascii="宋体" w:hAnsi="宋体" w:cs="宋体" w:eastAsia="宋体" w:hint="default"/>
                <w:w w:val="100"/>
                <w:sz w:val="21"/>
                <w:szCs w:val="21"/>
              </w:rPr>
              <w:t> </w:t>
            </w:r>
            <w:r>
              <w:rPr>
                <w:rFonts w:ascii="宋体" w:hAnsi="宋体" w:cs="宋体" w:eastAsia="宋体" w:hint="default"/>
                <w:sz w:val="21"/>
                <w:szCs w:val="21"/>
              </w:rPr>
              <w:t>世明</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73" w:lineRule="auto"/>
              <w:ind w:left="24" w:right="113"/>
              <w:jc w:val="left"/>
              <w:rPr>
                <w:rFonts w:ascii="宋体" w:hAnsi="宋体" w:cs="宋体" w:eastAsia="宋体" w:hint="default"/>
                <w:sz w:val="21"/>
                <w:szCs w:val="21"/>
              </w:rPr>
            </w:pPr>
            <w:r>
              <w:rPr>
                <w:rFonts w:ascii="宋体" w:hAnsi="宋体" w:cs="宋体" w:eastAsia="宋体" w:hint="default"/>
                <w:sz w:val="21"/>
                <w:szCs w:val="21"/>
              </w:rPr>
              <w:t>股份锁定</w:t>
            </w:r>
            <w:r>
              <w:rPr>
                <w:rFonts w:ascii="宋体" w:hAnsi="宋体" w:cs="宋体" w:eastAsia="宋体" w:hint="default"/>
                <w:w w:val="100"/>
                <w:sz w:val="21"/>
                <w:szCs w:val="21"/>
              </w:rPr>
              <w:t> </w:t>
            </w:r>
            <w:r>
              <w:rPr>
                <w:rFonts w:ascii="宋体" w:hAnsi="宋体" w:cs="宋体" w:eastAsia="宋体" w:hint="default"/>
                <w:sz w:val="21"/>
                <w:szCs w:val="21"/>
              </w:rPr>
              <w:t>承诺</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184"/>
              <w:ind w:left="26" w:right="60"/>
              <w:jc w:val="both"/>
              <w:rPr>
                <w:rFonts w:ascii="宋体" w:hAnsi="宋体" w:cs="宋体" w:eastAsia="宋体" w:hint="default"/>
                <w:sz w:val="21"/>
                <w:szCs w:val="21"/>
              </w:rPr>
            </w:pPr>
            <w:r>
              <w:rPr>
                <w:rFonts w:ascii="宋体" w:hAnsi="宋体" w:cs="宋体" w:eastAsia="宋体" w:hint="default"/>
                <w:spacing w:val="-2"/>
                <w:sz w:val="21"/>
                <w:szCs w:val="21"/>
              </w:rPr>
              <w:t>在作为本公司董事、监事、高级管理人</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员期间，每年转让的股份不超过其直接</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或间接持有本公司股份总数的</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25%</w:t>
            </w:r>
            <w:r>
              <w:rPr>
                <w:rFonts w:ascii="宋体" w:hAnsi="宋体" w:cs="宋体" w:eastAsia="宋体" w:hint="default"/>
                <w:sz w:val="21"/>
                <w:szCs w:val="21"/>
              </w:rPr>
              <w:t>。如</w:t>
            </w:r>
            <w:r>
              <w:rPr>
                <w:rFonts w:ascii="宋体" w:hAnsi="宋体" w:cs="宋体" w:eastAsia="宋体" w:hint="default"/>
                <w:spacing w:val="-3"/>
                <w:w w:val="100"/>
                <w:sz w:val="21"/>
                <w:szCs w:val="21"/>
              </w:rPr>
              <w:t> </w:t>
            </w:r>
            <w:r>
              <w:rPr>
                <w:rFonts w:ascii="宋体" w:hAnsi="宋体" w:cs="宋体" w:eastAsia="宋体" w:hint="default"/>
                <w:spacing w:val="-2"/>
                <w:sz w:val="21"/>
                <w:szCs w:val="21"/>
              </w:rPr>
              <w:t>其离职，离职后半年内不转让其所持有</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的本公司股份，在申报离任六个月后的</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十二个月内通过证券交易所挂牌交易出</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售的股份不超过其所持有本公司股份总</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数的</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50%</w:t>
            </w:r>
            <w:r>
              <w:rPr>
                <w:rFonts w:ascii="宋体" w:hAnsi="宋体" w:cs="宋体" w:eastAsia="宋体" w:hint="default"/>
                <w:sz w:val="21"/>
                <w:szCs w:val="21"/>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5"/>
              <w:ind w:right="0"/>
              <w:jc w:val="left"/>
              <w:rPr>
                <w:rFonts w:ascii="Times New Roman" w:hAnsi="Times New Roman" w:cs="Times New Roman" w:eastAsia="Times New Roman" w:hint="default"/>
                <w:sz w:val="31"/>
                <w:szCs w:val="31"/>
              </w:rPr>
            </w:pPr>
          </w:p>
          <w:p>
            <w:pPr>
              <w:pStyle w:val="TableParagraph"/>
              <w:spacing w:line="240" w:lineRule="auto"/>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04</w:t>
            </w:r>
          </w:p>
          <w:p>
            <w:pPr>
              <w:pStyle w:val="TableParagraph"/>
              <w:spacing w:line="240" w:lineRule="auto" w:before="21"/>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73" w:lineRule="auto"/>
              <w:ind w:left="23" w:right="113"/>
              <w:jc w:val="both"/>
              <w:rPr>
                <w:rFonts w:ascii="宋体" w:hAnsi="宋体" w:cs="宋体" w:eastAsia="宋体" w:hint="default"/>
                <w:sz w:val="21"/>
                <w:szCs w:val="21"/>
              </w:rPr>
            </w:pPr>
            <w:r>
              <w:rPr>
                <w:rFonts w:ascii="宋体" w:hAnsi="宋体" w:cs="宋体" w:eastAsia="宋体" w:hint="default"/>
                <w:sz w:val="21"/>
                <w:szCs w:val="21"/>
              </w:rPr>
              <w:t>公司上市</w:t>
            </w:r>
            <w:r>
              <w:rPr>
                <w:rFonts w:ascii="宋体" w:hAnsi="宋体" w:cs="宋体" w:eastAsia="宋体" w:hint="default"/>
                <w:w w:val="100"/>
                <w:sz w:val="21"/>
                <w:szCs w:val="21"/>
              </w:rPr>
              <w:t> </w:t>
            </w:r>
            <w:r>
              <w:rPr>
                <w:rFonts w:ascii="宋体" w:hAnsi="宋体" w:cs="宋体" w:eastAsia="宋体" w:hint="default"/>
                <w:sz w:val="21"/>
                <w:szCs w:val="21"/>
              </w:rPr>
              <w:t>一年后至</w:t>
            </w:r>
            <w:r>
              <w:rPr>
                <w:rFonts w:ascii="宋体" w:hAnsi="宋体" w:cs="宋体" w:eastAsia="宋体" w:hint="default"/>
                <w:w w:val="100"/>
                <w:sz w:val="21"/>
                <w:szCs w:val="21"/>
              </w:rPr>
              <w:t> </w:t>
            </w:r>
            <w:r>
              <w:rPr>
                <w:rFonts w:ascii="宋体" w:hAnsi="宋体" w:cs="宋体" w:eastAsia="宋体" w:hint="default"/>
                <w:sz w:val="21"/>
                <w:szCs w:val="21"/>
              </w:rPr>
              <w:t>其离任后</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3"/>
                <w:sz w:val="21"/>
                <w:szCs w:val="21"/>
              </w:rPr>
              <w:t> </w:t>
            </w:r>
            <w:r>
              <w:rPr>
                <w:rFonts w:ascii="宋体" w:hAnsi="宋体" w:cs="宋体" w:eastAsia="宋体" w:hint="default"/>
                <w:spacing w:val="-3"/>
                <w:sz w:val="21"/>
                <w:szCs w:val="21"/>
              </w:rPr>
              <w:t>个月</w:t>
            </w:r>
            <w:r>
              <w:rPr>
                <w:rFonts w:ascii="宋体" w:hAnsi="宋体" w:cs="宋体" w:eastAsia="宋体" w:hint="default"/>
                <w:sz w:val="21"/>
                <w:szCs w:val="21"/>
              </w:rPr>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41"/>
              <w:jc w:val="left"/>
              <w:rPr>
                <w:rFonts w:ascii="宋体" w:hAnsi="宋体" w:cs="宋体" w:eastAsia="宋体" w:hint="default"/>
                <w:sz w:val="21"/>
                <w:szCs w:val="21"/>
              </w:rPr>
            </w:pPr>
            <w:r>
              <w:rPr>
                <w:rFonts w:ascii="宋体" w:hAnsi="宋体" w:cs="宋体" w:eastAsia="宋体" w:hint="default"/>
                <w:sz w:val="21"/>
                <w:szCs w:val="21"/>
              </w:rPr>
              <w:t>严格履</w:t>
            </w:r>
            <w:r>
              <w:rPr>
                <w:rFonts w:ascii="宋体" w:hAnsi="宋体" w:cs="宋体" w:eastAsia="宋体" w:hint="default"/>
                <w:spacing w:val="-102"/>
                <w:sz w:val="21"/>
                <w:szCs w:val="21"/>
              </w:rPr>
              <w:t> </w:t>
            </w:r>
            <w:r>
              <w:rPr>
                <w:rFonts w:ascii="宋体" w:hAnsi="宋体" w:cs="宋体" w:eastAsia="宋体" w:hint="default"/>
                <w:sz w:val="21"/>
                <w:szCs w:val="21"/>
              </w:rPr>
              <w:t>行；报告</w:t>
            </w:r>
            <w:r>
              <w:rPr>
                <w:rFonts w:ascii="宋体" w:hAnsi="宋体" w:cs="宋体" w:eastAsia="宋体" w:hint="default"/>
                <w:w w:val="100"/>
                <w:sz w:val="21"/>
                <w:szCs w:val="21"/>
              </w:rPr>
              <w:t> </w:t>
            </w:r>
            <w:r>
              <w:rPr>
                <w:rFonts w:ascii="宋体" w:hAnsi="宋体" w:cs="宋体" w:eastAsia="宋体" w:hint="default"/>
                <w:sz w:val="21"/>
                <w:szCs w:val="21"/>
              </w:rPr>
              <w:t>期内，罗</w:t>
            </w:r>
            <w:r>
              <w:rPr>
                <w:rFonts w:ascii="宋体" w:hAnsi="宋体" w:cs="宋体" w:eastAsia="宋体" w:hint="default"/>
                <w:w w:val="100"/>
                <w:sz w:val="21"/>
                <w:szCs w:val="21"/>
              </w:rPr>
              <w:t> </w:t>
            </w:r>
            <w:r>
              <w:rPr>
                <w:rFonts w:ascii="宋体" w:hAnsi="宋体" w:cs="宋体" w:eastAsia="宋体" w:hint="default"/>
                <w:sz w:val="21"/>
                <w:szCs w:val="21"/>
              </w:rPr>
              <w:t>桥胜、冯</w:t>
            </w:r>
            <w:r>
              <w:rPr>
                <w:rFonts w:ascii="宋体" w:hAnsi="宋体" w:cs="宋体" w:eastAsia="宋体" w:hint="default"/>
                <w:w w:val="100"/>
                <w:sz w:val="21"/>
                <w:szCs w:val="21"/>
              </w:rPr>
              <w:t> </w:t>
            </w:r>
            <w:r>
              <w:rPr>
                <w:rFonts w:ascii="宋体" w:hAnsi="宋体" w:cs="宋体" w:eastAsia="宋体" w:hint="default"/>
                <w:sz w:val="21"/>
                <w:szCs w:val="21"/>
              </w:rPr>
              <w:t>倩红、卢</w:t>
            </w:r>
            <w:r>
              <w:rPr>
                <w:rFonts w:ascii="宋体" w:hAnsi="宋体" w:cs="宋体" w:eastAsia="宋体" w:hint="default"/>
                <w:w w:val="100"/>
                <w:sz w:val="21"/>
                <w:szCs w:val="21"/>
              </w:rPr>
              <w:t> </w:t>
            </w:r>
            <w:r>
              <w:rPr>
                <w:rFonts w:ascii="宋体" w:hAnsi="宋体" w:cs="宋体" w:eastAsia="宋体" w:hint="default"/>
                <w:sz w:val="21"/>
                <w:szCs w:val="21"/>
              </w:rPr>
              <w:t>锡球、黄</w:t>
            </w:r>
            <w:r>
              <w:rPr>
                <w:rFonts w:ascii="宋体" w:hAnsi="宋体" w:cs="宋体" w:eastAsia="宋体" w:hint="default"/>
                <w:w w:val="100"/>
                <w:sz w:val="21"/>
                <w:szCs w:val="21"/>
              </w:rPr>
              <w:t> </w:t>
            </w:r>
            <w:r>
              <w:rPr>
                <w:rFonts w:ascii="宋体" w:hAnsi="宋体" w:cs="宋体" w:eastAsia="宋体" w:hint="default"/>
                <w:sz w:val="21"/>
                <w:szCs w:val="21"/>
              </w:rPr>
              <w:t>喜强、卢</w:t>
            </w:r>
            <w:r>
              <w:rPr>
                <w:rFonts w:ascii="宋体" w:hAnsi="宋体" w:cs="宋体" w:eastAsia="宋体" w:hint="default"/>
                <w:w w:val="100"/>
                <w:sz w:val="21"/>
                <w:szCs w:val="21"/>
              </w:rPr>
              <w:t> </w:t>
            </w:r>
            <w:r>
              <w:rPr>
                <w:rFonts w:ascii="宋体" w:hAnsi="宋体" w:cs="宋体" w:eastAsia="宋体" w:hint="default"/>
                <w:sz w:val="21"/>
                <w:szCs w:val="21"/>
              </w:rPr>
              <w:t>惠全辞</w:t>
            </w:r>
            <w:r>
              <w:rPr>
                <w:rFonts w:ascii="宋体" w:hAnsi="宋体" w:cs="宋体" w:eastAsia="宋体" w:hint="default"/>
                <w:spacing w:val="-102"/>
                <w:sz w:val="21"/>
                <w:szCs w:val="21"/>
              </w:rPr>
              <w:t> </w:t>
            </w:r>
            <w:r>
              <w:rPr>
                <w:rFonts w:ascii="宋体" w:hAnsi="宋体" w:cs="宋体" w:eastAsia="宋体" w:hint="default"/>
                <w:sz w:val="21"/>
                <w:szCs w:val="21"/>
              </w:rPr>
              <w:t>职。</w:t>
            </w:r>
          </w:p>
        </w:tc>
      </w:tr>
      <w:tr>
        <w:trPr>
          <w:trHeight w:val="4460" w:hRule="exact"/>
        </w:trPr>
        <w:tc>
          <w:tcPr>
            <w:tcW w:w="993" w:type="dxa"/>
            <w:vMerge/>
            <w:tcBorders>
              <w:left w:val="single" w:sz="4" w:space="0" w:color="000000"/>
              <w:right w:val="single" w:sz="4" w:space="0" w:color="000000"/>
            </w:tcBorders>
            <w:shd w:val="clear" w:color="auto" w:fill="D2D2D2"/>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27"/>
              <w:ind w:left="23" w:right="113"/>
              <w:jc w:val="left"/>
              <w:rPr>
                <w:rFonts w:ascii="宋体" w:hAnsi="宋体" w:cs="宋体" w:eastAsia="宋体" w:hint="default"/>
                <w:sz w:val="21"/>
                <w:szCs w:val="21"/>
              </w:rPr>
            </w:pPr>
            <w:r>
              <w:rPr>
                <w:rFonts w:ascii="宋体" w:hAnsi="宋体" w:cs="宋体" w:eastAsia="宋体" w:hint="default"/>
                <w:sz w:val="21"/>
                <w:szCs w:val="21"/>
              </w:rPr>
              <w:t>罗桥胜、</w:t>
            </w:r>
            <w:r>
              <w:rPr>
                <w:rFonts w:ascii="宋体" w:hAnsi="宋体" w:cs="宋体" w:eastAsia="宋体" w:hint="default"/>
                <w:w w:val="100"/>
                <w:sz w:val="21"/>
                <w:szCs w:val="21"/>
              </w:rPr>
              <w:t> </w:t>
            </w:r>
            <w:r>
              <w:rPr>
                <w:rFonts w:ascii="宋体" w:hAnsi="宋体" w:cs="宋体" w:eastAsia="宋体" w:hint="default"/>
                <w:sz w:val="21"/>
                <w:szCs w:val="21"/>
              </w:rPr>
              <w:t>冯倩红及</w:t>
            </w:r>
            <w:r>
              <w:rPr>
                <w:rFonts w:ascii="宋体" w:hAnsi="宋体" w:cs="宋体" w:eastAsia="宋体" w:hint="default"/>
                <w:w w:val="100"/>
                <w:sz w:val="21"/>
                <w:szCs w:val="21"/>
              </w:rPr>
              <w:t> </w:t>
            </w:r>
            <w:r>
              <w:rPr>
                <w:rFonts w:ascii="宋体" w:hAnsi="宋体" w:cs="宋体" w:eastAsia="宋体" w:hint="default"/>
                <w:sz w:val="21"/>
                <w:szCs w:val="21"/>
              </w:rPr>
              <w:t>锐达投</w:t>
            </w:r>
            <w:r>
              <w:rPr>
                <w:rFonts w:ascii="宋体" w:hAnsi="宋体" w:cs="宋体" w:eastAsia="宋体" w:hint="default"/>
                <w:spacing w:val="-102"/>
                <w:sz w:val="21"/>
                <w:szCs w:val="21"/>
              </w:rPr>
              <w:t> </w:t>
            </w:r>
            <w:r>
              <w:rPr>
                <w:rFonts w:ascii="宋体" w:hAnsi="宋体" w:cs="宋体" w:eastAsia="宋体" w:hint="default"/>
                <w:sz w:val="21"/>
                <w:szCs w:val="21"/>
              </w:rPr>
              <w:t>资、香港</w:t>
            </w:r>
            <w:r>
              <w:rPr>
                <w:rFonts w:ascii="宋体" w:hAnsi="宋体" w:cs="宋体" w:eastAsia="宋体" w:hint="default"/>
                <w:w w:val="100"/>
                <w:sz w:val="21"/>
                <w:szCs w:val="21"/>
              </w:rPr>
              <w:t> </w:t>
            </w:r>
            <w:r>
              <w:rPr>
                <w:rFonts w:ascii="宋体" w:hAnsi="宋体" w:cs="宋体" w:eastAsia="宋体" w:hint="default"/>
                <w:sz w:val="21"/>
                <w:szCs w:val="21"/>
              </w:rPr>
              <w:t>华声、远</w:t>
            </w:r>
            <w:r>
              <w:rPr>
                <w:rFonts w:ascii="宋体" w:hAnsi="宋体" w:cs="宋体" w:eastAsia="宋体" w:hint="default"/>
                <w:w w:val="100"/>
                <w:sz w:val="21"/>
                <w:szCs w:val="21"/>
              </w:rPr>
              <w:t> </w:t>
            </w:r>
            <w:r>
              <w:rPr>
                <w:rFonts w:ascii="宋体" w:hAnsi="宋体" w:cs="宋体" w:eastAsia="宋体" w:hint="default"/>
                <w:sz w:val="21"/>
                <w:szCs w:val="21"/>
              </w:rPr>
              <w:t>茂化工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5"/>
                <w:szCs w:val="25"/>
              </w:rPr>
            </w:pPr>
          </w:p>
          <w:p>
            <w:pPr>
              <w:pStyle w:val="TableParagraph"/>
              <w:spacing w:line="273" w:lineRule="auto"/>
              <w:ind w:left="24" w:right="113"/>
              <w:jc w:val="left"/>
              <w:rPr>
                <w:rFonts w:ascii="宋体" w:hAnsi="宋体" w:cs="宋体" w:eastAsia="宋体" w:hint="default"/>
                <w:sz w:val="21"/>
                <w:szCs w:val="21"/>
              </w:rPr>
            </w:pPr>
            <w:r>
              <w:rPr>
                <w:rFonts w:ascii="宋体" w:hAnsi="宋体" w:cs="宋体" w:eastAsia="宋体" w:hint="default"/>
                <w:sz w:val="21"/>
                <w:szCs w:val="21"/>
              </w:rPr>
              <w:t>避免同业</w:t>
            </w:r>
            <w:r>
              <w:rPr>
                <w:rFonts w:ascii="宋体" w:hAnsi="宋体" w:cs="宋体" w:eastAsia="宋体" w:hint="default"/>
                <w:w w:val="100"/>
                <w:sz w:val="21"/>
                <w:szCs w:val="21"/>
              </w:rPr>
              <w:t> </w:t>
            </w:r>
            <w:r>
              <w:rPr>
                <w:rFonts w:ascii="宋体" w:hAnsi="宋体" w:cs="宋体" w:eastAsia="宋体" w:hint="default"/>
                <w:sz w:val="21"/>
                <w:szCs w:val="21"/>
              </w:rPr>
              <w:t>竞争</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5"/>
                <w:szCs w:val="25"/>
              </w:rPr>
            </w:pPr>
          </w:p>
          <w:p>
            <w:pPr>
              <w:pStyle w:val="TableParagraph"/>
              <w:spacing w:line="273" w:lineRule="auto"/>
              <w:ind w:left="26" w:right="74"/>
              <w:jc w:val="left"/>
              <w:rPr>
                <w:rFonts w:ascii="宋体" w:hAnsi="宋体" w:cs="宋体" w:eastAsia="宋体" w:hint="default"/>
                <w:sz w:val="21"/>
                <w:szCs w:val="21"/>
              </w:rPr>
            </w:pPr>
            <w:r>
              <w:rPr>
                <w:rFonts w:ascii="宋体" w:hAnsi="宋体" w:cs="宋体" w:eastAsia="宋体" w:hint="default"/>
                <w:spacing w:val="-2"/>
                <w:sz w:val="21"/>
                <w:szCs w:val="21"/>
              </w:rPr>
              <w:t>不直接或间接从事、参与或进行与本公</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司的生产、经营相竞争的任何活动。</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30"/>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04</w:t>
            </w:r>
          </w:p>
          <w:p>
            <w:pPr>
              <w:pStyle w:val="TableParagraph"/>
              <w:spacing w:line="240" w:lineRule="auto" w:before="21"/>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长期</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41"/>
              <w:jc w:val="left"/>
              <w:rPr>
                <w:rFonts w:ascii="宋体" w:hAnsi="宋体" w:cs="宋体" w:eastAsia="宋体" w:hint="default"/>
                <w:sz w:val="21"/>
                <w:szCs w:val="21"/>
              </w:rPr>
            </w:pPr>
            <w:r>
              <w:rPr>
                <w:rFonts w:ascii="宋体" w:hAnsi="宋体" w:cs="宋体" w:eastAsia="宋体" w:hint="default"/>
                <w:sz w:val="21"/>
                <w:szCs w:val="21"/>
              </w:rPr>
              <w:t>严格履</w:t>
            </w:r>
            <w:r>
              <w:rPr>
                <w:rFonts w:ascii="宋体" w:hAnsi="宋体" w:cs="宋体" w:eastAsia="宋体" w:hint="default"/>
                <w:spacing w:val="-102"/>
                <w:sz w:val="21"/>
                <w:szCs w:val="21"/>
              </w:rPr>
              <w:t> </w:t>
            </w:r>
            <w:r>
              <w:rPr>
                <w:rFonts w:ascii="宋体" w:hAnsi="宋体" w:cs="宋体" w:eastAsia="宋体" w:hint="default"/>
                <w:sz w:val="21"/>
                <w:szCs w:val="21"/>
              </w:rPr>
              <w:t>行；报告</w:t>
            </w:r>
            <w:r>
              <w:rPr>
                <w:rFonts w:ascii="宋体" w:hAnsi="宋体" w:cs="宋体" w:eastAsia="宋体" w:hint="default"/>
                <w:w w:val="100"/>
                <w:sz w:val="21"/>
                <w:szCs w:val="21"/>
              </w:rPr>
              <w:t> </w:t>
            </w:r>
            <w:r>
              <w:rPr>
                <w:rFonts w:ascii="宋体" w:hAnsi="宋体" w:cs="宋体" w:eastAsia="宋体" w:hint="default"/>
                <w:sz w:val="21"/>
                <w:szCs w:val="21"/>
              </w:rPr>
              <w:t>期末，锐</w:t>
            </w:r>
            <w:r>
              <w:rPr>
                <w:rFonts w:ascii="宋体" w:hAnsi="宋体" w:cs="宋体" w:eastAsia="宋体" w:hint="default"/>
                <w:w w:val="100"/>
                <w:sz w:val="21"/>
                <w:szCs w:val="21"/>
              </w:rPr>
              <w:t> </w:t>
            </w:r>
            <w:r>
              <w:rPr>
                <w:rFonts w:ascii="宋体" w:hAnsi="宋体" w:cs="宋体" w:eastAsia="宋体" w:hint="default"/>
                <w:sz w:val="21"/>
                <w:szCs w:val="21"/>
              </w:rPr>
              <w:t>达投资、</w:t>
            </w:r>
            <w:r>
              <w:rPr>
                <w:rFonts w:ascii="宋体" w:hAnsi="宋体" w:cs="宋体" w:eastAsia="宋体" w:hint="default"/>
                <w:w w:val="100"/>
                <w:sz w:val="21"/>
                <w:szCs w:val="21"/>
              </w:rPr>
              <w:t> </w:t>
            </w:r>
            <w:r>
              <w:rPr>
                <w:rFonts w:ascii="宋体" w:hAnsi="宋体" w:cs="宋体" w:eastAsia="宋体" w:hint="default"/>
                <w:sz w:val="21"/>
                <w:szCs w:val="21"/>
              </w:rPr>
              <w:t>香港华</w:t>
            </w:r>
            <w:r>
              <w:rPr>
                <w:rFonts w:ascii="宋体" w:hAnsi="宋体" w:cs="宋体" w:eastAsia="宋体" w:hint="default"/>
                <w:spacing w:val="-102"/>
                <w:sz w:val="21"/>
                <w:szCs w:val="21"/>
              </w:rPr>
              <w:t> </w:t>
            </w:r>
            <w:r>
              <w:rPr>
                <w:rFonts w:ascii="宋体" w:hAnsi="宋体" w:cs="宋体" w:eastAsia="宋体" w:hint="default"/>
                <w:sz w:val="21"/>
                <w:szCs w:val="21"/>
              </w:rPr>
              <w:t>声、远茂</w:t>
            </w:r>
            <w:r>
              <w:rPr>
                <w:rFonts w:ascii="宋体" w:hAnsi="宋体" w:cs="宋体" w:eastAsia="宋体" w:hint="default"/>
                <w:w w:val="100"/>
                <w:sz w:val="21"/>
                <w:szCs w:val="21"/>
              </w:rPr>
              <w:t> </w:t>
            </w:r>
            <w:r>
              <w:rPr>
                <w:rFonts w:ascii="宋体" w:hAnsi="宋体" w:cs="宋体" w:eastAsia="宋体" w:hint="default"/>
                <w:sz w:val="21"/>
                <w:szCs w:val="21"/>
              </w:rPr>
              <w:t>化工不再</w:t>
            </w:r>
            <w:r>
              <w:rPr>
                <w:rFonts w:ascii="宋体" w:hAnsi="宋体" w:cs="宋体" w:eastAsia="宋体" w:hint="default"/>
                <w:w w:val="100"/>
                <w:sz w:val="21"/>
                <w:szCs w:val="21"/>
              </w:rPr>
              <w:t> </w:t>
            </w:r>
            <w:r>
              <w:rPr>
                <w:rFonts w:ascii="宋体" w:hAnsi="宋体" w:cs="宋体" w:eastAsia="宋体" w:hint="default"/>
                <w:sz w:val="21"/>
                <w:szCs w:val="21"/>
              </w:rPr>
              <w:t>持有公司</w:t>
            </w:r>
            <w:r>
              <w:rPr>
                <w:rFonts w:ascii="宋体" w:hAnsi="宋体" w:cs="宋体" w:eastAsia="宋体" w:hint="default"/>
                <w:w w:val="100"/>
                <w:sz w:val="21"/>
                <w:szCs w:val="21"/>
              </w:rPr>
              <w:t> </w:t>
            </w:r>
            <w:r>
              <w:rPr>
                <w:rFonts w:ascii="宋体" w:hAnsi="宋体" w:cs="宋体" w:eastAsia="宋体" w:hint="default"/>
                <w:sz w:val="21"/>
                <w:szCs w:val="21"/>
              </w:rPr>
              <w:t>股份；罗</w:t>
            </w:r>
            <w:r>
              <w:rPr>
                <w:rFonts w:ascii="宋体" w:hAnsi="宋体" w:cs="宋体" w:eastAsia="宋体" w:hint="default"/>
                <w:w w:val="100"/>
                <w:sz w:val="21"/>
                <w:szCs w:val="21"/>
              </w:rPr>
              <w:t> </w:t>
            </w:r>
            <w:r>
              <w:rPr>
                <w:rFonts w:ascii="宋体" w:hAnsi="宋体" w:cs="宋体" w:eastAsia="宋体" w:hint="default"/>
                <w:sz w:val="21"/>
                <w:szCs w:val="21"/>
              </w:rPr>
              <w:t>桥胜、冯</w:t>
            </w:r>
            <w:r>
              <w:rPr>
                <w:rFonts w:ascii="宋体" w:hAnsi="宋体" w:cs="宋体" w:eastAsia="宋体" w:hint="default"/>
                <w:w w:val="100"/>
                <w:sz w:val="21"/>
                <w:szCs w:val="21"/>
              </w:rPr>
              <w:t> </w:t>
            </w:r>
            <w:r>
              <w:rPr>
                <w:rFonts w:ascii="宋体" w:hAnsi="宋体" w:cs="宋体" w:eastAsia="宋体" w:hint="default"/>
                <w:sz w:val="21"/>
                <w:szCs w:val="21"/>
              </w:rPr>
              <w:t>倩红不再</w:t>
            </w:r>
            <w:r>
              <w:rPr>
                <w:rFonts w:ascii="宋体" w:hAnsi="宋体" w:cs="宋体" w:eastAsia="宋体" w:hint="default"/>
                <w:w w:val="100"/>
                <w:sz w:val="21"/>
                <w:szCs w:val="21"/>
              </w:rPr>
              <w:t> </w:t>
            </w:r>
            <w:r>
              <w:rPr>
                <w:rFonts w:ascii="宋体" w:hAnsi="宋体" w:cs="宋体" w:eastAsia="宋体" w:hint="default"/>
                <w:sz w:val="21"/>
                <w:szCs w:val="21"/>
              </w:rPr>
              <w:t>为公司实</w:t>
            </w:r>
            <w:r>
              <w:rPr>
                <w:rFonts w:ascii="宋体" w:hAnsi="宋体" w:cs="宋体" w:eastAsia="宋体" w:hint="default"/>
                <w:w w:val="100"/>
                <w:sz w:val="21"/>
                <w:szCs w:val="21"/>
              </w:rPr>
              <w:t> </w:t>
            </w:r>
            <w:r>
              <w:rPr>
                <w:rFonts w:ascii="宋体" w:hAnsi="宋体" w:cs="宋体" w:eastAsia="宋体" w:hint="default"/>
                <w:sz w:val="21"/>
                <w:szCs w:val="21"/>
              </w:rPr>
              <w:t>际控制</w:t>
            </w:r>
            <w:r>
              <w:rPr>
                <w:rFonts w:ascii="宋体" w:hAnsi="宋体" w:cs="宋体" w:eastAsia="宋体" w:hint="default"/>
                <w:spacing w:val="-102"/>
                <w:sz w:val="21"/>
                <w:szCs w:val="21"/>
              </w:rPr>
              <w:t> </w:t>
            </w:r>
            <w:r>
              <w:rPr>
                <w:rFonts w:ascii="宋体" w:hAnsi="宋体" w:cs="宋体" w:eastAsia="宋体" w:hint="default"/>
                <w:sz w:val="21"/>
                <w:szCs w:val="21"/>
              </w:rPr>
              <w:t>人。</w:t>
            </w:r>
          </w:p>
        </w:tc>
      </w:tr>
      <w:tr>
        <w:trPr>
          <w:trHeight w:val="5979" w:hRule="exact"/>
        </w:trPr>
        <w:tc>
          <w:tcPr>
            <w:tcW w:w="993" w:type="dxa"/>
            <w:vMerge/>
            <w:tcBorders>
              <w:left w:val="single" w:sz="4" w:space="0" w:color="000000"/>
              <w:bottom w:val="single" w:sz="4" w:space="0" w:color="000000"/>
              <w:right w:val="single" w:sz="4" w:space="0" w:color="000000"/>
            </w:tcBorders>
            <w:shd w:val="clear" w:color="auto" w:fill="D2D2D2"/>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1" w:lineRule="auto" w:before="131"/>
              <w:ind w:left="23" w:right="113"/>
              <w:jc w:val="left"/>
              <w:rPr>
                <w:rFonts w:ascii="宋体" w:hAnsi="宋体" w:cs="宋体" w:eastAsia="宋体" w:hint="default"/>
                <w:sz w:val="21"/>
                <w:szCs w:val="21"/>
              </w:rPr>
            </w:pPr>
            <w:r>
              <w:rPr>
                <w:rFonts w:ascii="宋体" w:hAnsi="宋体" w:cs="宋体" w:eastAsia="宋体" w:hint="default"/>
                <w:sz w:val="21"/>
                <w:szCs w:val="21"/>
              </w:rPr>
              <w:t>罗桥胜、</w:t>
            </w:r>
            <w:r>
              <w:rPr>
                <w:rFonts w:ascii="宋体" w:hAnsi="宋体" w:cs="宋体" w:eastAsia="宋体" w:hint="default"/>
                <w:w w:val="100"/>
                <w:sz w:val="21"/>
                <w:szCs w:val="21"/>
              </w:rPr>
              <w:t> </w:t>
            </w:r>
            <w:r>
              <w:rPr>
                <w:rFonts w:ascii="宋体" w:hAnsi="宋体" w:cs="宋体" w:eastAsia="宋体" w:hint="default"/>
                <w:sz w:val="21"/>
                <w:szCs w:val="21"/>
              </w:rPr>
              <w:t>冯倩红</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其他承诺</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68" w:lineRule="auto" w:before="28"/>
              <w:ind w:left="26" w:right="-27"/>
              <w:jc w:val="both"/>
              <w:rPr>
                <w:rFonts w:ascii="宋体" w:hAnsi="宋体" w:cs="宋体" w:eastAsia="宋体" w:hint="default"/>
                <w:sz w:val="21"/>
                <w:szCs w:val="21"/>
              </w:rPr>
            </w:pPr>
            <w:r>
              <w:rPr>
                <w:rFonts w:ascii="Times New Roman" w:hAnsi="Times New Roman" w:cs="Times New Roman" w:eastAsia="Times New Roman" w:hint="default"/>
                <w:spacing w:val="-4"/>
                <w:sz w:val="21"/>
                <w:szCs w:val="21"/>
              </w:rPr>
              <w:t>1</w:t>
            </w:r>
            <w:r>
              <w:rPr>
                <w:rFonts w:ascii="宋体" w:hAnsi="宋体" w:cs="宋体" w:eastAsia="宋体" w:hint="default"/>
                <w:spacing w:val="-4"/>
                <w:sz w:val="21"/>
                <w:szCs w:val="21"/>
              </w:rPr>
              <w:t>、在香港华声持有公司股份期间，保证</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促使香港华声和锐达投资不终止并完全</w:t>
            </w:r>
            <w:r>
              <w:rPr>
                <w:rFonts w:ascii="宋体" w:hAnsi="宋体" w:cs="宋体" w:eastAsia="宋体" w:hint="default"/>
                <w:w w:val="100"/>
                <w:sz w:val="21"/>
                <w:szCs w:val="21"/>
              </w:rPr>
              <w:t> </w:t>
            </w:r>
            <w:r>
              <w:rPr>
                <w:rFonts w:ascii="宋体" w:hAnsi="宋体" w:cs="宋体" w:eastAsia="宋体" w:hint="default"/>
                <w:sz w:val="21"/>
                <w:szCs w:val="21"/>
              </w:rPr>
              <w:t>履行于</w:t>
            </w:r>
            <w:r>
              <w:rPr>
                <w:rFonts w:ascii="宋体" w:hAnsi="宋体" w:cs="宋体" w:eastAsia="宋体" w:hint="default"/>
                <w:spacing w:val="-53"/>
                <w:sz w:val="21"/>
                <w:szCs w:val="21"/>
              </w:rPr>
              <w:t> </w:t>
            </w: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日签署的《股份</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0"/>
                <w:w w:val="100"/>
                <w:sz w:val="21"/>
                <w:szCs w:val="21"/>
              </w:rPr>
              <w:t>委托管理协议书》，不再通过香港华声行</w:t>
            </w:r>
            <w:r>
              <w:rPr>
                <w:rFonts w:ascii="宋体" w:hAnsi="宋体" w:cs="宋体" w:eastAsia="宋体" w:hint="default"/>
                <w:spacing w:val="-99"/>
                <w:w w:val="100"/>
                <w:sz w:val="21"/>
                <w:szCs w:val="21"/>
              </w:rPr>
              <w:t> </w:t>
            </w:r>
            <w:r>
              <w:rPr>
                <w:rFonts w:ascii="宋体" w:hAnsi="宋体" w:cs="宋体" w:eastAsia="宋体" w:hint="default"/>
                <w:spacing w:val="-99"/>
                <w:w w:val="100"/>
                <w:sz w:val="21"/>
                <w:szCs w:val="21"/>
              </w:rPr>
            </w:r>
            <w:r>
              <w:rPr>
                <w:rFonts w:ascii="宋体" w:hAnsi="宋体" w:cs="宋体" w:eastAsia="宋体" w:hint="default"/>
                <w:sz w:val="21"/>
                <w:szCs w:val="21"/>
              </w:rPr>
              <w:t>使除资产收益权和处置权以外的其他全</w:t>
            </w:r>
            <w:r>
              <w:rPr>
                <w:rFonts w:ascii="宋体" w:hAnsi="宋体" w:cs="宋体" w:eastAsia="宋体" w:hint="default"/>
                <w:w w:val="100"/>
                <w:sz w:val="21"/>
                <w:szCs w:val="21"/>
              </w:rPr>
              <w:t> </w:t>
            </w:r>
            <w:r>
              <w:rPr>
                <w:rFonts w:ascii="宋体" w:hAnsi="宋体" w:cs="宋体" w:eastAsia="宋体" w:hint="default"/>
                <w:spacing w:val="-4"/>
                <w:sz w:val="21"/>
                <w:szCs w:val="21"/>
              </w:rPr>
              <w:t>部股东权利。</w:t>
            </w:r>
            <w:r>
              <w:rPr>
                <w:rFonts w:ascii="Times New Roman" w:hAnsi="Times New Roman" w:cs="Times New Roman" w:eastAsia="Times New Roman" w:hint="default"/>
                <w:spacing w:val="-4"/>
                <w:sz w:val="21"/>
                <w:szCs w:val="21"/>
              </w:rPr>
              <w:t>2</w:t>
            </w:r>
            <w:r>
              <w:rPr>
                <w:rFonts w:ascii="宋体" w:hAnsi="宋体" w:cs="宋体" w:eastAsia="宋体" w:hint="default"/>
                <w:spacing w:val="-4"/>
                <w:sz w:val="21"/>
                <w:szCs w:val="21"/>
              </w:rPr>
              <w:t>、在香港华声持有公司股</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份期间，保证不转让香港华声和锐达投</w:t>
            </w:r>
            <w:r>
              <w:rPr>
                <w:rFonts w:ascii="宋体" w:hAnsi="宋体" w:cs="宋体" w:eastAsia="宋体" w:hint="default"/>
                <w:w w:val="100"/>
                <w:sz w:val="21"/>
                <w:szCs w:val="21"/>
              </w:rPr>
              <w:t> </w:t>
            </w:r>
            <w:r>
              <w:rPr>
                <w:rFonts w:ascii="宋体" w:hAnsi="宋体" w:cs="宋体" w:eastAsia="宋体" w:hint="default"/>
                <w:sz w:val="21"/>
                <w:szCs w:val="21"/>
              </w:rPr>
              <w:t>资的股权或引进新的股东；保证维持香</w:t>
            </w:r>
            <w:r>
              <w:rPr>
                <w:rFonts w:ascii="宋体" w:hAnsi="宋体" w:cs="宋体" w:eastAsia="宋体" w:hint="default"/>
                <w:w w:val="100"/>
                <w:sz w:val="21"/>
                <w:szCs w:val="21"/>
              </w:rPr>
              <w:t> </w:t>
            </w:r>
            <w:r>
              <w:rPr>
                <w:rFonts w:ascii="宋体" w:hAnsi="宋体" w:cs="宋体" w:eastAsia="宋体" w:hint="default"/>
                <w:sz w:val="21"/>
                <w:szCs w:val="21"/>
              </w:rPr>
              <w:t>港华声及锐达投资的董事不变，即香港</w:t>
            </w:r>
            <w:r>
              <w:rPr>
                <w:rFonts w:ascii="宋体" w:hAnsi="宋体" w:cs="宋体" w:eastAsia="宋体" w:hint="default"/>
                <w:w w:val="100"/>
                <w:sz w:val="21"/>
                <w:szCs w:val="21"/>
              </w:rPr>
              <w:t> </w:t>
            </w:r>
            <w:r>
              <w:rPr>
                <w:rFonts w:ascii="宋体" w:hAnsi="宋体" w:cs="宋体" w:eastAsia="宋体" w:hint="default"/>
                <w:sz w:val="21"/>
                <w:szCs w:val="21"/>
              </w:rPr>
              <w:t>华声的董事为罗桥胜及冯倩红，锐达投</w:t>
            </w:r>
            <w:r>
              <w:rPr>
                <w:rFonts w:ascii="宋体" w:hAnsi="宋体" w:cs="宋体" w:eastAsia="宋体" w:hint="default"/>
                <w:w w:val="100"/>
                <w:sz w:val="21"/>
                <w:szCs w:val="21"/>
              </w:rPr>
              <w:t> </w:t>
            </w:r>
            <w:r>
              <w:rPr>
                <w:rFonts w:ascii="宋体" w:hAnsi="宋体" w:cs="宋体" w:eastAsia="宋体" w:hint="default"/>
                <w:spacing w:val="-4"/>
                <w:sz w:val="21"/>
                <w:szCs w:val="21"/>
              </w:rPr>
              <w:t>资的执行董事为罗桥胜。</w:t>
            </w:r>
            <w:r>
              <w:rPr>
                <w:rFonts w:ascii="Times New Roman" w:hAnsi="Times New Roman" w:cs="Times New Roman" w:eastAsia="Times New Roman" w:hint="default"/>
                <w:spacing w:val="-4"/>
                <w:sz w:val="21"/>
                <w:szCs w:val="21"/>
              </w:rPr>
              <w:t>3</w:t>
            </w:r>
            <w:r>
              <w:rPr>
                <w:rFonts w:ascii="宋体" w:hAnsi="宋体" w:cs="宋体" w:eastAsia="宋体" w:hint="default"/>
                <w:spacing w:val="-4"/>
                <w:sz w:val="21"/>
                <w:szCs w:val="21"/>
              </w:rPr>
              <w:t>、在香港华声</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及锐达投资所持公司股份达到法定减持</w:t>
            </w:r>
            <w:r>
              <w:rPr>
                <w:rFonts w:ascii="宋体" w:hAnsi="宋体" w:cs="宋体" w:eastAsia="宋体" w:hint="default"/>
                <w:w w:val="100"/>
                <w:sz w:val="21"/>
                <w:szCs w:val="21"/>
              </w:rPr>
              <w:t> </w:t>
            </w:r>
            <w:r>
              <w:rPr>
                <w:rFonts w:ascii="宋体" w:hAnsi="宋体" w:cs="宋体" w:eastAsia="宋体" w:hint="default"/>
                <w:sz w:val="21"/>
                <w:szCs w:val="21"/>
              </w:rPr>
              <w:t>条件并依法减持时，保证先减持香港华</w:t>
            </w:r>
            <w:r>
              <w:rPr>
                <w:rFonts w:ascii="宋体" w:hAnsi="宋体" w:cs="宋体" w:eastAsia="宋体" w:hint="default"/>
                <w:w w:val="100"/>
                <w:sz w:val="21"/>
                <w:szCs w:val="21"/>
              </w:rPr>
              <w:t> </w:t>
            </w:r>
            <w:r>
              <w:rPr>
                <w:rFonts w:ascii="宋体" w:hAnsi="宋体" w:cs="宋体" w:eastAsia="宋体" w:hint="default"/>
                <w:sz w:val="21"/>
                <w:szCs w:val="21"/>
              </w:rPr>
              <w:t>声所持公司的股份；在香港华声所持公</w:t>
            </w:r>
            <w:r>
              <w:rPr>
                <w:rFonts w:ascii="宋体" w:hAnsi="宋体" w:cs="宋体" w:eastAsia="宋体" w:hint="default"/>
                <w:w w:val="100"/>
                <w:sz w:val="21"/>
                <w:szCs w:val="21"/>
              </w:rPr>
              <w:t> </w:t>
            </w:r>
            <w:r>
              <w:rPr>
                <w:rFonts w:ascii="宋体" w:hAnsi="宋体" w:cs="宋体" w:eastAsia="宋体" w:hint="default"/>
                <w:sz w:val="21"/>
                <w:szCs w:val="21"/>
              </w:rPr>
              <w:t>司的股份减持完毕之前，不减持锐达投</w:t>
            </w:r>
            <w:r>
              <w:rPr>
                <w:rFonts w:ascii="宋体" w:hAnsi="宋体" w:cs="宋体" w:eastAsia="宋体" w:hint="default"/>
                <w:w w:val="100"/>
                <w:sz w:val="21"/>
                <w:szCs w:val="21"/>
              </w:rPr>
              <w:t> </w:t>
            </w:r>
            <w:r>
              <w:rPr>
                <w:rFonts w:ascii="宋体" w:hAnsi="宋体" w:cs="宋体" w:eastAsia="宋体" w:hint="default"/>
                <w:spacing w:val="-4"/>
                <w:sz w:val="21"/>
                <w:szCs w:val="21"/>
              </w:rPr>
              <w:t>资所持公司的股份。</w:t>
            </w:r>
            <w:r>
              <w:rPr>
                <w:rFonts w:ascii="Times New Roman" w:hAnsi="Times New Roman" w:cs="Times New Roman" w:eastAsia="Times New Roman" w:hint="default"/>
                <w:spacing w:val="-4"/>
                <w:sz w:val="21"/>
                <w:szCs w:val="21"/>
              </w:rPr>
              <w:t>4</w:t>
            </w:r>
            <w:r>
              <w:rPr>
                <w:rFonts w:ascii="宋体" w:hAnsi="宋体" w:cs="宋体" w:eastAsia="宋体" w:hint="default"/>
                <w:spacing w:val="-4"/>
                <w:sz w:val="21"/>
                <w:szCs w:val="21"/>
              </w:rPr>
              <w:t>、保证无条件配合</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中国证监会及其派出机构、主管部门、</w:t>
            </w:r>
            <w:r>
              <w:rPr>
                <w:rFonts w:ascii="宋体" w:hAnsi="宋体" w:cs="宋体" w:eastAsia="宋体" w:hint="default"/>
                <w:w w:val="100"/>
                <w:sz w:val="21"/>
                <w:szCs w:val="21"/>
              </w:rPr>
              <w:t> </w:t>
            </w:r>
            <w:r>
              <w:rPr>
                <w:rFonts w:ascii="宋体" w:hAnsi="宋体" w:cs="宋体" w:eastAsia="宋体" w:hint="default"/>
                <w:sz w:val="21"/>
                <w:szCs w:val="21"/>
              </w:rPr>
              <w:t>保荐机构、律师、会计师对香港华声的</w:t>
            </w:r>
            <w:r>
              <w:rPr>
                <w:rFonts w:ascii="宋体" w:hAnsi="宋体" w:cs="宋体" w:eastAsia="宋体" w:hint="default"/>
                <w:w w:val="100"/>
                <w:sz w:val="21"/>
                <w:szCs w:val="21"/>
              </w:rPr>
              <w:t> </w:t>
            </w:r>
            <w:r>
              <w:rPr>
                <w:rFonts w:ascii="宋体" w:hAnsi="宋体" w:cs="宋体" w:eastAsia="宋体" w:hint="default"/>
                <w:spacing w:val="-2"/>
                <w:sz w:val="21"/>
                <w:szCs w:val="21"/>
              </w:rPr>
              <w:t>监管及调查要求。</w:t>
            </w:r>
            <w:r>
              <w:rPr>
                <w:rFonts w:ascii="Times New Roman" w:hAnsi="Times New Roman" w:cs="Times New Roman" w:eastAsia="Times New Roman" w:hint="default"/>
                <w:spacing w:val="-2"/>
                <w:sz w:val="21"/>
                <w:szCs w:val="21"/>
              </w:rPr>
              <w:t>5</w:t>
            </w:r>
            <w:r>
              <w:rPr>
                <w:rFonts w:ascii="宋体" w:hAnsi="宋体" w:cs="宋体" w:eastAsia="宋体" w:hint="default"/>
                <w:spacing w:val="-2"/>
                <w:sz w:val="21"/>
                <w:szCs w:val="21"/>
              </w:rPr>
              <w:t>、若违背上述承诺，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31"/>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04</w:t>
            </w:r>
          </w:p>
          <w:p>
            <w:pPr>
              <w:pStyle w:val="TableParagraph"/>
              <w:spacing w:line="240" w:lineRule="auto" w:before="19"/>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长期</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66" w:lineRule="auto"/>
              <w:ind w:left="24" w:right="41"/>
              <w:jc w:val="left"/>
              <w:rPr>
                <w:rFonts w:ascii="宋体" w:hAnsi="宋体" w:cs="宋体" w:eastAsia="宋体" w:hint="default"/>
                <w:sz w:val="21"/>
                <w:szCs w:val="21"/>
              </w:rPr>
            </w:pPr>
            <w:r>
              <w:rPr>
                <w:rFonts w:ascii="宋体" w:hAnsi="宋体" w:cs="宋体" w:eastAsia="宋体" w:hint="default"/>
                <w:sz w:val="21"/>
                <w:szCs w:val="21"/>
              </w:rPr>
              <w:t>严格履</w:t>
            </w:r>
            <w:r>
              <w:rPr>
                <w:rFonts w:ascii="宋体" w:hAnsi="宋体" w:cs="宋体" w:eastAsia="宋体" w:hint="default"/>
                <w:spacing w:val="-102"/>
                <w:sz w:val="21"/>
                <w:szCs w:val="21"/>
              </w:rPr>
              <w:t> </w:t>
            </w:r>
            <w:r>
              <w:rPr>
                <w:rFonts w:ascii="宋体" w:hAnsi="宋体" w:cs="宋体" w:eastAsia="宋体" w:hint="default"/>
                <w:sz w:val="21"/>
                <w:szCs w:val="21"/>
              </w:rPr>
              <w:t>行；</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日至今香</w:t>
            </w:r>
            <w:r>
              <w:rPr>
                <w:rFonts w:ascii="宋体" w:hAnsi="宋体" w:cs="宋体" w:eastAsia="宋体" w:hint="default"/>
                <w:w w:val="100"/>
                <w:sz w:val="21"/>
                <w:szCs w:val="21"/>
              </w:rPr>
              <w:t> </w:t>
            </w:r>
            <w:r>
              <w:rPr>
                <w:rFonts w:ascii="宋体" w:hAnsi="宋体" w:cs="宋体" w:eastAsia="宋体" w:hint="default"/>
                <w:sz w:val="21"/>
                <w:szCs w:val="21"/>
              </w:rPr>
              <w:t>港华声未</w:t>
            </w:r>
            <w:r>
              <w:rPr>
                <w:rFonts w:ascii="宋体" w:hAnsi="宋体" w:cs="宋体" w:eastAsia="宋体" w:hint="default"/>
                <w:w w:val="100"/>
                <w:sz w:val="21"/>
                <w:szCs w:val="21"/>
              </w:rPr>
              <w:t> </w:t>
            </w:r>
            <w:r>
              <w:rPr>
                <w:rFonts w:ascii="宋体" w:hAnsi="宋体" w:cs="宋体" w:eastAsia="宋体" w:hint="default"/>
                <w:sz w:val="21"/>
                <w:szCs w:val="21"/>
              </w:rPr>
              <w:t>持有公司</w:t>
            </w:r>
            <w:r>
              <w:rPr>
                <w:rFonts w:ascii="宋体" w:hAnsi="宋体" w:cs="宋体" w:eastAsia="宋体" w:hint="default"/>
                <w:w w:val="100"/>
                <w:sz w:val="21"/>
                <w:szCs w:val="21"/>
              </w:rPr>
              <w:t> </w:t>
            </w:r>
            <w:r>
              <w:rPr>
                <w:rFonts w:ascii="宋体" w:hAnsi="宋体" w:cs="宋体" w:eastAsia="宋体" w:hint="default"/>
                <w:sz w:val="21"/>
                <w:szCs w:val="21"/>
              </w:rPr>
              <w:t>股份。</w:t>
            </w:r>
          </w:p>
        </w:tc>
      </w:tr>
    </w:tbl>
    <w:p>
      <w:pPr>
        <w:spacing w:after="0" w:line="266" w:lineRule="auto"/>
        <w:jc w:val="left"/>
        <w:rPr>
          <w:rFonts w:ascii="宋体" w:hAnsi="宋体" w:cs="宋体" w:eastAsia="宋体" w:hint="default"/>
          <w:sz w:val="21"/>
          <w:szCs w:val="21"/>
        </w:rPr>
        <w:sectPr>
          <w:pgSz w:w="11910" w:h="16840"/>
          <w:pgMar w:header="877" w:footer="979"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994"/>
        <w:gridCol w:w="991"/>
        <w:gridCol w:w="992"/>
        <w:gridCol w:w="3687"/>
        <w:gridCol w:w="994"/>
        <w:gridCol w:w="991"/>
        <w:gridCol w:w="919"/>
      </w:tblGrid>
      <w:tr>
        <w:trPr>
          <w:trHeight w:val="987"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74"/>
              <w:jc w:val="both"/>
              <w:rPr>
                <w:rFonts w:ascii="宋体" w:hAnsi="宋体" w:cs="宋体" w:eastAsia="宋体" w:hint="default"/>
                <w:sz w:val="21"/>
                <w:szCs w:val="21"/>
              </w:rPr>
            </w:pPr>
            <w:r>
              <w:rPr>
                <w:rFonts w:ascii="宋体" w:hAnsi="宋体" w:cs="宋体" w:eastAsia="宋体" w:hint="default"/>
                <w:spacing w:val="-2"/>
                <w:sz w:val="21"/>
                <w:szCs w:val="21"/>
              </w:rPr>
              <w:t>除承担相关处罚等法律责任及向有关利</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益方承担损害赔偿责任外，还将向公司</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一次支付赔偿金</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w:t>
            </w: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666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承诺是否按时履行</w:t>
            </w:r>
          </w:p>
        </w:tc>
        <w:tc>
          <w:tcPr>
            <w:tcW w:w="2905"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left="16"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715" w:hRule="exact"/>
        </w:trPr>
        <w:tc>
          <w:tcPr>
            <w:tcW w:w="666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4" w:right="111"/>
              <w:jc w:val="left"/>
              <w:rPr>
                <w:rFonts w:ascii="宋体" w:hAnsi="宋体" w:cs="宋体" w:eastAsia="宋体" w:hint="default"/>
                <w:sz w:val="21"/>
                <w:szCs w:val="21"/>
              </w:rPr>
            </w:pPr>
            <w:r>
              <w:rPr>
                <w:rFonts w:ascii="宋体" w:hAnsi="宋体" w:cs="宋体" w:eastAsia="宋体" w:hint="default"/>
                <w:spacing w:val="-2"/>
                <w:sz w:val="21"/>
                <w:szCs w:val="21"/>
              </w:rPr>
              <w:t>如承诺超期未履行完毕的，应当详细说明未完成履行的具体原因及下一</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步的工作计划</w:t>
            </w:r>
          </w:p>
        </w:tc>
        <w:tc>
          <w:tcPr>
            <w:tcW w:w="2905"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16"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spacing w:line="240" w:lineRule="auto" w:before="10"/>
        <w:rPr>
          <w:rFonts w:ascii="Times New Roman" w:hAnsi="Times New Roman" w:cs="Times New Roman" w:eastAsia="Times New Roman" w:hint="default"/>
          <w:sz w:val="21"/>
          <w:szCs w:val="21"/>
        </w:rPr>
      </w:pPr>
    </w:p>
    <w:p>
      <w:pPr>
        <w:pStyle w:val="Heading4"/>
        <w:tabs>
          <w:tab w:pos="8165" w:val="left" w:leader="none"/>
        </w:tabs>
        <w:spacing w:line="259" w:lineRule="auto" w:before="36"/>
        <w:ind w:right="214"/>
        <w:jc w:val="left"/>
        <w:rPr>
          <w:rFonts w:ascii="宋体" w:hAnsi="宋体" w:cs="宋体" w:eastAsia="宋体" w:hint="default"/>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4"/>
        </w:rPr>
        <w:t> </w:t>
      </w:r>
      <w:r>
        <w:rPr>
          <w:spacing w:val="-64"/>
        </w:rPr>
      </w:r>
      <w:r>
        <w:rPr/>
        <w:t>其原因做出说明</w:t>
        <w:tab/>
      </w:r>
      <w:r>
        <w:rPr>
          <w:rFonts w:ascii="Times New Roman" w:hAnsi="Times New Roman" w:cs="Times New Roman" w:eastAsia="Times New Roman" w:hint="default"/>
          <w:b w:val="0"/>
          <w:bCs w:val="0"/>
        </w:rPr>
        <w:t>□  </w:t>
      </w:r>
      <w:r>
        <w:rPr>
          <w:rFonts w:ascii="宋体" w:hAnsi="宋体" w:cs="宋体" w:eastAsia="宋体" w:hint="default"/>
          <w:b w:val="0"/>
          <w:bCs w:val="0"/>
        </w:rPr>
        <w:t>适用 </w:t>
      </w:r>
      <w:r>
        <w:rPr>
          <w:rFonts w:ascii="Times New Roman" w:hAnsi="Times New Roman" w:cs="Times New Roman" w:eastAsia="Times New Roman" w:hint="default"/>
          <w:b w:val="0"/>
          <w:bCs w:val="0"/>
        </w:rPr>
        <w:t>√</w:t>
      </w:r>
      <w:r>
        <w:rPr>
          <w:rFonts w:ascii="Times New Roman" w:hAnsi="Times New Roman" w:cs="Times New Roman" w:eastAsia="Times New Roman" w:hint="default"/>
          <w:b w:val="0"/>
          <w:bCs w:val="0"/>
          <w:spacing w:val="50"/>
        </w:rPr>
        <w:t> </w:t>
      </w:r>
      <w:r>
        <w:rPr>
          <w:rFonts w:ascii="宋体" w:hAnsi="宋体" w:cs="宋体" w:eastAsia="宋体" w:hint="default"/>
          <w:b w:val="0"/>
          <w:bCs w:val="0"/>
        </w:rPr>
        <w:t>不适用</w:t>
      </w:r>
    </w:p>
    <w:p>
      <w:pPr>
        <w:spacing w:line="240" w:lineRule="auto" w:before="2"/>
        <w:rPr>
          <w:rFonts w:ascii="宋体" w:hAnsi="宋体" w:cs="宋体" w:eastAsia="宋体" w:hint="default"/>
          <w:sz w:val="21"/>
          <w:szCs w:val="21"/>
        </w:rPr>
      </w:pPr>
    </w:p>
    <w:p>
      <w:pPr>
        <w:tabs>
          <w:tab w:pos="8182" w:val="left" w:leader="none"/>
        </w:tabs>
        <w:spacing w:line="491" w:lineRule="auto" w:before="0"/>
        <w:ind w:left="152" w:right="208" w:firstLine="0"/>
        <w:jc w:val="left"/>
        <w:rPr>
          <w:rFonts w:ascii="宋体" w:hAnsi="宋体" w:cs="宋体" w:eastAsia="宋体" w:hint="default"/>
          <w:sz w:val="24"/>
          <w:szCs w:val="24"/>
        </w:rPr>
      </w:pPr>
      <w:r>
        <w:rPr>
          <w:rFonts w:ascii="宋体" w:hAnsi="宋体" w:cs="宋体" w:eastAsia="宋体" w:hint="default"/>
          <w:b/>
          <w:bCs/>
          <w:spacing w:val="-1"/>
          <w:w w:val="95"/>
          <w:sz w:val="24"/>
          <w:szCs w:val="24"/>
        </w:rPr>
        <w:t>四、控股股东及其关联方对上市公司的非经营性占用资金情况</w:t>
        <w:tab/>
      </w: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6"/>
          <w:sz w:val="21"/>
          <w:szCs w:val="21"/>
        </w:rPr>
        <w:t> </w:t>
      </w:r>
      <w:r>
        <w:rPr>
          <w:rFonts w:ascii="宋体" w:hAnsi="宋体" w:cs="宋体" w:eastAsia="宋体" w:hint="default"/>
          <w:spacing w:val="-1"/>
          <w:sz w:val="21"/>
          <w:szCs w:val="21"/>
        </w:rPr>
        <w:t>不适用</w:t>
      </w:r>
      <w:r>
        <w:rPr>
          <w:rFonts w:ascii="宋体" w:hAnsi="宋体" w:cs="宋体" w:eastAsia="宋体" w:hint="default"/>
          <w:w w:val="100"/>
          <w:sz w:val="21"/>
          <w:szCs w:val="21"/>
        </w:rPr>
        <w:t> </w:t>
      </w:r>
      <w:r>
        <w:rPr>
          <w:rFonts w:ascii="宋体" w:hAnsi="宋体" w:cs="宋体" w:eastAsia="宋体" w:hint="default"/>
          <w:sz w:val="21"/>
          <w:szCs w:val="21"/>
        </w:rPr>
        <w:t>公司报告期不存在控股股东及其关联方对上市公司的非经营性占用资金。</w:t>
      </w:r>
      <w:r>
        <w:rPr>
          <w:rFonts w:ascii="宋体" w:hAnsi="宋体" w:cs="宋体" w:eastAsia="宋体" w:hint="default"/>
          <w:w w:val="100"/>
          <w:sz w:val="21"/>
          <w:szCs w:val="21"/>
        </w:rPr>
        <w:t> </w:t>
      </w:r>
      <w:r>
        <w:rPr>
          <w:rFonts w:ascii="宋体" w:hAnsi="宋体" w:cs="宋体" w:eastAsia="宋体" w:hint="default"/>
          <w:b/>
          <w:bCs/>
          <w:sz w:val="24"/>
          <w:szCs w:val="24"/>
        </w:rPr>
        <w:t>五、董事会、监事会、独立董事（如有）对会计师事务所本报告期</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非标准审计报告</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的说明</w:t>
      </w:r>
      <w:r>
        <w:rPr>
          <w:rFonts w:ascii="宋体" w:hAnsi="宋体" w:cs="宋体" w:eastAsia="宋体" w:hint="default"/>
          <w:sz w:val="24"/>
          <w:szCs w:val="24"/>
        </w:rPr>
      </w:r>
    </w:p>
    <w:p>
      <w:pPr>
        <w:pStyle w:val="BodyText"/>
        <w:spacing w:line="240" w:lineRule="auto" w:before="28"/>
        <w:ind w:right="10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8"/>
        <w:rPr>
          <w:rFonts w:ascii="宋体" w:hAnsi="宋体" w:cs="宋体" w:eastAsia="宋体" w:hint="default"/>
          <w:sz w:val="22"/>
          <w:szCs w:val="22"/>
        </w:rPr>
      </w:pPr>
    </w:p>
    <w:p>
      <w:pPr>
        <w:pStyle w:val="Heading2"/>
        <w:spacing w:line="240" w:lineRule="auto"/>
        <w:ind w:right="105"/>
        <w:jc w:val="left"/>
        <w:rPr>
          <w:b w:val="0"/>
          <w:bCs w:val="0"/>
        </w:rPr>
      </w:pPr>
      <w:r>
        <w:rPr/>
        <w:t>六、与上年度财务报告相比，会计政策、会计估计和核算方法发生变化的情况说明</w:t>
      </w:r>
      <w:r>
        <w:rPr>
          <w:b w:val="0"/>
          <w:bCs w:val="0"/>
        </w:rPr>
      </w:r>
    </w:p>
    <w:p>
      <w:pPr>
        <w:spacing w:line="240" w:lineRule="auto" w:before="12"/>
        <w:rPr>
          <w:rFonts w:ascii="宋体" w:hAnsi="宋体" w:cs="宋体" w:eastAsia="宋体" w:hint="default"/>
          <w:b/>
          <w:bCs/>
          <w:sz w:val="24"/>
          <w:szCs w:val="24"/>
        </w:rPr>
      </w:pPr>
    </w:p>
    <w:p>
      <w:pPr>
        <w:pStyle w:val="BodyText"/>
        <w:spacing w:line="290" w:lineRule="auto"/>
        <w:ind w:right="270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公司报告期无会计政策、会计估计和核算方法发生变化的情况。</w:t>
      </w:r>
    </w:p>
    <w:p>
      <w:pPr>
        <w:spacing w:line="240" w:lineRule="auto" w:before="6"/>
        <w:rPr>
          <w:rFonts w:ascii="宋体" w:hAnsi="宋体" w:cs="宋体" w:eastAsia="宋体" w:hint="default"/>
          <w:sz w:val="20"/>
          <w:szCs w:val="20"/>
        </w:rPr>
      </w:pPr>
    </w:p>
    <w:p>
      <w:pPr>
        <w:tabs>
          <w:tab w:pos="8103" w:val="left" w:leader="none"/>
        </w:tabs>
        <w:spacing w:line="491" w:lineRule="auto" w:before="0"/>
        <w:ind w:left="152" w:right="214" w:firstLine="0"/>
        <w:jc w:val="left"/>
        <w:rPr>
          <w:rFonts w:ascii="宋体" w:hAnsi="宋体" w:cs="宋体" w:eastAsia="宋体" w:hint="default"/>
          <w:sz w:val="21"/>
          <w:szCs w:val="21"/>
        </w:rPr>
      </w:pPr>
      <w:r>
        <w:rPr>
          <w:rFonts w:ascii="宋体" w:hAnsi="宋体" w:cs="宋体" w:eastAsia="宋体" w:hint="default"/>
          <w:b/>
          <w:bCs/>
          <w:w w:val="95"/>
          <w:sz w:val="24"/>
          <w:szCs w:val="24"/>
        </w:rPr>
        <w:t>七、报告期内发生重大会计差错更正需追溯重述的情况说明</w:t>
        <w:tab/>
      </w: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sz w:val="21"/>
          <w:szCs w:val="21"/>
        </w:rPr>
        <w:t>公司报告期无重大会计差错更正需追溯重述的情况。</w:t>
      </w:r>
      <w:r>
        <w:rPr>
          <w:rFonts w:ascii="宋体" w:hAnsi="宋体" w:cs="宋体" w:eastAsia="宋体" w:hint="default"/>
          <w:w w:val="100"/>
          <w:sz w:val="21"/>
          <w:szCs w:val="21"/>
        </w:rPr>
        <w:t> </w:t>
      </w:r>
      <w:r>
        <w:rPr>
          <w:rFonts w:ascii="宋体" w:hAnsi="宋体" w:cs="宋体" w:eastAsia="宋体" w:hint="default"/>
          <w:b/>
          <w:bCs/>
          <w:spacing w:val="-1"/>
          <w:w w:val="95"/>
          <w:sz w:val="24"/>
          <w:szCs w:val="24"/>
        </w:rPr>
        <w:t>八、与上年度财务报告相比，合并报表范围发生变化的情况说明</w:t>
        <w:tab/>
      </w: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6"/>
          <w:sz w:val="21"/>
          <w:szCs w:val="21"/>
        </w:rPr>
        <w:t> </w:t>
      </w:r>
      <w:r>
        <w:rPr>
          <w:rFonts w:ascii="宋体" w:hAnsi="宋体" w:cs="宋体" w:eastAsia="宋体" w:hint="default"/>
          <w:spacing w:val="-3"/>
          <w:sz w:val="21"/>
          <w:szCs w:val="21"/>
        </w:rPr>
        <w:t>不适用</w:t>
      </w:r>
      <w:r>
        <w:rPr>
          <w:rFonts w:ascii="宋体" w:hAnsi="宋体" w:cs="宋体" w:eastAsia="宋体" w:hint="default"/>
          <w:sz w:val="21"/>
          <w:szCs w:val="21"/>
        </w:rPr>
      </w:r>
    </w:p>
    <w:p>
      <w:pPr>
        <w:pStyle w:val="BodyText"/>
        <w:spacing w:line="256" w:lineRule="auto" w:before="47"/>
        <w:ind w:right="105" w:firstLine="420"/>
        <w:jc w:val="left"/>
      </w:pPr>
      <w:r>
        <w:rPr/>
        <w:t>报告期内，公司新设全资子公司深圳华声、华声实业、</w:t>
      </w:r>
      <w:r>
        <w:rPr>
          <w:rFonts w:ascii="Times New Roman" w:hAnsi="Times New Roman" w:cs="Times New Roman" w:eastAsia="Times New Roman" w:hint="default"/>
        </w:rPr>
        <w:t>BVI</w:t>
      </w:r>
      <w:r>
        <w:rPr/>
        <w:t>华声、开曼华声、华声香港投资，上述企</w:t>
      </w:r>
      <w:r>
        <w:rPr>
          <w:w w:val="100"/>
        </w:rPr>
        <w:t> </w:t>
      </w:r>
      <w:r>
        <w:rPr>
          <w:spacing w:val="-5"/>
        </w:rPr>
        <w:t>业自成立之日起纳入合并范围；期内，公司新设控股子公司华声电缆，该公司自成立之日起纳入合并范围。</w:t>
      </w:r>
    </w:p>
    <w:p>
      <w:pPr>
        <w:spacing w:line="240" w:lineRule="auto" w:before="9"/>
        <w:rPr>
          <w:rFonts w:ascii="宋体" w:hAnsi="宋体" w:cs="宋体" w:eastAsia="宋体" w:hint="default"/>
          <w:sz w:val="22"/>
          <w:szCs w:val="22"/>
        </w:rPr>
      </w:pPr>
    </w:p>
    <w:p>
      <w:pPr>
        <w:pStyle w:val="Heading2"/>
        <w:spacing w:line="240" w:lineRule="auto"/>
        <w:ind w:right="105"/>
        <w:jc w:val="left"/>
        <w:rPr>
          <w:b w:val="0"/>
          <w:bCs w:val="0"/>
        </w:rPr>
      </w:pPr>
      <w:r>
        <w:rPr/>
        <w:t>九、聘任、解聘会计师事务所情况</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ind w:right="105"/>
        <w:jc w:val="left"/>
      </w:pPr>
      <w:r>
        <w:rPr/>
        <w:t>现聘任的会计师事务所</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4253"/>
        <w:gridCol w:w="5317"/>
      </w:tblGrid>
      <w:tr>
        <w:trPr>
          <w:trHeight w:val="401" w:hRule="exact"/>
        </w:trPr>
        <w:tc>
          <w:tcPr>
            <w:tcW w:w="4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5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立信会计师事务所（特殊普通合伙）</w:t>
            </w:r>
          </w:p>
        </w:tc>
      </w:tr>
      <w:tr>
        <w:trPr>
          <w:trHeight w:val="403" w:hRule="exact"/>
        </w:trPr>
        <w:tc>
          <w:tcPr>
            <w:tcW w:w="4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境内会计师事务所报酬（万元）</w:t>
            </w:r>
          </w:p>
        </w:tc>
        <w:tc>
          <w:tcPr>
            <w:tcW w:w="5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4" w:right="0"/>
              <w:jc w:val="left"/>
              <w:rPr>
                <w:rFonts w:ascii="Times New Roman" w:hAnsi="Times New Roman" w:cs="Times New Roman" w:eastAsia="Times New Roman" w:hint="default"/>
                <w:sz w:val="21"/>
                <w:szCs w:val="21"/>
              </w:rPr>
            </w:pPr>
            <w:r>
              <w:rPr>
                <w:rFonts w:ascii="Times New Roman"/>
                <w:sz w:val="21"/>
              </w:rPr>
              <w:t>80</w:t>
            </w:r>
          </w:p>
        </w:tc>
      </w:tr>
      <w:tr>
        <w:trPr>
          <w:trHeight w:val="401" w:hRule="exact"/>
        </w:trPr>
        <w:tc>
          <w:tcPr>
            <w:tcW w:w="4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境内会计师事务所审计服务的连续年限</w:t>
            </w:r>
          </w:p>
        </w:tc>
        <w:tc>
          <w:tcPr>
            <w:tcW w:w="5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4" w:right="0"/>
              <w:jc w:val="left"/>
              <w:rPr>
                <w:rFonts w:ascii="Times New Roman" w:hAnsi="Times New Roman" w:cs="Times New Roman" w:eastAsia="Times New Roman" w:hint="default"/>
                <w:sz w:val="21"/>
                <w:szCs w:val="21"/>
              </w:rPr>
            </w:pPr>
            <w:r>
              <w:rPr>
                <w:rFonts w:ascii="Times New Roman"/>
                <w:w w:val="100"/>
                <w:sz w:val="21"/>
              </w:rPr>
              <w:t>8</w:t>
            </w:r>
          </w:p>
        </w:tc>
      </w:tr>
      <w:tr>
        <w:trPr>
          <w:trHeight w:val="403" w:hRule="exact"/>
        </w:trPr>
        <w:tc>
          <w:tcPr>
            <w:tcW w:w="4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境内会计师事务所注册会计师姓名</w:t>
            </w:r>
          </w:p>
        </w:tc>
        <w:tc>
          <w:tcPr>
            <w:tcW w:w="5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杨志平、廖倩文</w:t>
            </w:r>
          </w:p>
        </w:tc>
      </w:tr>
    </w:tbl>
    <w:p>
      <w:pPr>
        <w:tabs>
          <w:tab w:pos="8871" w:val="left" w:leader="none"/>
        </w:tabs>
        <w:spacing w:before="28"/>
        <w:ind w:left="152" w:right="105" w:firstLine="0"/>
        <w:jc w:val="left"/>
        <w:rPr>
          <w:rFonts w:ascii="宋体" w:hAnsi="宋体" w:cs="宋体" w:eastAsia="宋体" w:hint="default"/>
          <w:sz w:val="18"/>
          <w:szCs w:val="18"/>
        </w:rPr>
      </w:pPr>
      <w:r>
        <w:rPr>
          <w:rFonts w:ascii="宋体" w:hAnsi="宋体" w:cs="宋体" w:eastAsia="宋体" w:hint="default"/>
          <w:spacing w:val="-2"/>
          <w:sz w:val="21"/>
          <w:szCs w:val="21"/>
        </w:rPr>
        <w:t>当期是否改聘会计师事务所</w:t>
        <w:tab/>
      </w: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pStyle w:val="BodyText"/>
        <w:tabs>
          <w:tab w:pos="8139" w:val="left" w:leader="none"/>
        </w:tabs>
        <w:spacing w:line="290" w:lineRule="auto" w:before="66"/>
        <w:ind w:left="573" w:right="214" w:hanging="421"/>
        <w:jc w:val="left"/>
      </w:pPr>
      <w:r>
        <w:rPr>
          <w:spacing w:val="-2"/>
        </w:rPr>
        <w:t>聘请内部控制审计会计师事务所、财务顾问或保荐人情况</w:t>
        <w:tab/>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spacing w:val="-1"/>
        </w:rPr>
        <w:t>不适用</w:t>
      </w:r>
      <w:r>
        <w:rPr>
          <w:w w:val="100"/>
        </w:rPr>
        <w:t> </w:t>
      </w:r>
      <w:r>
        <w:rPr>
          <w:spacing w:val="-3"/>
        </w:rPr>
        <w:t>本年度，公司聘请立信会计师事务所（特殊普通合伙）为公司内部控制审计会计师事务所，公司支付</w:t>
      </w:r>
    </w:p>
    <w:p>
      <w:pPr>
        <w:spacing w:after="0" w:line="290" w:lineRule="auto"/>
        <w:jc w:val="left"/>
        <w:sectPr>
          <w:pgSz w:w="11910" w:h="16840"/>
          <w:pgMar w:header="877" w:footer="979" w:top="1100" w:bottom="1160" w:left="980" w:right="920"/>
        </w:sectPr>
      </w:pPr>
    </w:p>
    <w:p>
      <w:pPr>
        <w:spacing w:line="240" w:lineRule="auto" w:before="11"/>
        <w:rPr>
          <w:rFonts w:ascii="宋体" w:hAnsi="宋体" w:cs="宋体" w:eastAsia="宋体" w:hint="default"/>
          <w:sz w:val="20"/>
          <w:szCs w:val="20"/>
        </w:rPr>
      </w:pPr>
    </w:p>
    <w:p>
      <w:pPr>
        <w:pStyle w:val="BodyText"/>
        <w:spacing w:line="256" w:lineRule="auto" w:before="36"/>
        <w:ind w:left="573" w:right="0" w:hanging="421"/>
        <w:jc w:val="left"/>
      </w:pPr>
      <w:r>
        <w:rPr/>
        <w:t>的</w:t>
      </w:r>
      <w:r>
        <w:rPr>
          <w:rFonts w:ascii="Times New Roman" w:hAnsi="Times New Roman" w:cs="Times New Roman" w:eastAsia="Times New Roman" w:hint="default"/>
        </w:rPr>
        <w:t>2015</w:t>
      </w:r>
      <w:r>
        <w:rPr/>
        <w:t>年年度审计及内控审计报酬合计</w:t>
      </w:r>
      <w:r>
        <w:rPr>
          <w:rFonts w:ascii="Times New Roman" w:hAnsi="Times New Roman" w:cs="Times New Roman" w:eastAsia="Times New Roman" w:hint="default"/>
        </w:rPr>
        <w:t>80</w:t>
      </w:r>
      <w:r>
        <w:rPr/>
        <w:t>万元。</w:t>
      </w:r>
      <w:r>
        <w:rPr>
          <w:w w:val="100"/>
        </w:rPr>
        <w:t> </w:t>
      </w:r>
      <w:r>
        <w:rPr>
          <w:spacing w:val="-4"/>
        </w:rPr>
        <w:t>报告期内，公司筹划发行股份及支付现金购买国盛证券有限责任公司</w:t>
      </w:r>
      <w:r>
        <w:rPr>
          <w:rFonts w:ascii="Times New Roman" w:hAnsi="Times New Roman" w:cs="Times New Roman" w:eastAsia="Times New Roman" w:hint="default"/>
          <w:spacing w:val="-4"/>
        </w:rPr>
        <w:t>100%</w:t>
      </w:r>
      <w:r>
        <w:rPr>
          <w:spacing w:val="-4"/>
        </w:rPr>
        <w:t>股权并募集配套资金，光大</w:t>
      </w:r>
    </w:p>
    <w:p>
      <w:pPr>
        <w:pStyle w:val="BodyText"/>
        <w:spacing w:line="273" w:lineRule="auto" w:before="5"/>
        <w:ind w:right="0"/>
        <w:jc w:val="left"/>
      </w:pPr>
      <w:r>
        <w:rPr>
          <w:spacing w:val="-2"/>
        </w:rPr>
        <w:t>证券股份有限公司、恒泰长财证券有限责任公司接受本公司委托，担任本次交易的独立财务顾问。报告期</w:t>
      </w:r>
      <w:r>
        <w:rPr>
          <w:spacing w:val="-44"/>
        </w:rPr>
        <w:t> </w:t>
      </w:r>
      <w:r>
        <w:rPr>
          <w:spacing w:val="-44"/>
        </w:rPr>
      </w:r>
      <w:r>
        <w:rPr/>
        <w:t>内，公司共支付财务顾问费</w:t>
      </w:r>
      <w:r>
        <w:rPr>
          <w:rFonts w:ascii="Times New Roman" w:hAnsi="Times New Roman" w:cs="Times New Roman" w:eastAsia="Times New Roman" w:hint="default"/>
        </w:rPr>
        <w:t>40</w:t>
      </w:r>
      <w:r>
        <w:rPr/>
        <w:t>万元。</w:t>
      </w:r>
    </w:p>
    <w:p>
      <w:pPr>
        <w:spacing w:line="240" w:lineRule="auto" w:before="2"/>
        <w:rPr>
          <w:rFonts w:ascii="宋体" w:hAnsi="宋体" w:cs="宋体" w:eastAsia="宋体" w:hint="default"/>
          <w:sz w:val="20"/>
          <w:szCs w:val="20"/>
        </w:rPr>
      </w:pPr>
    </w:p>
    <w:p>
      <w:pPr>
        <w:tabs>
          <w:tab w:pos="8182" w:val="left" w:leader="none"/>
        </w:tabs>
        <w:spacing w:before="0"/>
        <w:ind w:left="152" w:right="0" w:firstLine="0"/>
        <w:jc w:val="left"/>
        <w:rPr>
          <w:rFonts w:ascii="宋体" w:hAnsi="宋体" w:cs="宋体" w:eastAsia="宋体" w:hint="default"/>
          <w:sz w:val="21"/>
          <w:szCs w:val="21"/>
        </w:rPr>
      </w:pPr>
      <w:r>
        <w:rPr>
          <w:rFonts w:ascii="宋体" w:hAnsi="宋体" w:cs="宋体" w:eastAsia="宋体" w:hint="default"/>
          <w:b/>
          <w:bCs/>
          <w:spacing w:val="-2"/>
          <w:sz w:val="24"/>
          <w:szCs w:val="24"/>
        </w:rPr>
        <w:t>十、年度报告披露后面临暂停上市和终止上市情况</w:t>
        <w:tab/>
      </w: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6"/>
          <w:sz w:val="21"/>
          <w:szCs w:val="21"/>
        </w:rPr>
        <w:t> </w:t>
      </w:r>
      <w:r>
        <w:rPr>
          <w:rFonts w:ascii="宋体" w:hAnsi="宋体" w:cs="宋体" w:eastAsia="宋体" w:hint="default"/>
          <w:spacing w:val="-1"/>
          <w:sz w:val="21"/>
          <w:szCs w:val="21"/>
        </w:rPr>
        <w:t>不适用</w:t>
      </w:r>
    </w:p>
    <w:p>
      <w:pPr>
        <w:spacing w:line="240" w:lineRule="auto" w:before="1"/>
        <w:rPr>
          <w:rFonts w:ascii="宋体" w:hAnsi="宋体" w:cs="宋体" w:eastAsia="宋体" w:hint="default"/>
          <w:sz w:val="22"/>
          <w:szCs w:val="22"/>
        </w:rPr>
      </w:pPr>
    </w:p>
    <w:p>
      <w:pPr>
        <w:pStyle w:val="Heading2"/>
        <w:spacing w:line="468" w:lineRule="auto"/>
        <w:ind w:right="4973"/>
        <w:jc w:val="both"/>
        <w:rPr>
          <w:b w:val="0"/>
          <w:bCs w:val="0"/>
        </w:rPr>
      </w:pPr>
      <w:r>
        <w:rPr/>
        <w:t>十一、公司报告期未发生破产重整相关事项。</w:t>
      </w:r>
      <w:r>
        <w:rPr>
          <w:w w:val="99"/>
        </w:rPr>
        <w:t> </w:t>
      </w:r>
      <w:r>
        <w:rPr/>
        <w:t>十二、本报告期公司无重大诉讼、仲裁事项。</w:t>
      </w:r>
      <w:r>
        <w:rPr>
          <w:w w:val="99"/>
        </w:rPr>
        <w:t> </w:t>
      </w:r>
      <w:r>
        <w:rPr/>
        <w:t>十三、公司报告期不存在处罚及整改情况。</w:t>
      </w:r>
      <w:r>
        <w:rPr>
          <w:b w:val="0"/>
          <w:bCs w:val="0"/>
        </w:rPr>
      </w:r>
    </w:p>
    <w:p>
      <w:pPr>
        <w:pStyle w:val="Heading2"/>
        <w:tabs>
          <w:tab w:pos="8185" w:val="left" w:leader="none"/>
        </w:tabs>
        <w:spacing w:line="460" w:lineRule="auto" w:before="70"/>
        <w:ind w:right="151"/>
        <w:jc w:val="left"/>
        <w:rPr>
          <w:b w:val="0"/>
          <w:bCs w:val="0"/>
        </w:rPr>
      </w:pPr>
      <w:r>
        <w:rPr>
          <w:spacing w:val="-1"/>
          <w:w w:val="95"/>
        </w:rPr>
        <w:t>十四、公司及其控股股东、实际控制人的诚信状况</w:t>
        <w:tab/>
      </w:r>
      <w:r>
        <w:rPr>
          <w:rFonts w:ascii="Times New Roman" w:hAnsi="Times New Roman" w:cs="Times New Roman" w:eastAsia="Times New Roman" w:hint="default"/>
          <w:b w:val="0"/>
          <w:bCs w:val="0"/>
          <w:sz w:val="21"/>
          <w:szCs w:val="21"/>
        </w:rPr>
        <w:t>□  </w:t>
      </w:r>
      <w:r>
        <w:rPr>
          <w:rFonts w:ascii="宋体" w:hAnsi="宋体" w:cs="宋体" w:eastAsia="宋体" w:hint="default"/>
          <w:b w:val="0"/>
          <w:bCs w:val="0"/>
          <w:sz w:val="21"/>
          <w:szCs w:val="21"/>
        </w:rPr>
        <w:t>适用 </w:t>
      </w:r>
      <w:r>
        <w:rPr>
          <w:rFonts w:ascii="Times New Roman" w:hAnsi="Times New Roman" w:cs="Times New Roman" w:eastAsia="Times New Roman" w:hint="default"/>
          <w:b w:val="0"/>
          <w:bCs w:val="0"/>
          <w:sz w:val="21"/>
          <w:szCs w:val="21"/>
        </w:rPr>
        <w:t>√ </w:t>
      </w:r>
      <w:r>
        <w:rPr>
          <w:rFonts w:ascii="Times New Roman" w:hAnsi="Times New Roman" w:cs="Times New Roman" w:eastAsia="Times New Roman" w:hint="default"/>
          <w:b w:val="0"/>
          <w:bCs w:val="0"/>
          <w:spacing w:val="6"/>
          <w:sz w:val="21"/>
          <w:szCs w:val="21"/>
        </w:rPr>
        <w:t> </w:t>
      </w:r>
      <w:r>
        <w:rPr>
          <w:rFonts w:ascii="宋体" w:hAnsi="宋体" w:cs="宋体" w:eastAsia="宋体" w:hint="default"/>
          <w:b w:val="0"/>
          <w:bCs w:val="0"/>
          <w:spacing w:val="-3"/>
          <w:sz w:val="21"/>
          <w:szCs w:val="21"/>
        </w:rPr>
        <w:t>不适用</w:t>
      </w:r>
      <w:r>
        <w:rPr>
          <w:rFonts w:ascii="宋体" w:hAnsi="宋体" w:cs="宋体" w:eastAsia="宋体" w:hint="default"/>
          <w:b w:val="0"/>
          <w:bCs w:val="0"/>
          <w:spacing w:val="-3"/>
          <w:w w:val="100"/>
          <w:sz w:val="21"/>
          <w:szCs w:val="21"/>
        </w:rPr>
        <w:t> </w:t>
      </w:r>
      <w:r>
        <w:rPr/>
        <w:t>十五、公司报告期无股权激励计划、员工持股计划或其他员工激励措施及其实施情况。</w:t>
      </w:r>
      <w:r>
        <w:rPr>
          <w:w w:val="99"/>
        </w:rPr>
        <w:t> </w:t>
      </w:r>
      <w:r>
        <w:rPr/>
        <w:t>十六、重大关联交易</w:t>
      </w:r>
      <w:r>
        <w:rPr>
          <w:b w:val="0"/>
          <w:bCs w:val="0"/>
        </w:rPr>
      </w:r>
    </w:p>
    <w:p>
      <w:pPr>
        <w:pStyle w:val="Heading4"/>
        <w:spacing w:line="240" w:lineRule="auto" w:before="105"/>
        <w:ind w:right="0"/>
        <w:jc w:val="left"/>
        <w:rPr>
          <w:b w:val="0"/>
          <w:bCs w:val="0"/>
        </w:rPr>
      </w:pPr>
      <w:r>
        <w:rPr>
          <w:rFonts w:ascii="Times New Roman" w:hAnsi="Times New Roman" w:cs="Times New Roman" w:eastAsia="Times New Roman" w:hint="default"/>
        </w:rPr>
        <w:t>1</w:t>
      </w:r>
      <w:r>
        <w:rPr/>
        <w:t>、公司报告期未发生与日常经营相关的关联交易。</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2</w:t>
      </w:r>
      <w:r>
        <w:rPr/>
        <w:t>、公司报告期未发生资产或股权收购、出售的关联交易。</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3</w:t>
      </w:r>
      <w:r>
        <w:rPr/>
        <w:t>、公司报告期未发生共同对外投资的关联交易。</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4</w:t>
      </w:r>
      <w:r>
        <w:rPr/>
        <w:t>、公司报告期不存在关联债权债务往来。</w:t>
      </w:r>
      <w:r>
        <w:rPr>
          <w:b w:val="0"/>
          <w:bCs w:val="0"/>
        </w:rPr>
      </w:r>
    </w:p>
    <w:p>
      <w:pPr>
        <w:spacing w:line="240" w:lineRule="auto" w:before="10"/>
        <w:rPr>
          <w:rFonts w:ascii="宋体" w:hAnsi="宋体" w:cs="宋体" w:eastAsia="宋体" w:hint="default"/>
          <w:b/>
          <w:bCs/>
          <w:sz w:val="24"/>
          <w:szCs w:val="24"/>
        </w:rPr>
      </w:pPr>
    </w:p>
    <w:p>
      <w:pPr>
        <w:spacing w:line="487" w:lineRule="auto" w:before="0"/>
        <w:ind w:left="152" w:right="521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、公司报告期无其他重大关联交易。</w:t>
      </w:r>
      <w:r>
        <w:rPr>
          <w:rFonts w:ascii="宋体" w:hAnsi="宋体" w:cs="宋体" w:eastAsia="宋体" w:hint="default"/>
          <w:b/>
          <w:bCs/>
          <w:w w:val="100"/>
          <w:sz w:val="21"/>
          <w:szCs w:val="21"/>
        </w:rPr>
        <w:t> </w:t>
      </w:r>
      <w:r>
        <w:rPr>
          <w:rFonts w:ascii="宋体" w:hAnsi="宋体" w:cs="宋体" w:eastAsia="宋体" w:hint="default"/>
          <w:b/>
          <w:bCs/>
          <w:sz w:val="24"/>
          <w:szCs w:val="24"/>
        </w:rPr>
        <w:t>十七、重大合同及其履行情况</w:t>
      </w:r>
      <w:r>
        <w:rPr>
          <w:rFonts w:ascii="宋体" w:hAnsi="宋体" w:cs="宋体" w:eastAsia="宋体" w:hint="default"/>
          <w:b/>
          <w:bCs/>
          <w:w w:val="99"/>
          <w:sz w:val="24"/>
          <w:szCs w:val="24"/>
        </w:rPr>
        <w:t> </w:t>
      </w:r>
      <w:r>
        <w:rPr>
          <w:rFonts w:ascii="Times New Roman" w:hAnsi="Times New Roman" w:cs="Times New Roman" w:eastAsia="Times New Roman" w:hint="default"/>
          <w:b/>
          <w:bCs/>
          <w:spacing w:val="-1"/>
          <w:sz w:val="21"/>
          <w:szCs w:val="21"/>
        </w:rPr>
        <w:t>1</w:t>
      </w:r>
      <w:r>
        <w:rPr>
          <w:rFonts w:ascii="宋体" w:hAnsi="宋体" w:cs="宋体" w:eastAsia="宋体" w:hint="default"/>
          <w:b/>
          <w:bCs/>
          <w:spacing w:val="-1"/>
          <w:sz w:val="21"/>
          <w:szCs w:val="21"/>
        </w:rPr>
        <w:t>、公司报告期不存在托管、承包、租赁情况。</w:t>
      </w:r>
      <w:r>
        <w:rPr>
          <w:rFonts w:ascii="宋体" w:hAnsi="宋体" w:cs="宋体" w:eastAsia="宋体" w:hint="default"/>
          <w:spacing w:val="-1"/>
          <w:sz w:val="21"/>
          <w:szCs w:val="21"/>
        </w:rPr>
      </w:r>
    </w:p>
    <w:p>
      <w:pPr>
        <w:pStyle w:val="Heading4"/>
        <w:spacing w:line="240" w:lineRule="auto" w:before="84"/>
        <w:ind w:right="0"/>
        <w:jc w:val="left"/>
        <w:rPr>
          <w:b w:val="0"/>
          <w:bCs w:val="0"/>
        </w:rPr>
      </w:pPr>
      <w:r>
        <w:rPr>
          <w:rFonts w:ascii="Times New Roman" w:hAnsi="Times New Roman" w:cs="Times New Roman" w:eastAsia="Times New Roman" w:hint="default"/>
        </w:rPr>
        <w:t>2</w:t>
      </w:r>
      <w:r>
        <w:rPr/>
        <w:t>、公司报告期不存在担保情况。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3</w:t>
      </w:r>
      <w:r>
        <w:rPr/>
        <w:t>、公司报告期不存在委托他人进行现金资产管理情况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4</w:t>
      </w:r>
      <w:r>
        <w:rPr/>
        <w:t>、公司报告期不存在其他重大合同</w:t>
      </w:r>
      <w:r>
        <w:rPr>
          <w:b w:val="0"/>
          <w:bCs w:val="0"/>
        </w:rPr>
      </w:r>
    </w:p>
    <w:p>
      <w:pPr>
        <w:spacing w:line="240" w:lineRule="auto" w:before="8"/>
        <w:rPr>
          <w:rFonts w:ascii="宋体" w:hAnsi="宋体" w:cs="宋体" w:eastAsia="宋体" w:hint="default"/>
          <w:b/>
          <w:bCs/>
          <w:sz w:val="22"/>
          <w:szCs w:val="22"/>
        </w:rPr>
      </w:pPr>
    </w:p>
    <w:p>
      <w:pPr>
        <w:pStyle w:val="Heading2"/>
        <w:spacing w:line="240" w:lineRule="auto"/>
        <w:ind w:right="0"/>
        <w:jc w:val="left"/>
        <w:rPr>
          <w:b w:val="0"/>
          <w:bCs w:val="0"/>
        </w:rPr>
      </w:pPr>
      <w:r>
        <w:rPr/>
        <w:t>十八、公司报告期不存在需要说明的其他重大事项。</w:t>
      </w:r>
      <w:r>
        <w:rPr>
          <w:b w:val="0"/>
          <w:bCs w:val="0"/>
        </w:rPr>
      </w:r>
    </w:p>
    <w:p>
      <w:pPr>
        <w:spacing w:line="240" w:lineRule="auto" w:before="12"/>
        <w:rPr>
          <w:rFonts w:ascii="宋体" w:hAnsi="宋体" w:cs="宋体" w:eastAsia="宋体" w:hint="default"/>
          <w:b/>
          <w:bCs/>
          <w:sz w:val="22"/>
          <w:szCs w:val="22"/>
        </w:rPr>
      </w:pPr>
    </w:p>
    <w:p>
      <w:pPr>
        <w:tabs>
          <w:tab w:pos="8182" w:val="left" w:leader="none"/>
        </w:tabs>
        <w:spacing w:before="0"/>
        <w:ind w:left="152" w:right="0" w:firstLine="0"/>
        <w:jc w:val="left"/>
        <w:rPr>
          <w:rFonts w:ascii="宋体" w:hAnsi="宋体" w:cs="宋体" w:eastAsia="宋体" w:hint="default"/>
          <w:sz w:val="21"/>
          <w:szCs w:val="21"/>
        </w:rPr>
      </w:pPr>
      <w:r>
        <w:rPr>
          <w:rFonts w:ascii="宋体" w:hAnsi="宋体" w:cs="宋体" w:eastAsia="宋体" w:hint="default"/>
          <w:b/>
          <w:bCs/>
          <w:spacing w:val="-3"/>
          <w:w w:val="95"/>
          <w:sz w:val="24"/>
          <w:szCs w:val="24"/>
        </w:rPr>
        <w:t>十九、公司子公司重大事项</w:t>
        <w:tab/>
      </w: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不适用</w:t>
      </w:r>
    </w:p>
    <w:p>
      <w:pPr>
        <w:spacing w:after="0"/>
        <w:jc w:val="left"/>
        <w:rPr>
          <w:rFonts w:ascii="宋体" w:hAnsi="宋体" w:cs="宋体" w:eastAsia="宋体" w:hint="default"/>
          <w:sz w:val="21"/>
          <w:szCs w:val="21"/>
        </w:rPr>
        <w:sectPr>
          <w:pgSz w:w="11910" w:h="16840"/>
          <w:pgMar w:header="877" w:footer="979" w:top="1100" w:bottom="1160" w:left="980" w:right="980"/>
        </w:sectPr>
      </w:pPr>
    </w:p>
    <w:p>
      <w:pPr>
        <w:spacing w:line="240" w:lineRule="auto" w:before="9"/>
        <w:rPr>
          <w:rFonts w:ascii="宋体" w:hAnsi="宋体" w:cs="宋体" w:eastAsia="宋体" w:hint="default"/>
          <w:sz w:val="19"/>
          <w:szCs w:val="19"/>
        </w:rPr>
      </w:pPr>
    </w:p>
    <w:p>
      <w:pPr>
        <w:tabs>
          <w:tab w:pos="8182" w:val="left" w:leader="none"/>
        </w:tabs>
        <w:spacing w:before="26"/>
        <w:ind w:left="152" w:right="0" w:firstLine="0"/>
        <w:jc w:val="both"/>
        <w:rPr>
          <w:rFonts w:ascii="宋体" w:hAnsi="宋体" w:cs="宋体" w:eastAsia="宋体" w:hint="default"/>
          <w:sz w:val="21"/>
          <w:szCs w:val="21"/>
        </w:rPr>
      </w:pPr>
      <w:r>
        <w:rPr>
          <w:rFonts w:ascii="宋体" w:hAnsi="宋体" w:cs="宋体" w:eastAsia="宋体" w:hint="default"/>
          <w:b/>
          <w:bCs/>
          <w:spacing w:val="-4"/>
          <w:w w:val="95"/>
          <w:sz w:val="24"/>
          <w:szCs w:val="24"/>
        </w:rPr>
        <w:t>二十、社会责任情况</w:t>
        <w:tab/>
      </w: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不适用</w:t>
      </w:r>
    </w:p>
    <w:p>
      <w:pPr>
        <w:spacing w:line="240" w:lineRule="auto" w:before="0"/>
        <w:rPr>
          <w:rFonts w:ascii="宋体" w:hAnsi="宋体" w:cs="宋体" w:eastAsia="宋体" w:hint="default"/>
          <w:sz w:val="24"/>
          <w:szCs w:val="24"/>
        </w:rPr>
      </w:pPr>
    </w:p>
    <w:p>
      <w:pPr>
        <w:pStyle w:val="BodyText"/>
        <w:spacing w:line="240" w:lineRule="auto"/>
        <w:ind w:left="573" w:right="105"/>
        <w:jc w:val="left"/>
      </w:pPr>
      <w:r>
        <w:rPr/>
        <w:t>公司高度重视并积极主动履行社会责任，切实维护利益相关方的合法权益。</w:t>
      </w:r>
    </w:p>
    <w:p>
      <w:pPr>
        <w:pStyle w:val="BodyText"/>
        <w:spacing w:line="273" w:lineRule="auto" w:before="37"/>
        <w:ind w:left="573" w:right="105"/>
        <w:jc w:val="left"/>
      </w:pPr>
      <w:r>
        <w:rPr/>
        <w:t>（一）股东和债权人权益保护</w:t>
      </w:r>
      <w:r>
        <w:rPr>
          <w:w w:val="100"/>
        </w:rPr>
        <w:t> </w:t>
      </w:r>
      <w:r>
        <w:rPr>
          <w:spacing w:val="-2"/>
        </w:rPr>
        <w:t>公司建立了以《公司章程》为基础，以《股东大会议事规则》、《董事会议事规则》、《监事会议事</w:t>
      </w:r>
    </w:p>
    <w:p>
      <w:pPr>
        <w:pStyle w:val="BodyText"/>
        <w:spacing w:line="273" w:lineRule="auto" w:before="7"/>
        <w:ind w:right="206"/>
        <w:jc w:val="both"/>
      </w:pPr>
      <w:r>
        <w:rPr>
          <w:spacing w:val="-2"/>
        </w:rPr>
        <w:t>规则》、《总经理工作细则》等为主要构架的规章体系，形成了股东大会、董事会、监事会、董事会专门</w:t>
      </w:r>
      <w:r>
        <w:rPr>
          <w:spacing w:val="-49"/>
        </w:rPr>
        <w:t> </w:t>
      </w:r>
      <w:r>
        <w:rPr>
          <w:spacing w:val="-49"/>
        </w:rPr>
      </w:r>
      <w:r>
        <w:rPr>
          <w:spacing w:val="-2"/>
        </w:rPr>
        <w:t>委员会以及经理层为主体结构的决策与经营体系，切实保障全体股东及债权人的权益。公司按照相关法律</w:t>
      </w:r>
      <w:r>
        <w:rPr>
          <w:spacing w:val="-42"/>
        </w:rPr>
        <w:t> </w:t>
      </w:r>
      <w:r>
        <w:rPr>
          <w:spacing w:val="-42"/>
        </w:rPr>
      </w:r>
      <w:r>
        <w:rPr>
          <w:spacing w:val="-2"/>
        </w:rPr>
        <w:t>法规及公司《信息披露管理制度》、《投资者关系管理制度》的要求，及时披露定期报告、临时报告及其</w:t>
      </w:r>
      <w:r>
        <w:rPr>
          <w:spacing w:val="-47"/>
        </w:rPr>
        <w:t> </w:t>
      </w:r>
      <w:r>
        <w:rPr>
          <w:spacing w:val="-47"/>
        </w:rPr>
      </w:r>
      <w:r>
        <w:rPr>
          <w:spacing w:val="-2"/>
        </w:rPr>
        <w:t>他重大事项，通过股东大会、业绩说明会、投资者关系网站、投资者服务专线电话等方式积极与投资者沟</w:t>
      </w:r>
      <w:r>
        <w:rPr>
          <w:spacing w:val="-47"/>
        </w:rPr>
        <w:t> </w:t>
      </w:r>
      <w:r>
        <w:rPr>
          <w:spacing w:val="-47"/>
        </w:rPr>
      </w:r>
      <w:r>
        <w:rPr/>
        <w:t>通交流。</w:t>
      </w:r>
    </w:p>
    <w:p>
      <w:pPr>
        <w:pStyle w:val="BodyText"/>
        <w:spacing w:line="273" w:lineRule="auto" w:before="7"/>
        <w:ind w:left="573" w:right="105"/>
        <w:jc w:val="left"/>
      </w:pPr>
      <w:r>
        <w:rPr/>
        <w:t>（二）职工权益保护</w:t>
      </w:r>
      <w:r>
        <w:rPr>
          <w:w w:val="100"/>
        </w:rPr>
        <w:t> </w:t>
      </w:r>
      <w:r>
        <w:rPr>
          <w:spacing w:val="-2"/>
        </w:rPr>
        <w:t>公司始终把维护全体员工的利益作为工作重点，切实提升员工自身价值，培养员工凝聚力。公司建立</w:t>
      </w:r>
    </w:p>
    <w:p>
      <w:pPr>
        <w:pStyle w:val="BodyText"/>
        <w:spacing w:line="271" w:lineRule="auto" w:before="8"/>
        <w:ind w:right="206"/>
        <w:jc w:val="both"/>
      </w:pPr>
      <w:r>
        <w:rPr>
          <w:spacing w:val="-2"/>
        </w:rPr>
        <w:t>了合理的薪酬体制，并积极稳妥地推进职工薪酬制度改革；建立了符合岗位工作需求和突出岗位工作业绩</w:t>
      </w:r>
      <w:r>
        <w:rPr>
          <w:spacing w:val="-43"/>
        </w:rPr>
        <w:t> </w:t>
      </w:r>
      <w:r>
        <w:rPr>
          <w:spacing w:val="-43"/>
        </w:rPr>
      </w:r>
      <w:r>
        <w:rPr>
          <w:spacing w:val="-2"/>
        </w:rPr>
        <w:t>的职工基本工资制度和绩效考核制度，客观、公正地评价员工工作能力、工作态度和取得的工作业绩，有</w:t>
      </w:r>
      <w:r>
        <w:rPr>
          <w:spacing w:val="-44"/>
        </w:rPr>
        <w:t> </w:t>
      </w:r>
      <w:r>
        <w:rPr>
          <w:spacing w:val="-44"/>
        </w:rPr>
      </w:r>
      <w:r>
        <w:rPr>
          <w:spacing w:val="-2"/>
        </w:rPr>
        <w:t>效激发员工工作积极性。公司坚持</w:t>
      </w:r>
      <w:r>
        <w:rPr>
          <w:rFonts w:ascii="Times New Roman" w:hAnsi="Times New Roman" w:cs="Times New Roman" w:eastAsia="Times New Roman" w:hint="default"/>
          <w:spacing w:val="-2"/>
        </w:rPr>
        <w:t>“</w:t>
      </w:r>
      <w:r>
        <w:rPr>
          <w:spacing w:val="-2"/>
        </w:rPr>
        <w:t>安全第一、预防为主</w:t>
      </w:r>
      <w:r>
        <w:rPr>
          <w:rFonts w:ascii="Times New Roman" w:hAnsi="Times New Roman" w:cs="Times New Roman" w:eastAsia="Times New Roman" w:hint="default"/>
          <w:spacing w:val="-2"/>
        </w:rPr>
        <w:t>”</w:t>
      </w:r>
      <w:r>
        <w:rPr>
          <w:spacing w:val="-2"/>
        </w:rPr>
        <w:t>的工作方针，开展员工劳动安全卫生技能培训，</w:t>
      </w:r>
      <w:r>
        <w:rPr>
          <w:spacing w:val="-22"/>
        </w:rPr>
        <w:t> </w:t>
      </w:r>
      <w:r>
        <w:rPr>
          <w:spacing w:val="-22"/>
        </w:rPr>
      </w:r>
      <w:r>
        <w:rPr>
          <w:spacing w:val="-2"/>
        </w:rPr>
        <w:t>引导和教育员工增强安全生产观念，自觉遵守公司安全生产规章制度，严格按操作规程作业。公司针对行</w:t>
      </w:r>
      <w:r>
        <w:rPr>
          <w:spacing w:val="-44"/>
        </w:rPr>
        <w:t> </w:t>
      </w:r>
      <w:r>
        <w:rPr>
          <w:spacing w:val="-44"/>
        </w:rPr>
      </w:r>
      <w:r>
        <w:rPr>
          <w:spacing w:val="-2"/>
        </w:rPr>
        <w:t>业生产特点，建立并完善了生产场所的防尘、降噪等配套设施和急救装备，并按照劳动保护的要求，为相</w:t>
      </w:r>
      <w:r>
        <w:rPr>
          <w:spacing w:val="-49"/>
        </w:rPr>
        <w:t> </w:t>
      </w:r>
      <w:r>
        <w:rPr>
          <w:spacing w:val="-49"/>
        </w:rPr>
      </w:r>
      <w:r>
        <w:rPr>
          <w:spacing w:val="-2"/>
        </w:rPr>
        <w:t>关员工配备质量可靠的劳动防护用品。公司注重企业文化建设，于报告期内开展节日庆祝、参观学习、体</w:t>
      </w:r>
      <w:r>
        <w:rPr>
          <w:spacing w:val="-46"/>
        </w:rPr>
        <w:t> </w:t>
      </w:r>
      <w:r>
        <w:rPr>
          <w:spacing w:val="-46"/>
        </w:rPr>
      </w:r>
      <w:r>
        <w:rPr/>
        <w:t>育竞赛、关爱健康、慈善捐赠等丰富多彩的活动，提高员工参与度和归属感。</w:t>
      </w:r>
    </w:p>
    <w:p>
      <w:pPr>
        <w:pStyle w:val="BodyText"/>
        <w:spacing w:line="273" w:lineRule="auto" w:before="10"/>
        <w:ind w:left="573" w:right="105"/>
        <w:jc w:val="left"/>
      </w:pPr>
      <w:r>
        <w:rPr/>
        <w:t>（三）供应商、客户和消费者权益保护</w:t>
      </w:r>
      <w:r>
        <w:rPr>
          <w:w w:val="100"/>
        </w:rPr>
        <w:t> </w:t>
      </w:r>
      <w:r>
        <w:rPr>
          <w:spacing w:val="-2"/>
        </w:rPr>
        <w:t>公司重视与客户的共赢关系，恪守诚信，致力于为客户提供安全可靠、节能环保的产品和服务。公司</w:t>
      </w:r>
    </w:p>
    <w:p>
      <w:pPr>
        <w:pStyle w:val="BodyText"/>
        <w:spacing w:line="268" w:lineRule="auto" w:before="7"/>
        <w:ind w:right="206"/>
        <w:jc w:val="both"/>
      </w:pPr>
      <w:r>
        <w:rPr>
          <w:spacing w:val="-2"/>
        </w:rPr>
        <w:t>不仅将采购及供应链管理作为企业日常运营的重要工作，同时将供应商作为战略伙伴，将协助供应商发展</w:t>
      </w:r>
      <w:r>
        <w:rPr>
          <w:spacing w:val="-42"/>
        </w:rPr>
        <w:t> </w:t>
      </w:r>
      <w:r>
        <w:rPr>
          <w:spacing w:val="-42"/>
        </w:rPr>
      </w:r>
      <w:r>
        <w:rPr>
          <w:spacing w:val="-3"/>
        </w:rPr>
        <w:t>视为培育外部资源。公司始终以质量为关注焦点，根据 </w:t>
      </w:r>
      <w:r>
        <w:rPr>
          <w:rFonts w:ascii="Times New Roman" w:hAnsi="Times New Roman" w:cs="Times New Roman" w:eastAsia="Times New Roman" w:hint="default"/>
        </w:rPr>
        <w:t>ISO9001</w:t>
      </w:r>
      <w:r>
        <w:rPr/>
        <w:t>标准建立了质量管理体系，并在此基础上</w:t>
      </w:r>
      <w:r>
        <w:rPr>
          <w:spacing w:val="-89"/>
        </w:rPr>
        <w:t> </w:t>
      </w:r>
      <w:r>
        <w:rPr>
          <w:spacing w:val="-89"/>
        </w:rPr>
      </w:r>
      <w:r>
        <w:rPr>
          <w:spacing w:val="-2"/>
        </w:rPr>
        <w:t>进一步明确质量控制关键点，从原材料入厂检验、生产加工过程检验到产成品检验，形成了一套完整的质</w:t>
      </w:r>
      <w:r>
        <w:rPr>
          <w:spacing w:val="-42"/>
        </w:rPr>
        <w:t> </w:t>
      </w:r>
      <w:r>
        <w:rPr>
          <w:spacing w:val="-42"/>
        </w:rPr>
      </w:r>
      <w:r>
        <w:rPr/>
        <w:t>量控制体系。通过严格的质量标准和全方位的质量控制措施，为客户提供优质安全的产品。</w:t>
      </w:r>
    </w:p>
    <w:p>
      <w:pPr>
        <w:pStyle w:val="BodyText"/>
        <w:spacing w:line="273" w:lineRule="auto" w:before="12"/>
        <w:ind w:left="573" w:right="105"/>
        <w:jc w:val="left"/>
      </w:pPr>
      <w:r>
        <w:rPr/>
        <w:t>（四）注重环境保护与可持续性发展</w:t>
      </w:r>
      <w:r>
        <w:rPr>
          <w:w w:val="100"/>
        </w:rPr>
        <w:t> </w:t>
      </w:r>
      <w:r>
        <w:rPr>
          <w:spacing w:val="-2"/>
        </w:rPr>
        <w:t>公司注重对环境的保护，秉承对环境负责的态度进行生产运营，努力降低制造过程中的资源和能源消</w:t>
      </w:r>
    </w:p>
    <w:p>
      <w:pPr>
        <w:pStyle w:val="BodyText"/>
        <w:spacing w:line="264" w:lineRule="auto" w:before="7"/>
        <w:ind w:right="105"/>
        <w:jc w:val="left"/>
      </w:pPr>
      <w:r>
        <w:rPr>
          <w:spacing w:val="-2"/>
        </w:rPr>
        <w:t>耗。公司在生产经营过程中严格遵守国家环境保护相关法律、法规和地方环境保护有关规定，积极推动节</w:t>
      </w:r>
      <w:r>
        <w:rPr>
          <w:spacing w:val="-44"/>
        </w:rPr>
        <w:t> </w:t>
      </w:r>
      <w:r>
        <w:rPr>
          <w:spacing w:val="-44"/>
        </w:rPr>
      </w:r>
      <w:r>
        <w:rPr>
          <w:spacing w:val="-5"/>
        </w:rPr>
        <w:t>能减排。公司已经通过</w:t>
      </w:r>
      <w:r>
        <w:rPr>
          <w:rFonts w:ascii="Times New Roman" w:hAnsi="Times New Roman" w:cs="Times New Roman" w:eastAsia="Times New Roman" w:hint="default"/>
          <w:spacing w:val="-5"/>
        </w:rPr>
        <w:t>ISO14001</w:t>
      </w:r>
      <w:r>
        <w:rPr>
          <w:spacing w:val="-5"/>
        </w:rPr>
        <w:t>环境管理体系认证，根据环境管理体系要求，结合自身特点，将环境保护、</w:t>
      </w:r>
      <w:r>
        <w:rPr>
          <w:spacing w:val="-9"/>
        </w:rPr>
        <w:t> </w:t>
      </w:r>
      <w:r>
        <w:rPr>
          <w:spacing w:val="-9"/>
        </w:rPr>
      </w:r>
      <w:r>
        <w:rPr/>
        <w:t>节能减排等融入每个经营管理环节，有效节约能源消耗。</w:t>
      </w:r>
    </w:p>
    <w:p>
      <w:pPr>
        <w:pStyle w:val="BodyText"/>
        <w:spacing w:line="273" w:lineRule="auto" w:before="16"/>
        <w:ind w:left="573" w:right="105"/>
        <w:jc w:val="left"/>
      </w:pPr>
      <w:r>
        <w:rPr/>
        <w:t>（五）支持社会公益事业发展</w:t>
      </w:r>
      <w:r>
        <w:rPr>
          <w:w w:val="100"/>
        </w:rPr>
        <w:t> </w:t>
      </w:r>
      <w:r>
        <w:rPr>
          <w:spacing w:val="-3"/>
        </w:rPr>
        <w:t>公司积极参与社会公益，努力回馈社会，致力推进教育事业发展，开展一系列捐资助学活动，先后向</w:t>
      </w:r>
    </w:p>
    <w:p>
      <w:pPr>
        <w:pStyle w:val="BodyText"/>
        <w:tabs>
          <w:tab w:pos="7822" w:val="left" w:leader="none"/>
        </w:tabs>
        <w:spacing w:line="549" w:lineRule="auto" w:before="7"/>
        <w:ind w:right="213"/>
        <w:jc w:val="both"/>
      </w:pPr>
      <w:r>
        <w:rPr/>
        <w:t>南雄市</w:t>
      </w:r>
      <w:r>
        <w:rPr>
          <w:rFonts w:ascii="Times New Roman" w:hAnsi="Times New Roman" w:cs="Times New Roman" w:eastAsia="Times New Roman" w:hint="default"/>
        </w:rPr>
        <w:t>“</w:t>
      </w:r>
      <w:r>
        <w:rPr/>
        <w:t>广东华声坪田中学</w:t>
      </w:r>
      <w:r>
        <w:rPr>
          <w:rFonts w:ascii="Times New Roman" w:hAnsi="Times New Roman" w:cs="Times New Roman" w:eastAsia="Times New Roman" w:hint="default"/>
        </w:rPr>
        <w:t>”</w:t>
      </w:r>
      <w:r>
        <w:rPr/>
        <w:t>、广东省教育基金会、社区老人捐赠物资。</w:t>
      </w:r>
      <w:r>
        <w:rPr>
          <w:w w:val="100"/>
        </w:rPr>
        <w:t> </w:t>
      </w:r>
      <w:r>
        <w:rPr>
          <w:spacing w:val="-2"/>
        </w:rPr>
        <w:t>上市公司及其子公司是否属于国家环境保护部门规定的重污染行业</w:t>
        <w:tab/>
      </w: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 </w:t>
      </w:r>
      <w:r>
        <w:rPr>
          <w:rFonts w:ascii="Times New Roman" w:hAnsi="Times New Roman" w:cs="Times New Roman" w:eastAsia="Times New Roman" w:hint="default"/>
          <w:spacing w:val="3"/>
        </w:rPr>
        <w:t> </w:t>
      </w:r>
      <w:r>
        <w:rPr>
          <w:spacing w:val="-3"/>
        </w:rPr>
        <w:t>不适用</w:t>
      </w:r>
      <w:r>
        <w:rPr/>
      </w:r>
    </w:p>
    <w:p>
      <w:pPr>
        <w:pStyle w:val="Heading2"/>
        <w:spacing w:line="240" w:lineRule="auto"/>
        <w:ind w:right="213"/>
        <w:jc w:val="both"/>
        <w:rPr>
          <w:b w:val="0"/>
          <w:bCs w:val="0"/>
        </w:rPr>
      </w:pPr>
      <w:r>
        <w:rPr/>
        <w:t>二十一、公司不存在公开发行并在证券交易所上市，且在年度报告批准报出日未到期或到期</w:t>
      </w:r>
      <w:r>
        <w:rPr>
          <w:w w:val="99"/>
        </w:rPr>
        <w:t> </w:t>
      </w:r>
      <w:r>
        <w:rPr/>
        <w:t>未能全额兑付的公司债券。</w:t>
      </w:r>
      <w:r>
        <w:rPr>
          <w:b w:val="0"/>
          <w:bCs w:val="0"/>
        </w:rPr>
      </w:r>
    </w:p>
    <w:p>
      <w:pPr>
        <w:spacing w:after="0" w:line="240" w:lineRule="auto"/>
        <w:jc w:val="both"/>
        <w:sectPr>
          <w:pgSz w:w="11910" w:h="16840"/>
          <w:pgMar w:header="877" w:footer="979" w:top="1100" w:bottom="1160" w:left="980" w:right="92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6"/>
          <w:szCs w:val="16"/>
        </w:rPr>
      </w:pPr>
    </w:p>
    <w:p>
      <w:pPr>
        <w:pStyle w:val="Heading1"/>
        <w:spacing w:line="240" w:lineRule="auto"/>
        <w:ind w:left="3204" w:right="146"/>
        <w:jc w:val="left"/>
        <w:rPr>
          <w:b w:val="0"/>
          <w:bCs w:val="0"/>
        </w:rPr>
      </w:pPr>
      <w:bookmarkStart w:name="_bookmark4" w:id="5"/>
      <w:bookmarkEnd w:id="5"/>
      <w:r>
        <w:rPr>
          <w:b w:val="0"/>
          <w:bCs w:val="0"/>
        </w:rPr>
      </w:r>
      <w:r>
        <w:rPr/>
        <w:t>第六节</w:t>
      </w:r>
      <w:r>
        <w:rPr>
          <w:spacing w:val="-6"/>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left="392" w:right="146"/>
        <w:jc w:val="left"/>
        <w:rPr>
          <w:b w:val="0"/>
          <w:bCs w:val="0"/>
        </w:rPr>
      </w:pPr>
      <w:r>
        <w:rPr/>
        <w:t>一、股份变动情况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392" w:right="146"/>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left="0" w:right="239"/>
        <w:jc w:val="right"/>
      </w:pPr>
      <w:r>
        <w:rPr>
          <w:spacing w:val="-1"/>
        </w:rPr>
        <w:t>单位：股</w:t>
      </w:r>
    </w:p>
    <w:p>
      <w:pPr>
        <w:spacing w:line="240" w:lineRule="auto" w:before="10"/>
        <w:rPr>
          <w:rFonts w:ascii="宋体" w:hAnsi="宋体" w:cs="宋体" w:eastAsia="宋体" w:hint="default"/>
          <w:sz w:val="6"/>
          <w:szCs w:val="6"/>
        </w:rPr>
      </w:pPr>
    </w:p>
    <w:tbl>
      <w:tblPr>
        <w:tblW w:w="0" w:type="auto"/>
        <w:jc w:val="left"/>
        <w:tblInd w:w="116" w:type="dxa"/>
        <w:tblLayout w:type="fixed"/>
        <w:tblCellMar>
          <w:top w:w="0" w:type="dxa"/>
          <w:left w:w="0" w:type="dxa"/>
          <w:bottom w:w="0" w:type="dxa"/>
          <w:right w:w="0" w:type="dxa"/>
        </w:tblCellMar>
        <w:tblLook w:val="01E0"/>
      </w:tblPr>
      <w:tblGrid>
        <w:gridCol w:w="2246"/>
        <w:gridCol w:w="1147"/>
        <w:gridCol w:w="850"/>
        <w:gridCol w:w="566"/>
        <w:gridCol w:w="283"/>
        <w:gridCol w:w="569"/>
        <w:gridCol w:w="1133"/>
        <w:gridCol w:w="1136"/>
        <w:gridCol w:w="1133"/>
        <w:gridCol w:w="850"/>
      </w:tblGrid>
      <w:tr>
        <w:trPr>
          <w:trHeight w:val="403" w:hRule="exact"/>
        </w:trPr>
        <w:tc>
          <w:tcPr>
            <w:tcW w:w="2246" w:type="dxa"/>
            <w:vMerge w:val="restart"/>
            <w:tcBorders>
              <w:top w:val="single" w:sz="4" w:space="0" w:color="000000"/>
              <w:left w:val="single" w:sz="4" w:space="0" w:color="000000"/>
              <w:right w:val="single" w:sz="4" w:space="0" w:color="000000"/>
            </w:tcBorders>
            <w:shd w:val="clear" w:color="auto" w:fill="D2D2D2"/>
          </w:tcPr>
          <w:p>
            <w:pPr/>
          </w:p>
        </w:tc>
        <w:tc>
          <w:tcPr>
            <w:tcW w:w="199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71"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368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83" w:right="0"/>
              <w:jc w:val="left"/>
              <w:rPr>
                <w:rFonts w:ascii="宋体" w:hAnsi="宋体" w:cs="宋体" w:eastAsia="宋体" w:hint="default"/>
                <w:sz w:val="21"/>
                <w:szCs w:val="21"/>
              </w:rPr>
            </w:pPr>
            <w:r>
              <w:rPr>
                <w:rFonts w:ascii="宋体" w:hAnsi="宋体" w:cs="宋体" w:eastAsia="宋体" w:hint="default"/>
                <w:sz w:val="21"/>
                <w:szCs w:val="21"/>
              </w:rPr>
              <w:t>本次变动增减（＋，－）</w:t>
            </w:r>
          </w:p>
        </w:tc>
        <w:tc>
          <w:tcPr>
            <w:tcW w:w="19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60"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138" w:hRule="exact"/>
        </w:trPr>
        <w:tc>
          <w:tcPr>
            <w:tcW w:w="2246" w:type="dxa"/>
            <w:vMerge/>
            <w:tcBorders>
              <w:left w:val="single" w:sz="4" w:space="0" w:color="000000"/>
              <w:bottom w:val="nil" w:sz="6" w:space="0" w:color="auto"/>
              <w:right w:val="single" w:sz="4" w:space="0" w:color="000000"/>
            </w:tcBorders>
            <w:shd w:val="clear" w:color="auto" w:fill="D2D2D2"/>
          </w:tcPr>
          <w:p>
            <w:pPr/>
          </w:p>
        </w:tc>
        <w:tc>
          <w:tcPr>
            <w:tcW w:w="1147" w:type="dxa"/>
            <w:vMerge w:val="restart"/>
            <w:tcBorders>
              <w:top w:val="single" w:sz="4" w:space="0" w:color="000000"/>
              <w:left w:val="single" w:sz="4" w:space="0" w:color="000000"/>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shd w:val="clear" w:color="auto" w:fill="D2D2D2"/>
          </w:tcPr>
          <w:p>
            <w:pPr/>
          </w:p>
        </w:tc>
        <w:tc>
          <w:tcPr>
            <w:tcW w:w="566" w:type="dxa"/>
            <w:tcBorders>
              <w:top w:val="single" w:sz="4" w:space="0" w:color="000000"/>
              <w:left w:val="single" w:sz="4" w:space="0" w:color="000000"/>
              <w:bottom w:val="nil" w:sz="6" w:space="0" w:color="auto"/>
              <w:right w:val="single" w:sz="4" w:space="0" w:color="000000"/>
            </w:tcBorders>
            <w:shd w:val="clear" w:color="auto" w:fill="D2D2D2"/>
          </w:tcPr>
          <w:p>
            <w:pPr/>
          </w:p>
        </w:tc>
        <w:tc>
          <w:tcPr>
            <w:tcW w:w="283" w:type="dxa"/>
            <w:tcBorders>
              <w:top w:val="single" w:sz="4" w:space="0" w:color="000000"/>
              <w:left w:val="single" w:sz="4" w:space="0" w:color="000000"/>
              <w:bottom w:val="nil" w:sz="6" w:space="0" w:color="auto"/>
              <w:right w:val="single" w:sz="4" w:space="0" w:color="000000"/>
            </w:tcBorders>
            <w:shd w:val="clear" w:color="auto" w:fill="D2D2D2"/>
          </w:tcPr>
          <w:p>
            <w:pPr/>
          </w:p>
        </w:tc>
        <w:tc>
          <w:tcPr>
            <w:tcW w:w="569"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8"/>
              <w:ind w:left="69" w:right="65"/>
              <w:jc w:val="both"/>
              <w:rPr>
                <w:rFonts w:ascii="宋体" w:hAnsi="宋体" w:cs="宋体" w:eastAsia="宋体" w:hint="default"/>
                <w:sz w:val="21"/>
                <w:szCs w:val="21"/>
              </w:rPr>
            </w:pPr>
            <w:r>
              <w:rPr>
                <w:rFonts w:ascii="宋体" w:hAnsi="宋体" w:cs="宋体" w:eastAsia="宋体" w:hint="default"/>
                <w:sz w:val="21"/>
                <w:szCs w:val="21"/>
              </w:rPr>
              <w:t>公积</w:t>
            </w:r>
            <w:r>
              <w:rPr>
                <w:rFonts w:ascii="宋体" w:hAnsi="宋体" w:cs="宋体" w:eastAsia="宋体" w:hint="default"/>
                <w:spacing w:val="-103"/>
                <w:sz w:val="21"/>
                <w:szCs w:val="21"/>
              </w:rPr>
              <w:t> </w:t>
            </w:r>
            <w:r>
              <w:rPr>
                <w:rFonts w:ascii="宋体" w:hAnsi="宋体" w:cs="宋体" w:eastAsia="宋体" w:hint="default"/>
                <w:sz w:val="21"/>
                <w:szCs w:val="21"/>
              </w:rPr>
              <w:t>金转</w:t>
            </w:r>
            <w:r>
              <w:rPr>
                <w:rFonts w:ascii="宋体" w:hAnsi="宋体" w:cs="宋体" w:eastAsia="宋体" w:hint="default"/>
                <w:spacing w:val="-103"/>
                <w:sz w:val="21"/>
                <w:szCs w:val="21"/>
              </w:rPr>
              <w:t> </w:t>
            </w:r>
            <w:r>
              <w:rPr>
                <w:rFonts w:ascii="宋体" w:hAnsi="宋体" w:cs="宋体" w:eastAsia="宋体" w:hint="default"/>
                <w:sz w:val="21"/>
                <w:szCs w:val="21"/>
              </w:rPr>
              <w:t>股</w:t>
            </w:r>
          </w:p>
        </w:tc>
        <w:tc>
          <w:tcPr>
            <w:tcW w:w="1133" w:type="dxa"/>
            <w:vMerge w:val="restart"/>
            <w:tcBorders>
              <w:top w:val="single" w:sz="4" w:space="0" w:color="000000"/>
              <w:left w:val="single" w:sz="4" w:space="0" w:color="000000"/>
              <w:right w:val="single" w:sz="4" w:space="0" w:color="000000"/>
            </w:tcBorders>
            <w:shd w:val="clear" w:color="auto" w:fill="D2D2D2"/>
          </w:tcPr>
          <w:p>
            <w:pPr/>
          </w:p>
        </w:tc>
        <w:tc>
          <w:tcPr>
            <w:tcW w:w="1136" w:type="dxa"/>
            <w:vMerge w:val="restart"/>
            <w:tcBorders>
              <w:top w:val="single" w:sz="4" w:space="0" w:color="000000"/>
              <w:left w:val="single" w:sz="4" w:space="0" w:color="000000"/>
              <w:right w:val="single" w:sz="4" w:space="0" w:color="000000"/>
            </w:tcBorders>
            <w:shd w:val="clear" w:color="auto" w:fill="D2D2D2"/>
          </w:tcPr>
          <w:p>
            <w:pPr/>
          </w:p>
        </w:tc>
        <w:tc>
          <w:tcPr>
            <w:tcW w:w="1133" w:type="dxa"/>
            <w:vMerge w:val="restart"/>
            <w:tcBorders>
              <w:top w:val="single" w:sz="4" w:space="0" w:color="000000"/>
              <w:left w:val="single" w:sz="4" w:space="0" w:color="000000"/>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shd w:val="clear" w:color="auto" w:fill="D2D2D2"/>
          </w:tcPr>
          <w:p>
            <w:pPr/>
          </w:p>
        </w:tc>
      </w:tr>
      <w:tr>
        <w:trPr>
          <w:trHeight w:val="179" w:hRule="exact"/>
        </w:trPr>
        <w:tc>
          <w:tcPr>
            <w:tcW w:w="22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147" w:type="dxa"/>
            <w:vMerge/>
            <w:tcBorders>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566"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51"/>
              <w:ind w:left="69" w:right="62"/>
              <w:jc w:val="left"/>
              <w:rPr>
                <w:rFonts w:ascii="宋体" w:hAnsi="宋体" w:cs="宋体" w:eastAsia="宋体" w:hint="default"/>
                <w:sz w:val="21"/>
                <w:szCs w:val="21"/>
              </w:rPr>
            </w:pPr>
            <w:r>
              <w:rPr>
                <w:rFonts w:ascii="宋体" w:hAnsi="宋体" w:cs="宋体" w:eastAsia="宋体" w:hint="default"/>
                <w:sz w:val="21"/>
                <w:szCs w:val="21"/>
              </w:rPr>
              <w:t>发行</w:t>
            </w:r>
            <w:r>
              <w:rPr>
                <w:rFonts w:ascii="宋体" w:hAnsi="宋体" w:cs="宋体" w:eastAsia="宋体" w:hint="default"/>
                <w:spacing w:val="-103"/>
                <w:sz w:val="21"/>
                <w:szCs w:val="21"/>
              </w:rPr>
              <w:t> </w:t>
            </w:r>
            <w:r>
              <w:rPr>
                <w:rFonts w:ascii="宋体" w:hAnsi="宋体" w:cs="宋体" w:eastAsia="宋体" w:hint="default"/>
                <w:sz w:val="21"/>
                <w:szCs w:val="21"/>
              </w:rPr>
              <w:t>新股</w:t>
            </w:r>
          </w:p>
        </w:tc>
        <w:tc>
          <w:tcPr>
            <w:tcW w:w="283"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51"/>
              <w:ind w:left="31" w:right="29"/>
              <w:jc w:val="left"/>
              <w:rPr>
                <w:rFonts w:ascii="宋体" w:hAnsi="宋体" w:cs="宋体" w:eastAsia="宋体" w:hint="default"/>
                <w:sz w:val="21"/>
                <w:szCs w:val="21"/>
              </w:rPr>
            </w:pPr>
            <w:r>
              <w:rPr>
                <w:rFonts w:ascii="宋体" w:hAnsi="宋体" w:cs="宋体" w:eastAsia="宋体" w:hint="default"/>
                <w:sz w:val="21"/>
                <w:szCs w:val="21"/>
              </w:rPr>
              <w:t>送</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569"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bottom w:val="nil" w:sz="6" w:space="0" w:color="auto"/>
              <w:right w:val="single" w:sz="4" w:space="0" w:color="000000"/>
            </w:tcBorders>
            <w:shd w:val="clear" w:color="auto" w:fill="D2D2D2"/>
          </w:tcPr>
          <w:p>
            <w:pPr/>
          </w:p>
        </w:tc>
        <w:tc>
          <w:tcPr>
            <w:tcW w:w="1136" w:type="dxa"/>
            <w:vMerge/>
            <w:tcBorders>
              <w:left w:val="single" w:sz="4" w:space="0" w:color="000000"/>
              <w:bottom w:val="nil" w:sz="6" w:space="0" w:color="auto"/>
              <w:right w:val="single" w:sz="4" w:space="0" w:color="000000"/>
            </w:tcBorders>
            <w:shd w:val="clear" w:color="auto" w:fill="D2D2D2"/>
          </w:tcPr>
          <w:p>
            <w:pPr/>
          </w:p>
        </w:tc>
        <w:tc>
          <w:tcPr>
            <w:tcW w:w="1133" w:type="dxa"/>
            <w:vMerge/>
            <w:tcBorders>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r>
      <w:tr>
        <w:trPr>
          <w:trHeight w:val="193" w:hRule="exact"/>
        </w:trPr>
        <w:tc>
          <w:tcPr>
            <w:tcW w:w="2246" w:type="dxa"/>
            <w:vMerge/>
            <w:tcBorders>
              <w:left w:val="single" w:sz="4" w:space="0" w:color="000000"/>
              <w:bottom w:val="nil" w:sz="6" w:space="0" w:color="auto"/>
              <w:right w:val="single" w:sz="4" w:space="0" w:color="000000"/>
            </w:tcBorders>
            <w:shd w:val="clear" w:color="auto" w:fill="D2D2D2"/>
          </w:tcPr>
          <w:p>
            <w:pPr/>
          </w:p>
        </w:tc>
        <w:tc>
          <w:tcPr>
            <w:tcW w:w="114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9"/>
              <w:ind w:left="363"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8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9"/>
              <w:ind w:left="211"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566" w:type="dxa"/>
            <w:vMerge/>
            <w:tcBorders>
              <w:left w:val="single" w:sz="4" w:space="0" w:color="000000"/>
              <w:right w:val="single" w:sz="4" w:space="0" w:color="000000"/>
            </w:tcBorders>
            <w:shd w:val="clear" w:color="auto" w:fill="D2D2D2"/>
          </w:tcPr>
          <w:p>
            <w:pPr/>
          </w:p>
        </w:tc>
        <w:tc>
          <w:tcPr>
            <w:tcW w:w="283" w:type="dxa"/>
            <w:vMerge/>
            <w:tcBorders>
              <w:left w:val="single" w:sz="4" w:space="0" w:color="000000"/>
              <w:right w:val="single" w:sz="4" w:space="0" w:color="000000"/>
            </w:tcBorders>
            <w:shd w:val="clear" w:color="auto" w:fill="D2D2D2"/>
          </w:tcPr>
          <w:p>
            <w:pPr/>
          </w:p>
        </w:tc>
        <w:tc>
          <w:tcPr>
            <w:tcW w:w="569" w:type="dxa"/>
            <w:vMerge/>
            <w:tcBorders>
              <w:left w:val="single" w:sz="4" w:space="0" w:color="000000"/>
              <w:right w:val="single" w:sz="4" w:space="0" w:color="000000"/>
            </w:tcBorders>
            <w:shd w:val="clear" w:color="auto" w:fill="D2D2D2"/>
          </w:tcPr>
          <w:p>
            <w:pPr/>
          </w:p>
        </w:tc>
        <w:tc>
          <w:tcPr>
            <w:tcW w:w="113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9"/>
              <w:ind w:left="35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13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9"/>
              <w:ind w:left="352"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13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9"/>
              <w:ind w:left="352"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8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9"/>
              <w:ind w:left="211"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199" w:hRule="exact"/>
        </w:trPr>
        <w:tc>
          <w:tcPr>
            <w:tcW w:w="2246" w:type="dxa"/>
            <w:vMerge w:val="restart"/>
            <w:tcBorders>
              <w:top w:val="nil" w:sz="6" w:space="0" w:color="auto"/>
              <w:left w:val="single" w:sz="4" w:space="0" w:color="000000"/>
              <w:right w:val="single" w:sz="4" w:space="0" w:color="000000"/>
            </w:tcBorders>
            <w:shd w:val="clear" w:color="auto" w:fill="D2D2D2"/>
          </w:tcPr>
          <w:p>
            <w:pPr/>
          </w:p>
        </w:tc>
        <w:tc>
          <w:tcPr>
            <w:tcW w:w="1147" w:type="dxa"/>
            <w:vMerge/>
            <w:tcBorders>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283" w:type="dxa"/>
            <w:vMerge/>
            <w:tcBorders>
              <w:left w:val="single" w:sz="4" w:space="0" w:color="000000"/>
              <w:right w:val="single" w:sz="4" w:space="0" w:color="000000"/>
            </w:tcBorders>
            <w:shd w:val="clear" w:color="auto" w:fill="D2D2D2"/>
          </w:tcPr>
          <w:p>
            <w:pPr/>
          </w:p>
        </w:tc>
        <w:tc>
          <w:tcPr>
            <w:tcW w:w="569"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bottom w:val="nil" w:sz="6" w:space="0" w:color="auto"/>
              <w:right w:val="single" w:sz="4" w:space="0" w:color="000000"/>
            </w:tcBorders>
            <w:shd w:val="clear" w:color="auto" w:fill="D2D2D2"/>
          </w:tcPr>
          <w:p>
            <w:pPr/>
          </w:p>
        </w:tc>
        <w:tc>
          <w:tcPr>
            <w:tcW w:w="1136" w:type="dxa"/>
            <w:vMerge/>
            <w:tcBorders>
              <w:left w:val="single" w:sz="4" w:space="0" w:color="000000"/>
              <w:bottom w:val="nil" w:sz="6" w:space="0" w:color="auto"/>
              <w:right w:val="single" w:sz="4" w:space="0" w:color="000000"/>
            </w:tcBorders>
            <w:shd w:val="clear" w:color="auto" w:fill="D2D2D2"/>
          </w:tcPr>
          <w:p>
            <w:pPr/>
          </w:p>
        </w:tc>
        <w:tc>
          <w:tcPr>
            <w:tcW w:w="1133" w:type="dxa"/>
            <w:vMerge/>
            <w:tcBorders>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r>
      <w:tr>
        <w:trPr>
          <w:trHeight w:val="156" w:hRule="exact"/>
        </w:trPr>
        <w:tc>
          <w:tcPr>
            <w:tcW w:w="2246" w:type="dxa"/>
            <w:vMerge/>
            <w:tcBorders>
              <w:left w:val="single" w:sz="4" w:space="0" w:color="000000"/>
              <w:right w:val="single" w:sz="4" w:space="0" w:color="000000"/>
            </w:tcBorders>
            <w:shd w:val="clear" w:color="auto" w:fill="D2D2D2"/>
          </w:tcPr>
          <w:p>
            <w:pPr/>
          </w:p>
        </w:tc>
        <w:tc>
          <w:tcPr>
            <w:tcW w:w="1147" w:type="dxa"/>
            <w:vMerge w:val="restart"/>
            <w:tcBorders>
              <w:top w:val="nil" w:sz="6" w:space="0" w:color="auto"/>
              <w:left w:val="single" w:sz="4" w:space="0" w:color="000000"/>
              <w:right w:val="single" w:sz="4" w:space="0" w:color="000000"/>
            </w:tcBorders>
            <w:shd w:val="clear" w:color="auto" w:fill="D2D2D2"/>
          </w:tcPr>
          <w:p>
            <w:pPr/>
          </w:p>
        </w:tc>
        <w:tc>
          <w:tcPr>
            <w:tcW w:w="850" w:type="dxa"/>
            <w:vMerge w:val="restart"/>
            <w:tcBorders>
              <w:top w:val="nil" w:sz="6" w:space="0" w:color="auto"/>
              <w:left w:val="single" w:sz="4" w:space="0" w:color="000000"/>
              <w:right w:val="single" w:sz="4" w:space="0" w:color="000000"/>
            </w:tcBorders>
            <w:shd w:val="clear" w:color="auto" w:fill="D2D2D2"/>
          </w:tcPr>
          <w:p>
            <w:pPr/>
          </w:p>
        </w:tc>
        <w:tc>
          <w:tcPr>
            <w:tcW w:w="566" w:type="dxa"/>
            <w:vMerge/>
            <w:tcBorders>
              <w:left w:val="single" w:sz="4" w:space="0" w:color="000000"/>
              <w:bottom w:val="nil" w:sz="6" w:space="0" w:color="auto"/>
              <w:right w:val="single" w:sz="4" w:space="0" w:color="000000"/>
            </w:tcBorders>
            <w:shd w:val="clear" w:color="auto" w:fill="D2D2D2"/>
          </w:tcPr>
          <w:p>
            <w:pPr/>
          </w:p>
        </w:tc>
        <w:tc>
          <w:tcPr>
            <w:tcW w:w="283" w:type="dxa"/>
            <w:vMerge/>
            <w:tcBorders>
              <w:left w:val="single" w:sz="4" w:space="0" w:color="000000"/>
              <w:bottom w:val="nil" w:sz="6" w:space="0" w:color="auto"/>
              <w:right w:val="single" w:sz="4" w:space="0" w:color="000000"/>
            </w:tcBorders>
            <w:shd w:val="clear" w:color="auto" w:fill="D2D2D2"/>
          </w:tcPr>
          <w:p>
            <w:pPr/>
          </w:p>
        </w:tc>
        <w:tc>
          <w:tcPr>
            <w:tcW w:w="569" w:type="dxa"/>
            <w:vMerge/>
            <w:tcBorders>
              <w:left w:val="single" w:sz="4" w:space="0" w:color="000000"/>
              <w:right w:val="single" w:sz="4" w:space="0" w:color="000000"/>
            </w:tcBorders>
            <w:shd w:val="clear" w:color="auto" w:fill="D2D2D2"/>
          </w:tcPr>
          <w:p>
            <w:pPr/>
          </w:p>
        </w:tc>
        <w:tc>
          <w:tcPr>
            <w:tcW w:w="1133" w:type="dxa"/>
            <w:vMerge w:val="restart"/>
            <w:tcBorders>
              <w:top w:val="nil" w:sz="6" w:space="0" w:color="auto"/>
              <w:left w:val="single" w:sz="4" w:space="0" w:color="000000"/>
              <w:right w:val="single" w:sz="4" w:space="0" w:color="000000"/>
            </w:tcBorders>
            <w:shd w:val="clear" w:color="auto" w:fill="D2D2D2"/>
          </w:tcPr>
          <w:p>
            <w:pPr/>
          </w:p>
        </w:tc>
        <w:tc>
          <w:tcPr>
            <w:tcW w:w="1136" w:type="dxa"/>
            <w:vMerge w:val="restart"/>
            <w:tcBorders>
              <w:top w:val="nil" w:sz="6" w:space="0" w:color="auto"/>
              <w:left w:val="single" w:sz="4" w:space="0" w:color="000000"/>
              <w:right w:val="single" w:sz="4" w:space="0" w:color="000000"/>
            </w:tcBorders>
            <w:shd w:val="clear" w:color="auto" w:fill="D2D2D2"/>
          </w:tcPr>
          <w:p>
            <w:pPr/>
          </w:p>
        </w:tc>
        <w:tc>
          <w:tcPr>
            <w:tcW w:w="1133" w:type="dxa"/>
            <w:vMerge w:val="restart"/>
            <w:tcBorders>
              <w:top w:val="nil" w:sz="6" w:space="0" w:color="auto"/>
              <w:left w:val="single" w:sz="4" w:space="0" w:color="000000"/>
              <w:right w:val="single" w:sz="4" w:space="0" w:color="000000"/>
            </w:tcBorders>
            <w:shd w:val="clear" w:color="auto" w:fill="D2D2D2"/>
          </w:tcPr>
          <w:p>
            <w:pPr/>
          </w:p>
        </w:tc>
        <w:tc>
          <w:tcPr>
            <w:tcW w:w="850"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246" w:type="dxa"/>
            <w:vMerge/>
            <w:tcBorders>
              <w:left w:val="single" w:sz="4" w:space="0" w:color="000000"/>
              <w:bottom w:val="single" w:sz="4" w:space="0" w:color="000000"/>
              <w:right w:val="single" w:sz="4" w:space="0" w:color="000000"/>
            </w:tcBorders>
            <w:shd w:val="clear" w:color="auto" w:fill="D2D2D2"/>
          </w:tcPr>
          <w:p>
            <w:pPr/>
          </w:p>
        </w:tc>
        <w:tc>
          <w:tcPr>
            <w:tcW w:w="1147"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566" w:type="dxa"/>
            <w:tcBorders>
              <w:top w:val="nil" w:sz="6" w:space="0" w:color="auto"/>
              <w:left w:val="single" w:sz="4" w:space="0" w:color="000000"/>
              <w:bottom w:val="single" w:sz="4" w:space="0" w:color="000000"/>
              <w:right w:val="single" w:sz="4" w:space="0" w:color="000000"/>
            </w:tcBorders>
            <w:shd w:val="clear" w:color="auto" w:fill="D2D2D2"/>
          </w:tcPr>
          <w:p>
            <w:pPr/>
          </w:p>
        </w:tc>
        <w:tc>
          <w:tcPr>
            <w:tcW w:w="283" w:type="dxa"/>
            <w:tcBorders>
              <w:top w:val="nil" w:sz="6" w:space="0" w:color="auto"/>
              <w:left w:val="single" w:sz="4" w:space="0" w:color="000000"/>
              <w:bottom w:val="single" w:sz="4" w:space="0" w:color="000000"/>
              <w:right w:val="single" w:sz="4" w:space="0" w:color="000000"/>
            </w:tcBorders>
            <w:shd w:val="clear" w:color="auto" w:fill="D2D2D2"/>
          </w:tcPr>
          <w:p>
            <w:pPr/>
          </w:p>
        </w:tc>
        <w:tc>
          <w:tcPr>
            <w:tcW w:w="569" w:type="dxa"/>
            <w:vMerge/>
            <w:tcBorders>
              <w:left w:val="single" w:sz="4" w:space="0" w:color="000000"/>
              <w:bottom w:val="single" w:sz="4" w:space="0" w:color="000000"/>
              <w:right w:val="single" w:sz="4" w:space="0" w:color="000000"/>
            </w:tcBorders>
            <w:shd w:val="clear" w:color="auto" w:fill="D2D2D2"/>
          </w:tcPr>
          <w:p>
            <w:pPr/>
          </w:p>
        </w:tc>
        <w:tc>
          <w:tcPr>
            <w:tcW w:w="1133" w:type="dxa"/>
            <w:vMerge/>
            <w:tcBorders>
              <w:left w:val="single" w:sz="4" w:space="0" w:color="000000"/>
              <w:bottom w:val="single" w:sz="4" w:space="0" w:color="000000"/>
              <w:right w:val="single" w:sz="4" w:space="0" w:color="000000"/>
            </w:tcBorders>
            <w:shd w:val="clear" w:color="auto" w:fill="D2D2D2"/>
          </w:tcPr>
          <w:p>
            <w:pPr/>
          </w:p>
        </w:tc>
        <w:tc>
          <w:tcPr>
            <w:tcW w:w="1136" w:type="dxa"/>
            <w:vMerge/>
            <w:tcBorders>
              <w:left w:val="single" w:sz="4" w:space="0" w:color="000000"/>
              <w:bottom w:val="single" w:sz="4" w:space="0" w:color="000000"/>
              <w:right w:val="single" w:sz="4" w:space="0" w:color="000000"/>
            </w:tcBorders>
            <w:shd w:val="clear" w:color="auto" w:fill="D2D2D2"/>
          </w:tcPr>
          <w:p>
            <w:pPr/>
          </w:p>
        </w:tc>
        <w:tc>
          <w:tcPr>
            <w:tcW w:w="1133"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一、有限售条件股份</w:t>
            </w:r>
          </w:p>
        </w:tc>
        <w:tc>
          <w:tcPr>
            <w:tcW w:w="11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2"/>
                <w:sz w:val="21"/>
              </w:rPr>
              <w:t>119,790,168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59.90%</w:t>
            </w: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67" w:right="0"/>
              <w:jc w:val="center"/>
              <w:rPr>
                <w:rFonts w:ascii="Times New Roman" w:hAnsi="Times New Roman" w:cs="Times New Roman" w:eastAsia="Times New Roman" w:hint="default"/>
                <w:sz w:val="21"/>
                <w:szCs w:val="21"/>
              </w:rPr>
            </w:pPr>
            <w:r>
              <w:rPr>
                <w:rFonts w:ascii="Times New Roman"/>
                <w:sz w:val="21"/>
              </w:rPr>
              <w:t>-47,738,949</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-47,738,949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72,051,219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51" w:right="0"/>
              <w:jc w:val="center"/>
              <w:rPr>
                <w:rFonts w:ascii="Times New Roman" w:hAnsi="Times New Roman" w:cs="Times New Roman" w:eastAsia="Times New Roman" w:hint="default"/>
                <w:sz w:val="21"/>
                <w:szCs w:val="21"/>
              </w:rPr>
            </w:pPr>
            <w:r>
              <w:rPr>
                <w:rFonts w:ascii="Times New Roman"/>
                <w:sz w:val="21"/>
              </w:rPr>
              <w:t>36.03%</w:t>
            </w:r>
          </w:p>
        </w:tc>
      </w:tr>
      <w:tr>
        <w:trPr>
          <w:trHeight w:val="401"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、其他内资持股</w:t>
            </w:r>
          </w:p>
        </w:tc>
        <w:tc>
          <w:tcPr>
            <w:tcW w:w="11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82,131,449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41.07%</w:t>
            </w: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67" w:right="0"/>
              <w:jc w:val="center"/>
              <w:rPr>
                <w:rFonts w:ascii="Times New Roman" w:hAnsi="Times New Roman" w:cs="Times New Roman" w:eastAsia="Times New Roman" w:hint="default"/>
                <w:sz w:val="21"/>
                <w:szCs w:val="21"/>
              </w:rPr>
            </w:pPr>
            <w:r>
              <w:rPr>
                <w:rFonts w:ascii="Times New Roman"/>
                <w:sz w:val="21"/>
              </w:rPr>
              <w:t>-10,080,230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-10,080,230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72,051,219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51" w:right="0"/>
              <w:jc w:val="center"/>
              <w:rPr>
                <w:rFonts w:ascii="Times New Roman" w:hAnsi="Times New Roman" w:cs="Times New Roman" w:eastAsia="Times New Roman" w:hint="default"/>
                <w:sz w:val="21"/>
                <w:szCs w:val="21"/>
              </w:rPr>
            </w:pPr>
            <w:r>
              <w:rPr>
                <w:rFonts w:ascii="Times New Roman"/>
                <w:sz w:val="21"/>
              </w:rPr>
              <w:t>36.03%</w:t>
            </w:r>
          </w:p>
        </w:tc>
      </w:tr>
      <w:tr>
        <w:trPr>
          <w:trHeight w:val="403"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其中：境内法人持股</w:t>
            </w:r>
          </w:p>
        </w:tc>
        <w:tc>
          <w:tcPr>
            <w:tcW w:w="11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79,963,949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39.98%</w:t>
            </w: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67" w:right="0"/>
              <w:jc w:val="center"/>
              <w:rPr>
                <w:rFonts w:ascii="Times New Roman" w:hAnsi="Times New Roman" w:cs="Times New Roman" w:eastAsia="Times New Roman" w:hint="default"/>
                <w:sz w:val="21"/>
                <w:szCs w:val="21"/>
              </w:rPr>
            </w:pPr>
            <w:r>
              <w:rPr>
                <w:rFonts w:ascii="Times New Roman"/>
                <w:sz w:val="21"/>
              </w:rPr>
              <w:t>-20,305,230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-20,305,230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59,658,719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51" w:right="0"/>
              <w:jc w:val="center"/>
              <w:rPr>
                <w:rFonts w:ascii="Times New Roman" w:hAnsi="Times New Roman" w:cs="Times New Roman" w:eastAsia="Times New Roman" w:hint="default"/>
                <w:sz w:val="21"/>
                <w:szCs w:val="21"/>
              </w:rPr>
            </w:pPr>
            <w:r>
              <w:rPr>
                <w:rFonts w:ascii="Times New Roman"/>
                <w:sz w:val="21"/>
              </w:rPr>
              <w:t>29.83%</w:t>
            </w:r>
          </w:p>
        </w:tc>
      </w:tr>
      <w:tr>
        <w:trPr>
          <w:trHeight w:val="401"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43" w:right="0"/>
              <w:jc w:val="left"/>
              <w:rPr>
                <w:rFonts w:ascii="宋体" w:hAnsi="宋体" w:cs="宋体" w:eastAsia="宋体" w:hint="default"/>
                <w:sz w:val="21"/>
                <w:szCs w:val="21"/>
              </w:rPr>
            </w:pPr>
            <w:r>
              <w:rPr>
                <w:rFonts w:ascii="宋体" w:hAnsi="宋体" w:cs="宋体" w:eastAsia="宋体" w:hint="default"/>
                <w:sz w:val="21"/>
                <w:szCs w:val="21"/>
              </w:rPr>
              <w:t>境内自然人持股</w:t>
            </w:r>
          </w:p>
        </w:tc>
        <w:tc>
          <w:tcPr>
            <w:tcW w:w="11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2,167,500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1.08%</w:t>
            </w: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36" w:right="0"/>
              <w:jc w:val="center"/>
              <w:rPr>
                <w:rFonts w:ascii="Times New Roman" w:hAnsi="Times New Roman" w:cs="Times New Roman" w:eastAsia="Times New Roman" w:hint="default"/>
                <w:sz w:val="21"/>
                <w:szCs w:val="21"/>
              </w:rPr>
            </w:pPr>
            <w:r>
              <w:rPr>
                <w:rFonts w:ascii="Times New Roman"/>
                <w:sz w:val="21"/>
              </w:rPr>
              <w:t>10,225,000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10,225,000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12,392,500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57" w:right="0"/>
              <w:jc w:val="center"/>
              <w:rPr>
                <w:rFonts w:ascii="Times New Roman" w:hAnsi="Times New Roman" w:cs="Times New Roman" w:eastAsia="Times New Roman" w:hint="default"/>
                <w:sz w:val="21"/>
                <w:szCs w:val="21"/>
              </w:rPr>
            </w:pPr>
            <w:r>
              <w:rPr>
                <w:rFonts w:ascii="Times New Roman"/>
                <w:sz w:val="21"/>
              </w:rPr>
              <w:t>6.20%</w:t>
            </w:r>
          </w:p>
        </w:tc>
      </w:tr>
      <w:tr>
        <w:trPr>
          <w:trHeight w:val="403"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、外资持股</w:t>
            </w:r>
          </w:p>
        </w:tc>
        <w:tc>
          <w:tcPr>
            <w:tcW w:w="11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37,658,719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18.83%</w:t>
            </w: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67" w:right="0"/>
              <w:jc w:val="center"/>
              <w:rPr>
                <w:rFonts w:ascii="Times New Roman" w:hAnsi="Times New Roman" w:cs="Times New Roman" w:eastAsia="Times New Roman" w:hint="default"/>
                <w:sz w:val="21"/>
                <w:szCs w:val="21"/>
              </w:rPr>
            </w:pPr>
            <w:r>
              <w:rPr>
                <w:rFonts w:ascii="Times New Roman"/>
                <w:sz w:val="21"/>
              </w:rPr>
              <w:t>-37,658,719</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-37,658,719</w:t>
            </w:r>
          </w:p>
        </w:tc>
        <w:tc>
          <w:tcPr>
            <w:tcW w:w="113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其中：境外法人持股</w:t>
            </w:r>
          </w:p>
        </w:tc>
        <w:tc>
          <w:tcPr>
            <w:tcW w:w="11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37,658,719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18.83%</w:t>
            </w: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67" w:right="0"/>
              <w:jc w:val="center"/>
              <w:rPr>
                <w:rFonts w:ascii="Times New Roman" w:hAnsi="Times New Roman" w:cs="Times New Roman" w:eastAsia="Times New Roman" w:hint="default"/>
                <w:sz w:val="21"/>
                <w:szCs w:val="21"/>
              </w:rPr>
            </w:pPr>
            <w:r>
              <w:rPr>
                <w:rFonts w:ascii="Times New Roman"/>
                <w:sz w:val="21"/>
              </w:rPr>
              <w:t>-37,658,719</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-37,658,719</w:t>
            </w:r>
          </w:p>
        </w:tc>
        <w:tc>
          <w:tcPr>
            <w:tcW w:w="113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二、无限售条件股份</w:t>
            </w:r>
          </w:p>
        </w:tc>
        <w:tc>
          <w:tcPr>
            <w:tcW w:w="11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80,209,832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40.10%</w:t>
            </w: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36" w:right="0"/>
              <w:jc w:val="center"/>
              <w:rPr>
                <w:rFonts w:ascii="Times New Roman" w:hAnsi="Times New Roman" w:cs="Times New Roman" w:eastAsia="Times New Roman" w:hint="default"/>
                <w:sz w:val="21"/>
                <w:szCs w:val="21"/>
              </w:rPr>
            </w:pPr>
            <w:r>
              <w:rPr>
                <w:rFonts w:ascii="Times New Roman"/>
                <w:sz w:val="21"/>
              </w:rPr>
              <w:t>47,738,949</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47,738,949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127,948,781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51" w:right="0"/>
              <w:jc w:val="center"/>
              <w:rPr>
                <w:rFonts w:ascii="Times New Roman" w:hAnsi="Times New Roman" w:cs="Times New Roman" w:eastAsia="Times New Roman" w:hint="default"/>
                <w:sz w:val="21"/>
                <w:szCs w:val="21"/>
              </w:rPr>
            </w:pPr>
            <w:r>
              <w:rPr>
                <w:rFonts w:ascii="Times New Roman"/>
                <w:sz w:val="21"/>
              </w:rPr>
              <w:t>63.97%</w:t>
            </w:r>
          </w:p>
        </w:tc>
      </w:tr>
      <w:tr>
        <w:trPr>
          <w:trHeight w:val="401"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、人民币普通股</w:t>
            </w:r>
          </w:p>
        </w:tc>
        <w:tc>
          <w:tcPr>
            <w:tcW w:w="11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80,209,832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40.10%</w:t>
            </w: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36" w:right="0"/>
              <w:jc w:val="center"/>
              <w:rPr>
                <w:rFonts w:ascii="Times New Roman" w:hAnsi="Times New Roman" w:cs="Times New Roman" w:eastAsia="Times New Roman" w:hint="default"/>
                <w:sz w:val="21"/>
                <w:szCs w:val="21"/>
              </w:rPr>
            </w:pPr>
            <w:r>
              <w:rPr>
                <w:rFonts w:ascii="Times New Roman"/>
                <w:sz w:val="21"/>
              </w:rPr>
              <w:t>47,738,949</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47,738,949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127,948,781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51" w:right="0"/>
              <w:jc w:val="center"/>
              <w:rPr>
                <w:rFonts w:ascii="Times New Roman" w:hAnsi="Times New Roman" w:cs="Times New Roman" w:eastAsia="Times New Roman" w:hint="default"/>
                <w:sz w:val="21"/>
                <w:szCs w:val="21"/>
              </w:rPr>
            </w:pPr>
            <w:r>
              <w:rPr>
                <w:rFonts w:ascii="Times New Roman"/>
                <w:sz w:val="21"/>
              </w:rPr>
              <w:t>63.97%</w:t>
            </w:r>
          </w:p>
        </w:tc>
      </w:tr>
      <w:tr>
        <w:trPr>
          <w:trHeight w:val="403"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三、股份总数</w:t>
            </w:r>
          </w:p>
        </w:tc>
        <w:tc>
          <w:tcPr>
            <w:tcW w:w="11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200,000,000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100.00%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200,000,000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6" w:right="0"/>
              <w:jc w:val="center"/>
              <w:rPr>
                <w:rFonts w:ascii="Times New Roman" w:hAnsi="Times New Roman" w:cs="Times New Roman" w:eastAsia="Times New Roman" w:hint="default"/>
                <w:sz w:val="21"/>
                <w:szCs w:val="21"/>
              </w:rPr>
            </w:pPr>
            <w:r>
              <w:rPr>
                <w:rFonts w:ascii="Times New Roman"/>
                <w:sz w:val="21"/>
              </w:rPr>
              <w:t>100.00%</w:t>
            </w:r>
          </w:p>
        </w:tc>
      </w:tr>
    </w:tbl>
    <w:p>
      <w:pPr>
        <w:pStyle w:val="BodyText"/>
        <w:tabs>
          <w:tab w:pos="8374" w:val="left" w:leader="none"/>
        </w:tabs>
        <w:spacing w:line="240" w:lineRule="auto" w:before="28"/>
        <w:ind w:left="392" w:right="146"/>
        <w:jc w:val="left"/>
      </w:pPr>
      <w:r>
        <w:rPr>
          <w:spacing w:val="-1"/>
        </w:rPr>
        <w:t>股份变动的原因</w:t>
        <w:tab/>
      </w:r>
      <w:r>
        <w:rPr>
          <w:rFonts w:ascii="Times New Roman" w:hAnsi="Times New Roman" w:cs="Times New Roman" w:eastAsia="Times New Roman" w:hint="default"/>
        </w:rPr>
        <w:t>√  </w:t>
      </w:r>
      <w:r>
        <w:rPr>
          <w:spacing w:val="-2"/>
        </w:rPr>
        <w:t>适用</w:t>
      </w:r>
      <w:r>
        <w:rPr/>
        <w:t> </w:t>
      </w:r>
      <w:r>
        <w:rPr>
          <w:rFonts w:ascii="Times New Roman" w:hAnsi="Times New Roman" w:cs="Times New Roman" w:eastAsia="Times New Roman" w:hint="default"/>
        </w:rPr>
        <w:t>□ </w:t>
      </w:r>
      <w:r>
        <w:rPr>
          <w:rFonts w:ascii="Times New Roman" w:hAnsi="Times New Roman" w:cs="Times New Roman" w:eastAsia="Times New Roman" w:hint="default"/>
          <w:spacing w:val="4"/>
        </w:rPr>
        <w:t> </w:t>
      </w:r>
      <w:r>
        <w:rPr>
          <w:spacing w:val="-1"/>
        </w:rPr>
        <w:t>不适用</w:t>
      </w:r>
    </w:p>
    <w:p>
      <w:pPr>
        <w:pStyle w:val="BodyText"/>
        <w:spacing w:line="273" w:lineRule="auto" w:before="59"/>
        <w:ind w:left="392" w:right="146" w:firstLine="420"/>
        <w:jc w:val="left"/>
      </w:pPr>
      <w:r>
        <w:rPr>
          <w:spacing w:val="-2"/>
        </w:rPr>
        <w:t>（</w:t>
      </w:r>
      <w:r>
        <w:rPr>
          <w:rFonts w:ascii="宋体" w:hAnsi="宋体" w:cs="宋体" w:eastAsia="宋体" w:hint="default"/>
          <w:spacing w:val="-2"/>
        </w:rPr>
        <w:t>1</w:t>
      </w:r>
      <w:r>
        <w:rPr>
          <w:spacing w:val="-2"/>
        </w:rPr>
        <w:t>）发起人股东香港华声、锐达投资、远茂化工所持公司股份限售期满，解除限售，上市流通，导</w:t>
      </w:r>
      <w:r>
        <w:rPr>
          <w:w w:val="100"/>
        </w:rPr>
        <w:t> </w:t>
      </w:r>
      <w:r>
        <w:rPr/>
        <w:t>致限售股减少</w:t>
      </w:r>
      <w:r>
        <w:rPr>
          <w:rFonts w:ascii="Times New Roman" w:hAnsi="Times New Roman" w:cs="Times New Roman" w:eastAsia="Times New Roman" w:hint="default"/>
        </w:rPr>
        <w:t>117,622,668</w:t>
      </w:r>
      <w:r>
        <w:rPr/>
        <w:t>股；</w:t>
      </w:r>
    </w:p>
    <w:p>
      <w:pPr>
        <w:pStyle w:val="BodyText"/>
        <w:spacing w:line="273" w:lineRule="auto"/>
        <w:ind w:left="392" w:right="146" w:firstLine="420"/>
        <w:jc w:val="left"/>
      </w:pPr>
      <w:r>
        <w:rPr>
          <w:spacing w:val="-2"/>
        </w:rPr>
        <w:t>（</w:t>
      </w:r>
      <w:r>
        <w:rPr>
          <w:rFonts w:ascii="宋体" w:hAnsi="宋体" w:cs="宋体" w:eastAsia="宋体" w:hint="default"/>
          <w:spacing w:val="-2"/>
        </w:rPr>
        <w:t>2</w:t>
      </w:r>
      <w:r>
        <w:rPr>
          <w:spacing w:val="-2"/>
        </w:rPr>
        <w:t>）凤凰财智协议受让香港华声、远茂化工所持公司股份，该等股份按凤凰财智所出具承诺全部锁</w:t>
      </w:r>
      <w:r>
        <w:rPr>
          <w:w w:val="100"/>
        </w:rPr>
        <w:t> </w:t>
      </w:r>
      <w:r>
        <w:rPr/>
        <w:t>定，导致限售股增加</w:t>
      </w:r>
      <w:r>
        <w:rPr>
          <w:rFonts w:ascii="Times New Roman" w:hAnsi="Times New Roman" w:cs="Times New Roman" w:eastAsia="Times New Roman" w:hint="default"/>
        </w:rPr>
        <w:t>59,658,719</w:t>
      </w:r>
      <w:r>
        <w:rPr/>
        <w:t>股；</w:t>
      </w:r>
    </w:p>
    <w:p>
      <w:pPr>
        <w:pStyle w:val="BodyText"/>
        <w:spacing w:line="279" w:lineRule="exact"/>
        <w:ind w:left="813" w:right="146"/>
        <w:jc w:val="left"/>
      </w:pPr>
      <w:r>
        <w:rPr/>
        <w:t>（</w:t>
      </w:r>
      <w:r>
        <w:rPr>
          <w:rFonts w:ascii="宋体" w:hAnsi="宋体" w:cs="宋体" w:eastAsia="宋体" w:hint="default"/>
        </w:rPr>
        <w:t>3</w:t>
      </w:r>
      <w:r>
        <w:rPr/>
        <w:t>）原董事黄喜强先生辞职，其所持股份改按</w:t>
      </w:r>
      <w:r>
        <w:rPr>
          <w:rFonts w:ascii="Times New Roman" w:hAnsi="Times New Roman" w:cs="Times New Roman" w:eastAsia="Times New Roman" w:hint="default"/>
        </w:rPr>
        <w:t>100%</w:t>
      </w:r>
      <w:r>
        <w:rPr/>
        <w:t>比例锁定，导致限售股增加</w:t>
      </w:r>
      <w:r>
        <w:rPr>
          <w:rFonts w:ascii="Times New Roman" w:hAnsi="Times New Roman" w:cs="Times New Roman" w:eastAsia="Times New Roman" w:hint="default"/>
        </w:rPr>
        <w:t>425,000</w:t>
      </w:r>
      <w:r>
        <w:rPr/>
        <w:t>股；</w:t>
      </w:r>
    </w:p>
    <w:p>
      <w:pPr>
        <w:pStyle w:val="BodyText"/>
        <w:spacing w:line="256" w:lineRule="auto" w:before="21"/>
        <w:ind w:left="392" w:right="146" w:firstLine="420"/>
        <w:jc w:val="left"/>
      </w:pPr>
      <w:r>
        <w:rPr>
          <w:spacing w:val="-5"/>
        </w:rPr>
        <w:t>（</w:t>
      </w:r>
      <w:r>
        <w:rPr>
          <w:rFonts w:ascii="宋体" w:hAnsi="宋体" w:cs="宋体" w:eastAsia="宋体" w:hint="default"/>
          <w:spacing w:val="-5"/>
        </w:rPr>
        <w:t>4</w:t>
      </w:r>
      <w:r>
        <w:rPr>
          <w:spacing w:val="-5"/>
        </w:rPr>
        <w:t>）原董事、高管罗桥胜先生辞职后协议受让公司股份</w:t>
      </w:r>
      <w:r>
        <w:rPr>
          <w:rFonts w:ascii="Times New Roman" w:hAnsi="Times New Roman" w:cs="Times New Roman" w:eastAsia="Times New Roman" w:hint="default"/>
          <w:spacing w:val="-5"/>
        </w:rPr>
        <w:t>19,800,000</w:t>
      </w:r>
      <w:r>
        <w:rPr>
          <w:spacing w:val="-5"/>
        </w:rPr>
        <w:t>股，截至报告期末，该等股份按</w:t>
      </w:r>
      <w:r>
        <w:rPr>
          <w:rFonts w:ascii="Times New Roman" w:hAnsi="Times New Roman" w:cs="Times New Roman" w:eastAsia="Times New Roman" w:hint="default"/>
          <w:spacing w:val="-5"/>
        </w:rPr>
        <w:t>50%</w:t>
      </w:r>
      <w:r>
        <w:rPr>
          <w:rFonts w:ascii="Times New Roman" w:hAnsi="Times New Roman" w:cs="Times New Roman" w:eastAsia="Times New Roman" w:hint="default"/>
          <w:w w:val="100"/>
        </w:rPr>
        <w:t> </w:t>
      </w:r>
      <w:r>
        <w:rPr/>
        <w:t>比例锁定，导致报告期末限售股增加</w:t>
      </w:r>
      <w:r>
        <w:rPr>
          <w:rFonts w:ascii="Times New Roman" w:hAnsi="Times New Roman" w:cs="Times New Roman" w:eastAsia="Times New Roman" w:hint="default"/>
        </w:rPr>
        <w:t>9,800,000</w:t>
      </w:r>
      <w:r>
        <w:rPr/>
        <w:t>股。</w:t>
      </w:r>
    </w:p>
    <w:p>
      <w:pPr>
        <w:pStyle w:val="BodyText"/>
        <w:tabs>
          <w:tab w:pos="8374" w:val="left" w:leader="none"/>
        </w:tabs>
        <w:spacing w:line="240" w:lineRule="auto" w:before="46"/>
        <w:ind w:left="392" w:right="146"/>
        <w:jc w:val="left"/>
      </w:pPr>
      <w:r>
        <w:rPr>
          <w:spacing w:val="-1"/>
        </w:rPr>
        <w:t>股份变动的批准情况</w:t>
        <w:tab/>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spacing w:val="-1"/>
        </w:rPr>
        <w:t>不适用</w:t>
      </w:r>
    </w:p>
    <w:p>
      <w:pPr>
        <w:pStyle w:val="BodyText"/>
        <w:tabs>
          <w:tab w:pos="8374" w:val="left" w:leader="none"/>
        </w:tabs>
        <w:spacing w:line="240" w:lineRule="auto" w:before="62"/>
        <w:ind w:left="392" w:right="146"/>
        <w:jc w:val="left"/>
      </w:pPr>
      <w:r>
        <w:rPr>
          <w:spacing w:val="-1"/>
        </w:rPr>
        <w:t>股份变动的过户情况</w:t>
        <w:tab/>
      </w:r>
      <w:r>
        <w:rPr>
          <w:rFonts w:ascii="Times New Roman" w:hAnsi="Times New Roman" w:cs="Times New Roman" w:eastAsia="Times New Roman" w:hint="default"/>
        </w:rPr>
        <w:t>√  </w:t>
      </w:r>
      <w:r>
        <w:rPr>
          <w:spacing w:val="-2"/>
        </w:rPr>
        <w:t>适用</w:t>
      </w:r>
      <w:r>
        <w:rPr/>
        <w:t> </w:t>
      </w:r>
      <w:r>
        <w:rPr>
          <w:rFonts w:ascii="Times New Roman" w:hAnsi="Times New Roman" w:cs="Times New Roman" w:eastAsia="Times New Roman" w:hint="default"/>
        </w:rPr>
        <w:t>□ </w:t>
      </w:r>
      <w:r>
        <w:rPr>
          <w:rFonts w:ascii="Times New Roman" w:hAnsi="Times New Roman" w:cs="Times New Roman" w:eastAsia="Times New Roman" w:hint="default"/>
          <w:spacing w:val="4"/>
        </w:rPr>
        <w:t> </w:t>
      </w:r>
      <w:r>
        <w:rPr>
          <w:spacing w:val="-1"/>
        </w:rPr>
        <w:t>不适用</w:t>
      </w:r>
    </w:p>
    <w:p>
      <w:pPr>
        <w:pStyle w:val="BodyText"/>
        <w:tabs>
          <w:tab w:pos="8374" w:val="left" w:leader="none"/>
        </w:tabs>
        <w:spacing w:line="290" w:lineRule="auto" w:before="59"/>
        <w:ind w:left="392" w:right="146" w:firstLine="420"/>
        <w:jc w:val="left"/>
      </w:pPr>
      <w:r>
        <w:rPr/>
        <w:t>报告期内，上述股份变动均已完成过户登记。</w:t>
      </w:r>
      <w:r>
        <w:rPr>
          <w:w w:val="100"/>
        </w:rPr>
        <w:t> </w:t>
      </w:r>
      <w:r>
        <w:rPr>
          <w:spacing w:val="-2"/>
        </w:rPr>
        <w:t>股份变动对最近一年和最近一期基本每股收益和稀释每股收益、归属于公司普通股股东的每股净资产等财</w:t>
      </w:r>
      <w:r>
        <w:rPr>
          <w:spacing w:val="-43"/>
        </w:rPr>
        <w:t> </w:t>
      </w:r>
      <w:r>
        <w:rPr>
          <w:spacing w:val="-43"/>
        </w:rPr>
      </w:r>
      <w:r>
        <w:rPr>
          <w:spacing w:val="-1"/>
        </w:rPr>
        <w:t>务指标的影响</w:t>
        <w:tab/>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spacing w:val="-1"/>
        </w:rPr>
        <w:t>不适用</w:t>
      </w:r>
    </w:p>
    <w:p>
      <w:pPr>
        <w:pStyle w:val="BodyText"/>
        <w:tabs>
          <w:tab w:pos="8377" w:val="left" w:leader="none"/>
        </w:tabs>
        <w:spacing w:line="240" w:lineRule="auto" w:before="13"/>
        <w:ind w:left="392" w:right="146"/>
        <w:jc w:val="left"/>
      </w:pPr>
      <w:r>
        <w:rPr>
          <w:spacing w:val="-2"/>
        </w:rPr>
        <w:t>公司认为必要或证券监管机构要求披露的其他内容</w:t>
        <w:tab/>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spacing w:val="-1"/>
        </w:rPr>
        <w:t>不适用</w:t>
      </w:r>
    </w:p>
    <w:p>
      <w:pPr>
        <w:spacing w:line="240" w:lineRule="auto" w:before="5"/>
        <w:rPr>
          <w:rFonts w:ascii="宋体" w:hAnsi="宋体" w:cs="宋体" w:eastAsia="宋体" w:hint="default"/>
          <w:sz w:val="24"/>
          <w:szCs w:val="24"/>
        </w:rPr>
      </w:pPr>
    </w:p>
    <w:p>
      <w:pPr>
        <w:tabs>
          <w:tab w:pos="8425" w:val="left" w:leader="none"/>
        </w:tabs>
        <w:spacing w:before="0"/>
        <w:ind w:left="392" w:right="0" w:firstLine="0"/>
        <w:jc w:val="left"/>
        <w:rPr>
          <w:rFonts w:ascii="宋体" w:hAnsi="宋体" w:cs="宋体" w:eastAsia="宋体" w:hint="default"/>
          <w:sz w:val="21"/>
          <w:szCs w:val="21"/>
        </w:rPr>
      </w:pPr>
      <w:r>
        <w:rPr>
          <w:rFonts w:ascii="Times New Roman" w:hAnsi="Times New Roman" w:cs="Times New Roman" w:eastAsia="Times New Roman" w:hint="default"/>
          <w:b/>
          <w:bCs/>
          <w:w w:val="100"/>
          <w:sz w:val="21"/>
          <w:szCs w:val="21"/>
        </w:rPr>
        <w:t>2</w:t>
      </w:r>
      <w:r>
        <w:rPr>
          <w:rFonts w:ascii="宋体" w:hAnsi="宋体" w:cs="宋体" w:eastAsia="宋体" w:hint="default"/>
          <w:b/>
          <w:bCs/>
          <w:spacing w:val="-87"/>
          <w:w w:val="100"/>
          <w:sz w:val="21"/>
          <w:szCs w:val="21"/>
        </w:rPr>
        <w:t>、</w:t>
      </w:r>
      <w:r>
        <w:rPr>
          <w:rFonts w:ascii="宋体" w:hAnsi="宋体" w:cs="宋体" w:eastAsia="宋体" w:hint="default"/>
          <w:b/>
          <w:bCs/>
          <w:w w:val="100"/>
          <w:sz w:val="21"/>
          <w:szCs w:val="21"/>
        </w:rPr>
        <w:t>限售股份变动情况</w:t>
      </w:r>
      <w:r>
        <w:rPr>
          <w:rFonts w:ascii="宋体" w:hAnsi="宋体" w:cs="宋体" w:eastAsia="宋体" w:hint="default"/>
          <w:b/>
          <w:bCs/>
          <w:sz w:val="21"/>
          <w:szCs w:val="21"/>
        </w:rPr>
        <w:tab/>
      </w:r>
      <w:r>
        <w:rPr>
          <w:rFonts w:ascii="Times New Roman" w:hAnsi="Times New Roman" w:cs="Times New Roman" w:eastAsia="Times New Roman" w:hint="default"/>
          <w:w w:val="100"/>
          <w:sz w:val="21"/>
          <w:szCs w:val="21"/>
        </w:rPr>
        <w:t>√</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spacing w:val="-3"/>
          <w:w w:val="100"/>
          <w:sz w:val="21"/>
          <w:szCs w:val="21"/>
        </w:rPr>
        <w:t>适</w:t>
      </w:r>
      <w:r>
        <w:rPr>
          <w:rFonts w:ascii="宋体" w:hAnsi="宋体" w:cs="宋体" w:eastAsia="宋体" w:hint="default"/>
          <w:w w:val="100"/>
          <w:sz w:val="21"/>
          <w:szCs w:val="21"/>
        </w:rPr>
        <w:t>用</w:t>
      </w:r>
      <w:r>
        <w:rPr>
          <w:rFonts w:ascii="宋体" w:hAnsi="宋体" w:cs="宋体" w:eastAsia="宋体" w:hint="default"/>
          <w:sz w:val="21"/>
          <w:szCs w:val="21"/>
        </w:rPr>
        <w:t> </w:t>
      </w:r>
      <w:r>
        <w:rPr>
          <w:rFonts w:ascii="Times New Roman" w:hAnsi="Times New Roman" w:cs="Times New Roman" w:eastAsia="Times New Roman" w:hint="default"/>
          <w:w w:val="100"/>
          <w:sz w:val="21"/>
          <w:szCs w:val="21"/>
        </w:rPr>
        <w:t>□</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不</w:t>
      </w:r>
      <w:r>
        <w:rPr>
          <w:rFonts w:ascii="宋体" w:hAnsi="宋体" w:cs="宋体" w:eastAsia="宋体" w:hint="default"/>
          <w:spacing w:val="-3"/>
          <w:w w:val="100"/>
          <w:sz w:val="21"/>
          <w:szCs w:val="21"/>
        </w:rPr>
        <w:t>适</w:t>
      </w:r>
      <w:r>
        <w:rPr>
          <w:rFonts w:ascii="宋体" w:hAnsi="宋体" w:cs="宋体" w:eastAsia="宋体" w:hint="default"/>
          <w:w w:val="100"/>
          <w:sz w:val="21"/>
          <w:szCs w:val="21"/>
        </w:rPr>
        <w:t>用</w:t>
      </w:r>
    </w:p>
    <w:p>
      <w:pPr>
        <w:spacing w:line="240" w:lineRule="auto" w:before="10"/>
        <w:rPr>
          <w:rFonts w:ascii="宋体" w:hAnsi="宋体" w:cs="宋体" w:eastAsia="宋体" w:hint="default"/>
          <w:sz w:val="24"/>
          <w:szCs w:val="24"/>
        </w:rPr>
      </w:pPr>
    </w:p>
    <w:p>
      <w:pPr>
        <w:pStyle w:val="BodyText"/>
        <w:spacing w:line="240" w:lineRule="auto"/>
        <w:ind w:left="0" w:right="239"/>
        <w:jc w:val="right"/>
      </w:pPr>
      <w:r>
        <w:rPr>
          <w:spacing w:val="-1"/>
        </w:rPr>
        <w:t>单位：股</w:t>
      </w:r>
    </w:p>
    <w:p>
      <w:pPr>
        <w:spacing w:after="0" w:line="240" w:lineRule="auto"/>
        <w:jc w:val="right"/>
        <w:sectPr>
          <w:pgSz w:w="11910" w:h="16840"/>
          <w:pgMar w:header="877" w:footer="979" w:top="1100" w:bottom="1160" w:left="74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2127"/>
        <w:gridCol w:w="1136"/>
        <w:gridCol w:w="1133"/>
        <w:gridCol w:w="1136"/>
        <w:gridCol w:w="1133"/>
        <w:gridCol w:w="1844"/>
        <w:gridCol w:w="1066"/>
      </w:tblGrid>
      <w:tr>
        <w:trPr>
          <w:trHeight w:val="754"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638"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28"/>
              <w:ind w:left="352" w:right="140" w:hanging="212"/>
              <w:jc w:val="left"/>
              <w:rPr>
                <w:rFonts w:ascii="宋体" w:hAnsi="宋体" w:cs="宋体" w:eastAsia="宋体" w:hint="default"/>
                <w:sz w:val="21"/>
                <w:szCs w:val="21"/>
              </w:rPr>
            </w:pPr>
            <w:r>
              <w:rPr>
                <w:rFonts w:ascii="宋体" w:hAnsi="宋体" w:cs="宋体" w:eastAsia="宋体" w:hint="default"/>
                <w:sz w:val="21"/>
                <w:szCs w:val="21"/>
              </w:rPr>
              <w:t>期初限售</w:t>
            </w:r>
            <w:r>
              <w:rPr>
                <w:rFonts w:ascii="宋体" w:hAnsi="宋体" w:cs="宋体" w:eastAsia="宋体" w:hint="default"/>
                <w:w w:val="100"/>
                <w:sz w:val="21"/>
                <w:szCs w:val="21"/>
              </w:rPr>
              <w:t> </w:t>
            </w:r>
            <w:r>
              <w:rPr>
                <w:rFonts w:ascii="宋体" w:hAnsi="宋体" w:cs="宋体" w:eastAsia="宋体" w:hint="default"/>
                <w:sz w:val="21"/>
                <w:szCs w:val="21"/>
              </w:rPr>
              <w:t>股数</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50"/>
              <w:ind w:left="247" w:right="31" w:hanging="212"/>
              <w:jc w:val="left"/>
              <w:rPr>
                <w:rFonts w:ascii="宋体" w:hAnsi="宋体" w:cs="宋体" w:eastAsia="宋体" w:hint="default"/>
                <w:sz w:val="21"/>
                <w:szCs w:val="21"/>
              </w:rPr>
            </w:pPr>
            <w:r>
              <w:rPr>
                <w:rFonts w:ascii="宋体" w:hAnsi="宋体" w:cs="宋体" w:eastAsia="宋体" w:hint="default"/>
                <w:sz w:val="21"/>
                <w:szCs w:val="21"/>
              </w:rPr>
              <w:t>本期解除限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售股数</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50"/>
              <w:ind w:left="247" w:right="34" w:hanging="212"/>
              <w:jc w:val="left"/>
              <w:rPr>
                <w:rFonts w:ascii="宋体" w:hAnsi="宋体" w:cs="宋体" w:eastAsia="宋体" w:hint="default"/>
                <w:sz w:val="21"/>
                <w:szCs w:val="21"/>
              </w:rPr>
            </w:pPr>
            <w:r>
              <w:rPr>
                <w:rFonts w:ascii="宋体" w:hAnsi="宋体" w:cs="宋体" w:eastAsia="宋体" w:hint="default"/>
                <w:sz w:val="21"/>
                <w:szCs w:val="21"/>
              </w:rPr>
              <w:t>本期增加限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售股数</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28"/>
              <w:ind w:left="352" w:right="137" w:hanging="212"/>
              <w:jc w:val="left"/>
              <w:rPr>
                <w:rFonts w:ascii="宋体" w:hAnsi="宋体" w:cs="宋体" w:eastAsia="宋体" w:hint="default"/>
                <w:sz w:val="21"/>
                <w:szCs w:val="21"/>
              </w:rPr>
            </w:pPr>
            <w:r>
              <w:rPr>
                <w:rFonts w:ascii="宋体" w:hAnsi="宋体" w:cs="宋体" w:eastAsia="宋体" w:hint="default"/>
                <w:sz w:val="21"/>
                <w:szCs w:val="21"/>
              </w:rPr>
              <w:t>期末限售</w:t>
            </w:r>
            <w:r>
              <w:rPr>
                <w:rFonts w:ascii="宋体" w:hAnsi="宋体" w:cs="宋体" w:eastAsia="宋体" w:hint="default"/>
                <w:w w:val="100"/>
                <w:sz w:val="21"/>
                <w:szCs w:val="21"/>
              </w:rPr>
              <w:t> </w:t>
            </w:r>
            <w:r>
              <w:rPr>
                <w:rFonts w:ascii="宋体" w:hAnsi="宋体" w:cs="宋体" w:eastAsia="宋体" w:hint="default"/>
                <w:sz w:val="21"/>
                <w:szCs w:val="21"/>
              </w:rPr>
              <w:t>股数</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限售原因</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50"/>
              <w:ind w:left="319" w:right="103" w:hanging="212"/>
              <w:jc w:val="left"/>
              <w:rPr>
                <w:rFonts w:ascii="宋体" w:hAnsi="宋体" w:cs="宋体" w:eastAsia="宋体" w:hint="default"/>
                <w:sz w:val="21"/>
                <w:szCs w:val="21"/>
              </w:rPr>
            </w:pPr>
            <w:r>
              <w:rPr>
                <w:rFonts w:ascii="宋体" w:hAnsi="宋体" w:cs="宋体" w:eastAsia="宋体" w:hint="default"/>
                <w:sz w:val="21"/>
                <w:szCs w:val="21"/>
              </w:rPr>
              <w:t>解除限售</w:t>
            </w:r>
            <w:r>
              <w:rPr>
                <w:rFonts w:ascii="宋体" w:hAnsi="宋体" w:cs="宋体" w:eastAsia="宋体" w:hint="default"/>
                <w:w w:val="100"/>
                <w:sz w:val="21"/>
                <w:szCs w:val="21"/>
              </w:rPr>
              <w:t> </w:t>
            </w:r>
            <w:r>
              <w:rPr>
                <w:rFonts w:ascii="宋体" w:hAnsi="宋体" w:cs="宋体" w:eastAsia="宋体" w:hint="default"/>
                <w:sz w:val="21"/>
                <w:szCs w:val="21"/>
              </w:rPr>
              <w:t>日期</w:t>
            </w:r>
          </w:p>
        </w:tc>
      </w:tr>
      <w:tr>
        <w:trPr>
          <w:trHeight w:val="715"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97"/>
              <w:jc w:val="left"/>
              <w:rPr>
                <w:rFonts w:ascii="宋体" w:hAnsi="宋体" w:cs="宋体" w:eastAsia="宋体" w:hint="default"/>
                <w:sz w:val="21"/>
                <w:szCs w:val="21"/>
              </w:rPr>
            </w:pPr>
            <w:r>
              <w:rPr>
                <w:rFonts w:ascii="宋体" w:hAnsi="宋体" w:cs="宋体" w:eastAsia="宋体" w:hint="default"/>
                <w:sz w:val="21"/>
                <w:szCs w:val="21"/>
              </w:rPr>
              <w:t>北京凤凰财智创新投</w:t>
            </w:r>
            <w:r>
              <w:rPr>
                <w:rFonts w:ascii="宋体" w:hAnsi="宋体" w:cs="宋体" w:eastAsia="宋体" w:hint="default"/>
                <w:w w:val="100"/>
                <w:sz w:val="21"/>
                <w:szCs w:val="21"/>
              </w:rPr>
              <w:t> </w:t>
            </w:r>
            <w:r>
              <w:rPr>
                <w:rFonts w:ascii="宋体" w:hAnsi="宋体" w:cs="宋体" w:eastAsia="宋体" w:hint="default"/>
                <w:sz w:val="21"/>
                <w:szCs w:val="21"/>
              </w:rPr>
              <w:t>资中心（有限合伙）</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c>
          <w:tcPr>
            <w:tcW w:w="1133" w:type="dxa"/>
            <w:tcBorders>
              <w:top w:val="single" w:sz="12" w:space="0" w:color="D2D2D2"/>
              <w:left w:val="single" w:sz="4" w:space="0" w:color="000000"/>
              <w:bottom w:val="single" w:sz="4" w:space="0" w:color="000000"/>
              <w:right w:val="single" w:sz="4" w:space="0" w:color="000000"/>
            </w:tcBorders>
          </w:tcPr>
          <w:p>
            <w:pPr/>
          </w:p>
        </w:tc>
        <w:tc>
          <w:tcPr>
            <w:tcW w:w="1136"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59,658,719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59,658,719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25"/>
              <w:jc w:val="left"/>
              <w:rPr>
                <w:rFonts w:ascii="宋体" w:hAnsi="宋体" w:cs="宋体" w:eastAsia="宋体" w:hint="default"/>
                <w:sz w:val="21"/>
                <w:szCs w:val="21"/>
              </w:rPr>
            </w:pPr>
            <w:r>
              <w:rPr>
                <w:rFonts w:ascii="宋体" w:hAnsi="宋体" w:cs="宋体" w:eastAsia="宋体" w:hint="default"/>
                <w:sz w:val="21"/>
                <w:szCs w:val="21"/>
              </w:rPr>
              <w:t>报告期内受让股份</w:t>
            </w:r>
            <w:r>
              <w:rPr>
                <w:rFonts w:ascii="宋体" w:hAnsi="宋体" w:cs="宋体" w:eastAsia="宋体" w:hint="default"/>
                <w:w w:val="100"/>
                <w:sz w:val="21"/>
                <w:szCs w:val="21"/>
              </w:rPr>
              <w:t> </w:t>
            </w:r>
            <w:r>
              <w:rPr>
                <w:rFonts w:ascii="宋体" w:hAnsi="宋体" w:cs="宋体" w:eastAsia="宋体" w:hint="default"/>
                <w:sz w:val="21"/>
                <w:szCs w:val="21"/>
              </w:rPr>
              <w:t>并按承诺锁定。</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2016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71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罗桥胜</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9,800,000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9,800,000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24" w:right="125"/>
              <w:jc w:val="left"/>
              <w:rPr>
                <w:rFonts w:ascii="宋体" w:hAnsi="宋体" w:cs="宋体" w:eastAsia="宋体" w:hint="default"/>
                <w:sz w:val="21"/>
                <w:szCs w:val="21"/>
              </w:rPr>
            </w:pPr>
            <w:r>
              <w:rPr>
                <w:rFonts w:ascii="宋体" w:hAnsi="宋体" w:cs="宋体" w:eastAsia="宋体" w:hint="default"/>
                <w:sz w:val="21"/>
                <w:szCs w:val="21"/>
              </w:rPr>
              <w:t>离任后受让股份按</w:t>
            </w:r>
            <w:r>
              <w:rPr>
                <w:rFonts w:ascii="宋体" w:hAnsi="宋体" w:cs="宋体" w:eastAsia="宋体" w:hint="default"/>
                <w:w w:val="100"/>
                <w:sz w:val="21"/>
                <w:szCs w:val="21"/>
              </w:rPr>
              <w:t> </w:t>
            </w:r>
            <w:r>
              <w:rPr>
                <w:rFonts w:ascii="宋体" w:hAnsi="宋体" w:cs="宋体" w:eastAsia="宋体" w:hint="default"/>
                <w:sz w:val="21"/>
                <w:szCs w:val="21"/>
              </w:rPr>
              <w:t>规定锁定。</w:t>
            </w:r>
          </w:p>
        </w:tc>
        <w:tc>
          <w:tcPr>
            <w:tcW w:w="106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71" w:lineRule="auto"/>
              <w:ind w:left="23" w:right="-22"/>
              <w:jc w:val="left"/>
              <w:rPr>
                <w:rFonts w:ascii="宋体" w:hAnsi="宋体" w:cs="宋体" w:eastAsia="宋体" w:hint="default"/>
                <w:sz w:val="21"/>
                <w:szCs w:val="21"/>
              </w:rPr>
            </w:pPr>
            <w:r>
              <w:rPr>
                <w:rFonts w:ascii="宋体" w:hAnsi="宋体" w:cs="宋体" w:eastAsia="宋体" w:hint="default"/>
                <w:sz w:val="21"/>
                <w:szCs w:val="21"/>
              </w:rPr>
              <w:t>按照董事、</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9"/>
                <w:sz w:val="21"/>
                <w:szCs w:val="21"/>
              </w:rPr>
              <w:t>监事、高级</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管理人员</w:t>
            </w:r>
            <w:r>
              <w:rPr>
                <w:rFonts w:ascii="宋体" w:hAnsi="宋体" w:cs="宋体" w:eastAsia="宋体" w:hint="default"/>
                <w:w w:val="100"/>
                <w:sz w:val="21"/>
                <w:szCs w:val="21"/>
              </w:rPr>
              <w:t> </w:t>
            </w:r>
            <w:r>
              <w:rPr>
                <w:rFonts w:ascii="宋体" w:hAnsi="宋体" w:cs="宋体" w:eastAsia="宋体" w:hint="default"/>
                <w:sz w:val="21"/>
                <w:szCs w:val="21"/>
              </w:rPr>
              <w:t>持股有关</w:t>
            </w:r>
            <w:r>
              <w:rPr>
                <w:rFonts w:ascii="宋体" w:hAnsi="宋体" w:cs="宋体" w:eastAsia="宋体" w:hint="default"/>
                <w:w w:val="100"/>
                <w:sz w:val="21"/>
                <w:szCs w:val="21"/>
              </w:rPr>
              <w:t> </w:t>
            </w:r>
            <w:r>
              <w:rPr>
                <w:rFonts w:ascii="宋体" w:hAnsi="宋体" w:cs="宋体" w:eastAsia="宋体" w:hint="default"/>
                <w:sz w:val="21"/>
                <w:szCs w:val="21"/>
              </w:rPr>
              <w:t>规定执行。</w:t>
            </w:r>
          </w:p>
        </w:tc>
      </w:tr>
      <w:tr>
        <w:trPr>
          <w:trHeight w:val="715"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黄喜强</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1,275,000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425,000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1,700,000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2"/>
              <w:jc w:val="left"/>
              <w:rPr>
                <w:rFonts w:ascii="宋体" w:hAnsi="宋体" w:cs="宋体" w:eastAsia="宋体" w:hint="default"/>
                <w:sz w:val="21"/>
                <w:szCs w:val="21"/>
              </w:rPr>
            </w:pPr>
            <w:r>
              <w:rPr>
                <w:rFonts w:ascii="宋体" w:hAnsi="宋体" w:cs="宋体" w:eastAsia="宋体" w:hint="default"/>
                <w:sz w:val="21"/>
                <w:szCs w:val="21"/>
              </w:rPr>
              <w:t>离任后所持股份改</w:t>
            </w:r>
            <w:r>
              <w:rPr>
                <w:rFonts w:ascii="宋体" w:hAnsi="宋体" w:cs="宋体" w:eastAsia="宋体" w:hint="default"/>
                <w:w w:val="100"/>
                <w:sz w:val="21"/>
                <w:szCs w:val="21"/>
              </w:rPr>
              <w:t> </w:t>
            </w:r>
            <w:r>
              <w:rPr>
                <w:rFonts w:ascii="宋体" w:hAnsi="宋体" w:cs="宋体" w:eastAsia="宋体" w:hint="default"/>
                <w:sz w:val="21"/>
                <w:szCs w:val="21"/>
              </w:rPr>
              <w:t>按</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100%</w:t>
            </w:r>
            <w:r>
              <w:rPr>
                <w:rFonts w:ascii="宋体" w:hAnsi="宋体" w:cs="宋体" w:eastAsia="宋体" w:hint="default"/>
                <w:sz w:val="21"/>
                <w:szCs w:val="21"/>
              </w:rPr>
              <w:t>比例锁定。</w:t>
            </w:r>
          </w:p>
        </w:tc>
        <w:tc>
          <w:tcPr>
            <w:tcW w:w="1066" w:type="dxa"/>
            <w:vMerge/>
            <w:tcBorders>
              <w:left w:val="single" w:sz="4" w:space="0" w:color="000000"/>
              <w:right w:val="single" w:sz="4" w:space="0" w:color="000000"/>
            </w:tcBorders>
          </w:tcPr>
          <w:p>
            <w:pP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谢基柱</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427,500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427,500</w:t>
            </w:r>
          </w:p>
        </w:tc>
        <w:tc>
          <w:tcPr>
            <w:tcW w:w="1844" w:type="dxa"/>
            <w:vMerge w:val="restart"/>
            <w:tcBorders>
              <w:top w:val="single" w:sz="4" w:space="0" w:color="000000"/>
              <w:left w:val="single" w:sz="4" w:space="0" w:color="000000"/>
              <w:right w:val="single" w:sz="4" w:space="0" w:color="000000"/>
            </w:tcBorders>
          </w:tcPr>
          <w:p>
            <w:pPr>
              <w:pStyle w:val="TableParagraph"/>
              <w:spacing w:line="273" w:lineRule="auto" w:before="117"/>
              <w:ind w:left="24" w:right="19"/>
              <w:jc w:val="left"/>
              <w:rPr>
                <w:rFonts w:ascii="宋体" w:hAnsi="宋体" w:cs="宋体" w:eastAsia="宋体" w:hint="default"/>
                <w:sz w:val="21"/>
                <w:szCs w:val="21"/>
              </w:rPr>
            </w:pPr>
            <w:r>
              <w:rPr>
                <w:rFonts w:ascii="宋体" w:hAnsi="宋体" w:cs="宋体" w:eastAsia="宋体" w:hint="default"/>
                <w:spacing w:val="-13"/>
                <w:sz w:val="21"/>
                <w:szCs w:val="21"/>
              </w:rPr>
              <w:t>董事、监事、高级管</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理人员所持股份按</w:t>
            </w:r>
            <w:r>
              <w:rPr>
                <w:rFonts w:ascii="宋体" w:hAnsi="宋体" w:cs="宋体" w:eastAsia="宋体" w:hint="default"/>
                <w:w w:val="100"/>
                <w:sz w:val="21"/>
                <w:szCs w:val="21"/>
              </w:rPr>
              <w:t> </w:t>
            </w:r>
            <w:r>
              <w:rPr>
                <w:rFonts w:ascii="宋体" w:hAnsi="宋体" w:cs="宋体" w:eastAsia="宋体" w:hint="default"/>
                <w:sz w:val="21"/>
                <w:szCs w:val="21"/>
              </w:rPr>
              <w:t>比例锁定。</w:t>
            </w:r>
          </w:p>
        </w:tc>
        <w:tc>
          <w:tcPr>
            <w:tcW w:w="1066" w:type="dxa"/>
            <w:vMerge/>
            <w:tcBorders>
              <w:left w:val="single" w:sz="4" w:space="0" w:color="000000"/>
              <w:right w:val="single" w:sz="4" w:space="0" w:color="000000"/>
            </w:tcBorders>
          </w:tcPr>
          <w:p>
            <w:pP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刘世明</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427,500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427,500</w:t>
            </w:r>
          </w:p>
        </w:tc>
        <w:tc>
          <w:tcPr>
            <w:tcW w:w="1844"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sz w:val="21"/>
                <w:szCs w:val="21"/>
              </w:rPr>
              <w:t>刘琛</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37,500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37,500</w:t>
            </w:r>
          </w:p>
        </w:tc>
        <w:tc>
          <w:tcPr>
            <w:tcW w:w="1844" w:type="dxa"/>
            <w:vMerge/>
            <w:tcBorders>
              <w:left w:val="single" w:sz="4" w:space="0" w:color="000000"/>
              <w:bottom w:val="single" w:sz="4" w:space="0" w:color="000000"/>
              <w:right w:val="single" w:sz="4" w:space="0" w:color="000000"/>
            </w:tcBorders>
          </w:tcPr>
          <w:p>
            <w:pPr/>
          </w:p>
        </w:tc>
        <w:tc>
          <w:tcPr>
            <w:tcW w:w="1066" w:type="dxa"/>
            <w:vMerge/>
            <w:tcBorders>
              <w:left w:val="single" w:sz="4" w:space="0" w:color="000000"/>
              <w:bottom w:val="single" w:sz="4" w:space="0" w:color="000000"/>
              <w:right w:val="single" w:sz="4" w:space="0" w:color="000000"/>
            </w:tcBorders>
          </w:tcPr>
          <w:p>
            <w:pPr/>
          </w:p>
        </w:tc>
      </w:tr>
      <w:tr>
        <w:trPr>
          <w:trHeight w:val="715"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97"/>
              <w:jc w:val="left"/>
              <w:rPr>
                <w:rFonts w:ascii="宋体" w:hAnsi="宋体" w:cs="宋体" w:eastAsia="宋体" w:hint="default"/>
                <w:sz w:val="21"/>
                <w:szCs w:val="21"/>
              </w:rPr>
            </w:pPr>
            <w:r>
              <w:rPr>
                <w:rFonts w:ascii="宋体" w:hAnsi="宋体" w:cs="宋体" w:eastAsia="宋体" w:hint="default"/>
                <w:sz w:val="21"/>
                <w:szCs w:val="21"/>
              </w:rPr>
              <w:t>佛山市顺德区远茂化</w:t>
            </w:r>
            <w:r>
              <w:rPr>
                <w:rFonts w:ascii="宋体" w:hAnsi="宋体" w:cs="宋体" w:eastAsia="宋体" w:hint="default"/>
                <w:w w:val="100"/>
                <w:sz w:val="21"/>
                <w:szCs w:val="21"/>
              </w:rPr>
              <w:t> </w:t>
            </w:r>
            <w:r>
              <w:rPr>
                <w:rFonts w:ascii="宋体" w:hAnsi="宋体" w:cs="宋体" w:eastAsia="宋体" w:hint="default"/>
                <w:sz w:val="21"/>
                <w:szCs w:val="21"/>
              </w:rPr>
              <w:t>工实业有限公司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40,813,951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40,813,951</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184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1" w:lineRule="auto" w:before="170"/>
              <w:ind w:left="24" w:right="19"/>
              <w:jc w:val="left"/>
              <w:rPr>
                <w:rFonts w:ascii="宋体" w:hAnsi="宋体" w:cs="宋体" w:eastAsia="宋体" w:hint="default"/>
                <w:sz w:val="21"/>
                <w:szCs w:val="21"/>
              </w:rPr>
            </w:pPr>
            <w:r>
              <w:rPr>
                <w:rFonts w:ascii="宋体" w:hAnsi="宋体" w:cs="宋体" w:eastAsia="宋体" w:hint="default"/>
                <w:spacing w:val="-13"/>
                <w:w w:val="100"/>
                <w:sz w:val="21"/>
                <w:szCs w:val="21"/>
              </w:rPr>
              <w:t>报告期内，所持首发</w:t>
            </w:r>
            <w:r>
              <w:rPr>
                <w:rFonts w:ascii="宋体" w:hAnsi="宋体" w:cs="宋体" w:eastAsia="宋体" w:hint="default"/>
                <w:w w:val="100"/>
                <w:sz w:val="21"/>
                <w:szCs w:val="21"/>
              </w:rPr>
              <w:t> </w:t>
            </w:r>
            <w:r>
              <w:rPr>
                <w:rFonts w:ascii="宋体" w:hAnsi="宋体" w:cs="宋体" w:eastAsia="宋体" w:hint="default"/>
                <w:sz w:val="21"/>
                <w:szCs w:val="21"/>
              </w:rPr>
              <w:t>前机构类限售股解</w:t>
            </w:r>
            <w:r>
              <w:rPr>
                <w:rFonts w:ascii="宋体" w:hAnsi="宋体" w:cs="宋体" w:eastAsia="宋体" w:hint="default"/>
                <w:w w:val="100"/>
                <w:sz w:val="21"/>
                <w:szCs w:val="21"/>
              </w:rPr>
              <w:t> </w:t>
            </w:r>
            <w:r>
              <w:rPr>
                <w:rFonts w:ascii="宋体" w:hAnsi="宋体" w:cs="宋体" w:eastAsia="宋体" w:hint="default"/>
                <w:sz w:val="21"/>
                <w:szCs w:val="21"/>
              </w:rPr>
              <w:t>除限售，上市流通</w:t>
            </w:r>
          </w:p>
        </w:tc>
        <w:tc>
          <w:tcPr>
            <w:tcW w:w="106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p>
          <w:p>
            <w:pPr>
              <w:pStyle w:val="TableParagraph"/>
              <w:spacing w:line="240" w:lineRule="auto" w:before="19"/>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71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24" w:right="197"/>
              <w:jc w:val="left"/>
              <w:rPr>
                <w:rFonts w:ascii="宋体" w:hAnsi="宋体" w:cs="宋体" w:eastAsia="宋体" w:hint="default"/>
                <w:sz w:val="21"/>
                <w:szCs w:val="21"/>
              </w:rPr>
            </w:pPr>
            <w:r>
              <w:rPr>
                <w:rFonts w:ascii="宋体" w:hAnsi="宋体" w:cs="宋体" w:eastAsia="宋体" w:hint="default"/>
                <w:sz w:val="21"/>
                <w:szCs w:val="21"/>
              </w:rPr>
              <w:t>佛山锐达投资发展有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39,149,998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39,149,998</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1844" w:type="dxa"/>
            <w:vMerge/>
            <w:tcBorders>
              <w:left w:val="single" w:sz="4" w:space="0" w:color="000000"/>
              <w:right w:val="single" w:sz="4" w:space="0" w:color="000000"/>
            </w:tcBorders>
          </w:tcPr>
          <w:p>
            <w:pPr/>
          </w:p>
        </w:tc>
        <w:tc>
          <w:tcPr>
            <w:tcW w:w="1066" w:type="dxa"/>
            <w:vMerge/>
            <w:tcBorders>
              <w:left w:val="single" w:sz="4" w:space="0" w:color="000000"/>
              <w:bottom w:val="nil" w:sz="6" w:space="0" w:color="auto"/>
              <w:right w:val="single" w:sz="4" w:space="0" w:color="000000"/>
            </w:tcBorders>
          </w:tcPr>
          <w:p>
            <w:pP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pacing w:val="-4"/>
                <w:sz w:val="21"/>
                <w:szCs w:val="21"/>
              </w:rPr>
              <w:t>华声（香港）有限公司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37,658,719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37,658,719</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100"/>
                <w:sz w:val="21"/>
              </w:rPr>
              <w:t>0</w:t>
            </w:r>
          </w:p>
        </w:tc>
        <w:tc>
          <w:tcPr>
            <w:tcW w:w="1844" w:type="dxa"/>
            <w:vMerge/>
            <w:tcBorders>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2"/>
                <w:sz w:val="21"/>
              </w:rPr>
              <w:t>119,790,168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2"/>
                <w:sz w:val="21"/>
              </w:rPr>
              <w:t>117,622,668</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69,883,719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72,051,219</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pict>
          <v:shape style="position:absolute;margin-left:475.299988pt;margin-top:-77.924377pt;width:58.7pt;height:20.95pt;mso-position-horizontal-relative:page;mso-position-vertical-relative:paragraph;z-index:-667336" type="#_x0000_t202" filled="false" stroked="false">
            <v:textbox inset="0,0,0,0">
              <w:txbxContent>
                <w:p>
                  <w:pPr>
                    <w:pStyle w:val="BodyText"/>
                    <w:spacing w:line="240" w:lineRule="auto" w:before="143"/>
                    <w:ind w:left="0" w:right="0"/>
                    <w:jc w:val="left"/>
                  </w:pPr>
                  <w:r>
                    <w:rPr>
                      <w:w w:val="100"/>
                    </w:rPr>
                    <w:t>。</w:t>
                  </w:r>
                </w:p>
              </w:txbxContent>
            </v:textbox>
            <w10:wrap type="none"/>
          </v:shape>
        </w:pict>
      </w:r>
      <w:r>
        <w:rPr/>
        <w:pict>
          <v:group style="position:absolute;margin-left:482.26001pt;margin-top:-96.04438pt;width:52.8pt;height:63.75pt;mso-position-horizontal-relative:page;mso-position-vertical-relative:paragraph;z-index:-667288" coordorigin="9645,-1921" coordsize="1056,1275">
            <v:group style="position:absolute;left:9657;top:-1909;width:2;height:704" coordorigin="9657,-1909" coordsize="2,704">
              <v:shape style="position:absolute;left:9657;top:-1909;width:2;height:704" coordorigin="9657,-1909" coordsize="0,704" path="m9657,-1909l9657,-1206e" filled="false" stroked="true" strokeweight="1.2pt" strokecolor="#ffffff">
                <v:path arrowok="t"/>
              </v:shape>
            </v:group>
            <v:group style="position:absolute;left:9645;top:-1206;width:1056;height:560" coordorigin="9645,-1206" coordsize="1056,560">
              <v:shape style="position:absolute;left:9645;top:-1206;width:1056;height:560" coordorigin="9645,-1206" coordsize="1056,560" path="m9645,-646l10701,-646,10701,-1206,9645,-1206,9645,-646xe" filled="true" fillcolor="#ffffff" stroked="false">
                <v:path arrowok="t"/>
                <v:fill type="solid"/>
              </v:shape>
            </v:group>
            <v:group style="position:absolute;left:9669;top:-1558;width:1011;height:353" coordorigin="9669,-1558" coordsize="1011,353">
              <v:shape style="position:absolute;left:9669;top:-1558;width:1011;height:353" coordorigin="9669,-1558" coordsize="1011,353" path="m9669,-1206l10680,-1206,10680,-1558,9669,-1558,9669,-1206xe" filled="true" fillcolor="#ffffff" stroked="false">
                <v:path arrowok="t"/>
                <v:fill type="solid"/>
              </v:shape>
            </v:group>
            <w10:wrap type="none"/>
          </v:group>
        </w:pict>
      </w:r>
      <w:r>
        <w:rPr/>
        <w:t>二、证券发行与上市情况</w:t>
      </w:r>
      <w:r>
        <w:rPr>
          <w:b w:val="0"/>
          <w:bCs w:val="0"/>
        </w:rPr>
      </w:r>
    </w:p>
    <w:p>
      <w:pPr>
        <w:spacing w:line="240" w:lineRule="auto" w:before="12"/>
        <w:rPr>
          <w:rFonts w:ascii="宋体" w:hAnsi="宋体" w:cs="宋体" w:eastAsia="宋体" w:hint="default"/>
          <w:b/>
          <w:bCs/>
          <w:sz w:val="24"/>
          <w:szCs w:val="24"/>
        </w:rPr>
      </w:pPr>
    </w:p>
    <w:p>
      <w:pPr>
        <w:tabs>
          <w:tab w:pos="8165" w:val="left" w:leader="none"/>
        </w:tabs>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1</w:t>
      </w:r>
      <w:r>
        <w:rPr>
          <w:rFonts w:ascii="宋体" w:hAnsi="宋体" w:cs="宋体" w:eastAsia="宋体" w:hint="default"/>
          <w:b/>
          <w:bCs/>
          <w:spacing w:val="-1"/>
          <w:sz w:val="21"/>
          <w:szCs w:val="21"/>
        </w:rPr>
        <w:t>、报告期内证券发行（不含优先股）情况</w:t>
        <w:tab/>
      </w:r>
      <w:r>
        <w:rPr>
          <w:rFonts w:ascii="Times New Roman" w:hAnsi="Times New Roman" w:cs="Times New Roman" w:eastAsia="Times New Roman" w:hint="default"/>
          <w:sz w:val="21"/>
          <w:szCs w:val="21"/>
        </w:rPr>
        <w:t>□  </w:t>
      </w:r>
      <w:r>
        <w:rPr>
          <w:rFonts w:ascii="宋体" w:hAnsi="宋体" w:cs="宋体" w:eastAsia="宋体" w:hint="default"/>
          <w:spacing w:val="-2"/>
          <w:sz w:val="21"/>
          <w:szCs w:val="21"/>
        </w:rPr>
        <w:t>适用</w:t>
      </w:r>
      <w:r>
        <w:rPr>
          <w:rFonts w:ascii="宋体" w:hAnsi="宋体" w:cs="宋体" w:eastAsia="宋体" w:hint="default"/>
          <w:sz w:val="21"/>
          <w:szCs w:val="21"/>
        </w:rPr>
        <w:t>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5"/>
          <w:sz w:val="21"/>
          <w:szCs w:val="21"/>
        </w:rPr>
        <w:t> </w:t>
      </w:r>
      <w:r>
        <w:rPr>
          <w:rFonts w:ascii="宋体" w:hAnsi="宋体" w:cs="宋体" w:eastAsia="宋体" w:hint="default"/>
          <w:spacing w:val="-1"/>
          <w:sz w:val="21"/>
          <w:szCs w:val="21"/>
        </w:rPr>
        <w:t>不适用</w:t>
      </w:r>
    </w:p>
    <w:p>
      <w:pPr>
        <w:spacing w:line="240" w:lineRule="auto" w:before="7"/>
        <w:rPr>
          <w:rFonts w:ascii="宋体" w:hAnsi="宋体" w:cs="宋体" w:eastAsia="宋体" w:hint="default"/>
          <w:sz w:val="24"/>
          <w:szCs w:val="24"/>
        </w:rPr>
      </w:pPr>
    </w:p>
    <w:p>
      <w:pPr>
        <w:tabs>
          <w:tab w:pos="8165" w:val="left" w:leader="none"/>
        </w:tabs>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2</w:t>
      </w:r>
      <w:r>
        <w:rPr>
          <w:rFonts w:ascii="宋体" w:hAnsi="宋体" w:cs="宋体" w:eastAsia="宋体" w:hint="default"/>
          <w:b/>
          <w:bCs/>
          <w:spacing w:val="-1"/>
          <w:sz w:val="21"/>
          <w:szCs w:val="21"/>
        </w:rPr>
        <w:t>、公司股份总数及股东结构的变动、公司资产和负债结构的变动情况说明</w:t>
        <w:tab/>
      </w:r>
      <w:r>
        <w:rPr>
          <w:rFonts w:ascii="Times New Roman" w:hAnsi="Times New Roman" w:cs="Times New Roman" w:eastAsia="Times New Roman" w:hint="default"/>
          <w:sz w:val="21"/>
          <w:szCs w:val="21"/>
        </w:rPr>
        <w:t>□  </w:t>
      </w:r>
      <w:r>
        <w:rPr>
          <w:rFonts w:ascii="宋体" w:hAnsi="宋体" w:cs="宋体" w:eastAsia="宋体" w:hint="default"/>
          <w:spacing w:val="-2"/>
          <w:sz w:val="21"/>
          <w:szCs w:val="21"/>
        </w:rPr>
        <w:t>适用</w:t>
      </w:r>
      <w:r>
        <w:rPr>
          <w:rFonts w:ascii="宋体" w:hAnsi="宋体" w:cs="宋体" w:eastAsia="宋体" w:hint="default"/>
          <w:sz w:val="21"/>
          <w:szCs w:val="21"/>
        </w:rPr>
        <w:t>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5"/>
          <w:sz w:val="21"/>
          <w:szCs w:val="21"/>
        </w:rPr>
        <w:t> </w:t>
      </w:r>
      <w:r>
        <w:rPr>
          <w:rFonts w:ascii="宋体" w:hAnsi="宋体" w:cs="宋体" w:eastAsia="宋体" w:hint="default"/>
          <w:spacing w:val="-1"/>
          <w:sz w:val="21"/>
          <w:szCs w:val="21"/>
        </w:rPr>
        <w:t>不适用</w:t>
      </w:r>
    </w:p>
    <w:p>
      <w:pPr>
        <w:spacing w:line="240" w:lineRule="auto" w:before="10"/>
        <w:rPr>
          <w:rFonts w:ascii="宋体" w:hAnsi="宋体" w:cs="宋体" w:eastAsia="宋体" w:hint="default"/>
          <w:sz w:val="24"/>
          <w:szCs w:val="24"/>
        </w:rPr>
      </w:pPr>
    </w:p>
    <w:p>
      <w:pPr>
        <w:tabs>
          <w:tab w:pos="8165" w:val="left" w:leader="none"/>
        </w:tabs>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3</w:t>
      </w:r>
      <w:r>
        <w:rPr>
          <w:rFonts w:ascii="宋体" w:hAnsi="宋体" w:cs="宋体" w:eastAsia="宋体" w:hint="default"/>
          <w:b/>
          <w:bCs/>
          <w:spacing w:val="-1"/>
          <w:sz w:val="21"/>
          <w:szCs w:val="21"/>
        </w:rPr>
        <w:t>、现存的内部职工股情况</w:t>
        <w:tab/>
      </w:r>
      <w:r>
        <w:rPr>
          <w:rFonts w:ascii="Times New Roman" w:hAnsi="Times New Roman" w:cs="Times New Roman" w:eastAsia="Times New Roman" w:hint="default"/>
          <w:sz w:val="21"/>
          <w:szCs w:val="21"/>
        </w:rPr>
        <w:t>□  </w:t>
      </w:r>
      <w:r>
        <w:rPr>
          <w:rFonts w:ascii="宋体" w:hAnsi="宋体" w:cs="宋体" w:eastAsia="宋体" w:hint="default"/>
          <w:spacing w:val="-2"/>
          <w:sz w:val="21"/>
          <w:szCs w:val="21"/>
        </w:rPr>
        <w:t>适用</w:t>
      </w:r>
      <w:r>
        <w:rPr>
          <w:rFonts w:ascii="宋体" w:hAnsi="宋体" w:cs="宋体" w:eastAsia="宋体" w:hint="default"/>
          <w:sz w:val="21"/>
          <w:szCs w:val="21"/>
        </w:rPr>
        <w:t>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5"/>
          <w:sz w:val="21"/>
          <w:szCs w:val="21"/>
        </w:rPr>
        <w:t> </w:t>
      </w:r>
      <w:r>
        <w:rPr>
          <w:rFonts w:ascii="宋体" w:hAnsi="宋体" w:cs="宋体" w:eastAsia="宋体" w:hint="default"/>
          <w:spacing w:val="-1"/>
          <w:sz w:val="21"/>
          <w:szCs w:val="21"/>
        </w:rPr>
        <w:t>不适用</w:t>
      </w:r>
    </w:p>
    <w:p>
      <w:pPr>
        <w:spacing w:line="240" w:lineRule="auto" w:before="8"/>
        <w:rPr>
          <w:rFonts w:ascii="宋体" w:hAnsi="宋体" w:cs="宋体" w:eastAsia="宋体" w:hint="default"/>
          <w:sz w:val="22"/>
          <w:szCs w:val="22"/>
        </w:rPr>
      </w:pPr>
    </w:p>
    <w:p>
      <w:pPr>
        <w:pStyle w:val="Heading2"/>
        <w:spacing w:line="240" w:lineRule="auto"/>
        <w:ind w:right="0"/>
        <w:jc w:val="left"/>
        <w:rPr>
          <w:b w:val="0"/>
          <w:bCs w:val="0"/>
        </w:rPr>
      </w:pP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left="0" w:right="239"/>
        <w:jc w:val="right"/>
      </w:pPr>
      <w:r>
        <w:rPr/>
        <w:pict>
          <v:shape style="position:absolute;margin-left:475.400574pt;margin-top:61.733673pt;width:59.55pt;height:23.4pt;mso-position-horizontal-relative:page;mso-position-vertical-relative:paragraph;z-index:-667312" type="#_x0000_t202" filled="false" stroked="false">
            <v:textbox inset="0,0,0,0">
              <w:txbxContent>
                <w:p>
                  <w:pPr>
                    <w:pStyle w:val="BodyText"/>
                    <w:spacing w:line="240" w:lineRule="auto" w:before="102"/>
                    <w:ind w:left="0" w:right="0"/>
                    <w:jc w:val="left"/>
                  </w:pPr>
                  <w:r>
                    <w:rPr>
                      <w:w w:val="100"/>
                    </w:rPr>
                    <w:t>）</w:t>
                  </w:r>
                </w:p>
              </w:txbxContent>
            </v:textbox>
            <w10:wrap type="none"/>
          </v:shape>
        </w:pict>
      </w:r>
      <w:r>
        <w:rPr/>
        <w:pict>
          <v:group style="position:absolute;margin-left:482.26001pt;margin-top:61.733673pt;width:52.7pt;height:23.4pt;mso-position-horizontal-relative:page;mso-position-vertical-relative:paragraph;z-index:-667264" coordorigin="9645,1235" coordsize="1054,468">
            <v:shape style="position:absolute;left:9645;top:1235;width:1054;height:468" coordorigin="9645,1235" coordsize="1054,468" path="m9645,1703l10699,1703,10699,1235,9645,1235,9645,1703xe" filled="true" fillcolor="#ffffff" stroked="false">
              <v:path arrowok="t"/>
              <v:fill type="solid"/>
            </v:shape>
            <w10:wrap type="none"/>
          </v:group>
        </w:pict>
      </w:r>
      <w:r>
        <w:rPr>
          <w:spacing w:val="-1"/>
        </w:rPr>
        <w:t>单位：股</w:t>
      </w:r>
    </w:p>
    <w:p>
      <w:pPr>
        <w:spacing w:line="240" w:lineRule="auto" w:before="10"/>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1173"/>
        <w:gridCol w:w="800"/>
        <w:gridCol w:w="154"/>
        <w:gridCol w:w="1265"/>
        <w:gridCol w:w="272"/>
        <w:gridCol w:w="425"/>
        <w:gridCol w:w="589"/>
        <w:gridCol w:w="555"/>
        <w:gridCol w:w="983"/>
        <w:gridCol w:w="154"/>
        <w:gridCol w:w="577"/>
        <w:gridCol w:w="557"/>
        <w:gridCol w:w="986"/>
        <w:gridCol w:w="560"/>
        <w:gridCol w:w="508"/>
      </w:tblGrid>
      <w:tr>
        <w:trPr>
          <w:trHeight w:val="161" w:hRule="exact"/>
        </w:trPr>
        <w:tc>
          <w:tcPr>
            <w:tcW w:w="1173" w:type="dxa"/>
            <w:tcBorders>
              <w:top w:val="single" w:sz="4" w:space="0" w:color="000000"/>
              <w:left w:val="single" w:sz="4" w:space="0" w:color="000000"/>
              <w:bottom w:val="nil" w:sz="6" w:space="0" w:color="auto"/>
              <w:right w:val="single" w:sz="4" w:space="0" w:color="000000"/>
            </w:tcBorders>
            <w:shd w:val="clear" w:color="auto" w:fill="D2D2D2"/>
          </w:tcPr>
          <w:p>
            <w:pPr/>
          </w:p>
        </w:tc>
        <w:tc>
          <w:tcPr>
            <w:tcW w:w="954"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26" w:right="0"/>
              <w:jc w:val="left"/>
              <w:rPr>
                <w:rFonts w:ascii="Times New Roman" w:hAnsi="Times New Roman" w:cs="Times New Roman" w:eastAsia="Times New Roman" w:hint="default"/>
                <w:sz w:val="21"/>
                <w:szCs w:val="21"/>
              </w:rPr>
            </w:pPr>
            <w:r>
              <w:rPr>
                <w:rFonts w:ascii="Times New Roman"/>
                <w:sz w:val="21"/>
              </w:rPr>
              <w:t>13,746</w:t>
            </w:r>
          </w:p>
        </w:tc>
        <w:tc>
          <w:tcPr>
            <w:tcW w:w="153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014"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86" w:right="0"/>
              <w:jc w:val="left"/>
              <w:rPr>
                <w:rFonts w:ascii="Times New Roman" w:hAnsi="Times New Roman" w:cs="Times New Roman" w:eastAsia="Times New Roman" w:hint="default"/>
                <w:sz w:val="21"/>
                <w:szCs w:val="21"/>
              </w:rPr>
            </w:pPr>
            <w:r>
              <w:rPr>
                <w:rFonts w:ascii="Times New Roman"/>
                <w:sz w:val="21"/>
              </w:rPr>
              <w:t>13,265</w:t>
            </w:r>
          </w:p>
        </w:tc>
        <w:tc>
          <w:tcPr>
            <w:tcW w:w="153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731" w:type="dxa"/>
            <w:gridSpan w:val="2"/>
            <w:vMerge w:val="restart"/>
            <w:tcBorders>
              <w:top w:val="single" w:sz="4" w:space="0" w:color="000000"/>
              <w:left w:val="single" w:sz="9" w:space="0" w:color="D2D2D2"/>
              <w:right w:val="single" w:sz="13" w:space="0" w:color="D2D2D2"/>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154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8"/>
              <w:ind w:left="12" w:right="46"/>
              <w:jc w:val="both"/>
              <w:rPr>
                <w:rFonts w:ascii="宋体" w:hAnsi="宋体" w:cs="宋体" w:eastAsia="宋体" w:hint="default"/>
                <w:sz w:val="21"/>
                <w:szCs w:val="21"/>
              </w:rPr>
            </w:pPr>
            <w:r>
              <w:rPr>
                <w:rFonts w:ascii="宋体" w:hAnsi="宋体" w:cs="宋体" w:eastAsia="宋体" w:hint="default"/>
                <w:sz w:val="21"/>
                <w:szCs w:val="21"/>
              </w:rPr>
              <w:t>年度报告披露日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前上一月末表决</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权恢复的优先股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2"/>
                <w:sz w:val="21"/>
                <w:szCs w:val="21"/>
              </w:rPr>
              <w:t>股东总数（如有</w:t>
            </w:r>
          </w:p>
        </w:tc>
        <w:tc>
          <w:tcPr>
            <w:tcW w:w="560" w:type="dxa"/>
            <w:vMerge w:val="restart"/>
            <w:tcBorders>
              <w:top w:val="single" w:sz="4" w:space="0" w:color="000000"/>
              <w:left w:val="single" w:sz="12" w:space="0" w:color="D2D2D2"/>
              <w:right w:val="nil" w:sz="6" w:space="0" w:color="auto"/>
            </w:tcBorders>
          </w:tcPr>
          <w:p>
            <w:pPr/>
          </w:p>
        </w:tc>
        <w:tc>
          <w:tcPr>
            <w:tcW w:w="508" w:type="dxa"/>
            <w:tcBorders>
              <w:top w:val="single" w:sz="4" w:space="0" w:color="000000"/>
              <w:left w:val="nil" w:sz="6" w:space="0" w:color="auto"/>
              <w:bottom w:val="nil" w:sz="6" w:space="0" w:color="auto"/>
              <w:right w:val="single" w:sz="4" w:space="0" w:color="000000"/>
            </w:tcBorders>
          </w:tcPr>
          <w:p>
            <w:pPr/>
          </w:p>
        </w:tc>
      </w:tr>
      <w:tr>
        <w:trPr>
          <w:trHeight w:val="1018" w:hRule="exact"/>
        </w:trPr>
        <w:tc>
          <w:tcPr>
            <w:tcW w:w="117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3" w:lineRule="auto" w:before="28"/>
              <w:ind w:left="12" w:right="95"/>
              <w:jc w:val="both"/>
              <w:rPr>
                <w:rFonts w:ascii="宋体" w:hAnsi="宋体" w:cs="宋体" w:eastAsia="宋体" w:hint="default"/>
                <w:sz w:val="21"/>
                <w:szCs w:val="21"/>
              </w:rPr>
            </w:pPr>
            <w:r>
              <w:rPr>
                <w:rFonts w:ascii="宋体" w:hAnsi="宋体" w:cs="宋体" w:eastAsia="宋体" w:hint="default"/>
                <w:sz w:val="21"/>
                <w:szCs w:val="21"/>
              </w:rPr>
              <w:t>报告期末普</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通股股东总</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数</w:t>
            </w:r>
          </w:p>
        </w:tc>
        <w:tc>
          <w:tcPr>
            <w:tcW w:w="954" w:type="dxa"/>
            <w:gridSpan w:val="2"/>
            <w:vMerge/>
            <w:tcBorders>
              <w:left w:val="single" w:sz="9" w:space="0" w:color="D2D2D2"/>
              <w:right w:val="single" w:sz="9" w:space="0" w:color="D2D2D2"/>
            </w:tcBorders>
          </w:tcPr>
          <w:p>
            <w:pPr/>
          </w:p>
        </w:tc>
        <w:tc>
          <w:tcPr>
            <w:tcW w:w="1538"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3" w:lineRule="auto" w:before="28"/>
              <w:ind w:left="11" w:right="40"/>
              <w:jc w:val="both"/>
              <w:rPr>
                <w:rFonts w:ascii="宋体" w:hAnsi="宋体" w:cs="宋体" w:eastAsia="宋体" w:hint="default"/>
                <w:sz w:val="21"/>
                <w:szCs w:val="21"/>
              </w:rPr>
            </w:pPr>
            <w:r>
              <w:rPr>
                <w:rFonts w:ascii="宋体" w:hAnsi="宋体" w:cs="宋体" w:eastAsia="宋体" w:hint="default"/>
                <w:sz w:val="21"/>
                <w:szCs w:val="21"/>
              </w:rPr>
              <w:t>年度报告披露日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前上一月末普通</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股股东总数</w:t>
            </w:r>
          </w:p>
        </w:tc>
        <w:tc>
          <w:tcPr>
            <w:tcW w:w="1014" w:type="dxa"/>
            <w:gridSpan w:val="2"/>
            <w:vMerge/>
            <w:tcBorders>
              <w:left w:val="single" w:sz="9" w:space="0" w:color="D2D2D2"/>
              <w:right w:val="single" w:sz="9" w:space="0" w:color="D2D2D2"/>
            </w:tcBorders>
          </w:tcPr>
          <w:p>
            <w:pPr/>
          </w:p>
        </w:tc>
        <w:tc>
          <w:tcPr>
            <w:tcW w:w="1538"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3" w:lineRule="auto" w:before="28"/>
              <w:ind w:left="11" w:right="40"/>
              <w:jc w:val="both"/>
              <w:rPr>
                <w:rFonts w:ascii="宋体" w:hAnsi="宋体" w:cs="宋体" w:eastAsia="宋体" w:hint="default"/>
                <w:sz w:val="21"/>
                <w:szCs w:val="21"/>
              </w:rPr>
            </w:pPr>
            <w:r>
              <w:rPr>
                <w:rFonts w:ascii="宋体" w:hAnsi="宋体" w:cs="宋体" w:eastAsia="宋体" w:hint="default"/>
                <w:sz w:val="21"/>
                <w:szCs w:val="21"/>
              </w:rPr>
              <w:t>报告期末表决权</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恢复的优先股股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东总数（如有）</w:t>
            </w:r>
          </w:p>
        </w:tc>
        <w:tc>
          <w:tcPr>
            <w:tcW w:w="731" w:type="dxa"/>
            <w:gridSpan w:val="2"/>
            <w:vMerge/>
            <w:tcBorders>
              <w:left w:val="single" w:sz="9" w:space="0" w:color="D2D2D2"/>
              <w:right w:val="single" w:sz="13" w:space="0" w:color="D2D2D2"/>
            </w:tcBorders>
          </w:tcPr>
          <w:p>
            <w:pPr/>
          </w:p>
        </w:tc>
        <w:tc>
          <w:tcPr>
            <w:tcW w:w="1544" w:type="dxa"/>
            <w:gridSpan w:val="2"/>
            <w:vMerge/>
            <w:tcBorders>
              <w:left w:val="single" w:sz="4" w:space="0" w:color="000000"/>
              <w:right w:val="single" w:sz="4" w:space="0" w:color="000000"/>
            </w:tcBorders>
            <w:shd w:val="clear" w:color="auto" w:fill="D2D2D2"/>
          </w:tcPr>
          <w:p>
            <w:pPr/>
          </w:p>
        </w:tc>
        <w:tc>
          <w:tcPr>
            <w:tcW w:w="560" w:type="dxa"/>
            <w:vMerge/>
            <w:tcBorders>
              <w:left w:val="single" w:sz="12" w:space="0" w:color="D2D2D2"/>
              <w:right w:val="nil" w:sz="6" w:space="0" w:color="auto"/>
            </w:tcBorders>
          </w:tcPr>
          <w:p>
            <w:pPr/>
          </w:p>
        </w:tc>
        <w:tc>
          <w:tcPr>
            <w:tcW w:w="508" w:type="dxa"/>
            <w:tcBorders>
              <w:top w:val="nil" w:sz="6" w:space="0" w:color="auto"/>
              <w:left w:val="nil" w:sz="6" w:space="0" w:color="auto"/>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r>
      <w:tr>
        <w:trPr>
          <w:trHeight w:val="166" w:hRule="exact"/>
        </w:trPr>
        <w:tc>
          <w:tcPr>
            <w:tcW w:w="1173" w:type="dxa"/>
            <w:tcBorders>
              <w:top w:val="nil" w:sz="6" w:space="0" w:color="auto"/>
              <w:left w:val="single" w:sz="4" w:space="0" w:color="000000"/>
              <w:bottom w:val="single" w:sz="4" w:space="0" w:color="000000"/>
              <w:right w:val="single" w:sz="4" w:space="0" w:color="000000"/>
            </w:tcBorders>
            <w:shd w:val="clear" w:color="auto" w:fill="D2D2D2"/>
          </w:tcPr>
          <w:p>
            <w:pPr/>
          </w:p>
        </w:tc>
        <w:tc>
          <w:tcPr>
            <w:tcW w:w="954" w:type="dxa"/>
            <w:gridSpan w:val="2"/>
            <w:vMerge/>
            <w:tcBorders>
              <w:left w:val="single" w:sz="9" w:space="0" w:color="D2D2D2"/>
              <w:bottom w:val="single" w:sz="4" w:space="0" w:color="000000"/>
              <w:right w:val="single" w:sz="9" w:space="0" w:color="D2D2D2"/>
            </w:tcBorders>
          </w:tcPr>
          <w:p>
            <w:pPr/>
          </w:p>
        </w:tc>
        <w:tc>
          <w:tcPr>
            <w:tcW w:w="153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014" w:type="dxa"/>
            <w:gridSpan w:val="2"/>
            <w:vMerge/>
            <w:tcBorders>
              <w:left w:val="single" w:sz="9" w:space="0" w:color="D2D2D2"/>
              <w:bottom w:val="single" w:sz="4" w:space="0" w:color="000000"/>
              <w:right w:val="single" w:sz="9" w:space="0" w:color="D2D2D2"/>
            </w:tcBorders>
          </w:tcPr>
          <w:p>
            <w:pPr/>
          </w:p>
        </w:tc>
        <w:tc>
          <w:tcPr>
            <w:tcW w:w="153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731" w:type="dxa"/>
            <w:gridSpan w:val="2"/>
            <w:vMerge/>
            <w:tcBorders>
              <w:left w:val="single" w:sz="9" w:space="0" w:color="D2D2D2"/>
              <w:bottom w:val="single" w:sz="4" w:space="0" w:color="000000"/>
              <w:right w:val="single" w:sz="13" w:space="0" w:color="D2D2D2"/>
            </w:tcBorders>
          </w:tcPr>
          <w:p>
            <w:pPr/>
          </w:p>
        </w:tc>
        <w:tc>
          <w:tcPr>
            <w:tcW w:w="1544" w:type="dxa"/>
            <w:gridSpan w:val="2"/>
            <w:vMerge/>
            <w:tcBorders>
              <w:left w:val="single" w:sz="4" w:space="0" w:color="000000"/>
              <w:bottom w:val="single" w:sz="4" w:space="0" w:color="000000"/>
              <w:right w:val="single" w:sz="4" w:space="0" w:color="000000"/>
            </w:tcBorders>
            <w:shd w:val="clear" w:color="auto" w:fill="D2D2D2"/>
          </w:tcPr>
          <w:p>
            <w:pPr/>
          </w:p>
        </w:tc>
        <w:tc>
          <w:tcPr>
            <w:tcW w:w="560" w:type="dxa"/>
            <w:vMerge/>
            <w:tcBorders>
              <w:left w:val="single" w:sz="12" w:space="0" w:color="D2D2D2"/>
              <w:bottom w:val="single" w:sz="4" w:space="0" w:color="000000"/>
              <w:right w:val="nil" w:sz="6" w:space="0" w:color="auto"/>
            </w:tcBorders>
          </w:tcPr>
          <w:p>
            <w:pPr/>
          </w:p>
        </w:tc>
        <w:tc>
          <w:tcPr>
            <w:tcW w:w="508" w:type="dxa"/>
            <w:tcBorders>
              <w:top w:val="nil" w:sz="6" w:space="0" w:color="auto"/>
              <w:left w:val="nil" w:sz="6" w:space="0" w:color="auto"/>
              <w:bottom w:val="single" w:sz="4" w:space="0" w:color="000000"/>
              <w:right w:val="single" w:sz="4" w:space="0" w:color="000000"/>
            </w:tcBorders>
          </w:tcPr>
          <w:p>
            <w:pPr/>
          </w:p>
        </w:tc>
      </w:tr>
      <w:tr>
        <w:trPr>
          <w:trHeight w:val="391" w:hRule="exact"/>
        </w:trPr>
        <w:tc>
          <w:tcPr>
            <w:tcW w:w="9559"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3"/>
              <w:ind w:left="2763" w:right="0"/>
              <w:jc w:val="left"/>
              <w:rPr>
                <w:rFonts w:ascii="宋体" w:hAnsi="宋体" w:cs="宋体" w:eastAsia="宋体" w:hint="default"/>
                <w:sz w:val="21"/>
                <w:szCs w:val="21"/>
              </w:rPr>
            </w:pPr>
            <w:r>
              <w:rPr>
                <w:rFonts w:ascii="宋体" w:hAnsi="宋体" w:cs="宋体" w:eastAsia="宋体" w:hint="default"/>
                <w:sz w:val="21"/>
                <w:szCs w:val="21"/>
              </w:rPr>
              <w:t>持股</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以上的股东或前</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名股东持股情况</w:t>
            </w:r>
          </w:p>
        </w:tc>
      </w:tr>
      <w:tr>
        <w:trPr>
          <w:trHeight w:val="211" w:hRule="exact"/>
        </w:trPr>
        <w:tc>
          <w:tcPr>
            <w:tcW w:w="1973" w:type="dxa"/>
            <w:gridSpan w:val="2"/>
            <w:vMerge w:val="restart"/>
            <w:tcBorders>
              <w:top w:val="single" w:sz="4" w:space="0" w:color="000000"/>
              <w:left w:val="single" w:sz="4" w:space="0" w:color="000000"/>
              <w:right w:val="single" w:sz="4" w:space="0" w:color="000000"/>
            </w:tcBorders>
            <w:shd w:val="clear" w:color="auto" w:fill="D2D2D2"/>
          </w:tcPr>
          <w:p>
            <w:pPr/>
          </w:p>
        </w:tc>
        <w:tc>
          <w:tcPr>
            <w:tcW w:w="1419" w:type="dxa"/>
            <w:gridSpan w:val="2"/>
            <w:vMerge w:val="restart"/>
            <w:tcBorders>
              <w:top w:val="single" w:sz="4" w:space="0" w:color="000000"/>
              <w:left w:val="single" w:sz="4" w:space="0" w:color="000000"/>
              <w:right w:val="single" w:sz="4" w:space="0" w:color="000000"/>
            </w:tcBorders>
            <w:shd w:val="clear" w:color="auto" w:fill="D2D2D2"/>
          </w:tcPr>
          <w:p>
            <w:pPr/>
          </w:p>
        </w:tc>
        <w:tc>
          <w:tcPr>
            <w:tcW w:w="697" w:type="dxa"/>
            <w:gridSpan w:val="2"/>
            <w:vMerge w:val="restart"/>
            <w:tcBorders>
              <w:top w:val="single" w:sz="4" w:space="0" w:color="000000"/>
              <w:left w:val="single" w:sz="4" w:space="0" w:color="000000"/>
              <w:right w:val="single" w:sz="4" w:space="0" w:color="000000"/>
            </w:tcBorders>
            <w:shd w:val="clear" w:color="auto" w:fill="D2D2D2"/>
          </w:tcPr>
          <w:p>
            <w:pPr/>
          </w:p>
        </w:tc>
        <w:tc>
          <w:tcPr>
            <w:tcW w:w="1144" w:type="dxa"/>
            <w:gridSpan w:val="2"/>
            <w:vMerge w:val="restart"/>
            <w:tcBorders>
              <w:top w:val="single" w:sz="4" w:space="0" w:color="000000"/>
              <w:left w:val="single" w:sz="4" w:space="0" w:color="000000"/>
              <w:right w:val="single" w:sz="4" w:space="0" w:color="000000"/>
            </w:tcBorders>
            <w:shd w:val="clear" w:color="auto" w:fill="D2D2D2"/>
          </w:tcPr>
          <w:p>
            <w:pPr/>
          </w:p>
        </w:tc>
        <w:tc>
          <w:tcPr>
            <w:tcW w:w="1136" w:type="dxa"/>
            <w:gridSpan w:val="2"/>
            <w:vMerge w:val="restart"/>
            <w:tcBorders>
              <w:top w:val="single" w:sz="4" w:space="0" w:color="000000"/>
              <w:left w:val="single" w:sz="4" w:space="0" w:color="000000"/>
              <w:right w:val="single" w:sz="4" w:space="0" w:color="000000"/>
            </w:tcBorders>
            <w:shd w:val="clear" w:color="auto" w:fill="D2D2D2"/>
          </w:tcPr>
          <w:p>
            <w:pPr/>
          </w:p>
        </w:tc>
        <w:tc>
          <w:tcPr>
            <w:tcW w:w="113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986"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33"/>
              <w:ind w:left="216" w:right="101" w:hanging="104"/>
              <w:jc w:val="left"/>
              <w:rPr>
                <w:rFonts w:ascii="宋体" w:hAnsi="宋体" w:cs="宋体" w:eastAsia="宋体" w:hint="default"/>
                <w:sz w:val="21"/>
                <w:szCs w:val="21"/>
              </w:rPr>
            </w:pPr>
            <w:r>
              <w:rPr>
                <w:rFonts w:ascii="宋体" w:hAnsi="宋体" w:cs="宋体" w:eastAsia="宋体" w:hint="default"/>
                <w:sz w:val="21"/>
                <w:szCs w:val="21"/>
              </w:rPr>
              <w:t>质押或冻</w:t>
            </w:r>
            <w:r>
              <w:rPr>
                <w:rFonts w:ascii="宋体" w:hAnsi="宋体" w:cs="宋体" w:eastAsia="宋体" w:hint="default"/>
                <w:w w:val="100"/>
                <w:sz w:val="21"/>
                <w:szCs w:val="21"/>
              </w:rPr>
              <w:t> </w:t>
            </w:r>
            <w:r>
              <w:rPr>
                <w:rFonts w:ascii="宋体" w:hAnsi="宋体" w:cs="宋体" w:eastAsia="宋体" w:hint="default"/>
                <w:sz w:val="21"/>
                <w:szCs w:val="21"/>
              </w:rPr>
              <w:t>结情况</w:t>
            </w:r>
          </w:p>
        </w:tc>
      </w:tr>
      <w:tr>
        <w:trPr>
          <w:trHeight w:val="156" w:hRule="exact"/>
        </w:trPr>
        <w:tc>
          <w:tcPr>
            <w:tcW w:w="1973" w:type="dxa"/>
            <w:gridSpan w:val="2"/>
            <w:vMerge/>
            <w:tcBorders>
              <w:left w:val="single" w:sz="4" w:space="0" w:color="000000"/>
              <w:right w:val="single" w:sz="4" w:space="0" w:color="000000"/>
            </w:tcBorders>
            <w:shd w:val="clear" w:color="auto" w:fill="D2D2D2"/>
          </w:tcPr>
          <w:p>
            <w:pPr/>
          </w:p>
        </w:tc>
        <w:tc>
          <w:tcPr>
            <w:tcW w:w="1419" w:type="dxa"/>
            <w:gridSpan w:val="2"/>
            <w:vMerge/>
            <w:tcBorders>
              <w:left w:val="single" w:sz="4" w:space="0" w:color="000000"/>
              <w:right w:val="single" w:sz="4" w:space="0" w:color="000000"/>
            </w:tcBorders>
            <w:shd w:val="clear" w:color="auto" w:fill="D2D2D2"/>
          </w:tcPr>
          <w:p>
            <w:pPr/>
          </w:p>
        </w:tc>
        <w:tc>
          <w:tcPr>
            <w:tcW w:w="697" w:type="dxa"/>
            <w:gridSpan w:val="2"/>
            <w:vMerge/>
            <w:tcBorders>
              <w:left w:val="single" w:sz="4" w:space="0" w:color="000000"/>
              <w:bottom w:val="nil" w:sz="6" w:space="0" w:color="auto"/>
              <w:right w:val="single" w:sz="4" w:space="0" w:color="000000"/>
            </w:tcBorders>
            <w:shd w:val="clear" w:color="auto" w:fill="D2D2D2"/>
          </w:tcPr>
          <w:p>
            <w:pPr/>
          </w:p>
        </w:tc>
        <w:tc>
          <w:tcPr>
            <w:tcW w:w="1144" w:type="dxa"/>
            <w:gridSpan w:val="2"/>
            <w:vMerge/>
            <w:tcBorders>
              <w:left w:val="single" w:sz="4" w:space="0" w:color="000000"/>
              <w:bottom w:val="nil" w:sz="6" w:space="0" w:color="auto"/>
              <w:right w:val="single" w:sz="4" w:space="0" w:color="000000"/>
            </w:tcBorders>
            <w:shd w:val="clear" w:color="auto" w:fill="D2D2D2"/>
          </w:tcPr>
          <w:p>
            <w:pPr/>
          </w:p>
        </w:tc>
        <w:tc>
          <w:tcPr>
            <w:tcW w:w="1136" w:type="dxa"/>
            <w:gridSpan w:val="2"/>
            <w:vMerge/>
            <w:tcBorders>
              <w:left w:val="single" w:sz="4" w:space="0" w:color="000000"/>
              <w:bottom w:val="nil" w:sz="6" w:space="0" w:color="auto"/>
              <w:right w:val="single" w:sz="4" w:space="0" w:color="000000"/>
            </w:tcBorders>
            <w:shd w:val="clear" w:color="auto" w:fill="D2D2D2"/>
          </w:tcPr>
          <w:p>
            <w:pPr/>
          </w:p>
        </w:tc>
        <w:tc>
          <w:tcPr>
            <w:tcW w:w="113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8"/>
              <w:ind w:left="34" w:right="34"/>
              <w:jc w:val="center"/>
              <w:rPr>
                <w:rFonts w:ascii="宋体" w:hAnsi="宋体" w:cs="宋体" w:eastAsia="宋体" w:hint="default"/>
                <w:sz w:val="21"/>
                <w:szCs w:val="21"/>
              </w:rPr>
            </w:pPr>
            <w:r>
              <w:rPr>
                <w:rFonts w:ascii="宋体" w:hAnsi="宋体" w:cs="宋体" w:eastAsia="宋体" w:hint="default"/>
                <w:sz w:val="21"/>
                <w:szCs w:val="21"/>
              </w:rPr>
              <w:t>持有有限售</w:t>
            </w:r>
            <w:r>
              <w:rPr>
                <w:rFonts w:ascii="宋体" w:hAnsi="宋体" w:cs="宋体" w:eastAsia="宋体" w:hint="default"/>
                <w:w w:val="100"/>
                <w:sz w:val="21"/>
                <w:szCs w:val="21"/>
              </w:rPr>
              <w:t> </w:t>
            </w:r>
            <w:r>
              <w:rPr>
                <w:rFonts w:ascii="宋体" w:hAnsi="宋体" w:cs="宋体" w:eastAsia="宋体" w:hint="default"/>
                <w:sz w:val="21"/>
                <w:szCs w:val="21"/>
              </w:rPr>
              <w:t>条件的股份</w:t>
            </w:r>
            <w:r>
              <w:rPr>
                <w:rFonts w:ascii="宋体" w:hAnsi="宋体" w:cs="宋体" w:eastAsia="宋体" w:hint="default"/>
                <w:w w:val="100"/>
                <w:sz w:val="21"/>
                <w:szCs w:val="21"/>
              </w:rPr>
              <w:t> </w:t>
            </w:r>
            <w:r>
              <w:rPr>
                <w:rFonts w:ascii="宋体" w:hAnsi="宋体" w:cs="宋体" w:eastAsia="宋体" w:hint="default"/>
                <w:sz w:val="21"/>
                <w:szCs w:val="21"/>
              </w:rPr>
              <w:t>数量</w:t>
            </w:r>
          </w:p>
        </w:tc>
        <w:tc>
          <w:tcPr>
            <w:tcW w:w="986"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8"/>
              <w:ind w:left="72" w:right="60"/>
              <w:jc w:val="both"/>
              <w:rPr>
                <w:rFonts w:ascii="宋体" w:hAnsi="宋体" w:cs="宋体" w:eastAsia="宋体" w:hint="default"/>
                <w:sz w:val="21"/>
                <w:szCs w:val="21"/>
              </w:rPr>
            </w:pPr>
            <w:r>
              <w:rPr>
                <w:rFonts w:ascii="宋体" w:hAnsi="宋体" w:cs="宋体" w:eastAsia="宋体" w:hint="default"/>
                <w:sz w:val="21"/>
                <w:szCs w:val="21"/>
              </w:rPr>
              <w:t>持有无限</w:t>
            </w:r>
            <w:r>
              <w:rPr>
                <w:rFonts w:ascii="宋体" w:hAnsi="宋体" w:cs="宋体" w:eastAsia="宋体" w:hint="default"/>
                <w:w w:val="100"/>
                <w:sz w:val="21"/>
                <w:szCs w:val="21"/>
              </w:rPr>
              <w:t> </w:t>
            </w:r>
            <w:r>
              <w:rPr>
                <w:rFonts w:ascii="宋体" w:hAnsi="宋体" w:cs="宋体" w:eastAsia="宋体" w:hint="default"/>
                <w:sz w:val="21"/>
                <w:szCs w:val="21"/>
              </w:rPr>
              <w:t>售条件的</w:t>
            </w:r>
            <w:r>
              <w:rPr>
                <w:rFonts w:ascii="宋体" w:hAnsi="宋体" w:cs="宋体" w:eastAsia="宋体" w:hint="default"/>
                <w:w w:val="100"/>
                <w:sz w:val="21"/>
                <w:szCs w:val="21"/>
              </w:rPr>
              <w:t> </w:t>
            </w:r>
            <w:r>
              <w:rPr>
                <w:rFonts w:ascii="宋体" w:hAnsi="宋体" w:cs="宋体" w:eastAsia="宋体" w:hint="default"/>
                <w:sz w:val="21"/>
                <w:szCs w:val="21"/>
              </w:rPr>
              <w:t>股份数量</w:t>
            </w:r>
          </w:p>
        </w:tc>
        <w:tc>
          <w:tcPr>
            <w:tcW w:w="1068" w:type="dxa"/>
            <w:gridSpan w:val="2"/>
            <w:vMerge/>
            <w:tcBorders>
              <w:left w:val="single" w:sz="4" w:space="0" w:color="000000"/>
              <w:right w:val="single" w:sz="4" w:space="0" w:color="000000"/>
            </w:tcBorders>
            <w:shd w:val="clear" w:color="auto" w:fill="D2D2D2"/>
          </w:tcPr>
          <w:p>
            <w:pPr/>
          </w:p>
        </w:tc>
      </w:tr>
      <w:tr>
        <w:trPr>
          <w:trHeight w:val="156" w:hRule="exact"/>
        </w:trPr>
        <w:tc>
          <w:tcPr>
            <w:tcW w:w="1973" w:type="dxa"/>
            <w:gridSpan w:val="2"/>
            <w:vMerge/>
            <w:tcBorders>
              <w:left w:val="single" w:sz="4" w:space="0" w:color="000000"/>
              <w:bottom w:val="nil" w:sz="6" w:space="0" w:color="auto"/>
              <w:right w:val="single" w:sz="4" w:space="0" w:color="000000"/>
            </w:tcBorders>
            <w:shd w:val="clear" w:color="auto" w:fill="D2D2D2"/>
          </w:tcPr>
          <w:p>
            <w:pPr/>
          </w:p>
        </w:tc>
        <w:tc>
          <w:tcPr>
            <w:tcW w:w="1419" w:type="dxa"/>
            <w:gridSpan w:val="2"/>
            <w:vMerge/>
            <w:tcBorders>
              <w:left w:val="single" w:sz="4" w:space="0" w:color="000000"/>
              <w:bottom w:val="nil" w:sz="6" w:space="0" w:color="auto"/>
              <w:right w:val="single" w:sz="4" w:space="0" w:color="000000"/>
            </w:tcBorders>
            <w:shd w:val="clear" w:color="auto" w:fill="D2D2D2"/>
          </w:tcPr>
          <w:p>
            <w:pPr/>
          </w:p>
        </w:tc>
        <w:tc>
          <w:tcPr>
            <w:tcW w:w="697"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07" w:lineRule="auto" w:before="9"/>
              <w:ind w:left="139" w:right="125"/>
              <w:jc w:val="left"/>
              <w:rPr>
                <w:rFonts w:ascii="宋体" w:hAnsi="宋体" w:cs="宋体" w:eastAsia="宋体" w:hint="default"/>
                <w:sz w:val="21"/>
                <w:szCs w:val="21"/>
              </w:rPr>
            </w:pPr>
            <w:r>
              <w:rPr>
                <w:rFonts w:ascii="宋体" w:hAnsi="宋体" w:cs="宋体" w:eastAsia="宋体" w:hint="default"/>
                <w:sz w:val="21"/>
                <w:szCs w:val="21"/>
              </w:rPr>
              <w:t>持股</w:t>
            </w:r>
            <w:r>
              <w:rPr>
                <w:rFonts w:ascii="宋体" w:hAnsi="宋体" w:cs="宋体" w:eastAsia="宋体" w:hint="default"/>
                <w:spacing w:val="-103"/>
                <w:sz w:val="21"/>
                <w:szCs w:val="21"/>
              </w:rPr>
              <w:t> </w:t>
            </w:r>
            <w:r>
              <w:rPr>
                <w:rFonts w:ascii="宋体" w:hAnsi="宋体" w:cs="宋体" w:eastAsia="宋体" w:hint="default"/>
                <w:sz w:val="21"/>
                <w:szCs w:val="21"/>
              </w:rPr>
              <w:t>比例</w:t>
            </w:r>
          </w:p>
        </w:tc>
        <w:tc>
          <w:tcPr>
            <w:tcW w:w="114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8"/>
              <w:ind w:left="257" w:right="31" w:hanging="212"/>
              <w:jc w:val="left"/>
              <w:rPr>
                <w:rFonts w:ascii="宋体" w:hAnsi="宋体" w:cs="宋体" w:eastAsia="宋体" w:hint="default"/>
                <w:sz w:val="21"/>
                <w:szCs w:val="21"/>
              </w:rPr>
            </w:pPr>
            <w:r>
              <w:rPr>
                <w:rFonts w:ascii="宋体" w:hAnsi="宋体" w:cs="宋体" w:eastAsia="宋体" w:hint="default"/>
                <w:sz w:val="21"/>
                <w:szCs w:val="21"/>
              </w:rPr>
              <w:t>报告期末持</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股数量</w:t>
            </w:r>
          </w:p>
        </w:tc>
        <w:tc>
          <w:tcPr>
            <w:tcW w:w="1136"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8"/>
              <w:ind w:left="38" w:right="32"/>
              <w:jc w:val="left"/>
              <w:rPr>
                <w:rFonts w:ascii="宋体" w:hAnsi="宋体" w:cs="宋体" w:eastAsia="宋体" w:hint="default"/>
                <w:sz w:val="21"/>
                <w:szCs w:val="21"/>
              </w:rPr>
            </w:pPr>
            <w:r>
              <w:rPr>
                <w:rFonts w:ascii="宋体" w:hAnsi="宋体" w:cs="宋体" w:eastAsia="宋体" w:hint="default"/>
                <w:sz w:val="21"/>
                <w:szCs w:val="21"/>
              </w:rPr>
              <w:t>报告期内增</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减变动情况</w:t>
            </w:r>
          </w:p>
        </w:tc>
        <w:tc>
          <w:tcPr>
            <w:tcW w:w="1135" w:type="dxa"/>
            <w:gridSpan w:val="2"/>
            <w:vMerge/>
            <w:tcBorders>
              <w:left w:val="single" w:sz="4" w:space="0" w:color="000000"/>
              <w:right w:val="single" w:sz="4" w:space="0" w:color="000000"/>
            </w:tcBorders>
            <w:shd w:val="clear" w:color="auto" w:fill="D2D2D2"/>
          </w:tcPr>
          <w:p>
            <w:pPr/>
          </w:p>
        </w:tc>
        <w:tc>
          <w:tcPr>
            <w:tcW w:w="986" w:type="dxa"/>
            <w:vMerge/>
            <w:tcBorders>
              <w:left w:val="single" w:sz="4" w:space="0" w:color="000000"/>
              <w:right w:val="single" w:sz="4" w:space="0" w:color="000000"/>
            </w:tcBorders>
            <w:shd w:val="clear" w:color="auto" w:fill="D2D2D2"/>
          </w:tcPr>
          <w:p>
            <w:pPr/>
          </w:p>
        </w:tc>
        <w:tc>
          <w:tcPr>
            <w:tcW w:w="1068" w:type="dxa"/>
            <w:gridSpan w:val="2"/>
            <w:vMerge/>
            <w:tcBorders>
              <w:left w:val="single" w:sz="4" w:space="0" w:color="000000"/>
              <w:right w:val="single" w:sz="4" w:space="0" w:color="000000"/>
            </w:tcBorders>
            <w:shd w:val="clear" w:color="auto" w:fill="D2D2D2"/>
          </w:tcPr>
          <w:p>
            <w:pPr/>
          </w:p>
        </w:tc>
      </w:tr>
      <w:tr>
        <w:trPr>
          <w:trHeight w:val="192" w:hRule="exact"/>
        </w:trPr>
        <w:tc>
          <w:tcPr>
            <w:tcW w:w="197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557"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41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283" w:right="0"/>
              <w:jc w:val="left"/>
              <w:rPr>
                <w:rFonts w:ascii="宋体" w:hAnsi="宋体" w:cs="宋体" w:eastAsia="宋体" w:hint="default"/>
                <w:sz w:val="21"/>
                <w:szCs w:val="21"/>
              </w:rPr>
            </w:pPr>
            <w:r>
              <w:rPr>
                <w:rFonts w:ascii="宋体" w:hAnsi="宋体" w:cs="宋体" w:eastAsia="宋体" w:hint="default"/>
                <w:sz w:val="21"/>
                <w:szCs w:val="21"/>
              </w:rPr>
              <w:t>股东性质</w:t>
            </w:r>
          </w:p>
        </w:tc>
        <w:tc>
          <w:tcPr>
            <w:tcW w:w="697" w:type="dxa"/>
            <w:gridSpan w:val="2"/>
            <w:vMerge/>
            <w:tcBorders>
              <w:left w:val="single" w:sz="4" w:space="0" w:color="000000"/>
              <w:right w:val="single" w:sz="4" w:space="0" w:color="000000"/>
            </w:tcBorders>
            <w:shd w:val="clear" w:color="auto" w:fill="D2D2D2"/>
          </w:tcPr>
          <w:p>
            <w:pPr/>
          </w:p>
        </w:tc>
        <w:tc>
          <w:tcPr>
            <w:tcW w:w="1144" w:type="dxa"/>
            <w:gridSpan w:val="2"/>
            <w:vMerge/>
            <w:tcBorders>
              <w:left w:val="single" w:sz="4" w:space="0" w:color="000000"/>
              <w:right w:val="single" w:sz="4" w:space="0" w:color="000000"/>
            </w:tcBorders>
            <w:shd w:val="clear" w:color="auto" w:fill="D2D2D2"/>
          </w:tcPr>
          <w:p>
            <w:pPr/>
          </w:p>
        </w:tc>
        <w:tc>
          <w:tcPr>
            <w:tcW w:w="1136" w:type="dxa"/>
            <w:gridSpan w:val="2"/>
            <w:vMerge/>
            <w:tcBorders>
              <w:left w:val="single" w:sz="4" w:space="0" w:color="000000"/>
              <w:right w:val="single" w:sz="4" w:space="0" w:color="000000"/>
            </w:tcBorders>
            <w:shd w:val="clear" w:color="auto" w:fill="D2D2D2"/>
          </w:tcPr>
          <w:p>
            <w:pPr/>
          </w:p>
        </w:tc>
        <w:tc>
          <w:tcPr>
            <w:tcW w:w="1135" w:type="dxa"/>
            <w:gridSpan w:val="2"/>
            <w:vMerge/>
            <w:tcBorders>
              <w:left w:val="single" w:sz="4" w:space="0" w:color="000000"/>
              <w:right w:val="single" w:sz="4" w:space="0" w:color="000000"/>
            </w:tcBorders>
            <w:shd w:val="clear" w:color="auto" w:fill="D2D2D2"/>
          </w:tcPr>
          <w:p>
            <w:pPr/>
          </w:p>
        </w:tc>
        <w:tc>
          <w:tcPr>
            <w:tcW w:w="986" w:type="dxa"/>
            <w:vMerge/>
            <w:tcBorders>
              <w:left w:val="single" w:sz="4" w:space="0" w:color="000000"/>
              <w:right w:val="single" w:sz="4" w:space="0" w:color="000000"/>
            </w:tcBorders>
            <w:shd w:val="clear" w:color="auto" w:fill="D2D2D2"/>
          </w:tcPr>
          <w:p>
            <w:pPr/>
          </w:p>
        </w:tc>
        <w:tc>
          <w:tcPr>
            <w:tcW w:w="1068" w:type="dxa"/>
            <w:gridSpan w:val="2"/>
            <w:vMerge/>
            <w:tcBorders>
              <w:left w:val="single" w:sz="4" w:space="0" w:color="000000"/>
              <w:bottom w:val="single" w:sz="4" w:space="0" w:color="000000"/>
              <w:right w:val="single" w:sz="4" w:space="0" w:color="000000"/>
            </w:tcBorders>
            <w:shd w:val="clear" w:color="auto" w:fill="D2D2D2"/>
          </w:tcPr>
          <w:p>
            <w:pPr/>
          </w:p>
        </w:tc>
      </w:tr>
      <w:tr>
        <w:trPr>
          <w:trHeight w:val="182" w:hRule="exact"/>
        </w:trPr>
        <w:tc>
          <w:tcPr>
            <w:tcW w:w="1973" w:type="dxa"/>
            <w:gridSpan w:val="2"/>
            <w:vMerge/>
            <w:tcBorders>
              <w:left w:val="single" w:sz="4" w:space="0" w:color="000000"/>
              <w:bottom w:val="nil" w:sz="6" w:space="0" w:color="auto"/>
              <w:right w:val="single" w:sz="4" w:space="0" w:color="000000"/>
            </w:tcBorders>
            <w:shd w:val="clear" w:color="auto" w:fill="D2D2D2"/>
          </w:tcPr>
          <w:p>
            <w:pPr/>
          </w:p>
        </w:tc>
        <w:tc>
          <w:tcPr>
            <w:tcW w:w="1419" w:type="dxa"/>
            <w:gridSpan w:val="2"/>
            <w:vMerge/>
            <w:tcBorders>
              <w:left w:val="single" w:sz="4" w:space="0" w:color="000000"/>
              <w:bottom w:val="nil" w:sz="6" w:space="0" w:color="auto"/>
              <w:right w:val="single" w:sz="4" w:space="0" w:color="000000"/>
            </w:tcBorders>
            <w:shd w:val="clear" w:color="auto" w:fill="D2D2D2"/>
          </w:tcPr>
          <w:p>
            <w:pPr/>
          </w:p>
        </w:tc>
        <w:tc>
          <w:tcPr>
            <w:tcW w:w="697" w:type="dxa"/>
            <w:gridSpan w:val="2"/>
            <w:vMerge/>
            <w:tcBorders>
              <w:left w:val="single" w:sz="4" w:space="0" w:color="000000"/>
              <w:right w:val="single" w:sz="4" w:space="0" w:color="000000"/>
            </w:tcBorders>
            <w:shd w:val="clear" w:color="auto" w:fill="D2D2D2"/>
          </w:tcPr>
          <w:p>
            <w:pPr/>
          </w:p>
        </w:tc>
        <w:tc>
          <w:tcPr>
            <w:tcW w:w="1144" w:type="dxa"/>
            <w:gridSpan w:val="2"/>
            <w:vMerge/>
            <w:tcBorders>
              <w:left w:val="single" w:sz="4" w:space="0" w:color="000000"/>
              <w:right w:val="single" w:sz="4" w:space="0" w:color="000000"/>
            </w:tcBorders>
            <w:shd w:val="clear" w:color="auto" w:fill="D2D2D2"/>
          </w:tcPr>
          <w:p>
            <w:pPr/>
          </w:p>
        </w:tc>
        <w:tc>
          <w:tcPr>
            <w:tcW w:w="1136" w:type="dxa"/>
            <w:gridSpan w:val="2"/>
            <w:vMerge/>
            <w:tcBorders>
              <w:left w:val="single" w:sz="4" w:space="0" w:color="000000"/>
              <w:right w:val="single" w:sz="4" w:space="0" w:color="000000"/>
            </w:tcBorders>
            <w:shd w:val="clear" w:color="auto" w:fill="D2D2D2"/>
          </w:tcPr>
          <w:p>
            <w:pPr/>
          </w:p>
        </w:tc>
        <w:tc>
          <w:tcPr>
            <w:tcW w:w="1135" w:type="dxa"/>
            <w:gridSpan w:val="2"/>
            <w:vMerge/>
            <w:tcBorders>
              <w:left w:val="single" w:sz="4" w:space="0" w:color="000000"/>
              <w:right w:val="single" w:sz="4" w:space="0" w:color="000000"/>
            </w:tcBorders>
            <w:shd w:val="clear" w:color="auto" w:fill="D2D2D2"/>
          </w:tcPr>
          <w:p>
            <w:pPr/>
          </w:p>
        </w:tc>
        <w:tc>
          <w:tcPr>
            <w:tcW w:w="986" w:type="dxa"/>
            <w:vMerge/>
            <w:tcBorders>
              <w:left w:val="single" w:sz="4" w:space="0" w:color="000000"/>
              <w:right w:val="single" w:sz="4" w:space="0" w:color="000000"/>
            </w:tcBorders>
            <w:shd w:val="clear" w:color="auto" w:fill="D2D2D2"/>
          </w:tcPr>
          <w:p>
            <w:pPr/>
          </w:p>
        </w:tc>
        <w:tc>
          <w:tcPr>
            <w:tcW w:w="560"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33"/>
              <w:ind w:left="74" w:right="53"/>
              <w:jc w:val="left"/>
              <w:rPr>
                <w:rFonts w:ascii="宋体" w:hAnsi="宋体" w:cs="宋体" w:eastAsia="宋体" w:hint="default"/>
                <w:sz w:val="21"/>
                <w:szCs w:val="21"/>
              </w:rPr>
            </w:pPr>
            <w:r>
              <w:rPr>
                <w:rFonts w:ascii="宋体" w:hAnsi="宋体" w:cs="宋体" w:eastAsia="宋体" w:hint="default"/>
                <w:sz w:val="21"/>
                <w:szCs w:val="21"/>
              </w:rPr>
              <w:t>股份</w:t>
            </w:r>
            <w:r>
              <w:rPr>
                <w:rFonts w:ascii="宋体" w:hAnsi="宋体" w:cs="宋体" w:eastAsia="宋体" w:hint="default"/>
                <w:spacing w:val="-103"/>
                <w:sz w:val="21"/>
                <w:szCs w:val="21"/>
              </w:rPr>
              <w:t> </w:t>
            </w:r>
            <w:r>
              <w:rPr>
                <w:rFonts w:ascii="宋体" w:hAnsi="宋体" w:cs="宋体" w:eastAsia="宋体" w:hint="default"/>
                <w:sz w:val="21"/>
                <w:szCs w:val="21"/>
              </w:rPr>
              <w:t>状态</w:t>
            </w:r>
          </w:p>
        </w:tc>
        <w:tc>
          <w:tcPr>
            <w:tcW w:w="50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73" w:hRule="exact"/>
        </w:trPr>
        <w:tc>
          <w:tcPr>
            <w:tcW w:w="1973" w:type="dxa"/>
            <w:gridSpan w:val="2"/>
            <w:vMerge w:val="restart"/>
            <w:tcBorders>
              <w:top w:val="nil" w:sz="6" w:space="0" w:color="auto"/>
              <w:left w:val="single" w:sz="4" w:space="0" w:color="000000"/>
              <w:right w:val="single" w:sz="4" w:space="0" w:color="000000"/>
            </w:tcBorders>
            <w:shd w:val="clear" w:color="auto" w:fill="D2D2D2"/>
          </w:tcPr>
          <w:p>
            <w:pPr/>
          </w:p>
        </w:tc>
        <w:tc>
          <w:tcPr>
            <w:tcW w:w="1419" w:type="dxa"/>
            <w:gridSpan w:val="2"/>
            <w:vMerge w:val="restart"/>
            <w:tcBorders>
              <w:top w:val="nil" w:sz="6" w:space="0" w:color="auto"/>
              <w:left w:val="single" w:sz="4" w:space="0" w:color="000000"/>
              <w:right w:val="single" w:sz="4" w:space="0" w:color="000000"/>
            </w:tcBorders>
            <w:shd w:val="clear" w:color="auto" w:fill="D2D2D2"/>
          </w:tcPr>
          <w:p>
            <w:pPr/>
          </w:p>
        </w:tc>
        <w:tc>
          <w:tcPr>
            <w:tcW w:w="697" w:type="dxa"/>
            <w:gridSpan w:val="2"/>
            <w:vMerge/>
            <w:tcBorders>
              <w:left w:val="single" w:sz="4" w:space="0" w:color="000000"/>
              <w:bottom w:val="nil" w:sz="6" w:space="0" w:color="auto"/>
              <w:right w:val="single" w:sz="4" w:space="0" w:color="000000"/>
            </w:tcBorders>
            <w:shd w:val="clear" w:color="auto" w:fill="D2D2D2"/>
          </w:tcPr>
          <w:p>
            <w:pPr/>
          </w:p>
        </w:tc>
        <w:tc>
          <w:tcPr>
            <w:tcW w:w="1144" w:type="dxa"/>
            <w:gridSpan w:val="2"/>
            <w:vMerge/>
            <w:tcBorders>
              <w:left w:val="single" w:sz="4" w:space="0" w:color="000000"/>
              <w:bottom w:val="nil" w:sz="6" w:space="0" w:color="auto"/>
              <w:right w:val="single" w:sz="4" w:space="0" w:color="000000"/>
            </w:tcBorders>
            <w:shd w:val="clear" w:color="auto" w:fill="D2D2D2"/>
          </w:tcPr>
          <w:p>
            <w:pPr/>
          </w:p>
        </w:tc>
        <w:tc>
          <w:tcPr>
            <w:tcW w:w="1136" w:type="dxa"/>
            <w:gridSpan w:val="2"/>
            <w:vMerge/>
            <w:tcBorders>
              <w:left w:val="single" w:sz="4" w:space="0" w:color="000000"/>
              <w:bottom w:val="nil" w:sz="6" w:space="0" w:color="auto"/>
              <w:right w:val="single" w:sz="4" w:space="0" w:color="000000"/>
            </w:tcBorders>
            <w:shd w:val="clear" w:color="auto" w:fill="D2D2D2"/>
          </w:tcPr>
          <w:p>
            <w:pPr/>
          </w:p>
        </w:tc>
        <w:tc>
          <w:tcPr>
            <w:tcW w:w="1135" w:type="dxa"/>
            <w:gridSpan w:val="2"/>
            <w:vMerge/>
            <w:tcBorders>
              <w:left w:val="single" w:sz="4" w:space="0" w:color="000000"/>
              <w:right w:val="single" w:sz="4" w:space="0" w:color="000000"/>
            </w:tcBorders>
            <w:shd w:val="clear" w:color="auto" w:fill="D2D2D2"/>
          </w:tcPr>
          <w:p>
            <w:pPr/>
          </w:p>
        </w:tc>
        <w:tc>
          <w:tcPr>
            <w:tcW w:w="986" w:type="dxa"/>
            <w:vMerge/>
            <w:tcBorders>
              <w:left w:val="single" w:sz="4" w:space="0" w:color="000000"/>
              <w:right w:val="single" w:sz="4" w:space="0" w:color="000000"/>
            </w:tcBorders>
            <w:shd w:val="clear" w:color="auto" w:fill="D2D2D2"/>
          </w:tcPr>
          <w:p>
            <w:pPr/>
          </w:p>
        </w:tc>
        <w:tc>
          <w:tcPr>
            <w:tcW w:w="560" w:type="dxa"/>
            <w:vMerge/>
            <w:tcBorders>
              <w:left w:val="single" w:sz="4" w:space="0" w:color="000000"/>
              <w:right w:val="single" w:sz="4" w:space="0" w:color="000000"/>
            </w:tcBorders>
            <w:shd w:val="clear" w:color="auto" w:fill="D2D2D2"/>
          </w:tcPr>
          <w:p>
            <w:pPr/>
          </w:p>
        </w:tc>
        <w:tc>
          <w:tcPr>
            <w:tcW w:w="508" w:type="dxa"/>
            <w:vMerge w:val="restart"/>
            <w:tcBorders>
              <w:top w:val="nil" w:sz="6" w:space="0" w:color="auto"/>
              <w:left w:val="single" w:sz="9" w:space="0" w:color="D2D2D2"/>
              <w:right w:val="single" w:sz="13" w:space="0" w:color="D2D2D2"/>
            </w:tcBorders>
          </w:tcPr>
          <w:p>
            <w:pPr>
              <w:pStyle w:val="TableParagraph"/>
              <w:spacing w:line="240" w:lineRule="auto" w:before="11"/>
              <w:ind w:left="28"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spacing w:val="-44"/>
                <w:w w:val="100"/>
                <w:sz w:val="21"/>
                <w:szCs w:val="21"/>
                <w:shd w:fill="D2D2D2" w:color="auto" w:val="clear"/>
              </w:rPr>
              <w:t> </w:t>
            </w:r>
            <w:r>
              <w:rPr>
                <w:rFonts w:ascii="宋体" w:hAnsi="宋体" w:cs="宋体" w:eastAsia="宋体" w:hint="default"/>
                <w:spacing w:val="3"/>
                <w:sz w:val="21"/>
                <w:szCs w:val="21"/>
                <w:shd w:fill="D2D2D2" w:color="auto" w:val="clear"/>
              </w:rPr>
              <w:t>数量</w:t>
            </w:r>
            <w:r>
              <w:rPr>
                <w:rFonts w:ascii="宋体" w:hAnsi="宋体" w:cs="宋体" w:eastAsia="宋体" w:hint="default"/>
                <w:spacing w:val="3"/>
                <w:sz w:val="21"/>
                <w:szCs w:val="21"/>
              </w:rPr>
            </w:r>
            <w:r>
              <w:rPr>
                <w:rFonts w:ascii="宋体" w:hAnsi="宋体" w:cs="宋体" w:eastAsia="宋体" w:hint="default"/>
                <w:sz w:val="21"/>
                <w:szCs w:val="21"/>
              </w:rPr>
            </w:r>
          </w:p>
        </w:tc>
      </w:tr>
      <w:tr>
        <w:trPr>
          <w:trHeight w:val="179" w:hRule="exact"/>
        </w:trPr>
        <w:tc>
          <w:tcPr>
            <w:tcW w:w="1973" w:type="dxa"/>
            <w:gridSpan w:val="2"/>
            <w:vMerge/>
            <w:tcBorders>
              <w:left w:val="single" w:sz="4" w:space="0" w:color="000000"/>
              <w:right w:val="single" w:sz="4" w:space="0" w:color="000000"/>
            </w:tcBorders>
            <w:shd w:val="clear" w:color="auto" w:fill="D2D2D2"/>
          </w:tcPr>
          <w:p>
            <w:pPr/>
          </w:p>
        </w:tc>
        <w:tc>
          <w:tcPr>
            <w:tcW w:w="1419" w:type="dxa"/>
            <w:gridSpan w:val="2"/>
            <w:vMerge/>
            <w:tcBorders>
              <w:left w:val="single" w:sz="4" w:space="0" w:color="000000"/>
              <w:right w:val="single" w:sz="4" w:space="0" w:color="000000"/>
            </w:tcBorders>
            <w:shd w:val="clear" w:color="auto" w:fill="D2D2D2"/>
          </w:tcPr>
          <w:p>
            <w:pPr/>
          </w:p>
        </w:tc>
        <w:tc>
          <w:tcPr>
            <w:tcW w:w="697" w:type="dxa"/>
            <w:gridSpan w:val="2"/>
            <w:vMerge w:val="restart"/>
            <w:tcBorders>
              <w:top w:val="nil" w:sz="6" w:space="0" w:color="auto"/>
              <w:left w:val="single" w:sz="4" w:space="0" w:color="000000"/>
              <w:right w:val="single" w:sz="4" w:space="0" w:color="000000"/>
            </w:tcBorders>
            <w:shd w:val="clear" w:color="auto" w:fill="D2D2D2"/>
          </w:tcPr>
          <w:p>
            <w:pPr/>
          </w:p>
        </w:tc>
        <w:tc>
          <w:tcPr>
            <w:tcW w:w="1144" w:type="dxa"/>
            <w:gridSpan w:val="2"/>
            <w:vMerge w:val="restart"/>
            <w:tcBorders>
              <w:top w:val="nil" w:sz="6" w:space="0" w:color="auto"/>
              <w:left w:val="single" w:sz="4" w:space="0" w:color="000000"/>
              <w:right w:val="single" w:sz="4" w:space="0" w:color="000000"/>
            </w:tcBorders>
            <w:shd w:val="clear" w:color="auto" w:fill="D2D2D2"/>
          </w:tcPr>
          <w:p>
            <w:pPr/>
          </w:p>
        </w:tc>
        <w:tc>
          <w:tcPr>
            <w:tcW w:w="1136" w:type="dxa"/>
            <w:gridSpan w:val="2"/>
            <w:vMerge w:val="restart"/>
            <w:tcBorders>
              <w:top w:val="nil" w:sz="6" w:space="0" w:color="auto"/>
              <w:left w:val="single" w:sz="4" w:space="0" w:color="000000"/>
              <w:right w:val="single" w:sz="4" w:space="0" w:color="000000"/>
            </w:tcBorders>
            <w:shd w:val="clear" w:color="auto" w:fill="D2D2D2"/>
          </w:tcPr>
          <w:p>
            <w:pPr/>
          </w:p>
        </w:tc>
        <w:tc>
          <w:tcPr>
            <w:tcW w:w="1135" w:type="dxa"/>
            <w:gridSpan w:val="2"/>
            <w:vMerge/>
            <w:tcBorders>
              <w:left w:val="single" w:sz="4" w:space="0" w:color="000000"/>
              <w:bottom w:val="nil" w:sz="6" w:space="0" w:color="auto"/>
              <w:right w:val="single" w:sz="4" w:space="0" w:color="000000"/>
            </w:tcBorders>
            <w:shd w:val="clear" w:color="auto" w:fill="D2D2D2"/>
          </w:tcPr>
          <w:p>
            <w:pPr/>
          </w:p>
        </w:tc>
        <w:tc>
          <w:tcPr>
            <w:tcW w:w="986" w:type="dxa"/>
            <w:vMerge/>
            <w:tcBorders>
              <w:left w:val="single" w:sz="4" w:space="0" w:color="000000"/>
              <w:bottom w:val="nil" w:sz="6" w:space="0" w:color="auto"/>
              <w:right w:val="single" w:sz="4" w:space="0" w:color="000000"/>
            </w:tcBorders>
            <w:shd w:val="clear" w:color="auto" w:fill="D2D2D2"/>
          </w:tcPr>
          <w:p>
            <w:pPr/>
          </w:p>
        </w:tc>
        <w:tc>
          <w:tcPr>
            <w:tcW w:w="560" w:type="dxa"/>
            <w:vMerge/>
            <w:tcBorders>
              <w:left w:val="single" w:sz="4" w:space="0" w:color="000000"/>
              <w:right w:val="single" w:sz="4" w:space="0" w:color="000000"/>
            </w:tcBorders>
            <w:shd w:val="clear" w:color="auto" w:fill="D2D2D2"/>
          </w:tcPr>
          <w:p>
            <w:pPr/>
          </w:p>
        </w:tc>
        <w:tc>
          <w:tcPr>
            <w:tcW w:w="508" w:type="dxa"/>
            <w:vMerge/>
            <w:tcBorders>
              <w:left w:val="single" w:sz="9" w:space="0" w:color="D2D2D2"/>
              <w:bottom w:val="nil" w:sz="6" w:space="0" w:color="auto"/>
              <w:right w:val="single" w:sz="13" w:space="0" w:color="D2D2D2"/>
            </w:tcBorders>
          </w:tcPr>
          <w:p>
            <w:pPr/>
          </w:p>
        </w:tc>
      </w:tr>
      <w:tr>
        <w:trPr>
          <w:trHeight w:val="184" w:hRule="exact"/>
        </w:trPr>
        <w:tc>
          <w:tcPr>
            <w:tcW w:w="1973" w:type="dxa"/>
            <w:gridSpan w:val="2"/>
            <w:vMerge/>
            <w:tcBorders>
              <w:left w:val="single" w:sz="4" w:space="0" w:color="000000"/>
              <w:bottom w:val="single" w:sz="4" w:space="0" w:color="000000"/>
              <w:right w:val="single" w:sz="4" w:space="0" w:color="000000"/>
            </w:tcBorders>
            <w:shd w:val="clear" w:color="auto" w:fill="D2D2D2"/>
          </w:tcPr>
          <w:p>
            <w:pPr/>
          </w:p>
        </w:tc>
        <w:tc>
          <w:tcPr>
            <w:tcW w:w="1419" w:type="dxa"/>
            <w:gridSpan w:val="2"/>
            <w:vMerge/>
            <w:tcBorders>
              <w:left w:val="single" w:sz="4" w:space="0" w:color="000000"/>
              <w:bottom w:val="single" w:sz="4" w:space="0" w:color="000000"/>
              <w:right w:val="single" w:sz="4" w:space="0" w:color="000000"/>
            </w:tcBorders>
            <w:shd w:val="clear" w:color="auto" w:fill="D2D2D2"/>
          </w:tcPr>
          <w:p>
            <w:pPr/>
          </w:p>
        </w:tc>
        <w:tc>
          <w:tcPr>
            <w:tcW w:w="697" w:type="dxa"/>
            <w:gridSpan w:val="2"/>
            <w:vMerge/>
            <w:tcBorders>
              <w:left w:val="single" w:sz="4" w:space="0" w:color="000000"/>
              <w:bottom w:val="single" w:sz="4" w:space="0" w:color="000000"/>
              <w:right w:val="single" w:sz="4" w:space="0" w:color="000000"/>
            </w:tcBorders>
            <w:shd w:val="clear" w:color="auto" w:fill="D2D2D2"/>
          </w:tcPr>
          <w:p>
            <w:pPr/>
          </w:p>
        </w:tc>
        <w:tc>
          <w:tcPr>
            <w:tcW w:w="1144" w:type="dxa"/>
            <w:gridSpan w:val="2"/>
            <w:vMerge/>
            <w:tcBorders>
              <w:left w:val="single" w:sz="4" w:space="0" w:color="000000"/>
              <w:bottom w:val="single" w:sz="4" w:space="0" w:color="000000"/>
              <w:right w:val="single" w:sz="4" w:space="0" w:color="000000"/>
            </w:tcBorders>
            <w:shd w:val="clear" w:color="auto" w:fill="D2D2D2"/>
          </w:tcPr>
          <w:p>
            <w:pPr/>
          </w:p>
        </w:tc>
        <w:tc>
          <w:tcPr>
            <w:tcW w:w="1136" w:type="dxa"/>
            <w:gridSpan w:val="2"/>
            <w:vMerge/>
            <w:tcBorders>
              <w:left w:val="single" w:sz="4" w:space="0" w:color="000000"/>
              <w:bottom w:val="single" w:sz="4" w:space="0" w:color="000000"/>
              <w:right w:val="single" w:sz="4" w:space="0" w:color="000000"/>
            </w:tcBorders>
            <w:shd w:val="clear" w:color="auto" w:fill="D2D2D2"/>
          </w:tcPr>
          <w:p>
            <w:pPr/>
          </w:p>
        </w:tc>
        <w:tc>
          <w:tcPr>
            <w:tcW w:w="113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986" w:type="dxa"/>
            <w:tcBorders>
              <w:top w:val="nil" w:sz="6" w:space="0" w:color="auto"/>
              <w:left w:val="single" w:sz="4" w:space="0" w:color="000000"/>
              <w:bottom w:val="single" w:sz="4" w:space="0" w:color="000000"/>
              <w:right w:val="single" w:sz="4" w:space="0" w:color="000000"/>
            </w:tcBorders>
            <w:shd w:val="clear" w:color="auto" w:fill="D2D2D2"/>
          </w:tcPr>
          <w:p>
            <w:pPr/>
          </w:p>
        </w:tc>
        <w:tc>
          <w:tcPr>
            <w:tcW w:w="560" w:type="dxa"/>
            <w:vMerge/>
            <w:tcBorders>
              <w:left w:val="single" w:sz="4" w:space="0" w:color="000000"/>
              <w:bottom w:val="single" w:sz="4" w:space="0" w:color="000000"/>
              <w:right w:val="single" w:sz="4" w:space="0" w:color="000000"/>
            </w:tcBorders>
            <w:shd w:val="clear" w:color="auto" w:fill="D2D2D2"/>
          </w:tcPr>
          <w:p>
            <w:pPr/>
          </w:p>
        </w:tc>
        <w:tc>
          <w:tcPr>
            <w:tcW w:w="508" w:type="dxa"/>
            <w:tcBorders>
              <w:top w:val="nil" w:sz="6" w:space="0" w:color="auto"/>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877" w:footer="979"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985"/>
        <w:gridCol w:w="1419"/>
        <w:gridCol w:w="708"/>
        <w:gridCol w:w="1133"/>
        <w:gridCol w:w="1135"/>
        <w:gridCol w:w="1133"/>
        <w:gridCol w:w="427"/>
        <w:gridCol w:w="566"/>
        <w:gridCol w:w="566"/>
        <w:gridCol w:w="497"/>
      </w:tblGrid>
      <w:tr>
        <w:trPr>
          <w:trHeight w:val="71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55"/>
              <w:jc w:val="left"/>
              <w:rPr>
                <w:rFonts w:ascii="宋体" w:hAnsi="宋体" w:cs="宋体" w:eastAsia="宋体" w:hint="default"/>
                <w:sz w:val="21"/>
                <w:szCs w:val="21"/>
              </w:rPr>
            </w:pPr>
            <w:r>
              <w:rPr>
                <w:rFonts w:ascii="宋体" w:hAnsi="宋体" w:cs="宋体" w:eastAsia="宋体" w:hint="default"/>
                <w:sz w:val="21"/>
                <w:szCs w:val="21"/>
              </w:rPr>
              <w:t>北京凤凰财智创新投</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资中心（有限合伙）</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29.83%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59,658,719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59,658,719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59,658,719</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566"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罗桥胜</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6"/>
              <w:jc w:val="right"/>
              <w:rPr>
                <w:rFonts w:ascii="Times New Roman" w:hAnsi="Times New Roman" w:cs="Times New Roman" w:eastAsia="Times New Roman" w:hint="default"/>
                <w:sz w:val="21"/>
                <w:szCs w:val="21"/>
              </w:rPr>
            </w:pPr>
            <w:r>
              <w:rPr>
                <w:rFonts w:ascii="Times New Roman"/>
                <w:sz w:val="21"/>
              </w:rPr>
              <w:t>9.80%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19,600,000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19,600,000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9,800,000</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22" w:right="0"/>
              <w:jc w:val="left"/>
              <w:rPr>
                <w:rFonts w:ascii="Times New Roman" w:hAnsi="Times New Roman" w:cs="Times New Roman" w:eastAsia="Times New Roman" w:hint="default"/>
                <w:sz w:val="21"/>
                <w:szCs w:val="21"/>
              </w:rPr>
            </w:pPr>
            <w:r>
              <w:rPr>
                <w:rFonts w:ascii="Times New Roman"/>
                <w:sz w:val="21"/>
              </w:rPr>
              <w:t>9,800,000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张盛根</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4.97%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9,949,998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9,949,998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100"/>
                <w:sz w:val="21"/>
              </w:rPr>
              <w:t>0</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22" w:right="0"/>
              <w:jc w:val="left"/>
              <w:rPr>
                <w:rFonts w:ascii="Times New Roman" w:hAnsi="Times New Roman" w:cs="Times New Roman" w:eastAsia="Times New Roman" w:hint="default"/>
                <w:sz w:val="21"/>
                <w:szCs w:val="21"/>
              </w:rPr>
            </w:pPr>
            <w:r>
              <w:rPr>
                <w:rFonts w:ascii="Times New Roman"/>
                <w:sz w:val="21"/>
              </w:rPr>
              <w:t>9,949,998</w:t>
            </w:r>
          </w:p>
        </w:tc>
        <w:tc>
          <w:tcPr>
            <w:tcW w:w="566"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谭少伦</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6"/>
              <w:jc w:val="right"/>
              <w:rPr>
                <w:rFonts w:ascii="Times New Roman" w:hAnsi="Times New Roman" w:cs="Times New Roman" w:eastAsia="Times New Roman" w:hint="default"/>
                <w:sz w:val="21"/>
                <w:szCs w:val="21"/>
              </w:rPr>
            </w:pPr>
            <w:r>
              <w:rPr>
                <w:rFonts w:ascii="Times New Roman"/>
                <w:sz w:val="21"/>
              </w:rPr>
              <w:t>4.91%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9,813,951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9,813,951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w w:val="100"/>
                <w:sz w:val="21"/>
              </w:rPr>
              <w:t>0</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22" w:right="0"/>
              <w:jc w:val="left"/>
              <w:rPr>
                <w:rFonts w:ascii="Times New Roman" w:hAnsi="Times New Roman" w:cs="Times New Roman" w:eastAsia="Times New Roman" w:hint="default"/>
                <w:sz w:val="21"/>
                <w:szCs w:val="21"/>
              </w:rPr>
            </w:pPr>
            <w:r>
              <w:rPr>
                <w:rFonts w:ascii="Times New Roman"/>
                <w:sz w:val="21"/>
              </w:rPr>
              <w:t>9,813,951</w:t>
            </w:r>
          </w:p>
        </w:tc>
        <w:tc>
          <w:tcPr>
            <w:tcW w:w="566"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before="28"/>
              <w:ind w:left="24" w:right="55"/>
              <w:jc w:val="both"/>
              <w:rPr>
                <w:rFonts w:ascii="宋体" w:hAnsi="宋体" w:cs="宋体" w:eastAsia="宋体" w:hint="default"/>
                <w:sz w:val="21"/>
                <w:szCs w:val="21"/>
              </w:rPr>
            </w:pPr>
            <w:r>
              <w:rPr>
                <w:rFonts w:ascii="宋体" w:hAnsi="宋体" w:cs="宋体" w:eastAsia="宋体" w:hint="default"/>
                <w:sz w:val="21"/>
                <w:szCs w:val="21"/>
              </w:rPr>
              <w:t>西藏信托有限公司－</w:t>
            </w:r>
            <w:r>
              <w:rPr>
                <w:rFonts w:ascii="宋体" w:hAnsi="宋体" w:cs="宋体" w:eastAsia="宋体" w:hint="default"/>
                <w:w w:val="100"/>
                <w:sz w:val="21"/>
                <w:szCs w:val="21"/>
              </w:rPr>
              <w:t> </w:t>
            </w:r>
            <w:r>
              <w:rPr>
                <w:rFonts w:ascii="宋体" w:hAnsi="宋体" w:cs="宋体" w:eastAsia="宋体" w:hint="default"/>
                <w:sz w:val="21"/>
                <w:szCs w:val="21"/>
              </w:rPr>
              <w:t>天泽</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号证券投资集</w:t>
            </w:r>
            <w:r>
              <w:rPr>
                <w:rFonts w:ascii="宋体" w:hAnsi="宋体" w:cs="宋体" w:eastAsia="宋体" w:hint="default"/>
                <w:w w:val="100"/>
                <w:sz w:val="21"/>
                <w:szCs w:val="21"/>
              </w:rPr>
              <w:t> </w:t>
            </w:r>
            <w:r>
              <w:rPr>
                <w:rFonts w:ascii="宋体" w:hAnsi="宋体" w:cs="宋体" w:eastAsia="宋体" w:hint="default"/>
                <w:sz w:val="21"/>
                <w:szCs w:val="21"/>
              </w:rPr>
              <w:t>合资金信托计划</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7"/>
              <w:ind w:right="16"/>
              <w:jc w:val="right"/>
              <w:rPr>
                <w:rFonts w:ascii="Times New Roman" w:hAnsi="Times New Roman" w:cs="Times New Roman" w:eastAsia="Times New Roman" w:hint="default"/>
                <w:sz w:val="21"/>
                <w:szCs w:val="21"/>
              </w:rPr>
            </w:pPr>
            <w:r>
              <w:rPr>
                <w:rFonts w:ascii="Times New Roman"/>
                <w:sz w:val="21"/>
              </w:rPr>
              <w:t>4.81%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7"/>
              <w:ind w:right="17"/>
              <w:jc w:val="right"/>
              <w:rPr>
                <w:rFonts w:ascii="Times New Roman" w:hAnsi="Times New Roman" w:cs="Times New Roman" w:eastAsia="Times New Roman" w:hint="default"/>
                <w:sz w:val="21"/>
                <w:szCs w:val="21"/>
              </w:rPr>
            </w:pPr>
            <w:r>
              <w:rPr>
                <w:rFonts w:ascii="Times New Roman"/>
                <w:spacing w:val="-1"/>
                <w:sz w:val="21"/>
              </w:rPr>
              <w:t>9,620,007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7"/>
              <w:ind w:right="17"/>
              <w:jc w:val="right"/>
              <w:rPr>
                <w:rFonts w:ascii="Times New Roman" w:hAnsi="Times New Roman" w:cs="Times New Roman" w:eastAsia="Times New Roman" w:hint="default"/>
                <w:sz w:val="21"/>
                <w:szCs w:val="21"/>
              </w:rPr>
            </w:pPr>
            <w:r>
              <w:rPr>
                <w:rFonts w:ascii="Times New Roman"/>
                <w:spacing w:val="-1"/>
                <w:sz w:val="21"/>
              </w:rPr>
              <w:t>9,620,007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7"/>
              <w:ind w:right="19"/>
              <w:jc w:val="right"/>
              <w:rPr>
                <w:rFonts w:ascii="Times New Roman" w:hAnsi="Times New Roman" w:cs="Times New Roman" w:eastAsia="Times New Roman" w:hint="default"/>
                <w:sz w:val="21"/>
                <w:szCs w:val="21"/>
              </w:rPr>
            </w:pPr>
            <w:r>
              <w:rPr>
                <w:rFonts w:ascii="Times New Roman"/>
                <w:w w:val="100"/>
                <w:sz w:val="21"/>
              </w:rPr>
              <w:t>0</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7"/>
              <w:ind w:left="122" w:right="0"/>
              <w:jc w:val="left"/>
              <w:rPr>
                <w:rFonts w:ascii="Times New Roman" w:hAnsi="Times New Roman" w:cs="Times New Roman" w:eastAsia="Times New Roman" w:hint="default"/>
                <w:sz w:val="21"/>
                <w:szCs w:val="21"/>
              </w:rPr>
            </w:pPr>
            <w:r>
              <w:rPr>
                <w:rFonts w:ascii="Times New Roman"/>
                <w:sz w:val="21"/>
              </w:rPr>
              <w:t>9,620,007</w:t>
            </w:r>
          </w:p>
        </w:tc>
        <w:tc>
          <w:tcPr>
            <w:tcW w:w="566"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萧志刚</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6"/>
              <w:jc w:val="right"/>
              <w:rPr>
                <w:rFonts w:ascii="Times New Roman" w:hAnsi="Times New Roman" w:cs="Times New Roman" w:eastAsia="Times New Roman" w:hint="default"/>
                <w:sz w:val="21"/>
                <w:szCs w:val="21"/>
              </w:rPr>
            </w:pPr>
            <w:r>
              <w:rPr>
                <w:rFonts w:ascii="Times New Roman"/>
                <w:sz w:val="21"/>
              </w:rPr>
              <w:t>4.80%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9,600,000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9,600,000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w w:val="100"/>
                <w:sz w:val="21"/>
              </w:rPr>
              <w:t>0</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22" w:right="0"/>
              <w:jc w:val="left"/>
              <w:rPr>
                <w:rFonts w:ascii="Times New Roman" w:hAnsi="Times New Roman" w:cs="Times New Roman" w:eastAsia="Times New Roman" w:hint="default"/>
                <w:sz w:val="21"/>
                <w:szCs w:val="21"/>
              </w:rPr>
            </w:pPr>
            <w:r>
              <w:rPr>
                <w:rFonts w:ascii="Times New Roman"/>
                <w:sz w:val="21"/>
              </w:rPr>
              <w:t>9,600,000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廖起雄</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4.50%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9,000,000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100"/>
                <w:sz w:val="21"/>
              </w:rPr>
              <w:t>0</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22" w:right="0"/>
              <w:jc w:val="left"/>
              <w:rPr>
                <w:rFonts w:ascii="Times New Roman" w:hAnsi="Times New Roman" w:cs="Times New Roman" w:eastAsia="Times New Roman" w:hint="default"/>
                <w:sz w:val="21"/>
                <w:szCs w:val="21"/>
              </w:rPr>
            </w:pPr>
            <w:r>
              <w:rPr>
                <w:rFonts w:ascii="Times New Roman"/>
                <w:sz w:val="21"/>
              </w:rPr>
              <w:t>9,000,000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4" w:right="55"/>
              <w:jc w:val="left"/>
              <w:rPr>
                <w:rFonts w:ascii="宋体" w:hAnsi="宋体" w:cs="宋体" w:eastAsia="宋体" w:hint="default"/>
                <w:sz w:val="21"/>
                <w:szCs w:val="21"/>
              </w:rPr>
            </w:pPr>
            <w:r>
              <w:rPr>
                <w:rFonts w:ascii="宋体" w:hAnsi="宋体" w:cs="宋体" w:eastAsia="宋体" w:hint="default"/>
                <w:sz w:val="21"/>
                <w:szCs w:val="21"/>
              </w:rPr>
              <w:t>交通银行－华安宝利</w:t>
            </w:r>
            <w:r>
              <w:rPr>
                <w:rFonts w:ascii="宋体" w:hAnsi="宋体" w:cs="宋体" w:eastAsia="宋体" w:hint="default"/>
                <w:w w:val="100"/>
                <w:sz w:val="21"/>
                <w:szCs w:val="21"/>
              </w:rPr>
              <w:t> </w:t>
            </w:r>
            <w:r>
              <w:rPr>
                <w:rFonts w:ascii="宋体" w:hAnsi="宋体" w:cs="宋体" w:eastAsia="宋体" w:hint="default"/>
                <w:sz w:val="21"/>
                <w:szCs w:val="21"/>
              </w:rPr>
              <w:t>配置证券投资基金</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0.86%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1,719,068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1,719,068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122" w:right="0"/>
              <w:jc w:val="left"/>
              <w:rPr>
                <w:rFonts w:ascii="Times New Roman" w:hAnsi="Times New Roman" w:cs="Times New Roman" w:eastAsia="Times New Roman" w:hint="default"/>
                <w:sz w:val="21"/>
                <w:szCs w:val="21"/>
              </w:rPr>
            </w:pPr>
            <w:r>
              <w:rPr>
                <w:rFonts w:ascii="Times New Roman"/>
                <w:sz w:val="21"/>
              </w:rPr>
              <w:t>1,719,068</w:t>
            </w:r>
          </w:p>
        </w:tc>
        <w:tc>
          <w:tcPr>
            <w:tcW w:w="566"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黄喜强</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0.85%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1,700,000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1,700,000</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100"/>
                <w:sz w:val="21"/>
              </w:rPr>
              <w:t>0</w:t>
            </w:r>
          </w:p>
        </w:tc>
        <w:tc>
          <w:tcPr>
            <w:tcW w:w="566"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罗绮霞</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6"/>
              <w:jc w:val="right"/>
              <w:rPr>
                <w:rFonts w:ascii="Times New Roman" w:hAnsi="Times New Roman" w:cs="Times New Roman" w:eastAsia="Times New Roman" w:hint="default"/>
                <w:sz w:val="21"/>
                <w:szCs w:val="21"/>
              </w:rPr>
            </w:pPr>
            <w:r>
              <w:rPr>
                <w:rFonts w:ascii="Times New Roman"/>
                <w:sz w:val="21"/>
              </w:rPr>
              <w:t>0.82%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1,631,000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w w:val="100"/>
                <w:sz w:val="21"/>
              </w:rPr>
              <w:t>0</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22" w:right="0"/>
              <w:jc w:val="left"/>
              <w:rPr>
                <w:rFonts w:ascii="Times New Roman" w:hAnsi="Times New Roman" w:cs="Times New Roman" w:eastAsia="Times New Roman" w:hint="default"/>
                <w:sz w:val="21"/>
                <w:szCs w:val="21"/>
              </w:rPr>
            </w:pPr>
            <w:r>
              <w:rPr>
                <w:rFonts w:ascii="Times New Roman"/>
                <w:sz w:val="21"/>
              </w:rPr>
              <w:t>1,631,000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40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4" w:right="214"/>
              <w:jc w:val="left"/>
              <w:rPr>
                <w:rFonts w:ascii="宋体" w:hAnsi="宋体" w:cs="宋体" w:eastAsia="宋体" w:hint="default"/>
                <w:sz w:val="21"/>
                <w:szCs w:val="21"/>
              </w:rPr>
            </w:pPr>
            <w:r>
              <w:rPr>
                <w:rFonts w:ascii="宋体" w:hAnsi="宋体" w:cs="宋体" w:eastAsia="宋体" w:hint="default"/>
                <w:spacing w:val="-2"/>
                <w:sz w:val="21"/>
                <w:szCs w:val="21"/>
              </w:rPr>
              <w:t>战略投资者或一般法人因配售新股</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成为前</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名股东的情况（如有）</w:t>
            </w:r>
          </w:p>
        </w:tc>
        <w:tc>
          <w:tcPr>
            <w:tcW w:w="6167" w:type="dxa"/>
            <w:gridSpan w:val="8"/>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11"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715" w:hRule="exact"/>
        </w:trPr>
        <w:tc>
          <w:tcPr>
            <w:tcW w:w="340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24" w:right="214"/>
              <w:jc w:val="left"/>
              <w:rPr>
                <w:rFonts w:ascii="宋体" w:hAnsi="宋体" w:cs="宋体" w:eastAsia="宋体" w:hint="default"/>
                <w:sz w:val="21"/>
                <w:szCs w:val="21"/>
              </w:rPr>
            </w:pPr>
            <w:r>
              <w:rPr>
                <w:rFonts w:ascii="宋体" w:hAnsi="宋体" w:cs="宋体" w:eastAsia="宋体" w:hint="default"/>
                <w:spacing w:val="-2"/>
                <w:sz w:val="21"/>
                <w:szCs w:val="21"/>
              </w:rPr>
              <w:t>上述股东关联关系或一致行动的说</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明</w:t>
            </w:r>
          </w:p>
        </w:tc>
        <w:tc>
          <w:tcPr>
            <w:tcW w:w="6167" w:type="dxa"/>
            <w:gridSpan w:val="8"/>
            <w:tcBorders>
              <w:top w:val="single" w:sz="4" w:space="0" w:color="000000"/>
              <w:left w:val="single" w:sz="13" w:space="0" w:color="D2D2D2"/>
              <w:bottom w:val="single" w:sz="4" w:space="0" w:color="000000"/>
              <w:right w:val="single" w:sz="4" w:space="0" w:color="000000"/>
            </w:tcBorders>
          </w:tcPr>
          <w:p>
            <w:pPr>
              <w:pStyle w:val="TableParagraph"/>
              <w:spacing w:line="240" w:lineRule="auto" w:before="30"/>
              <w:ind w:left="11" w:right="0"/>
              <w:jc w:val="left"/>
              <w:rPr>
                <w:rFonts w:ascii="宋体" w:hAnsi="宋体" w:cs="宋体" w:eastAsia="宋体" w:hint="default"/>
                <w:sz w:val="21"/>
                <w:szCs w:val="21"/>
              </w:rPr>
            </w:pPr>
            <w:r>
              <w:rPr>
                <w:rFonts w:ascii="宋体" w:hAnsi="宋体" w:cs="宋体" w:eastAsia="宋体" w:hint="default"/>
                <w:sz w:val="21"/>
                <w:szCs w:val="21"/>
              </w:rPr>
              <w:t>公司未知上述股东间是否存在关联关系，也未知上述股东是否属于</w:t>
            </w:r>
          </w:p>
          <w:p>
            <w:pPr>
              <w:pStyle w:val="TableParagraph"/>
              <w:spacing w:line="240" w:lineRule="auto" w:before="34"/>
              <w:ind w:left="11" w:right="0"/>
              <w:jc w:val="left"/>
              <w:rPr>
                <w:rFonts w:ascii="宋体" w:hAnsi="宋体" w:cs="宋体" w:eastAsia="宋体" w:hint="default"/>
                <w:sz w:val="21"/>
                <w:szCs w:val="21"/>
              </w:rPr>
            </w:pPr>
            <w:r>
              <w:rPr>
                <w:rFonts w:ascii="宋体" w:hAnsi="宋体" w:cs="宋体" w:eastAsia="宋体" w:hint="default"/>
                <w:sz w:val="21"/>
                <w:szCs w:val="21"/>
              </w:rPr>
              <w:t>《上市公司收购管理办法》中规定的一致行动人。</w:t>
            </w:r>
          </w:p>
        </w:tc>
      </w:tr>
      <w:tr>
        <w:trPr>
          <w:trHeight w:val="401" w:hRule="exact"/>
        </w:trPr>
        <w:tc>
          <w:tcPr>
            <w:tcW w:w="9571"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名无限售条件股东持股情况</w:t>
            </w:r>
          </w:p>
        </w:tc>
      </w:tr>
      <w:tr>
        <w:trPr>
          <w:trHeight w:val="207" w:hRule="exact"/>
        </w:trPr>
        <w:tc>
          <w:tcPr>
            <w:tcW w:w="3404"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2976"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307" w:lineRule="auto" w:before="55"/>
              <w:ind w:left="854" w:right="533" w:hanging="317"/>
              <w:jc w:val="left"/>
              <w:rPr>
                <w:rFonts w:ascii="宋体" w:hAnsi="宋体" w:cs="宋体" w:eastAsia="宋体" w:hint="default"/>
                <w:sz w:val="21"/>
                <w:szCs w:val="21"/>
              </w:rPr>
            </w:pPr>
            <w:r>
              <w:rPr>
                <w:rFonts w:ascii="宋体" w:hAnsi="宋体" w:cs="宋体" w:eastAsia="宋体" w:hint="default"/>
                <w:sz w:val="21"/>
                <w:szCs w:val="21"/>
              </w:rPr>
              <w:t>报告期末持有无限售</w:t>
            </w:r>
            <w:r>
              <w:rPr>
                <w:rFonts w:ascii="宋体" w:hAnsi="宋体" w:cs="宋体" w:eastAsia="宋体" w:hint="default"/>
                <w:w w:val="100"/>
                <w:sz w:val="21"/>
                <w:szCs w:val="21"/>
              </w:rPr>
              <w:t> </w:t>
            </w:r>
            <w:r>
              <w:rPr>
                <w:rFonts w:ascii="宋体" w:hAnsi="宋体" w:cs="宋体" w:eastAsia="宋体" w:hint="default"/>
                <w:sz w:val="21"/>
                <w:szCs w:val="21"/>
              </w:rPr>
              <w:t>条件股份数量</w:t>
            </w:r>
          </w:p>
        </w:tc>
        <w:tc>
          <w:tcPr>
            <w:tcW w:w="3190"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1"/>
              <w:ind w:right="0"/>
              <w:jc w:val="center"/>
              <w:rPr>
                <w:rFonts w:ascii="宋体" w:hAnsi="宋体" w:cs="宋体" w:eastAsia="宋体" w:hint="default"/>
                <w:sz w:val="21"/>
                <w:szCs w:val="21"/>
              </w:rPr>
            </w:pPr>
            <w:r>
              <w:rPr>
                <w:rFonts w:ascii="宋体" w:hAnsi="宋体" w:cs="宋体" w:eastAsia="宋体" w:hint="default"/>
                <w:sz w:val="21"/>
                <w:szCs w:val="21"/>
              </w:rPr>
              <w:t>股份种类</w:t>
            </w:r>
          </w:p>
        </w:tc>
      </w:tr>
      <w:tr>
        <w:trPr>
          <w:trHeight w:val="192" w:hRule="exact"/>
        </w:trPr>
        <w:tc>
          <w:tcPr>
            <w:tcW w:w="340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2976" w:type="dxa"/>
            <w:gridSpan w:val="3"/>
            <w:vMerge/>
            <w:tcBorders>
              <w:left w:val="single" w:sz="4" w:space="0" w:color="000000"/>
              <w:right w:val="single" w:sz="4" w:space="0" w:color="000000"/>
            </w:tcBorders>
            <w:shd w:val="clear" w:color="auto" w:fill="D2D2D2"/>
          </w:tcPr>
          <w:p>
            <w:pPr/>
          </w:p>
        </w:tc>
        <w:tc>
          <w:tcPr>
            <w:tcW w:w="3190" w:type="dxa"/>
            <w:gridSpan w:val="5"/>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3404" w:type="dxa"/>
            <w:gridSpan w:val="2"/>
            <w:vMerge/>
            <w:tcBorders>
              <w:left w:val="single" w:sz="4" w:space="0" w:color="000000"/>
              <w:bottom w:val="nil" w:sz="6" w:space="0" w:color="auto"/>
              <w:right w:val="single" w:sz="4" w:space="0" w:color="000000"/>
            </w:tcBorders>
            <w:shd w:val="clear" w:color="auto" w:fill="D2D2D2"/>
          </w:tcPr>
          <w:p>
            <w:pPr/>
          </w:p>
        </w:tc>
        <w:tc>
          <w:tcPr>
            <w:tcW w:w="2976" w:type="dxa"/>
            <w:gridSpan w:val="3"/>
            <w:vMerge/>
            <w:tcBorders>
              <w:left w:val="single" w:sz="4" w:space="0" w:color="000000"/>
              <w:right w:val="single" w:sz="4" w:space="0" w:color="000000"/>
            </w:tcBorders>
            <w:shd w:val="clear" w:color="auto" w:fill="D2D2D2"/>
          </w:tcPr>
          <w:p>
            <w:pPr/>
          </w:p>
        </w:tc>
        <w:tc>
          <w:tcPr>
            <w:tcW w:w="156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355" w:right="0"/>
              <w:jc w:val="left"/>
              <w:rPr>
                <w:rFonts w:ascii="宋体" w:hAnsi="宋体" w:cs="宋体" w:eastAsia="宋体" w:hint="default"/>
                <w:sz w:val="21"/>
                <w:szCs w:val="21"/>
              </w:rPr>
            </w:pPr>
            <w:r>
              <w:rPr>
                <w:rFonts w:ascii="宋体" w:hAnsi="宋体" w:cs="宋体" w:eastAsia="宋体" w:hint="default"/>
                <w:sz w:val="21"/>
                <w:szCs w:val="21"/>
              </w:rPr>
              <w:t>股份种类</w:t>
            </w:r>
          </w:p>
        </w:tc>
        <w:tc>
          <w:tcPr>
            <w:tcW w:w="163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2" w:right="0"/>
              <w:jc w:val="center"/>
              <w:rPr>
                <w:rFonts w:ascii="宋体" w:hAnsi="宋体" w:cs="宋体" w:eastAsia="宋体" w:hint="default"/>
                <w:sz w:val="21"/>
                <w:szCs w:val="21"/>
              </w:rPr>
            </w:pPr>
            <w:r>
              <w:rPr>
                <w:rFonts w:ascii="宋体" w:hAnsi="宋体" w:cs="宋体" w:eastAsia="宋体" w:hint="default"/>
                <w:sz w:val="21"/>
                <w:szCs w:val="21"/>
              </w:rPr>
              <w:t>数量</w:t>
            </w:r>
          </w:p>
        </w:tc>
      </w:tr>
      <w:tr>
        <w:trPr>
          <w:trHeight w:val="192" w:hRule="exact"/>
        </w:trPr>
        <w:tc>
          <w:tcPr>
            <w:tcW w:w="3404"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2976" w:type="dxa"/>
            <w:gridSpan w:val="3"/>
            <w:vMerge/>
            <w:tcBorders>
              <w:left w:val="single" w:sz="4" w:space="0" w:color="000000"/>
              <w:bottom w:val="single" w:sz="4" w:space="0" w:color="000000"/>
              <w:right w:val="single" w:sz="4" w:space="0" w:color="000000"/>
            </w:tcBorders>
            <w:shd w:val="clear" w:color="auto" w:fill="D2D2D2"/>
          </w:tcPr>
          <w:p>
            <w:pPr/>
          </w:p>
        </w:tc>
        <w:tc>
          <w:tcPr>
            <w:tcW w:w="1561" w:type="dxa"/>
            <w:gridSpan w:val="2"/>
            <w:vMerge/>
            <w:tcBorders>
              <w:left w:val="single" w:sz="4" w:space="0" w:color="000000"/>
              <w:bottom w:val="single" w:sz="4" w:space="0" w:color="000000"/>
              <w:right w:val="single" w:sz="4" w:space="0" w:color="000000"/>
            </w:tcBorders>
            <w:shd w:val="clear" w:color="auto" w:fill="D2D2D2"/>
          </w:tcPr>
          <w:p>
            <w:pPr/>
          </w:p>
        </w:tc>
        <w:tc>
          <w:tcPr>
            <w:tcW w:w="1630" w:type="dxa"/>
            <w:gridSpan w:val="3"/>
            <w:vMerge/>
            <w:tcBorders>
              <w:left w:val="single" w:sz="4" w:space="0" w:color="000000"/>
              <w:bottom w:val="single" w:sz="4" w:space="0" w:color="000000"/>
              <w:right w:val="single" w:sz="4" w:space="0" w:color="000000"/>
            </w:tcBorders>
            <w:shd w:val="clear" w:color="auto" w:fill="D2D2D2"/>
          </w:tcPr>
          <w:p>
            <w:pPr/>
          </w:p>
        </w:tc>
      </w:tr>
      <w:tr>
        <w:trPr>
          <w:trHeight w:val="415" w:hRule="exact"/>
        </w:trPr>
        <w:tc>
          <w:tcPr>
            <w:tcW w:w="34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4" w:right="0"/>
              <w:jc w:val="left"/>
              <w:rPr>
                <w:rFonts w:ascii="宋体" w:hAnsi="宋体" w:cs="宋体" w:eastAsia="宋体" w:hint="default"/>
                <w:sz w:val="21"/>
                <w:szCs w:val="21"/>
              </w:rPr>
            </w:pPr>
            <w:r>
              <w:rPr>
                <w:rFonts w:ascii="宋体" w:hAnsi="宋体" w:cs="宋体" w:eastAsia="宋体" w:hint="default"/>
                <w:sz w:val="21"/>
                <w:szCs w:val="21"/>
              </w:rPr>
              <w:t>张盛根</w:t>
            </w:r>
          </w:p>
        </w:tc>
        <w:tc>
          <w:tcPr>
            <w:tcW w:w="2976" w:type="dxa"/>
            <w:gridSpan w:val="3"/>
            <w:tcBorders>
              <w:top w:val="single" w:sz="10" w:space="0" w:color="D2D2D2"/>
              <w:left w:val="single" w:sz="4" w:space="0" w:color="000000"/>
              <w:bottom w:val="single" w:sz="4" w:space="0" w:color="000000"/>
              <w:right w:val="single" w:sz="4" w:space="0" w:color="000000"/>
            </w:tcBorders>
          </w:tcPr>
          <w:p>
            <w:pPr>
              <w:pStyle w:val="TableParagraph"/>
              <w:spacing w:line="240" w:lineRule="auto" w:before="82"/>
              <w:ind w:right="17"/>
              <w:jc w:val="right"/>
              <w:rPr>
                <w:rFonts w:ascii="Times New Roman" w:hAnsi="Times New Roman" w:cs="Times New Roman" w:eastAsia="Times New Roman" w:hint="default"/>
                <w:sz w:val="21"/>
                <w:szCs w:val="21"/>
              </w:rPr>
            </w:pPr>
            <w:r>
              <w:rPr>
                <w:rFonts w:ascii="Times New Roman"/>
                <w:spacing w:val="-1"/>
                <w:sz w:val="21"/>
              </w:rPr>
              <w:t>9,949,998</w:t>
            </w:r>
          </w:p>
        </w:tc>
        <w:tc>
          <w:tcPr>
            <w:tcW w:w="15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4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63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758" w:right="0"/>
              <w:jc w:val="left"/>
              <w:rPr>
                <w:rFonts w:ascii="Times New Roman" w:hAnsi="Times New Roman" w:cs="Times New Roman" w:eastAsia="Times New Roman" w:hint="default"/>
                <w:sz w:val="21"/>
                <w:szCs w:val="21"/>
              </w:rPr>
            </w:pPr>
            <w:r>
              <w:rPr>
                <w:rFonts w:ascii="Times New Roman"/>
                <w:sz w:val="21"/>
              </w:rPr>
              <w:t>9,949,998</w:t>
            </w:r>
          </w:p>
        </w:tc>
      </w:tr>
      <w:tr>
        <w:trPr>
          <w:trHeight w:val="401" w:hRule="exact"/>
        </w:trPr>
        <w:tc>
          <w:tcPr>
            <w:tcW w:w="34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谭少伦</w:t>
            </w:r>
          </w:p>
        </w:tc>
        <w:tc>
          <w:tcPr>
            <w:tcW w:w="29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9,813,951</w:t>
            </w:r>
          </w:p>
        </w:tc>
        <w:tc>
          <w:tcPr>
            <w:tcW w:w="15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4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63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758" w:right="0"/>
              <w:jc w:val="left"/>
              <w:rPr>
                <w:rFonts w:ascii="Times New Roman" w:hAnsi="Times New Roman" w:cs="Times New Roman" w:eastAsia="Times New Roman" w:hint="default"/>
                <w:sz w:val="21"/>
                <w:szCs w:val="21"/>
              </w:rPr>
            </w:pPr>
            <w:r>
              <w:rPr>
                <w:rFonts w:ascii="Times New Roman"/>
                <w:sz w:val="21"/>
              </w:rPr>
              <w:t>9,813,951</w:t>
            </w:r>
          </w:p>
        </w:tc>
      </w:tr>
      <w:tr>
        <w:trPr>
          <w:trHeight w:val="403" w:hRule="exact"/>
        </w:trPr>
        <w:tc>
          <w:tcPr>
            <w:tcW w:w="34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罗桥胜</w:t>
            </w:r>
          </w:p>
        </w:tc>
        <w:tc>
          <w:tcPr>
            <w:tcW w:w="29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9,800,000</w:t>
            </w:r>
          </w:p>
        </w:tc>
        <w:tc>
          <w:tcPr>
            <w:tcW w:w="15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4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63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758" w:right="0"/>
              <w:jc w:val="left"/>
              <w:rPr>
                <w:rFonts w:ascii="Times New Roman" w:hAnsi="Times New Roman" w:cs="Times New Roman" w:eastAsia="Times New Roman" w:hint="default"/>
                <w:sz w:val="21"/>
                <w:szCs w:val="21"/>
              </w:rPr>
            </w:pPr>
            <w:r>
              <w:rPr>
                <w:rFonts w:ascii="Times New Roman"/>
                <w:sz w:val="21"/>
              </w:rPr>
              <w:t>9,800,000</w:t>
            </w:r>
          </w:p>
        </w:tc>
      </w:tr>
      <w:tr>
        <w:trPr>
          <w:trHeight w:val="713" w:hRule="exact"/>
        </w:trPr>
        <w:tc>
          <w:tcPr>
            <w:tcW w:w="34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56" w:lineRule="auto" w:before="28"/>
              <w:ind w:left="24" w:right="17"/>
              <w:jc w:val="left"/>
              <w:rPr>
                <w:rFonts w:ascii="宋体" w:hAnsi="宋体" w:cs="宋体" w:eastAsia="宋体" w:hint="default"/>
                <w:sz w:val="21"/>
                <w:szCs w:val="21"/>
              </w:rPr>
            </w:pPr>
            <w:r>
              <w:rPr>
                <w:rFonts w:ascii="宋体" w:hAnsi="宋体" w:cs="宋体" w:eastAsia="宋体" w:hint="default"/>
                <w:sz w:val="21"/>
                <w:szCs w:val="21"/>
              </w:rPr>
              <w:t>西藏信托有限公司－天泽</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号证券投</w:t>
            </w:r>
            <w:r>
              <w:rPr>
                <w:rFonts w:ascii="宋体" w:hAnsi="宋体" w:cs="宋体" w:eastAsia="宋体" w:hint="default"/>
                <w:w w:val="100"/>
                <w:sz w:val="21"/>
                <w:szCs w:val="21"/>
              </w:rPr>
              <w:t> </w:t>
            </w:r>
            <w:r>
              <w:rPr>
                <w:rFonts w:ascii="宋体" w:hAnsi="宋体" w:cs="宋体" w:eastAsia="宋体" w:hint="default"/>
                <w:sz w:val="21"/>
                <w:szCs w:val="21"/>
              </w:rPr>
              <w:t>资集合资金信托计划</w:t>
            </w:r>
          </w:p>
        </w:tc>
        <w:tc>
          <w:tcPr>
            <w:tcW w:w="29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9,620,007</w:t>
            </w:r>
          </w:p>
        </w:tc>
        <w:tc>
          <w:tcPr>
            <w:tcW w:w="15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14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63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758" w:right="0"/>
              <w:jc w:val="left"/>
              <w:rPr>
                <w:rFonts w:ascii="Times New Roman" w:hAnsi="Times New Roman" w:cs="Times New Roman" w:eastAsia="Times New Roman" w:hint="default"/>
                <w:sz w:val="21"/>
                <w:szCs w:val="21"/>
              </w:rPr>
            </w:pPr>
            <w:r>
              <w:rPr>
                <w:rFonts w:ascii="Times New Roman"/>
                <w:sz w:val="21"/>
              </w:rPr>
              <w:t>9,620,007</w:t>
            </w:r>
          </w:p>
        </w:tc>
      </w:tr>
      <w:tr>
        <w:trPr>
          <w:trHeight w:val="403" w:hRule="exact"/>
        </w:trPr>
        <w:tc>
          <w:tcPr>
            <w:tcW w:w="34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萧志刚</w:t>
            </w:r>
          </w:p>
        </w:tc>
        <w:tc>
          <w:tcPr>
            <w:tcW w:w="29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9,600,000</w:t>
            </w:r>
          </w:p>
        </w:tc>
        <w:tc>
          <w:tcPr>
            <w:tcW w:w="15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4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63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758" w:right="0"/>
              <w:jc w:val="left"/>
              <w:rPr>
                <w:rFonts w:ascii="Times New Roman" w:hAnsi="Times New Roman" w:cs="Times New Roman" w:eastAsia="Times New Roman" w:hint="default"/>
                <w:sz w:val="21"/>
                <w:szCs w:val="21"/>
              </w:rPr>
            </w:pPr>
            <w:r>
              <w:rPr>
                <w:rFonts w:ascii="Times New Roman"/>
                <w:sz w:val="21"/>
              </w:rPr>
              <w:t>9,600,000</w:t>
            </w:r>
          </w:p>
        </w:tc>
      </w:tr>
      <w:tr>
        <w:trPr>
          <w:trHeight w:val="401" w:hRule="exact"/>
        </w:trPr>
        <w:tc>
          <w:tcPr>
            <w:tcW w:w="34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廖起雄</w:t>
            </w:r>
          </w:p>
        </w:tc>
        <w:tc>
          <w:tcPr>
            <w:tcW w:w="29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9,000,000</w:t>
            </w:r>
          </w:p>
        </w:tc>
        <w:tc>
          <w:tcPr>
            <w:tcW w:w="15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4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63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758" w:right="0"/>
              <w:jc w:val="left"/>
              <w:rPr>
                <w:rFonts w:ascii="Times New Roman" w:hAnsi="Times New Roman" w:cs="Times New Roman" w:eastAsia="Times New Roman" w:hint="default"/>
                <w:sz w:val="21"/>
                <w:szCs w:val="21"/>
              </w:rPr>
            </w:pPr>
            <w:r>
              <w:rPr>
                <w:rFonts w:ascii="Times New Roman"/>
                <w:sz w:val="21"/>
              </w:rPr>
              <w:t>9,000,000</w:t>
            </w:r>
          </w:p>
        </w:tc>
      </w:tr>
      <w:tr>
        <w:trPr>
          <w:trHeight w:val="716" w:hRule="exact"/>
        </w:trPr>
        <w:tc>
          <w:tcPr>
            <w:tcW w:w="34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71" w:lineRule="auto" w:before="31"/>
              <w:ind w:left="24" w:right="214"/>
              <w:jc w:val="left"/>
              <w:rPr>
                <w:rFonts w:ascii="宋体" w:hAnsi="宋体" w:cs="宋体" w:eastAsia="宋体" w:hint="default"/>
                <w:sz w:val="21"/>
                <w:szCs w:val="21"/>
              </w:rPr>
            </w:pPr>
            <w:r>
              <w:rPr>
                <w:rFonts w:ascii="宋体" w:hAnsi="宋体" w:cs="宋体" w:eastAsia="宋体" w:hint="default"/>
                <w:spacing w:val="-2"/>
                <w:sz w:val="21"/>
                <w:szCs w:val="21"/>
              </w:rPr>
              <w:t>交通银行－华安宝利配置证券投资</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基金</w:t>
            </w:r>
          </w:p>
        </w:tc>
        <w:tc>
          <w:tcPr>
            <w:tcW w:w="29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1,719,068</w:t>
            </w:r>
          </w:p>
        </w:tc>
        <w:tc>
          <w:tcPr>
            <w:tcW w:w="15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4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63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758" w:right="0"/>
              <w:jc w:val="left"/>
              <w:rPr>
                <w:rFonts w:ascii="Times New Roman" w:hAnsi="Times New Roman" w:cs="Times New Roman" w:eastAsia="Times New Roman" w:hint="default"/>
                <w:sz w:val="21"/>
                <w:szCs w:val="21"/>
              </w:rPr>
            </w:pPr>
            <w:r>
              <w:rPr>
                <w:rFonts w:ascii="Times New Roman"/>
                <w:sz w:val="21"/>
              </w:rPr>
              <w:t>1,719,068</w:t>
            </w:r>
          </w:p>
        </w:tc>
      </w:tr>
      <w:tr>
        <w:trPr>
          <w:trHeight w:val="401" w:hRule="exact"/>
        </w:trPr>
        <w:tc>
          <w:tcPr>
            <w:tcW w:w="34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罗绮霞</w:t>
            </w:r>
          </w:p>
        </w:tc>
        <w:tc>
          <w:tcPr>
            <w:tcW w:w="29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1,631,000</w:t>
            </w:r>
          </w:p>
        </w:tc>
        <w:tc>
          <w:tcPr>
            <w:tcW w:w="15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4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63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758" w:right="0"/>
              <w:jc w:val="left"/>
              <w:rPr>
                <w:rFonts w:ascii="Times New Roman" w:hAnsi="Times New Roman" w:cs="Times New Roman" w:eastAsia="Times New Roman" w:hint="default"/>
                <w:sz w:val="21"/>
                <w:szCs w:val="21"/>
              </w:rPr>
            </w:pPr>
            <w:r>
              <w:rPr>
                <w:rFonts w:ascii="Times New Roman"/>
                <w:sz w:val="21"/>
              </w:rPr>
              <w:t>1,631,000</w:t>
            </w:r>
          </w:p>
        </w:tc>
      </w:tr>
      <w:tr>
        <w:trPr>
          <w:trHeight w:val="403" w:hRule="exact"/>
        </w:trPr>
        <w:tc>
          <w:tcPr>
            <w:tcW w:w="34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周建新</w:t>
            </w:r>
          </w:p>
        </w:tc>
        <w:tc>
          <w:tcPr>
            <w:tcW w:w="29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1,512,000</w:t>
            </w:r>
          </w:p>
        </w:tc>
        <w:tc>
          <w:tcPr>
            <w:tcW w:w="15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4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63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758" w:right="0"/>
              <w:jc w:val="left"/>
              <w:rPr>
                <w:rFonts w:ascii="Times New Roman" w:hAnsi="Times New Roman" w:cs="Times New Roman" w:eastAsia="Times New Roman" w:hint="default"/>
                <w:sz w:val="21"/>
                <w:szCs w:val="21"/>
              </w:rPr>
            </w:pPr>
            <w:r>
              <w:rPr>
                <w:rFonts w:ascii="Times New Roman"/>
                <w:sz w:val="21"/>
              </w:rPr>
              <w:t>1,512,000</w:t>
            </w:r>
          </w:p>
        </w:tc>
      </w:tr>
      <w:tr>
        <w:trPr>
          <w:trHeight w:val="401" w:hRule="exact"/>
        </w:trPr>
        <w:tc>
          <w:tcPr>
            <w:tcW w:w="34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梁家炫</w:t>
            </w:r>
          </w:p>
        </w:tc>
        <w:tc>
          <w:tcPr>
            <w:tcW w:w="29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1,303,200</w:t>
            </w:r>
          </w:p>
        </w:tc>
        <w:tc>
          <w:tcPr>
            <w:tcW w:w="15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4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63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758" w:right="0"/>
              <w:jc w:val="left"/>
              <w:rPr>
                <w:rFonts w:ascii="Times New Roman" w:hAnsi="Times New Roman" w:cs="Times New Roman" w:eastAsia="Times New Roman" w:hint="default"/>
                <w:sz w:val="21"/>
                <w:szCs w:val="21"/>
              </w:rPr>
            </w:pPr>
            <w:r>
              <w:rPr>
                <w:rFonts w:ascii="Times New Roman"/>
                <w:sz w:val="21"/>
              </w:rPr>
              <w:t>1,303,200</w:t>
            </w:r>
          </w:p>
        </w:tc>
      </w:tr>
      <w:tr>
        <w:trPr>
          <w:trHeight w:val="1339" w:hRule="exact"/>
        </w:trPr>
        <w:tc>
          <w:tcPr>
            <w:tcW w:w="340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名无限售流通股股东之间，以</w:t>
            </w:r>
          </w:p>
          <w:p>
            <w:pPr>
              <w:pStyle w:val="TableParagraph"/>
              <w:spacing w:line="264" w:lineRule="auto" w:before="19"/>
              <w:ind w:left="24" w:right="59"/>
              <w:jc w:val="left"/>
              <w:rPr>
                <w:rFonts w:ascii="宋体" w:hAnsi="宋体" w:cs="宋体" w:eastAsia="宋体" w:hint="default"/>
                <w:sz w:val="21"/>
                <w:szCs w:val="21"/>
              </w:rPr>
            </w:pPr>
            <w:r>
              <w:rPr>
                <w:rFonts w:ascii="宋体" w:hAnsi="宋体" w:cs="宋体" w:eastAsia="宋体" w:hint="default"/>
                <w:sz w:val="21"/>
                <w:szCs w:val="21"/>
              </w:rPr>
              <w:t>及前</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名无限售流通股股东和前</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名股东之间关联关系或一致行动的</w:t>
            </w:r>
            <w:r>
              <w:rPr>
                <w:rFonts w:ascii="宋体" w:hAnsi="宋体" w:cs="宋体" w:eastAsia="宋体" w:hint="default"/>
                <w:w w:val="100"/>
                <w:sz w:val="21"/>
                <w:szCs w:val="21"/>
              </w:rPr>
              <w:t> </w:t>
            </w:r>
            <w:r>
              <w:rPr>
                <w:rFonts w:ascii="宋体" w:hAnsi="宋体" w:cs="宋体" w:eastAsia="宋体" w:hint="default"/>
                <w:sz w:val="21"/>
                <w:szCs w:val="21"/>
              </w:rPr>
              <w:t>说明</w:t>
            </w:r>
          </w:p>
        </w:tc>
        <w:tc>
          <w:tcPr>
            <w:tcW w:w="6167"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left="23" w:right="0"/>
              <w:jc w:val="left"/>
              <w:rPr>
                <w:rFonts w:ascii="宋体" w:hAnsi="宋体" w:cs="宋体" w:eastAsia="宋体" w:hint="default"/>
                <w:sz w:val="21"/>
                <w:szCs w:val="21"/>
              </w:rPr>
            </w:pPr>
            <w:r>
              <w:rPr>
                <w:rFonts w:ascii="宋体" w:hAnsi="宋体" w:cs="宋体" w:eastAsia="宋体" w:hint="default"/>
                <w:sz w:val="21"/>
                <w:szCs w:val="21"/>
              </w:rPr>
              <w:t>公司未知前</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名无限售流通股股东之间、以及前</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名无限售流通</w:t>
            </w:r>
          </w:p>
          <w:p>
            <w:pPr>
              <w:pStyle w:val="TableParagraph"/>
              <w:spacing w:line="256" w:lineRule="auto" w:before="19"/>
              <w:ind w:left="23" w:right="17"/>
              <w:jc w:val="left"/>
              <w:rPr>
                <w:rFonts w:ascii="宋体" w:hAnsi="宋体" w:cs="宋体" w:eastAsia="宋体" w:hint="default"/>
                <w:sz w:val="21"/>
                <w:szCs w:val="21"/>
              </w:rPr>
            </w:pPr>
            <w:r>
              <w:rPr>
                <w:rFonts w:ascii="宋体" w:hAnsi="宋体" w:cs="宋体" w:eastAsia="宋体" w:hint="default"/>
                <w:spacing w:val="-2"/>
                <w:w w:val="100"/>
                <w:sz w:val="21"/>
                <w:szCs w:val="21"/>
              </w:rPr>
              <w:t>股股东和前</w:t>
            </w:r>
            <w:r>
              <w:rPr>
                <w:rFonts w:ascii="宋体" w:hAnsi="宋体" w:cs="宋体" w:eastAsia="宋体" w:hint="default"/>
                <w:spacing w:val="-44"/>
                <w:w w:val="100"/>
                <w:sz w:val="21"/>
                <w:szCs w:val="21"/>
              </w:rPr>
              <w:t> </w:t>
            </w:r>
            <w:r>
              <w:rPr>
                <w:rFonts w:ascii="Times New Roman" w:hAnsi="Times New Roman" w:cs="Times New Roman" w:eastAsia="Times New Roman" w:hint="default"/>
                <w:w w:val="100"/>
                <w:sz w:val="21"/>
                <w:szCs w:val="21"/>
              </w:rPr>
              <w:t>10</w:t>
            </w:r>
            <w:r>
              <w:rPr>
                <w:rFonts w:ascii="Times New Roman" w:hAnsi="Times New Roman" w:cs="Times New Roman" w:eastAsia="Times New Roman" w:hint="default"/>
                <w:spacing w:val="6"/>
                <w:w w:val="100"/>
                <w:sz w:val="21"/>
                <w:szCs w:val="21"/>
              </w:rPr>
              <w:t> </w:t>
            </w:r>
            <w:r>
              <w:rPr>
                <w:rFonts w:ascii="宋体" w:hAnsi="宋体" w:cs="宋体" w:eastAsia="宋体" w:hint="default"/>
                <w:spacing w:val="-6"/>
                <w:w w:val="100"/>
                <w:sz w:val="21"/>
                <w:szCs w:val="21"/>
              </w:rPr>
              <w:t>名股东之间是否存在关联关系，也未知上述股东是否</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属于《上市公司收购管理办法》中规定的一致行动人。</w:t>
            </w:r>
          </w:p>
        </w:tc>
      </w:tr>
    </w:tbl>
    <w:p>
      <w:pPr>
        <w:spacing w:after="0" w:line="256" w:lineRule="auto"/>
        <w:jc w:val="left"/>
        <w:rPr>
          <w:rFonts w:ascii="宋体" w:hAnsi="宋体" w:cs="宋体" w:eastAsia="宋体" w:hint="default"/>
          <w:sz w:val="21"/>
          <w:szCs w:val="21"/>
        </w:rPr>
        <w:sectPr>
          <w:pgSz w:w="11910" w:h="16840"/>
          <w:pgMar w:header="877" w:footer="979" w:top="1100" w:bottom="1160" w:left="980" w:right="980"/>
        </w:sectPr>
      </w:pPr>
    </w:p>
    <w:p>
      <w:pPr>
        <w:spacing w:line="240" w:lineRule="auto" w:before="2"/>
        <w:rPr>
          <w:rFonts w:ascii="Times New Roman" w:hAnsi="Times New Roman" w:cs="Times New Roman" w:eastAsia="Times New Roman" w:hint="default"/>
          <w:sz w:val="3"/>
          <w:szCs w:val="3"/>
        </w:rPr>
      </w:pPr>
    </w:p>
    <w:tbl>
      <w:tblPr>
        <w:tblW w:w="0" w:type="auto"/>
        <w:jc w:val="left"/>
        <w:tblInd w:w="109" w:type="dxa"/>
        <w:tblLayout w:type="fixed"/>
        <w:tblCellMar>
          <w:top w:w="0" w:type="dxa"/>
          <w:left w:w="0" w:type="dxa"/>
          <w:bottom w:w="0" w:type="dxa"/>
          <w:right w:w="0" w:type="dxa"/>
        </w:tblCellMar>
        <w:tblLook w:val="01E0"/>
      </w:tblPr>
      <w:tblGrid>
        <w:gridCol w:w="3403"/>
        <w:gridCol w:w="6167"/>
      </w:tblGrid>
      <w:tr>
        <w:trPr>
          <w:trHeight w:val="334" w:hRule="exact"/>
        </w:trPr>
        <w:tc>
          <w:tcPr>
            <w:tcW w:w="3403" w:type="dxa"/>
            <w:tcBorders>
              <w:top w:val="single" w:sz="6" w:space="0" w:color="000000"/>
              <w:left w:val="nil" w:sz="6" w:space="0" w:color="auto"/>
              <w:bottom w:val="single" w:sz="4" w:space="0" w:color="000000"/>
              <w:right w:val="nil" w:sz="6" w:space="0" w:color="auto"/>
            </w:tcBorders>
          </w:tcPr>
          <w:p>
            <w:pPr/>
          </w:p>
        </w:tc>
        <w:tc>
          <w:tcPr>
            <w:tcW w:w="6167" w:type="dxa"/>
            <w:tcBorders>
              <w:top w:val="single" w:sz="6" w:space="0" w:color="000000"/>
              <w:left w:val="nil" w:sz="6" w:space="0" w:color="auto"/>
              <w:bottom w:val="single" w:sz="4" w:space="0" w:color="000000"/>
              <w:right w:val="nil" w:sz="6" w:space="0" w:color="auto"/>
            </w:tcBorders>
          </w:tcPr>
          <w:p>
            <w:pPr/>
          </w:p>
        </w:tc>
      </w:tr>
      <w:tr>
        <w:trPr>
          <w:trHeight w:val="716" w:hRule="exact"/>
        </w:trPr>
        <w:tc>
          <w:tcPr>
            <w:tcW w:w="3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22" w:right="11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名普通股股东参与融资融券业</w:t>
            </w:r>
            <w:r>
              <w:rPr>
                <w:rFonts w:ascii="宋体" w:hAnsi="宋体" w:cs="宋体" w:eastAsia="宋体" w:hint="default"/>
                <w:w w:val="100"/>
                <w:sz w:val="21"/>
                <w:szCs w:val="21"/>
              </w:rPr>
              <w:t> </w:t>
            </w:r>
            <w:r>
              <w:rPr>
                <w:rFonts w:ascii="宋体" w:hAnsi="宋体" w:cs="宋体" w:eastAsia="宋体" w:hint="default"/>
                <w:sz w:val="21"/>
                <w:szCs w:val="21"/>
              </w:rPr>
              <w:t>务情况说明（如有）</w:t>
            </w:r>
          </w:p>
        </w:tc>
        <w:tc>
          <w:tcPr>
            <w:tcW w:w="6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pStyle w:val="BodyText"/>
        <w:tabs>
          <w:tab w:pos="8725" w:val="left" w:leader="none"/>
        </w:tabs>
        <w:spacing w:line="290" w:lineRule="auto" w:before="28"/>
        <w:ind w:left="112" w:right="159"/>
        <w:jc w:val="left"/>
      </w:pPr>
      <w:r>
        <w:rPr/>
        <w:t>公司前</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名普通股股东、前</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名无限售条件普通股股东在报告期内是否进行约定购回交易</w:t>
        <w:tab/>
      </w: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r>
        <w:rPr>
          <w:w w:val="100"/>
        </w:rPr>
        <w:t> </w:t>
      </w:r>
      <w:r>
        <w:rPr/>
        <w:t>公司前</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名普通股股东、前</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名无限售条件普通股股东在报告期内未进行约定购回交易。</w:t>
      </w:r>
    </w:p>
    <w:p>
      <w:pPr>
        <w:spacing w:line="240" w:lineRule="auto" w:before="11"/>
        <w:rPr>
          <w:rFonts w:ascii="宋体" w:hAnsi="宋体" w:cs="宋体" w:eastAsia="宋体" w:hint="default"/>
          <w:sz w:val="20"/>
          <w:szCs w:val="20"/>
        </w:rPr>
      </w:pPr>
    </w:p>
    <w:p>
      <w:pPr>
        <w:pStyle w:val="Heading4"/>
        <w:spacing w:line="240" w:lineRule="auto"/>
        <w:ind w:left="112" w:right="159"/>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10"/>
        <w:rPr>
          <w:rFonts w:ascii="宋体" w:hAnsi="宋体" w:cs="宋体" w:eastAsia="宋体" w:hint="default"/>
          <w:b/>
          <w:bCs/>
          <w:sz w:val="24"/>
          <w:szCs w:val="24"/>
        </w:rPr>
      </w:pPr>
    </w:p>
    <w:p>
      <w:pPr>
        <w:pStyle w:val="BodyText"/>
        <w:spacing w:line="307" w:lineRule="auto"/>
        <w:ind w:left="112" w:right="5388"/>
        <w:jc w:val="left"/>
      </w:pPr>
      <w:r>
        <w:rPr>
          <w:spacing w:val="-2"/>
        </w:rPr>
        <w:t>控股股东性质：自然人控股</w:t>
      </w:r>
      <w:r>
        <w:rPr>
          <w:spacing w:val="-82"/>
        </w:rPr>
        <w:t> </w:t>
      </w:r>
      <w:r>
        <w:rPr>
          <w:spacing w:val="-82"/>
        </w:rPr>
      </w:r>
      <w:r>
        <w:rPr/>
        <w:t>控股股东类型：法人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BodyText"/>
        <w:spacing w:line="240" w:lineRule="auto" w:before="36"/>
        <w:ind w:left="0" w:right="103"/>
        <w:jc w:val="right"/>
      </w:pPr>
      <w:r>
        <w:rPr/>
        <w:pict>
          <v:shape style="position:absolute;margin-left:56.400002pt;margin-top:-35.886345pt;width:479.4pt;height:107.7pt;mso-position-horizontal-relative:page;mso-position-vertical-relative:paragraph;z-index:15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97"/>
                    <w:gridCol w:w="1832"/>
                    <w:gridCol w:w="2268"/>
                    <w:gridCol w:w="1417"/>
                    <w:gridCol w:w="2059"/>
                  </w:tblGrid>
                  <w:tr>
                    <w:trPr>
                      <w:trHeight w:val="713"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65" w:right="0"/>
                          <w:jc w:val="left"/>
                          <w:rPr>
                            <w:rFonts w:ascii="宋体" w:hAnsi="宋体" w:cs="宋体" w:eastAsia="宋体" w:hint="default"/>
                            <w:sz w:val="21"/>
                            <w:szCs w:val="21"/>
                          </w:rPr>
                        </w:pPr>
                        <w:r>
                          <w:rPr>
                            <w:rFonts w:ascii="宋体" w:hAnsi="宋体" w:cs="宋体" w:eastAsia="宋体" w:hint="default"/>
                            <w:sz w:val="21"/>
                            <w:szCs w:val="21"/>
                          </w:rPr>
                          <w:t>控股股东名称</w:t>
                        </w:r>
                      </w:p>
                    </w:tc>
                    <w:tc>
                      <w:tcPr>
                        <w:tcW w:w="18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701" w:right="36" w:hanging="659"/>
                          <w:jc w:val="left"/>
                          <w:rPr>
                            <w:rFonts w:ascii="宋体" w:hAnsi="宋体" w:cs="宋体" w:eastAsia="宋体" w:hint="default"/>
                            <w:sz w:val="21"/>
                            <w:szCs w:val="21"/>
                          </w:rPr>
                        </w:pPr>
                        <w:r>
                          <w:rPr>
                            <w:rFonts w:ascii="宋体" w:hAnsi="宋体" w:cs="宋体" w:eastAsia="宋体" w:hint="default"/>
                            <w:sz w:val="21"/>
                            <w:szCs w:val="21"/>
                          </w:rPr>
                          <w:t>法定代表人</w:t>
                        </w:r>
                        <w:r>
                          <w:rPr>
                            <w:rFonts w:ascii="Times New Roman" w:hAnsi="Times New Roman" w:cs="Times New Roman" w:eastAsia="Times New Roman" w:hint="default"/>
                            <w:sz w:val="21"/>
                            <w:szCs w:val="21"/>
                          </w:rPr>
                          <w:t>/</w:t>
                        </w:r>
                        <w:r>
                          <w:rPr>
                            <w:rFonts w:ascii="宋体" w:hAnsi="宋体" w:cs="宋体" w:eastAsia="宋体" w:hint="default"/>
                            <w:sz w:val="21"/>
                            <w:szCs w:val="21"/>
                          </w:rPr>
                          <w:t>单位负</w:t>
                        </w:r>
                        <w:r>
                          <w:rPr>
                            <w:rFonts w:ascii="宋体" w:hAnsi="宋体" w:cs="宋体" w:eastAsia="宋体" w:hint="default"/>
                            <w:w w:val="100"/>
                            <w:sz w:val="21"/>
                            <w:szCs w:val="21"/>
                          </w:rPr>
                          <w:t> </w:t>
                        </w:r>
                        <w:r>
                          <w:rPr>
                            <w:rFonts w:ascii="宋体" w:hAnsi="宋体" w:cs="宋体" w:eastAsia="宋体" w:hint="default"/>
                            <w:sz w:val="21"/>
                            <w:szCs w:val="21"/>
                          </w:rPr>
                          <w:t>责人</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710"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组织机构代码</w:t>
                        </w:r>
                      </w:p>
                    </w:tc>
                    <w:tc>
                      <w:tcPr>
                        <w:tcW w:w="2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96" w:right="0"/>
                          <w:jc w:val="left"/>
                          <w:rPr>
                            <w:rFonts w:ascii="宋体" w:hAnsi="宋体" w:cs="宋体" w:eastAsia="宋体" w:hint="default"/>
                            <w:sz w:val="21"/>
                            <w:szCs w:val="21"/>
                          </w:rPr>
                        </w:pPr>
                        <w:r>
                          <w:rPr>
                            <w:rFonts w:ascii="宋体" w:hAnsi="宋体" w:cs="宋体" w:eastAsia="宋体" w:hint="default"/>
                            <w:sz w:val="21"/>
                            <w:szCs w:val="21"/>
                          </w:rPr>
                          <w:t>主要经营业务</w:t>
                        </w:r>
                      </w:p>
                    </w:tc>
                  </w:tr>
                  <w:tr>
                    <w:trPr>
                      <w:trHeight w:val="715"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4" w:right="67"/>
                          <w:jc w:val="left"/>
                          <w:rPr>
                            <w:rFonts w:ascii="宋体" w:hAnsi="宋体" w:cs="宋体" w:eastAsia="宋体" w:hint="default"/>
                            <w:sz w:val="21"/>
                            <w:szCs w:val="21"/>
                          </w:rPr>
                        </w:pPr>
                        <w:r>
                          <w:rPr>
                            <w:rFonts w:ascii="宋体" w:hAnsi="宋体" w:cs="宋体" w:eastAsia="宋体" w:hint="default"/>
                            <w:sz w:val="21"/>
                            <w:szCs w:val="21"/>
                          </w:rPr>
                          <w:t>北京凤凰财智创新投</w:t>
                        </w:r>
                        <w:r>
                          <w:rPr>
                            <w:rFonts w:ascii="宋体" w:hAnsi="宋体" w:cs="宋体" w:eastAsia="宋体" w:hint="default"/>
                            <w:w w:val="100"/>
                            <w:sz w:val="21"/>
                            <w:szCs w:val="21"/>
                          </w:rPr>
                          <w:t> </w:t>
                        </w:r>
                        <w:r>
                          <w:rPr>
                            <w:rFonts w:ascii="宋体" w:hAnsi="宋体" w:cs="宋体" w:eastAsia="宋体" w:hint="default"/>
                            <w:sz w:val="21"/>
                            <w:szCs w:val="21"/>
                          </w:rPr>
                          <w:t>资中心（有限合伙）</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杜力</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318113654</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6" w:right="127"/>
                          <w:jc w:val="left"/>
                          <w:rPr>
                            <w:rFonts w:ascii="宋体" w:hAnsi="宋体" w:cs="宋体" w:eastAsia="宋体" w:hint="default"/>
                            <w:sz w:val="21"/>
                            <w:szCs w:val="21"/>
                          </w:rPr>
                        </w:pPr>
                        <w:r>
                          <w:rPr>
                            <w:rFonts w:ascii="宋体" w:hAnsi="宋体" w:cs="宋体" w:eastAsia="宋体" w:hint="default"/>
                            <w:sz w:val="21"/>
                            <w:szCs w:val="21"/>
                          </w:rPr>
                          <w:t>项目投资，投资管理</w:t>
                        </w:r>
                        <w:r>
                          <w:rPr>
                            <w:rFonts w:ascii="宋体" w:hAnsi="宋体" w:cs="宋体" w:eastAsia="宋体" w:hint="default"/>
                            <w:w w:val="100"/>
                            <w:sz w:val="21"/>
                            <w:szCs w:val="21"/>
                          </w:rPr>
                          <w:t> </w:t>
                        </w:r>
                        <w:r>
                          <w:rPr>
                            <w:rFonts w:ascii="宋体" w:hAnsi="宋体" w:cs="宋体" w:eastAsia="宋体" w:hint="default"/>
                            <w:sz w:val="21"/>
                            <w:szCs w:val="21"/>
                          </w:rPr>
                          <w:t>投资咨询，资产管理</w:t>
                        </w:r>
                      </w:p>
                    </w:tc>
                  </w:tr>
                  <w:tr>
                    <w:trPr>
                      <w:trHeight w:val="715" w:hRule="exact"/>
                    </w:trPr>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4" w:right="219"/>
                          <w:jc w:val="left"/>
                          <w:rPr>
                            <w:rFonts w:ascii="宋体" w:hAnsi="宋体" w:cs="宋体" w:eastAsia="宋体" w:hint="default"/>
                            <w:sz w:val="21"/>
                            <w:szCs w:val="21"/>
                          </w:rPr>
                        </w:pPr>
                        <w:r>
                          <w:rPr>
                            <w:rFonts w:ascii="宋体" w:hAnsi="宋体" w:cs="宋体" w:eastAsia="宋体" w:hint="default"/>
                            <w:spacing w:val="-2"/>
                            <w:sz w:val="21"/>
                            <w:szCs w:val="21"/>
                          </w:rPr>
                          <w:t>控股股东报告期内控股和参股的其他境</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内外上市公司的股权情况</w:t>
                        </w:r>
                      </w:p>
                    </w:tc>
                    <w:tc>
                      <w:tcPr>
                        <w:tcW w:w="574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p>
              </w:txbxContent>
            </v:textbox>
            <w10:wrap type="none"/>
          </v:shape>
        </w:pict>
      </w:r>
      <w:r>
        <w:rPr>
          <w:w w:val="100"/>
        </w:rPr>
        <w:t>，</w:t>
      </w:r>
    </w:p>
    <w:p>
      <w:pPr>
        <w:pStyle w:val="BodyText"/>
        <w:spacing w:line="240" w:lineRule="auto" w:before="34"/>
        <w:ind w:left="0" w:right="103"/>
        <w:jc w:val="right"/>
      </w:pPr>
      <w:r>
        <w:rPr>
          <w:w w:val="100"/>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p>
      <w:pPr>
        <w:pStyle w:val="BodyText"/>
        <w:tabs>
          <w:tab w:pos="8094" w:val="left" w:leader="none"/>
        </w:tabs>
        <w:spacing w:line="240" w:lineRule="auto" w:before="36"/>
        <w:ind w:left="112" w:right="0"/>
        <w:jc w:val="left"/>
      </w:pPr>
      <w:r>
        <w:rPr>
          <w:spacing w:val="-2"/>
        </w:rPr>
        <w:t>控股股东报告期内变更</w:t>
        <w:tab/>
      </w:r>
      <w:r>
        <w:rPr>
          <w:rFonts w:ascii="Times New Roman" w:hAnsi="Times New Roman" w:cs="Times New Roman" w:eastAsia="Times New Roman" w:hint="default"/>
        </w:rPr>
        <w:t>√  </w:t>
      </w:r>
      <w:r>
        <w:rPr>
          <w:spacing w:val="-2"/>
        </w:rPr>
        <w:t>适用</w:t>
      </w:r>
      <w:r>
        <w:rPr/>
        <w:t> </w:t>
      </w:r>
      <w:r>
        <w:rPr>
          <w:rFonts w:ascii="Times New Roman" w:hAnsi="Times New Roman" w:cs="Times New Roman" w:eastAsia="Times New Roman" w:hint="default"/>
        </w:rPr>
        <w:t>□ </w:t>
      </w:r>
      <w:r>
        <w:rPr>
          <w:rFonts w:ascii="Times New Roman" w:hAnsi="Times New Roman" w:cs="Times New Roman" w:eastAsia="Times New Roman" w:hint="default"/>
          <w:spacing w:val="4"/>
        </w:rPr>
        <w:t> </w:t>
      </w:r>
      <w:r>
        <w:rPr>
          <w:spacing w:val="-1"/>
        </w:rPr>
        <w:t>不适用</w:t>
      </w:r>
    </w:p>
    <w:p>
      <w:pPr>
        <w:spacing w:line="240" w:lineRule="auto" w:before="7"/>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3828"/>
        <w:gridCol w:w="5742"/>
      </w:tblGrid>
      <w:tr>
        <w:trPr>
          <w:trHeight w:val="402" w:hRule="exact"/>
        </w:trPr>
        <w:tc>
          <w:tcPr>
            <w:tcW w:w="3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新控股股东名称</w:t>
            </w:r>
          </w:p>
        </w:tc>
        <w:tc>
          <w:tcPr>
            <w:tcW w:w="5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北京凤凰财智创新投资中心（有限合伙）</w:t>
            </w:r>
          </w:p>
        </w:tc>
      </w:tr>
      <w:tr>
        <w:trPr>
          <w:trHeight w:val="402" w:hRule="exact"/>
        </w:trPr>
        <w:tc>
          <w:tcPr>
            <w:tcW w:w="3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2" w:right="0"/>
              <w:jc w:val="left"/>
              <w:rPr>
                <w:rFonts w:ascii="宋体" w:hAnsi="宋体" w:cs="宋体" w:eastAsia="宋体" w:hint="default"/>
                <w:sz w:val="21"/>
                <w:szCs w:val="21"/>
              </w:rPr>
            </w:pPr>
            <w:r>
              <w:rPr>
                <w:rFonts w:ascii="宋体" w:hAnsi="宋体" w:cs="宋体" w:eastAsia="宋体" w:hint="default"/>
                <w:sz w:val="21"/>
                <w:szCs w:val="21"/>
              </w:rPr>
              <w:t>变更日期</w:t>
            </w:r>
          </w:p>
        </w:tc>
        <w:tc>
          <w:tcPr>
            <w:tcW w:w="5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1338" w:hRule="exact"/>
        </w:trPr>
        <w:tc>
          <w:tcPr>
            <w:tcW w:w="3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指定网站查询索引</w:t>
            </w:r>
          </w:p>
        </w:tc>
        <w:tc>
          <w:tcPr>
            <w:tcW w:w="5742"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28"/>
              <w:ind w:left="24" w:right="-36"/>
              <w:jc w:val="both"/>
              <w:rPr>
                <w:rFonts w:ascii="宋体" w:hAnsi="宋体" w:cs="宋体" w:eastAsia="宋体" w:hint="default"/>
                <w:sz w:val="21"/>
                <w:szCs w:val="21"/>
              </w:rPr>
            </w:pPr>
            <w:r>
              <w:rPr>
                <w:rFonts w:ascii="宋体" w:hAnsi="宋体" w:cs="宋体" w:eastAsia="宋体" w:hint="default"/>
                <w:w w:val="100"/>
                <w:sz w:val="21"/>
                <w:szCs w:val="21"/>
              </w:rPr>
              <w:t>披露</w:t>
            </w:r>
            <w:r>
              <w:rPr>
                <w:rFonts w:ascii="宋体" w:hAnsi="宋体" w:cs="宋体" w:eastAsia="宋体" w:hint="default"/>
                <w:spacing w:val="-3"/>
                <w:w w:val="100"/>
                <w:sz w:val="21"/>
                <w:szCs w:val="21"/>
              </w:rPr>
              <w:t>于</w:t>
            </w:r>
            <w:r>
              <w:rPr>
                <w:rFonts w:ascii="宋体" w:hAnsi="宋体" w:cs="宋体" w:eastAsia="宋体" w:hint="default"/>
                <w:w w:val="100"/>
                <w:sz w:val="21"/>
                <w:szCs w:val="21"/>
              </w:rPr>
              <w:t>巨</w:t>
            </w:r>
            <w:r>
              <w:rPr>
                <w:rFonts w:ascii="宋体" w:hAnsi="宋体" w:cs="宋体" w:eastAsia="宋体" w:hint="default"/>
                <w:spacing w:val="-3"/>
                <w:w w:val="100"/>
                <w:sz w:val="21"/>
                <w:szCs w:val="21"/>
              </w:rPr>
              <w:t>潮</w:t>
            </w:r>
            <w:r>
              <w:rPr>
                <w:rFonts w:ascii="宋体" w:hAnsi="宋体" w:cs="宋体" w:eastAsia="宋体" w:hint="default"/>
                <w:w w:val="100"/>
                <w:sz w:val="21"/>
                <w:szCs w:val="21"/>
              </w:rPr>
              <w:t>资</w:t>
            </w:r>
            <w:r>
              <w:rPr>
                <w:rFonts w:ascii="宋体" w:hAnsi="宋体" w:cs="宋体" w:eastAsia="宋体" w:hint="default"/>
                <w:spacing w:val="-3"/>
                <w:w w:val="100"/>
                <w:sz w:val="21"/>
                <w:szCs w:val="21"/>
              </w:rPr>
              <w:t>讯</w:t>
            </w:r>
            <w:r>
              <w:rPr>
                <w:rFonts w:ascii="宋体" w:hAnsi="宋体" w:cs="宋体" w:eastAsia="宋体" w:hint="default"/>
                <w:w w:val="100"/>
                <w:sz w:val="21"/>
                <w:szCs w:val="21"/>
              </w:rPr>
              <w:t>网</w:t>
            </w:r>
            <w:r>
              <w:rPr>
                <w:rFonts w:ascii="宋体" w:hAnsi="宋体" w:cs="宋体" w:eastAsia="宋体" w:hint="default"/>
                <w:spacing w:val="-130"/>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中</w:t>
            </w:r>
            <w:r>
              <w:rPr>
                <w:rFonts w:ascii="宋体" w:hAnsi="宋体" w:cs="宋体" w:eastAsia="宋体" w:hint="default"/>
                <w:spacing w:val="-3"/>
                <w:w w:val="100"/>
                <w:sz w:val="21"/>
                <w:szCs w:val="21"/>
              </w:rPr>
              <w:t>国</w:t>
            </w:r>
            <w:r>
              <w:rPr>
                <w:rFonts w:ascii="宋体" w:hAnsi="宋体" w:cs="宋体" w:eastAsia="宋体" w:hint="default"/>
                <w:w w:val="100"/>
                <w:sz w:val="21"/>
                <w:szCs w:val="21"/>
              </w:rPr>
              <w:t>证券</w:t>
            </w:r>
            <w:r>
              <w:rPr>
                <w:rFonts w:ascii="宋体" w:hAnsi="宋体" w:cs="宋体" w:eastAsia="宋体" w:hint="default"/>
                <w:spacing w:val="-3"/>
                <w:w w:val="100"/>
                <w:sz w:val="21"/>
                <w:szCs w:val="21"/>
              </w:rPr>
              <w:t>报</w:t>
            </w:r>
            <w:r>
              <w:rPr>
                <w:rFonts w:ascii="宋体" w:hAnsi="宋体" w:cs="宋体" w:eastAsia="宋体" w:hint="default"/>
                <w:spacing w:val="-106"/>
                <w:w w:val="100"/>
                <w:sz w:val="21"/>
                <w:szCs w:val="21"/>
              </w:rPr>
              <w:t>》</w:t>
            </w:r>
            <w:r>
              <w:rPr>
                <w:rFonts w:ascii="宋体" w:hAnsi="宋体" w:cs="宋体" w:eastAsia="宋体" w:hint="default"/>
                <w:spacing w:val="-130"/>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证</w:t>
            </w:r>
            <w:r>
              <w:rPr>
                <w:rFonts w:ascii="宋体" w:hAnsi="宋体" w:cs="宋体" w:eastAsia="宋体" w:hint="default"/>
                <w:w w:val="100"/>
                <w:sz w:val="21"/>
                <w:szCs w:val="21"/>
              </w:rPr>
              <w:t>券</w:t>
            </w:r>
            <w:r>
              <w:rPr>
                <w:rFonts w:ascii="宋体" w:hAnsi="宋体" w:cs="宋体" w:eastAsia="宋体" w:hint="default"/>
                <w:spacing w:val="-3"/>
                <w:w w:val="100"/>
                <w:sz w:val="21"/>
                <w:szCs w:val="21"/>
              </w:rPr>
              <w:t>时报</w:t>
            </w:r>
            <w:r>
              <w:rPr>
                <w:rFonts w:ascii="宋体" w:hAnsi="宋体" w:cs="宋体" w:eastAsia="宋体" w:hint="default"/>
                <w:spacing w:val="-22"/>
                <w:w w:val="100"/>
                <w:sz w:val="21"/>
                <w:szCs w:val="21"/>
              </w:rPr>
              <w:t>》</w:t>
            </w:r>
            <w:r>
              <w:rPr>
                <w:rFonts w:ascii="宋体" w:hAnsi="宋体" w:cs="宋体" w:eastAsia="宋体" w:hint="default"/>
                <w:spacing w:val="-25"/>
                <w:w w:val="100"/>
                <w:sz w:val="21"/>
                <w:szCs w:val="21"/>
              </w:rPr>
              <w:t>的</w:t>
            </w:r>
            <w:r>
              <w:rPr>
                <w:rFonts w:ascii="宋体" w:hAnsi="宋体" w:cs="宋体" w:eastAsia="宋体" w:hint="default"/>
                <w:spacing w:val="-3"/>
                <w:w w:val="100"/>
                <w:sz w:val="21"/>
                <w:szCs w:val="21"/>
              </w:rPr>
              <w:t>《</w:t>
            </w:r>
            <w:r>
              <w:rPr>
                <w:rFonts w:ascii="宋体" w:hAnsi="宋体" w:cs="宋体" w:eastAsia="宋体" w:hint="default"/>
                <w:w w:val="100"/>
                <w:sz w:val="21"/>
                <w:szCs w:val="21"/>
              </w:rPr>
              <w:t>股东</w:t>
            </w:r>
            <w:r>
              <w:rPr>
                <w:rFonts w:ascii="宋体" w:hAnsi="宋体" w:cs="宋体" w:eastAsia="宋体" w:hint="default"/>
                <w:spacing w:val="-3"/>
                <w:w w:val="100"/>
                <w:sz w:val="21"/>
                <w:szCs w:val="21"/>
              </w:rPr>
              <w:t>权</w:t>
            </w:r>
            <w:r>
              <w:rPr>
                <w:rFonts w:ascii="宋体" w:hAnsi="宋体" w:cs="宋体" w:eastAsia="宋体" w:hint="default"/>
                <w:w w:val="100"/>
                <w:sz w:val="21"/>
                <w:szCs w:val="21"/>
              </w:rPr>
              <w:t>益</w:t>
            </w:r>
            <w:r>
              <w:rPr>
                <w:rFonts w:ascii="宋体" w:hAnsi="宋体" w:cs="宋体" w:eastAsia="宋体" w:hint="default"/>
                <w:w w:val="100"/>
                <w:sz w:val="21"/>
                <w:szCs w:val="21"/>
              </w:rPr>
              <w:t> 变动</w:t>
            </w:r>
            <w:r>
              <w:rPr>
                <w:rFonts w:ascii="宋体" w:hAnsi="宋体" w:cs="宋体" w:eastAsia="宋体" w:hint="default"/>
                <w:spacing w:val="-3"/>
                <w:w w:val="100"/>
                <w:sz w:val="21"/>
                <w:szCs w:val="21"/>
              </w:rPr>
              <w:t>提</w:t>
            </w:r>
            <w:r>
              <w:rPr>
                <w:rFonts w:ascii="宋体" w:hAnsi="宋体" w:cs="宋体" w:eastAsia="宋体" w:hint="default"/>
                <w:w w:val="100"/>
                <w:sz w:val="21"/>
                <w:szCs w:val="21"/>
              </w:rPr>
              <w:t>示</w:t>
            </w:r>
            <w:r>
              <w:rPr>
                <w:rFonts w:ascii="宋体" w:hAnsi="宋体" w:cs="宋体" w:eastAsia="宋体" w:hint="default"/>
                <w:spacing w:val="-3"/>
                <w:w w:val="100"/>
                <w:sz w:val="21"/>
                <w:szCs w:val="21"/>
              </w:rPr>
              <w:t>性</w:t>
            </w:r>
            <w:r>
              <w:rPr>
                <w:rFonts w:ascii="宋体" w:hAnsi="宋体" w:cs="宋体" w:eastAsia="宋体" w:hint="default"/>
                <w:w w:val="100"/>
                <w:sz w:val="21"/>
                <w:szCs w:val="21"/>
              </w:rPr>
              <w:t>公</w:t>
            </w:r>
            <w:r>
              <w:rPr>
                <w:rFonts w:ascii="宋体" w:hAnsi="宋体" w:cs="宋体" w:eastAsia="宋体" w:hint="default"/>
                <w:spacing w:val="-3"/>
                <w:w w:val="100"/>
                <w:sz w:val="21"/>
                <w:szCs w:val="21"/>
              </w:rPr>
              <w:t>告</w:t>
            </w:r>
            <w:r>
              <w:rPr>
                <w:rFonts w:ascii="宋体" w:hAnsi="宋体" w:cs="宋体" w:eastAsia="宋体" w:hint="default"/>
                <w:spacing w:val="-125"/>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编</w:t>
            </w:r>
            <w:r>
              <w:rPr>
                <w:rFonts w:ascii="宋体" w:hAnsi="宋体" w:cs="宋体" w:eastAsia="宋体" w:hint="default"/>
                <w:w w:val="100"/>
                <w:sz w:val="21"/>
                <w:szCs w:val="21"/>
              </w:rPr>
              <w:t>号</w:t>
            </w:r>
            <w:r>
              <w:rPr>
                <w:rFonts w:ascii="宋体" w:hAnsi="宋体" w:cs="宋体" w:eastAsia="宋体" w:hint="default"/>
                <w:spacing w:val="-22"/>
                <w:w w:val="100"/>
                <w:sz w:val="21"/>
                <w:szCs w:val="21"/>
              </w:rPr>
              <w:t>：</w:t>
            </w:r>
            <w:r>
              <w:rPr>
                <w:rFonts w:ascii="Times New Roman" w:hAnsi="Times New Roman" w:cs="Times New Roman" w:eastAsia="Times New Roman" w:hint="default"/>
                <w:w w:val="100"/>
                <w:sz w:val="21"/>
                <w:szCs w:val="21"/>
              </w:rPr>
              <w:t>2015</w:t>
            </w:r>
            <w:r>
              <w:rPr>
                <w:rFonts w:ascii="Times New Roman" w:hAnsi="Times New Roman" w:cs="Times New Roman" w:eastAsia="Times New Roman" w:hint="default"/>
                <w:spacing w:val="-4"/>
                <w:w w:val="100"/>
                <w:sz w:val="21"/>
                <w:szCs w:val="21"/>
              </w:rPr>
              <w:t>-</w:t>
            </w:r>
            <w:r>
              <w:rPr>
                <w:rFonts w:ascii="Times New Roman" w:hAnsi="Times New Roman" w:cs="Times New Roman" w:eastAsia="Times New Roman" w:hint="default"/>
                <w:w w:val="100"/>
                <w:sz w:val="21"/>
                <w:szCs w:val="21"/>
              </w:rPr>
              <w:t>025</w:t>
            </w:r>
            <w:r>
              <w:rPr>
                <w:rFonts w:ascii="宋体" w:hAnsi="宋体" w:cs="宋体" w:eastAsia="宋体" w:hint="default"/>
                <w:spacing w:val="-106"/>
                <w:w w:val="100"/>
                <w:sz w:val="21"/>
                <w:szCs w:val="21"/>
              </w:rPr>
              <w:t>）</w:t>
            </w:r>
            <w:r>
              <w:rPr>
                <w:rFonts w:ascii="宋体" w:hAnsi="宋体" w:cs="宋体" w:eastAsia="宋体" w:hint="default"/>
                <w:spacing w:val="-125"/>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关</w:t>
            </w:r>
            <w:r>
              <w:rPr>
                <w:rFonts w:ascii="宋体" w:hAnsi="宋体" w:cs="宋体" w:eastAsia="宋体" w:hint="default"/>
                <w:spacing w:val="-3"/>
                <w:w w:val="100"/>
                <w:sz w:val="21"/>
                <w:szCs w:val="21"/>
              </w:rPr>
              <w:t>于</w:t>
            </w:r>
            <w:r>
              <w:rPr>
                <w:rFonts w:ascii="宋体" w:hAnsi="宋体" w:cs="宋体" w:eastAsia="宋体" w:hint="default"/>
                <w:w w:val="100"/>
                <w:sz w:val="21"/>
                <w:szCs w:val="21"/>
              </w:rPr>
              <w:t>股</w:t>
            </w:r>
            <w:r>
              <w:rPr>
                <w:rFonts w:ascii="宋体" w:hAnsi="宋体" w:cs="宋体" w:eastAsia="宋体" w:hint="default"/>
                <w:spacing w:val="-3"/>
                <w:w w:val="100"/>
                <w:sz w:val="21"/>
                <w:szCs w:val="21"/>
              </w:rPr>
              <w:t>东股</w:t>
            </w:r>
            <w:r>
              <w:rPr>
                <w:rFonts w:ascii="宋体" w:hAnsi="宋体" w:cs="宋体" w:eastAsia="宋体" w:hint="default"/>
                <w:w w:val="100"/>
                <w:sz w:val="21"/>
                <w:szCs w:val="21"/>
              </w:rPr>
              <w:t>份转</w:t>
            </w:r>
            <w:r>
              <w:rPr>
                <w:rFonts w:ascii="宋体" w:hAnsi="宋体" w:cs="宋体" w:eastAsia="宋体" w:hint="default"/>
                <w:spacing w:val="-3"/>
                <w:w w:val="100"/>
                <w:sz w:val="21"/>
                <w:szCs w:val="21"/>
              </w:rPr>
              <w:t>让</w:t>
            </w:r>
            <w:r>
              <w:rPr>
                <w:rFonts w:ascii="宋体" w:hAnsi="宋体" w:cs="宋体" w:eastAsia="宋体" w:hint="default"/>
                <w:w w:val="100"/>
                <w:sz w:val="21"/>
                <w:szCs w:val="21"/>
              </w:rPr>
              <w:t>完成</w:t>
            </w:r>
            <w:r>
              <w:rPr>
                <w:rFonts w:ascii="宋体" w:hAnsi="宋体" w:cs="宋体" w:eastAsia="宋体" w:hint="default"/>
                <w:w w:val="100"/>
                <w:sz w:val="21"/>
                <w:szCs w:val="21"/>
              </w:rPr>
              <w:t> 过户</w:t>
            </w:r>
            <w:r>
              <w:rPr>
                <w:rFonts w:ascii="宋体" w:hAnsi="宋体" w:cs="宋体" w:eastAsia="宋体" w:hint="default"/>
                <w:spacing w:val="-3"/>
                <w:w w:val="100"/>
                <w:sz w:val="21"/>
                <w:szCs w:val="21"/>
              </w:rPr>
              <w:t>登</w:t>
            </w:r>
            <w:r>
              <w:rPr>
                <w:rFonts w:ascii="宋体" w:hAnsi="宋体" w:cs="宋体" w:eastAsia="宋体" w:hint="default"/>
                <w:w w:val="100"/>
                <w:sz w:val="21"/>
                <w:szCs w:val="21"/>
              </w:rPr>
              <w:t>记</w:t>
            </w:r>
            <w:r>
              <w:rPr>
                <w:rFonts w:ascii="宋体" w:hAnsi="宋体" w:cs="宋体" w:eastAsia="宋体" w:hint="default"/>
                <w:spacing w:val="-3"/>
                <w:w w:val="100"/>
                <w:sz w:val="21"/>
                <w:szCs w:val="21"/>
              </w:rPr>
              <w:t>的</w:t>
            </w:r>
            <w:r>
              <w:rPr>
                <w:rFonts w:ascii="宋体" w:hAnsi="宋体" w:cs="宋体" w:eastAsia="宋体" w:hint="default"/>
                <w:w w:val="100"/>
                <w:sz w:val="21"/>
                <w:szCs w:val="21"/>
              </w:rPr>
              <w:t>公</w:t>
            </w:r>
            <w:r>
              <w:rPr>
                <w:rFonts w:ascii="宋体" w:hAnsi="宋体" w:cs="宋体" w:eastAsia="宋体" w:hint="default"/>
                <w:spacing w:val="-3"/>
                <w:w w:val="100"/>
                <w:sz w:val="21"/>
                <w:szCs w:val="21"/>
              </w:rPr>
              <w:t>告</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编</w:t>
            </w:r>
            <w:r>
              <w:rPr>
                <w:rFonts w:ascii="宋体" w:hAnsi="宋体" w:cs="宋体" w:eastAsia="宋体" w:hint="default"/>
                <w:spacing w:val="-3"/>
                <w:w w:val="100"/>
                <w:sz w:val="21"/>
                <w:szCs w:val="21"/>
              </w:rPr>
              <w:t>号：</w:t>
            </w:r>
            <w:r>
              <w:rPr>
                <w:rFonts w:ascii="Times New Roman" w:hAnsi="Times New Roman" w:cs="Times New Roman" w:eastAsia="Times New Roman" w:hint="default"/>
                <w:w w:val="100"/>
                <w:sz w:val="21"/>
                <w:szCs w:val="21"/>
              </w:rPr>
              <w:t>2015</w:t>
            </w:r>
            <w:r>
              <w:rPr>
                <w:rFonts w:ascii="Times New Roman" w:hAnsi="Times New Roman" w:cs="Times New Roman" w:eastAsia="Times New Roman" w:hint="default"/>
                <w:spacing w:val="-4"/>
                <w:w w:val="100"/>
                <w:sz w:val="21"/>
                <w:szCs w:val="21"/>
              </w:rPr>
              <w:t>-</w:t>
            </w:r>
            <w:r>
              <w:rPr>
                <w:rFonts w:ascii="Times New Roman" w:hAnsi="Times New Roman" w:cs="Times New Roman" w:eastAsia="Times New Roman" w:hint="default"/>
                <w:w w:val="100"/>
                <w:sz w:val="21"/>
                <w:szCs w:val="21"/>
              </w:rPr>
              <w:t>033</w:t>
            </w:r>
            <w:r>
              <w:rPr>
                <w:rFonts w:ascii="宋体" w:hAnsi="宋体" w:cs="宋体" w:eastAsia="宋体" w:hint="default"/>
                <w:spacing w:val="-3"/>
                <w:w w:val="100"/>
                <w:sz w:val="21"/>
                <w:szCs w:val="21"/>
              </w:rPr>
              <w:t>）</w:t>
            </w:r>
            <w:r>
              <w:rPr>
                <w:rFonts w:ascii="宋体" w:hAnsi="宋体" w:cs="宋体" w:eastAsia="宋体" w:hint="default"/>
                <w:w w:val="100"/>
                <w:sz w:val="21"/>
                <w:szCs w:val="21"/>
              </w:rPr>
              <w:t>和</w:t>
            </w:r>
            <w:r>
              <w:rPr>
                <w:rFonts w:ascii="宋体" w:hAnsi="宋体" w:cs="宋体" w:eastAsia="宋体" w:hint="default"/>
                <w:spacing w:val="-3"/>
                <w:w w:val="100"/>
                <w:sz w:val="21"/>
                <w:szCs w:val="21"/>
              </w:rPr>
              <w:t>《</w:t>
            </w:r>
            <w:r>
              <w:rPr>
                <w:rFonts w:ascii="宋体" w:hAnsi="宋体" w:cs="宋体" w:eastAsia="宋体" w:hint="default"/>
                <w:w w:val="100"/>
                <w:sz w:val="21"/>
                <w:szCs w:val="21"/>
              </w:rPr>
              <w:t>股</w:t>
            </w:r>
            <w:r>
              <w:rPr>
                <w:rFonts w:ascii="宋体" w:hAnsi="宋体" w:cs="宋体" w:eastAsia="宋体" w:hint="default"/>
                <w:spacing w:val="-3"/>
                <w:w w:val="100"/>
                <w:sz w:val="21"/>
                <w:szCs w:val="21"/>
              </w:rPr>
              <w:t>东</w:t>
            </w:r>
            <w:r>
              <w:rPr>
                <w:rFonts w:ascii="宋体" w:hAnsi="宋体" w:cs="宋体" w:eastAsia="宋体" w:hint="default"/>
                <w:w w:val="100"/>
                <w:sz w:val="21"/>
                <w:szCs w:val="21"/>
              </w:rPr>
              <w:t>追</w:t>
            </w:r>
            <w:r>
              <w:rPr>
                <w:rFonts w:ascii="宋体" w:hAnsi="宋体" w:cs="宋体" w:eastAsia="宋体" w:hint="default"/>
                <w:spacing w:val="-3"/>
                <w:w w:val="100"/>
                <w:sz w:val="21"/>
                <w:szCs w:val="21"/>
              </w:rPr>
              <w:t>加</w:t>
            </w:r>
            <w:r>
              <w:rPr>
                <w:rFonts w:ascii="宋体" w:hAnsi="宋体" w:cs="宋体" w:eastAsia="宋体" w:hint="default"/>
                <w:w w:val="100"/>
                <w:sz w:val="21"/>
                <w:szCs w:val="21"/>
              </w:rPr>
              <w:t>承诺</w:t>
            </w:r>
            <w:r>
              <w:rPr>
                <w:rFonts w:ascii="宋体" w:hAnsi="宋体" w:cs="宋体" w:eastAsia="宋体" w:hint="default"/>
                <w:spacing w:val="-3"/>
                <w:w w:val="100"/>
                <w:sz w:val="21"/>
                <w:szCs w:val="21"/>
              </w:rPr>
              <w:t>公</w:t>
            </w:r>
            <w:r>
              <w:rPr>
                <w:rFonts w:ascii="宋体" w:hAnsi="宋体" w:cs="宋体" w:eastAsia="宋体" w:hint="default"/>
                <w:w w:val="100"/>
                <w:sz w:val="21"/>
                <w:szCs w:val="21"/>
              </w:rPr>
              <w:t>告》</w:t>
            </w:r>
          </w:p>
          <w:p>
            <w:pPr>
              <w:pStyle w:val="TableParagraph"/>
              <w:spacing w:line="286" w:lineRule="exact"/>
              <w:ind w:left="24" w:right="0"/>
              <w:jc w:val="both"/>
              <w:rPr>
                <w:rFonts w:ascii="宋体" w:hAnsi="宋体" w:cs="宋体" w:eastAsia="宋体" w:hint="default"/>
                <w:sz w:val="21"/>
                <w:szCs w:val="21"/>
              </w:rPr>
            </w:pPr>
            <w:r>
              <w:rPr>
                <w:rFonts w:ascii="宋体" w:hAnsi="宋体" w:cs="宋体" w:eastAsia="宋体" w:hint="default"/>
                <w:sz w:val="21"/>
                <w:szCs w:val="21"/>
              </w:rPr>
              <w:t>（编号：</w:t>
            </w:r>
            <w:r>
              <w:rPr>
                <w:rFonts w:ascii="Times New Roman" w:hAnsi="Times New Roman" w:cs="Times New Roman" w:eastAsia="Times New Roman" w:hint="default"/>
                <w:sz w:val="21"/>
                <w:szCs w:val="21"/>
              </w:rPr>
              <w:t>2015-042</w:t>
            </w:r>
            <w:r>
              <w:rPr>
                <w:rFonts w:ascii="宋体" w:hAnsi="宋体" w:cs="宋体" w:eastAsia="宋体" w:hint="default"/>
                <w:sz w:val="21"/>
                <w:szCs w:val="21"/>
              </w:rPr>
              <w:t>）</w:t>
            </w:r>
          </w:p>
        </w:tc>
      </w:tr>
      <w:tr>
        <w:trPr>
          <w:trHeight w:val="402" w:hRule="exact"/>
        </w:trPr>
        <w:tc>
          <w:tcPr>
            <w:tcW w:w="3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2" w:right="0"/>
              <w:jc w:val="left"/>
              <w:rPr>
                <w:rFonts w:ascii="宋体" w:hAnsi="宋体" w:cs="宋体" w:eastAsia="宋体" w:hint="default"/>
                <w:sz w:val="21"/>
                <w:szCs w:val="21"/>
              </w:rPr>
            </w:pPr>
            <w:r>
              <w:rPr>
                <w:rFonts w:ascii="宋体" w:hAnsi="宋体" w:cs="宋体" w:eastAsia="宋体" w:hint="default"/>
                <w:sz w:val="21"/>
                <w:szCs w:val="21"/>
              </w:rPr>
              <w:t>指定网站披露日期</w:t>
            </w:r>
          </w:p>
        </w:tc>
        <w:tc>
          <w:tcPr>
            <w:tcW w:w="5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r>
              <w:rPr>
                <w:rFonts w:ascii="Times New Roman" w:hAnsi="Times New Roman" w:cs="Times New Roman" w:eastAsia="Times New Roman" w:hint="default"/>
                <w:sz w:val="21"/>
                <w:szCs w:val="21"/>
              </w:rPr>
              <w:t>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r>
              <w:rPr>
                <w:rFonts w:ascii="Times New Roman" w:hAnsi="Times New Roman" w:cs="Times New Roman" w:eastAsia="Times New Roman" w:hint="default"/>
                <w:sz w:val="21"/>
                <w:szCs w:val="21"/>
              </w:rPr>
              <w:t>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bl>
    <w:p>
      <w:pPr>
        <w:spacing w:line="240" w:lineRule="auto" w:before="3"/>
        <w:rPr>
          <w:rFonts w:ascii="宋体" w:hAnsi="宋体" w:cs="宋体" w:eastAsia="宋体" w:hint="default"/>
          <w:sz w:val="19"/>
          <w:szCs w:val="19"/>
        </w:rPr>
      </w:pPr>
    </w:p>
    <w:p>
      <w:pPr>
        <w:pStyle w:val="Heading4"/>
        <w:spacing w:line="240" w:lineRule="auto" w:before="36"/>
        <w:ind w:left="112" w:right="159"/>
        <w:jc w:val="left"/>
        <w:rPr>
          <w:b w:val="0"/>
          <w:bCs w:val="0"/>
        </w:rPr>
      </w:pPr>
      <w:r>
        <w:rPr>
          <w:rFonts w:ascii="Times New Roman" w:hAnsi="Times New Roman" w:cs="Times New Roman" w:eastAsia="Times New Roman" w:hint="default"/>
        </w:rPr>
        <w:t>3</w:t>
      </w:r>
      <w:r>
        <w:rPr/>
        <w:t>、公司实际控制人情况</w:t>
      </w:r>
      <w:r>
        <w:rPr>
          <w:b w:val="0"/>
          <w:bCs w:val="0"/>
        </w:rPr>
      </w:r>
    </w:p>
    <w:p>
      <w:pPr>
        <w:spacing w:line="240" w:lineRule="auto" w:before="10"/>
        <w:rPr>
          <w:rFonts w:ascii="宋体" w:hAnsi="宋体" w:cs="宋体" w:eastAsia="宋体" w:hint="default"/>
          <w:b/>
          <w:bCs/>
          <w:sz w:val="24"/>
          <w:szCs w:val="24"/>
        </w:rPr>
      </w:pPr>
    </w:p>
    <w:p>
      <w:pPr>
        <w:pStyle w:val="BodyText"/>
        <w:spacing w:line="307" w:lineRule="auto"/>
        <w:ind w:left="112" w:right="5388"/>
        <w:jc w:val="left"/>
      </w:pPr>
      <w:r>
        <w:rPr>
          <w:spacing w:val="-2"/>
        </w:rPr>
        <w:t>实际控制人性质：境内自然人</w:t>
      </w:r>
      <w:r>
        <w:rPr>
          <w:spacing w:val="-79"/>
        </w:rPr>
        <w:t> </w:t>
      </w:r>
      <w:r>
        <w:rPr>
          <w:spacing w:val="-79"/>
        </w:rPr>
      </w:r>
      <w:r>
        <w:rPr/>
        <w:t>实际控制人类型：自然人</w:t>
      </w:r>
    </w:p>
    <w:p>
      <w:pPr>
        <w:spacing w:line="240" w:lineRule="auto" w:before="5"/>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3829"/>
        <w:gridCol w:w="2268"/>
        <w:gridCol w:w="3473"/>
      </w:tblGrid>
      <w:tr>
        <w:trPr>
          <w:trHeight w:val="401"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74" w:right="0"/>
              <w:jc w:val="left"/>
              <w:rPr>
                <w:rFonts w:ascii="宋体" w:hAnsi="宋体" w:cs="宋体" w:eastAsia="宋体" w:hint="default"/>
                <w:sz w:val="21"/>
                <w:szCs w:val="21"/>
              </w:rPr>
            </w:pPr>
            <w:r>
              <w:rPr>
                <w:rFonts w:ascii="宋体" w:hAnsi="宋体" w:cs="宋体" w:eastAsia="宋体" w:hint="default"/>
                <w:sz w:val="21"/>
                <w:szCs w:val="21"/>
              </w:rPr>
              <w:t>实际控制人姓名</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915"/>
              <w:jc w:val="right"/>
              <w:rPr>
                <w:rFonts w:ascii="宋体" w:hAnsi="宋体" w:cs="宋体" w:eastAsia="宋体" w:hint="default"/>
                <w:sz w:val="21"/>
                <w:szCs w:val="21"/>
              </w:rPr>
            </w:pPr>
            <w:r>
              <w:rPr>
                <w:rFonts w:ascii="宋体" w:hAnsi="宋体" w:cs="宋体" w:eastAsia="宋体" w:hint="default"/>
                <w:sz w:val="21"/>
                <w:szCs w:val="21"/>
              </w:rPr>
              <w:t>国籍</w:t>
            </w:r>
          </w:p>
        </w:tc>
        <w:tc>
          <w:tcPr>
            <w:tcW w:w="3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是否取得其他国家或地区居留权</w:t>
            </w:r>
          </w:p>
        </w:tc>
      </w:tr>
      <w:tr>
        <w:trPr>
          <w:trHeight w:val="403"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杜力</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15"/>
              <w:jc w:val="right"/>
              <w:rPr>
                <w:rFonts w:ascii="宋体" w:hAnsi="宋体" w:cs="宋体" w:eastAsia="宋体" w:hint="default"/>
                <w:sz w:val="21"/>
                <w:szCs w:val="21"/>
              </w:rPr>
            </w:pPr>
            <w:r>
              <w:rPr>
                <w:rFonts w:ascii="宋体" w:hAnsi="宋体" w:cs="宋体" w:eastAsia="宋体" w:hint="default"/>
                <w:sz w:val="21"/>
                <w:szCs w:val="21"/>
              </w:rPr>
              <w:t>中国</w:t>
            </w:r>
          </w:p>
        </w:tc>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1"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sz w:val="21"/>
                <w:szCs w:val="21"/>
              </w:rPr>
              <w:t>张巍</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15"/>
              <w:jc w:val="right"/>
              <w:rPr>
                <w:rFonts w:ascii="宋体" w:hAnsi="宋体" w:cs="宋体" w:eastAsia="宋体" w:hint="default"/>
                <w:sz w:val="21"/>
                <w:szCs w:val="21"/>
              </w:rPr>
            </w:pPr>
            <w:r>
              <w:rPr>
                <w:rFonts w:ascii="宋体" w:hAnsi="宋体" w:cs="宋体" w:eastAsia="宋体" w:hint="default"/>
                <w:sz w:val="21"/>
                <w:szCs w:val="21"/>
              </w:rPr>
              <w:t>中国</w:t>
            </w:r>
          </w:p>
        </w:tc>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3"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主要职业及职务</w:t>
            </w:r>
          </w:p>
        </w:tc>
        <w:tc>
          <w:tcPr>
            <w:tcW w:w="57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w w:val="100"/>
                <w:sz w:val="21"/>
                <w:szCs w:val="21"/>
              </w:rPr>
              <w:t>详见</w:t>
            </w:r>
            <w:r>
              <w:rPr>
                <w:rFonts w:ascii="宋体" w:hAnsi="宋体" w:cs="宋体" w:eastAsia="宋体" w:hint="default"/>
                <w:spacing w:val="-3"/>
                <w:w w:val="100"/>
                <w:sz w:val="21"/>
                <w:szCs w:val="21"/>
              </w:rPr>
              <w:t>“</w:t>
            </w:r>
            <w:r>
              <w:rPr>
                <w:rFonts w:ascii="宋体" w:hAnsi="宋体" w:cs="宋体" w:eastAsia="宋体" w:hint="default"/>
                <w:w w:val="100"/>
                <w:sz w:val="21"/>
                <w:szCs w:val="21"/>
              </w:rPr>
              <w:t>第</w:t>
            </w:r>
            <w:r>
              <w:rPr>
                <w:rFonts w:ascii="宋体" w:hAnsi="宋体" w:cs="宋体" w:eastAsia="宋体" w:hint="default"/>
                <w:spacing w:val="-3"/>
                <w:w w:val="100"/>
                <w:sz w:val="21"/>
                <w:szCs w:val="21"/>
              </w:rPr>
              <w:t>八</w:t>
            </w:r>
            <w:r>
              <w:rPr>
                <w:rFonts w:ascii="宋体" w:hAnsi="宋体" w:cs="宋体" w:eastAsia="宋体" w:hint="default"/>
                <w:w w:val="100"/>
                <w:sz w:val="21"/>
                <w:szCs w:val="21"/>
              </w:rPr>
              <w:t>节</w:t>
            </w:r>
            <w:r>
              <w:rPr>
                <w:rFonts w:ascii="宋体" w:hAnsi="宋体" w:cs="宋体" w:eastAsia="宋体" w:hint="default"/>
                <w:spacing w:val="-2"/>
                <w:sz w:val="21"/>
                <w:szCs w:val="21"/>
              </w:rPr>
              <w:t> </w:t>
            </w:r>
            <w:r>
              <w:rPr>
                <w:rFonts w:ascii="宋体" w:hAnsi="宋体" w:cs="宋体" w:eastAsia="宋体" w:hint="default"/>
                <w:w w:val="100"/>
                <w:sz w:val="21"/>
                <w:szCs w:val="21"/>
              </w:rPr>
              <w:t>董</w:t>
            </w:r>
            <w:r>
              <w:rPr>
                <w:rFonts w:ascii="宋体" w:hAnsi="宋体" w:cs="宋体" w:eastAsia="宋体" w:hint="default"/>
                <w:spacing w:val="-3"/>
                <w:w w:val="100"/>
                <w:sz w:val="21"/>
                <w:szCs w:val="21"/>
              </w:rPr>
              <w:t>事</w:t>
            </w:r>
            <w:r>
              <w:rPr>
                <w:rFonts w:ascii="宋体" w:hAnsi="宋体" w:cs="宋体" w:eastAsia="宋体" w:hint="default"/>
                <w:w w:val="100"/>
                <w:sz w:val="21"/>
                <w:szCs w:val="21"/>
              </w:rPr>
              <w:t>、</w:t>
            </w:r>
            <w:r>
              <w:rPr>
                <w:rFonts w:ascii="宋体" w:hAnsi="宋体" w:cs="宋体" w:eastAsia="宋体" w:hint="default"/>
                <w:spacing w:val="-3"/>
                <w:w w:val="100"/>
                <w:sz w:val="21"/>
                <w:szCs w:val="21"/>
              </w:rPr>
              <w:t>监事</w:t>
            </w:r>
            <w:r>
              <w:rPr>
                <w:rFonts w:ascii="宋体" w:hAnsi="宋体" w:cs="宋体" w:eastAsia="宋体" w:hint="default"/>
                <w:w w:val="100"/>
                <w:sz w:val="21"/>
                <w:szCs w:val="21"/>
              </w:rPr>
              <w:t>、高</w:t>
            </w:r>
            <w:r>
              <w:rPr>
                <w:rFonts w:ascii="宋体" w:hAnsi="宋体" w:cs="宋体" w:eastAsia="宋体" w:hint="default"/>
                <w:spacing w:val="-3"/>
                <w:w w:val="100"/>
                <w:sz w:val="21"/>
                <w:szCs w:val="21"/>
              </w:rPr>
              <w:t>级</w:t>
            </w:r>
            <w:r>
              <w:rPr>
                <w:rFonts w:ascii="宋体" w:hAnsi="宋体" w:cs="宋体" w:eastAsia="宋体" w:hint="default"/>
                <w:w w:val="100"/>
                <w:sz w:val="21"/>
                <w:szCs w:val="21"/>
              </w:rPr>
              <w:t>管</w:t>
            </w:r>
            <w:r>
              <w:rPr>
                <w:rFonts w:ascii="宋体" w:hAnsi="宋体" w:cs="宋体" w:eastAsia="宋体" w:hint="default"/>
                <w:spacing w:val="-3"/>
                <w:w w:val="100"/>
                <w:sz w:val="21"/>
                <w:szCs w:val="21"/>
              </w:rPr>
              <w:t>理</w:t>
            </w:r>
            <w:r>
              <w:rPr>
                <w:rFonts w:ascii="宋体" w:hAnsi="宋体" w:cs="宋体" w:eastAsia="宋体" w:hint="default"/>
                <w:w w:val="100"/>
                <w:sz w:val="21"/>
                <w:szCs w:val="21"/>
              </w:rPr>
              <w:t>人</w:t>
            </w:r>
            <w:r>
              <w:rPr>
                <w:rFonts w:ascii="宋体" w:hAnsi="宋体" w:cs="宋体" w:eastAsia="宋体" w:hint="default"/>
                <w:spacing w:val="-3"/>
                <w:w w:val="100"/>
                <w:sz w:val="21"/>
                <w:szCs w:val="21"/>
              </w:rPr>
              <w:t>员</w:t>
            </w:r>
            <w:r>
              <w:rPr>
                <w:rFonts w:ascii="宋体" w:hAnsi="宋体" w:cs="宋体" w:eastAsia="宋体" w:hint="default"/>
                <w:w w:val="100"/>
                <w:sz w:val="21"/>
                <w:szCs w:val="21"/>
              </w:rPr>
              <w:t>和</w:t>
            </w:r>
            <w:r>
              <w:rPr>
                <w:rFonts w:ascii="宋体" w:hAnsi="宋体" w:cs="宋体" w:eastAsia="宋体" w:hint="default"/>
                <w:spacing w:val="-3"/>
                <w:w w:val="100"/>
                <w:sz w:val="21"/>
                <w:szCs w:val="21"/>
              </w:rPr>
              <w:t>员</w:t>
            </w:r>
            <w:r>
              <w:rPr>
                <w:rFonts w:ascii="宋体" w:hAnsi="宋体" w:cs="宋体" w:eastAsia="宋体" w:hint="default"/>
                <w:w w:val="100"/>
                <w:sz w:val="21"/>
                <w:szCs w:val="21"/>
              </w:rPr>
              <w:t>工</w:t>
            </w:r>
            <w:r>
              <w:rPr>
                <w:rFonts w:ascii="宋体" w:hAnsi="宋体" w:cs="宋体" w:eastAsia="宋体" w:hint="default"/>
                <w:spacing w:val="-3"/>
                <w:w w:val="100"/>
                <w:sz w:val="21"/>
                <w:szCs w:val="21"/>
              </w:rPr>
              <w:t>情</w:t>
            </w:r>
            <w:r>
              <w:rPr>
                <w:rFonts w:ascii="宋体" w:hAnsi="宋体" w:cs="宋体" w:eastAsia="宋体" w:hint="default"/>
                <w:w w:val="100"/>
                <w:sz w:val="21"/>
                <w:szCs w:val="21"/>
              </w:rPr>
              <w:t>况</w:t>
            </w:r>
            <w:r>
              <w:rPr>
                <w:rFonts w:ascii="宋体" w:hAnsi="宋体" w:cs="宋体" w:eastAsia="宋体" w:hint="default"/>
                <w:spacing w:val="-106"/>
                <w:w w:val="100"/>
                <w:sz w:val="21"/>
                <w:szCs w:val="21"/>
              </w:rPr>
              <w:t>”。</w:t>
            </w:r>
            <w:r>
              <w:rPr>
                <w:rFonts w:ascii="宋体" w:hAnsi="宋体" w:cs="宋体" w:eastAsia="宋体" w:hint="default"/>
                <w:w w:val="100"/>
                <w:sz w:val="21"/>
                <w:szCs w:val="21"/>
              </w:rPr>
            </w:r>
          </w:p>
        </w:tc>
      </w:tr>
      <w:tr>
        <w:trPr>
          <w:trHeight w:val="403"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过去</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年曾控股的境内外上市公司情况</w:t>
            </w:r>
          </w:p>
        </w:tc>
        <w:tc>
          <w:tcPr>
            <w:tcW w:w="57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pStyle w:val="BodyText"/>
        <w:tabs>
          <w:tab w:pos="8094" w:val="left" w:leader="none"/>
        </w:tabs>
        <w:spacing w:line="240" w:lineRule="auto" w:before="28"/>
        <w:ind w:left="112" w:right="0"/>
        <w:jc w:val="left"/>
      </w:pPr>
      <w:r>
        <w:rPr>
          <w:spacing w:val="-2"/>
        </w:rPr>
        <w:t>实际控制人报告期内变更</w:t>
        <w:tab/>
      </w:r>
      <w:r>
        <w:rPr>
          <w:rFonts w:ascii="Times New Roman" w:hAnsi="Times New Roman" w:cs="Times New Roman" w:eastAsia="Times New Roman" w:hint="default"/>
        </w:rPr>
        <w:t>√  </w:t>
      </w:r>
      <w:r>
        <w:rPr>
          <w:spacing w:val="-2"/>
        </w:rPr>
        <w:t>适用</w:t>
      </w:r>
      <w:r>
        <w:rPr/>
        <w:t> </w:t>
      </w:r>
      <w:r>
        <w:rPr>
          <w:rFonts w:ascii="Times New Roman" w:hAnsi="Times New Roman" w:cs="Times New Roman" w:eastAsia="Times New Roman" w:hint="default"/>
        </w:rPr>
        <w:t>□ </w:t>
      </w:r>
      <w:r>
        <w:rPr>
          <w:rFonts w:ascii="Times New Roman" w:hAnsi="Times New Roman" w:cs="Times New Roman" w:eastAsia="Times New Roman" w:hint="default"/>
          <w:spacing w:val="4"/>
        </w:rPr>
        <w:t> </w:t>
      </w:r>
      <w:r>
        <w:rPr>
          <w:spacing w:val="-1"/>
        </w:rPr>
        <w:t>不适用</w:t>
      </w:r>
    </w:p>
    <w:p>
      <w:pPr>
        <w:spacing w:line="240" w:lineRule="auto" w:before="7"/>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新实际控制人名称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杜力、张巍</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2" w:right="0"/>
              <w:jc w:val="left"/>
              <w:rPr>
                <w:rFonts w:ascii="宋体" w:hAnsi="宋体" w:cs="宋体" w:eastAsia="宋体" w:hint="default"/>
                <w:sz w:val="21"/>
                <w:szCs w:val="21"/>
              </w:rPr>
            </w:pPr>
            <w:r>
              <w:rPr>
                <w:rFonts w:ascii="宋体" w:hAnsi="宋体" w:cs="宋体" w:eastAsia="宋体" w:hint="default"/>
                <w:sz w:val="21"/>
                <w:szCs w:val="21"/>
              </w:rPr>
              <w:t>变更日期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指定网站查询索引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同上</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2" w:right="0"/>
              <w:jc w:val="left"/>
              <w:rPr>
                <w:rFonts w:ascii="宋体" w:hAnsi="宋体" w:cs="宋体" w:eastAsia="宋体" w:hint="default"/>
                <w:sz w:val="21"/>
                <w:szCs w:val="21"/>
              </w:rPr>
            </w:pPr>
            <w:r>
              <w:rPr>
                <w:rFonts w:ascii="宋体" w:hAnsi="宋体" w:cs="宋体" w:eastAsia="宋体" w:hint="default"/>
                <w:sz w:val="21"/>
                <w:szCs w:val="21"/>
              </w:rPr>
              <w:t>指定网站披露日期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3" w:right="0"/>
              <w:jc w:val="left"/>
              <w:rPr>
                <w:rFonts w:ascii="宋体" w:hAnsi="宋体" w:cs="宋体" w:eastAsia="宋体" w:hint="default"/>
                <w:sz w:val="21"/>
                <w:szCs w:val="21"/>
              </w:rPr>
            </w:pPr>
            <w:r>
              <w:rPr>
                <w:rFonts w:ascii="宋体" w:hAnsi="宋体" w:cs="宋体" w:eastAsia="宋体" w:hint="default"/>
                <w:sz w:val="21"/>
                <w:szCs w:val="21"/>
              </w:rPr>
              <w:t>同上</w:t>
            </w:r>
          </w:p>
        </w:tc>
      </w:tr>
    </w:tbl>
    <w:p>
      <w:pPr>
        <w:spacing w:after="0" w:line="240" w:lineRule="auto"/>
        <w:jc w:val="left"/>
        <w:rPr>
          <w:rFonts w:ascii="宋体" w:hAnsi="宋体" w:cs="宋体" w:eastAsia="宋体" w:hint="default"/>
          <w:sz w:val="21"/>
          <w:szCs w:val="21"/>
        </w:rPr>
        <w:sectPr>
          <w:pgSz w:w="11910" w:h="16840"/>
          <w:pgMar w:header="877" w:footer="979" w:top="1060" w:bottom="1160" w:left="1020" w:right="102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0"/>
          <w:szCs w:val="20"/>
        </w:rPr>
      </w:pPr>
    </w:p>
    <w:p>
      <w:pPr>
        <w:pStyle w:val="BodyText"/>
        <w:spacing w:line="240" w:lineRule="auto" w:before="36"/>
        <w:ind w:right="0"/>
        <w:jc w:val="left"/>
      </w:pPr>
      <w:r>
        <w:rPr/>
        <w:pict>
          <v:group style="position:absolute;margin-left:161.899994pt;margin-top:35.598701pt;width:75.650pt;height:58.85pt;mso-position-horizontal-relative:page;mso-position-vertical-relative:paragraph;z-index:-666904" coordorigin="3238,712" coordsize="1513,1177">
            <v:group style="position:absolute;left:3297;top:719;width:1446;height:470" coordorigin="3297,719" coordsize="1446,470">
              <v:shape style="position:absolute;left:3297;top:719;width:1446;height:470" coordorigin="3297,719" coordsize="1446,470" path="m3375,719l3345,726,3320,742,3303,767,3297,798,3297,1111,3303,1142,3320,1167,3345,1183,3375,1189,4665,1189,4695,1183,4720,1167,4737,1142,4743,1111,4743,798,4737,767,4720,742,4695,726,4665,719,3375,719xe" filled="false" stroked="true" strokeweight=".75pt" strokecolor="#000000">
                <v:path arrowok="t"/>
              </v:shape>
            </v:group>
            <v:group style="position:absolute;left:3915;top:1179;width:120;height:709" coordorigin="3915,1179" coordsize="120,709">
              <v:shape style="position:absolute;left:3915;top:1179;width:120;height:709" coordorigin="3915,1179" coordsize="120,709" path="m3965,1768l3915,1768,3975,1888,4020,1798,3969,1798,3965,1794,3965,1768xe" filled="true" fillcolor="#000000" stroked="false">
                <v:path arrowok="t"/>
                <v:fill type="solid"/>
              </v:shape>
              <v:shape style="position:absolute;left:3915;top:1179;width:120;height:709" coordorigin="3915,1179" coordsize="120,709" path="m3980,1179l3968,1179,3964,1184,3965,1794,3969,1798,3980,1798,3985,1794,3984,1189,3984,1184,3980,1179xe" filled="true" fillcolor="#000000" stroked="false">
                <v:path arrowok="t"/>
                <v:fill type="solid"/>
              </v:shape>
              <v:shape style="position:absolute;left:3915;top:1179;width:120;height:709" coordorigin="3915,1179" coordsize="120,709" path="m4035,1768l3985,1768,3985,1794,3980,1798,4020,1798,4035,1768xe" filled="true" fillcolor="#000000" stroked="false">
                <v:path arrowok="t"/>
                <v:fill type="solid"/>
              </v:shape>
              <v:shape style="position:absolute;left:3800;top:860;width:442;height:221" type="#_x0000_t202" filled="false" stroked="false">
                <v:textbox inset="0,0,0,0">
                  <w:txbxContent>
                    <w:p>
                      <w:pPr>
                        <w:spacing w:line="221" w:lineRule="exact" w:before="0"/>
                        <w:ind w:left="0" w:right="0" w:firstLine="0"/>
                        <w:jc w:val="left"/>
                        <w:rPr>
                          <w:rFonts w:ascii="宋体" w:hAnsi="宋体" w:cs="宋体" w:eastAsia="宋体" w:hint="default"/>
                          <w:sz w:val="22"/>
                          <w:szCs w:val="22"/>
                        </w:rPr>
                      </w:pPr>
                      <w:r>
                        <w:rPr>
                          <w:rFonts w:ascii="宋体" w:hAnsi="宋体" w:cs="宋体" w:eastAsia="宋体" w:hint="default"/>
                          <w:b/>
                          <w:bCs/>
                          <w:sz w:val="22"/>
                          <w:szCs w:val="22"/>
                        </w:rPr>
                        <w:t>杜力</w:t>
                      </w:r>
                      <w:r>
                        <w:rPr>
                          <w:rFonts w:ascii="宋体" w:hAnsi="宋体" w:cs="宋体" w:eastAsia="宋体" w:hint="default"/>
                          <w:sz w:val="22"/>
                          <w:szCs w:val="22"/>
                        </w:rPr>
                      </w:r>
                    </w:p>
                  </w:txbxContent>
                </v:textbox>
                <w10:wrap type="none"/>
              </v:shape>
              <v:shape style="position:absolute;left:3238;top:1455;width:442;height:221" type="#_x0000_t202" filled="false" stroked="false">
                <v:textbox inset="0,0,0,0">
                  <w:txbxContent>
                    <w:p>
                      <w:pPr>
                        <w:spacing w:line="221" w:lineRule="exact" w:before="0"/>
                        <w:ind w:left="0" w:right="0" w:firstLine="0"/>
                        <w:jc w:val="left"/>
                        <w:rPr>
                          <w:rFonts w:ascii="Times New Roman" w:hAnsi="Times New Roman" w:cs="Times New Roman" w:eastAsia="Times New Roman" w:hint="default"/>
                          <w:sz w:val="22"/>
                          <w:szCs w:val="22"/>
                        </w:rPr>
                      </w:pPr>
                      <w:r>
                        <w:rPr>
                          <w:rFonts w:ascii="Times New Roman"/>
                          <w:b/>
                          <w:sz w:val="22"/>
                        </w:rPr>
                        <w:t>80%</w:t>
                      </w:r>
                      <w:r>
                        <w:rPr>
                          <w:rFonts w:ascii="Times New Roman"/>
                          <w:sz w:val="22"/>
                        </w:rPr>
                      </w:r>
                    </w:p>
                  </w:txbxContent>
                </v:textbox>
                <w10:wrap type="none"/>
              </v:shape>
            </v:group>
            <w10:wrap type="none"/>
          </v:group>
        </w:pict>
      </w:r>
      <w:r>
        <w:rPr/>
        <w:t>公司与实际控制人之间的产权及控制关系的方框图</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p>
      <w:pPr>
        <w:spacing w:line="1646" w:lineRule="exact"/>
        <w:ind w:left="2317" w:right="0" w:firstLine="0"/>
        <w:rPr>
          <w:rFonts w:ascii="宋体" w:hAnsi="宋体" w:cs="宋体" w:eastAsia="宋体" w:hint="default"/>
          <w:sz w:val="20"/>
          <w:szCs w:val="20"/>
        </w:rPr>
      </w:pPr>
      <w:r>
        <w:rPr>
          <w:rFonts w:ascii="宋体" w:hAnsi="宋体" w:cs="宋体" w:eastAsia="宋体" w:hint="default"/>
          <w:position w:val="-32"/>
          <w:sz w:val="20"/>
          <w:szCs w:val="20"/>
        </w:rPr>
        <w:pict>
          <v:group style="width:172.65pt;height:82.35pt;mso-position-horizontal-relative:char;mso-position-vertical-relative:line" coordorigin="0,0" coordsize="3453,1647">
            <v:group style="position:absolute;left:1930;top:8;width:1446;height:470" coordorigin="1930,8" coordsize="1446,470">
              <v:shape style="position:absolute;left:1930;top:8;width:1446;height:470" coordorigin="1930,8" coordsize="1446,470" path="m2008,8l1978,14,1953,30,1936,55,1930,86,1930,399,1936,430,1953,455,1978,471,2008,478,3298,478,3328,471,3353,455,3370,430,3376,399,3376,86,3370,55,3353,30,3328,14,3298,8,2008,8xe" filled="false" stroked="true" strokeweight=".75pt" strokecolor="#000000">
                <v:path arrowok="t"/>
              </v:shape>
            </v:group>
            <v:group style="position:absolute;left:2509;top:468;width:120;height:709" coordorigin="2509,468" coordsize="120,709">
              <v:shape style="position:absolute;left:2509;top:468;width:120;height:709" coordorigin="2509,468" coordsize="120,709" path="m2559,1057l2509,1057,2569,1177,2614,1087,2563,1087,2559,1082,2559,1057xe" filled="true" fillcolor="#000000" stroked="false">
                <v:path arrowok="t"/>
                <v:fill type="solid"/>
              </v:shape>
              <v:shape style="position:absolute;left:2509;top:468;width:120;height:709" coordorigin="2509,468" coordsize="120,709" path="m2574,468l2562,468,2558,472,2559,1082,2563,1087,2574,1087,2579,1082,2578,478,2578,472,2574,468xe" filled="true" fillcolor="#000000" stroked="false">
                <v:path arrowok="t"/>
                <v:fill type="solid"/>
              </v:shape>
              <v:shape style="position:absolute;left:2509;top:468;width:120;height:709" coordorigin="2509,468" coordsize="120,709" path="m2629,1057l2579,1057,2579,1082,2574,1087,2614,1087,2629,1057xe" filled="true" fillcolor="#000000" stroked="false">
                <v:path arrowok="t"/>
                <v:fill type="solid"/>
              </v:shape>
              <v:shape style="position:absolute;left:2433;top:148;width:442;height:221" type="#_x0000_t202" filled="false" stroked="false">
                <v:textbox inset="0,0,0,0">
                  <w:txbxContent>
                    <w:p>
                      <w:pPr>
                        <w:spacing w:line="221" w:lineRule="exact" w:before="0"/>
                        <w:ind w:left="0" w:right="0" w:firstLine="0"/>
                        <w:jc w:val="left"/>
                        <w:rPr>
                          <w:rFonts w:ascii="宋体" w:hAnsi="宋体" w:cs="宋体" w:eastAsia="宋体" w:hint="default"/>
                          <w:sz w:val="22"/>
                          <w:szCs w:val="22"/>
                        </w:rPr>
                      </w:pPr>
                      <w:r>
                        <w:rPr>
                          <w:rFonts w:ascii="宋体" w:hAnsi="宋体" w:cs="宋体" w:eastAsia="宋体" w:hint="default"/>
                          <w:b/>
                          <w:bCs/>
                          <w:sz w:val="22"/>
                          <w:szCs w:val="22"/>
                        </w:rPr>
                        <w:t>张巍</w:t>
                      </w:r>
                      <w:r>
                        <w:rPr>
                          <w:rFonts w:ascii="宋体" w:hAnsi="宋体" w:cs="宋体" w:eastAsia="宋体" w:hint="default"/>
                          <w:sz w:val="22"/>
                          <w:szCs w:val="22"/>
                        </w:rPr>
                      </w:r>
                    </w:p>
                  </w:txbxContent>
                </v:textbox>
                <w10:wrap type="none"/>
              </v:shape>
              <v:shape style="position:absolute;left:1787;top:743;width:442;height:221" type="#_x0000_t202" filled="false" stroked="false">
                <v:textbox inset="0,0,0,0">
                  <w:txbxContent>
                    <w:p>
                      <w:pPr>
                        <w:spacing w:line="221" w:lineRule="exact" w:before="0"/>
                        <w:ind w:left="0" w:right="0" w:firstLine="0"/>
                        <w:jc w:val="left"/>
                        <w:rPr>
                          <w:rFonts w:ascii="Times New Roman" w:hAnsi="Times New Roman" w:cs="Times New Roman" w:eastAsia="Times New Roman" w:hint="default"/>
                          <w:sz w:val="22"/>
                          <w:szCs w:val="22"/>
                        </w:rPr>
                      </w:pPr>
                      <w:r>
                        <w:rPr>
                          <w:rFonts w:ascii="Times New Roman"/>
                          <w:b/>
                          <w:sz w:val="22"/>
                        </w:rPr>
                        <w:t>20%</w:t>
                      </w:r>
                      <w:r>
                        <w:rPr>
                          <w:rFonts w:ascii="Times New Roman"/>
                          <w:sz w:val="22"/>
                        </w:rPr>
                      </w:r>
                    </w:p>
                  </w:txbxContent>
                </v:textbox>
                <w10:wrap type="none"/>
              </v:shape>
              <v:shape style="position:absolute;left:0;top:1177;width:3453;height:470" type="#_x0000_t202" filled="false" stroked="true" strokeweight=".75pt" strokecolor="#000000">
                <v:textbox inset="0,0,0,0">
                  <w:txbxContent>
                    <w:p>
                      <w:pPr>
                        <w:spacing w:before="65"/>
                        <w:ind w:left="173" w:right="0" w:firstLine="0"/>
                        <w:jc w:val="left"/>
                        <w:rPr>
                          <w:rFonts w:ascii="宋体" w:hAnsi="宋体" w:cs="宋体" w:eastAsia="宋体" w:hint="default"/>
                          <w:sz w:val="22"/>
                          <w:szCs w:val="22"/>
                        </w:rPr>
                      </w:pPr>
                      <w:r>
                        <w:rPr>
                          <w:rFonts w:ascii="宋体" w:hAnsi="宋体" w:cs="宋体" w:eastAsia="宋体" w:hint="default"/>
                          <w:b/>
                          <w:bCs/>
                          <w:sz w:val="22"/>
                          <w:szCs w:val="22"/>
                        </w:rPr>
                        <w:t>北京凤凰财富产业投资有限公司</w:t>
                      </w:r>
                      <w:r>
                        <w:rPr>
                          <w:rFonts w:ascii="宋体" w:hAnsi="宋体" w:cs="宋体" w:eastAsia="宋体" w:hint="default"/>
                          <w:sz w:val="22"/>
                          <w:szCs w:val="22"/>
                        </w:rPr>
                      </w:r>
                    </w:p>
                  </w:txbxContent>
                </v:textbox>
                <w10:wrap type="none"/>
              </v:shape>
            </v:group>
          </v:group>
        </w:pict>
      </w:r>
      <w:r>
        <w:rPr>
          <w:rFonts w:ascii="宋体" w:hAnsi="宋体" w:cs="宋体" w:eastAsia="宋体" w:hint="default"/>
          <w:position w:val="-32"/>
          <w:sz w:val="20"/>
          <w:szCs w:val="20"/>
        </w:rPr>
      </w:r>
    </w:p>
    <w:p>
      <w:pPr>
        <w:spacing w:line="240" w:lineRule="auto" w:before="9"/>
        <w:rPr>
          <w:rFonts w:ascii="宋体" w:hAnsi="宋体" w:cs="宋体" w:eastAsia="宋体" w:hint="default"/>
          <w:sz w:val="12"/>
          <w:szCs w:val="12"/>
        </w:rPr>
      </w:pPr>
    </w:p>
    <w:p>
      <w:pPr>
        <w:pStyle w:val="Heading3"/>
        <w:spacing w:line="240" w:lineRule="auto"/>
        <w:ind w:left="3074" w:right="0"/>
        <w:jc w:val="left"/>
        <w:rPr>
          <w:rFonts w:ascii="Times New Roman" w:hAnsi="Times New Roman" w:cs="Times New Roman" w:eastAsia="Times New Roman" w:hint="default"/>
          <w:b w:val="0"/>
          <w:bCs w:val="0"/>
        </w:rPr>
      </w:pPr>
      <w:r>
        <w:rPr/>
        <w:pict>
          <v:group style="position:absolute;margin-left:226.550003pt;margin-top:-90.615456pt;width:208.65pt;height:199.25pt;mso-position-horizontal-relative:page;mso-position-vertical-relative:paragraph;z-index:-666976" coordorigin="4531,-1812" coordsize="4173,3985">
            <v:group style="position:absolute;left:7169;top:-1805;width:1445;height:470" coordorigin="7169,-1805" coordsize="1445,470">
              <v:shape style="position:absolute;left:7169;top:-1805;width:1445;height:470" coordorigin="7169,-1805" coordsize="1445,470" path="m7247,-1805l7217,-1799,7192,-1782,7175,-1757,7169,-1726,7169,-1413,7175,-1383,7192,-1358,7217,-1341,7247,-1335,8536,-1335,8566,-1341,8591,-1358,8608,-1383,8614,-1413,8614,-1726,8608,-1757,8591,-1782,8566,-1799,8536,-1805,7247,-1805xe" filled="false" stroked="true" strokeweight=".75pt" strokecolor="#000000">
                <v:path arrowok="t"/>
              </v:shape>
            </v:group>
            <v:group style="position:absolute;left:7833;top:-1345;width:120;height:3047" coordorigin="7833,-1345" coordsize="120,3047">
              <v:shape style="position:absolute;left:7833;top:-1345;width:120;height:3047" coordorigin="7833,-1345" coordsize="120,3047" path="m7883,1582l7833,1582,7893,1702,7938,1612,7887,1612,7883,1608,7883,1582xe" filled="true" fillcolor="#000000" stroked="false">
                <v:path arrowok="t"/>
                <v:fill type="solid"/>
              </v:shape>
              <v:shape style="position:absolute;left:7833;top:-1345;width:120;height:3047" coordorigin="7833,-1345" coordsize="120,3047" path="m7898,-1345l7886,-1345,7882,-1340,7883,1608,7887,1612,7898,1612,7903,1608,7902,-1335,7902,-1340,7898,-1345xe" filled="true" fillcolor="#000000" stroked="false">
                <v:path arrowok="t"/>
                <v:fill type="solid"/>
              </v:shape>
              <v:shape style="position:absolute;left:7833;top:-1345;width:120;height:3047" coordorigin="7833,-1345" coordsize="120,3047" path="m7953,1582l7903,1582,7903,1608,7898,1612,7938,1612,7953,1582xe" filled="true" fillcolor="#000000" stroked="false">
                <v:path arrowok="t"/>
                <v:fill type="solid"/>
              </v:shape>
              <v:shape style="position:absolute;left:7672;top:-1664;width:442;height:221" type="#_x0000_t202" filled="false" stroked="false">
                <v:textbox inset="0,0,0,0">
                  <w:txbxContent>
                    <w:p>
                      <w:pPr>
                        <w:spacing w:line="221" w:lineRule="exact" w:before="0"/>
                        <w:ind w:left="0" w:right="0" w:firstLine="0"/>
                        <w:jc w:val="left"/>
                        <w:rPr>
                          <w:rFonts w:ascii="宋体" w:hAnsi="宋体" w:cs="宋体" w:eastAsia="宋体" w:hint="default"/>
                          <w:sz w:val="22"/>
                          <w:szCs w:val="22"/>
                        </w:rPr>
                      </w:pPr>
                      <w:r>
                        <w:rPr>
                          <w:rFonts w:ascii="宋体" w:hAnsi="宋体" w:cs="宋体" w:eastAsia="宋体" w:hint="default"/>
                          <w:b/>
                          <w:bCs/>
                          <w:sz w:val="22"/>
                          <w:szCs w:val="22"/>
                        </w:rPr>
                        <w:t>杜力</w:t>
                      </w:r>
                      <w:r>
                        <w:rPr>
                          <w:rFonts w:ascii="宋体" w:hAnsi="宋体" w:cs="宋体" w:eastAsia="宋体" w:hint="default"/>
                          <w:sz w:val="22"/>
                          <w:szCs w:val="22"/>
                        </w:rPr>
                      </w:r>
                    </w:p>
                  </w:txbxContent>
                </v:textbox>
                <w10:wrap type="none"/>
              </v:shape>
              <v:shape style="position:absolute;left:7259;top:-18;width:442;height:221" type="#_x0000_t202" filled="false" stroked="false">
                <v:textbox inset="0,0,0,0">
                  <w:txbxContent>
                    <w:p>
                      <w:pPr>
                        <w:spacing w:line="221" w:lineRule="exact" w:before="0"/>
                        <w:ind w:left="0" w:right="0" w:firstLine="0"/>
                        <w:jc w:val="left"/>
                        <w:rPr>
                          <w:rFonts w:ascii="Times New Roman" w:hAnsi="Times New Roman" w:cs="Times New Roman" w:eastAsia="Times New Roman" w:hint="default"/>
                          <w:sz w:val="22"/>
                          <w:szCs w:val="22"/>
                        </w:rPr>
                      </w:pPr>
                      <w:r>
                        <w:rPr>
                          <w:rFonts w:ascii="Times New Roman"/>
                          <w:b/>
                          <w:sz w:val="22"/>
                        </w:rPr>
                        <w:t>25%</w:t>
                      </w:r>
                      <w:r>
                        <w:rPr>
                          <w:rFonts w:ascii="Times New Roman"/>
                          <w:sz w:val="22"/>
                        </w:rPr>
                      </w:r>
                    </w:p>
                  </w:txbxContent>
                </v:textbox>
                <w10:wrap type="none"/>
              </v:shape>
              <v:shape style="position:absolute;left:4531;top:1702;width:4173;height:470" type="#_x0000_t202" filled="false" stroked="true" strokeweight=".75pt" strokecolor="#000000">
                <v:textbox inset="0,0,0,0">
                  <w:txbxContent>
                    <w:p>
                      <w:pPr>
                        <w:spacing w:before="65"/>
                        <w:ind w:left="159" w:right="0" w:firstLine="0"/>
                        <w:jc w:val="left"/>
                        <w:rPr>
                          <w:rFonts w:ascii="宋体" w:hAnsi="宋体" w:cs="宋体" w:eastAsia="宋体" w:hint="default"/>
                          <w:sz w:val="22"/>
                          <w:szCs w:val="22"/>
                        </w:rPr>
                      </w:pPr>
                      <w:r>
                        <w:rPr>
                          <w:rFonts w:ascii="宋体" w:hAnsi="宋体" w:cs="宋体" w:eastAsia="宋体" w:hint="default"/>
                          <w:b/>
                          <w:bCs/>
                          <w:sz w:val="22"/>
                          <w:szCs w:val="22"/>
                        </w:rPr>
                        <w:t>北京凤凰财智创新投资中心（有限合伙）</w:t>
                      </w:r>
                      <w:r>
                        <w:rPr>
                          <w:rFonts w:ascii="宋体" w:hAnsi="宋体" w:cs="宋体" w:eastAsia="宋体" w:hint="default"/>
                          <w:sz w:val="22"/>
                          <w:szCs w:val="22"/>
                        </w:rPr>
                      </w:r>
                    </w:p>
                  </w:txbxContent>
                </v:textbox>
                <w10:wrap type="none"/>
              </v:shape>
            </v:group>
            <w10:wrap type="none"/>
          </v:group>
        </w:pict>
      </w:r>
      <w:r>
        <w:rPr/>
        <w:pict>
          <v:group style="position:absolute;margin-left:247.490005pt;margin-top:-8.790459pt;width:6pt;height:35.450pt;mso-position-horizontal-relative:page;mso-position-vertical-relative:paragraph;z-index:-666880" coordorigin="4950,-176" coordsize="120,709">
            <v:shape style="position:absolute;left:4950;top:-176;width:120;height:709" coordorigin="4950,-176" coordsize="120,709" path="m5000,413l4950,413,5010,533,5055,443,5004,443,5000,439,5000,413xe" filled="true" fillcolor="#000000" stroked="false">
              <v:path arrowok="t"/>
              <v:fill type="solid"/>
            </v:shape>
            <v:shape style="position:absolute;left:4950;top:-176;width:120;height:709" coordorigin="4950,-176" coordsize="120,709" path="m5015,-176l5003,-176,4999,-171,5000,439,5004,443,5015,443,5020,439,5019,-166,5019,-171,5015,-176xe" filled="true" fillcolor="#000000" stroked="false">
              <v:path arrowok="t"/>
              <v:fill type="solid"/>
            </v:shape>
            <v:shape style="position:absolute;left:4950;top:-176;width:120;height:709" coordorigin="4950,-176" coordsize="120,709" path="m5070,413l5020,413,5020,439,5015,443,5055,443,5070,413xe" filled="true" fillcolor="#000000" stroked="false">
              <v:path arrowok="t"/>
              <v:fill type="solid"/>
            </v:shape>
            <w10:wrap type="none"/>
          </v:group>
        </w:pict>
      </w:r>
      <w:r>
        <w:rPr>
          <w:rFonts w:ascii="Times New Roman"/>
        </w:rPr>
        <w:t>100%</w:t>
      </w:r>
      <w:r>
        <w:rPr>
          <w:rFonts w:ascii="Times New Roman"/>
          <w:b w:val="0"/>
        </w:rPr>
      </w:r>
    </w:p>
    <w:p>
      <w:pPr>
        <w:spacing w:line="240" w:lineRule="auto" w:before="1"/>
        <w:rPr>
          <w:rFonts w:ascii="Times New Roman" w:hAnsi="Times New Roman" w:cs="Times New Roman" w:eastAsia="Times New Roman" w:hint="default"/>
          <w:b/>
          <w:bCs/>
          <w:sz w:val="18"/>
          <w:szCs w:val="18"/>
        </w:rPr>
      </w:pPr>
    </w:p>
    <w:p>
      <w:pPr>
        <w:spacing w:line="470" w:lineRule="exact"/>
        <w:ind w:left="2317"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shape style="width:172.65pt;height:23.5pt;mso-position-horizontal-relative:char;mso-position-vertical-relative:line" type="#_x0000_t202" filled="false" stroked="true" strokeweight=".75pt" strokecolor="#000000">
            <w10:anchorlock/>
            <v:textbox inset="0,0,0,0">
              <w:txbxContent>
                <w:p>
                  <w:pPr>
                    <w:spacing w:before="65"/>
                    <w:ind w:left="173" w:right="0" w:firstLine="0"/>
                    <w:jc w:val="left"/>
                    <w:rPr>
                      <w:rFonts w:ascii="宋体" w:hAnsi="宋体" w:cs="宋体" w:eastAsia="宋体" w:hint="default"/>
                      <w:sz w:val="22"/>
                      <w:szCs w:val="22"/>
                    </w:rPr>
                  </w:pPr>
                  <w:r>
                    <w:rPr>
                      <w:rFonts w:ascii="宋体" w:hAnsi="宋体" w:cs="宋体" w:eastAsia="宋体" w:hint="default"/>
                      <w:b/>
                      <w:bCs/>
                      <w:sz w:val="22"/>
                      <w:szCs w:val="22"/>
                    </w:rPr>
                    <w:t>北京凤凰财富资产管理有限公司</w:t>
                  </w:r>
                  <w:r>
                    <w:rPr>
                      <w:rFonts w:ascii="宋体" w:hAnsi="宋体" w:cs="宋体" w:eastAsia="宋体" w:hint="default"/>
                      <w:sz w:val="22"/>
                      <w:szCs w:val="22"/>
                    </w:rPr>
                  </w:r>
                </w:p>
              </w:txbxContent>
            </v:textbox>
          </v:shape>
        </w:pict>
      </w:r>
      <w:r>
        <w:rPr>
          <w:rFonts w:ascii="Times New Roman" w:hAnsi="Times New Roman" w:cs="Times New Roman" w:eastAsia="Times New Roman" w:hint="default"/>
          <w:position w:val="-8"/>
          <w:sz w:val="20"/>
          <w:szCs w:val="20"/>
        </w:rPr>
      </w:r>
    </w:p>
    <w:p>
      <w:pPr>
        <w:spacing w:line="240" w:lineRule="auto" w:before="11"/>
        <w:rPr>
          <w:rFonts w:ascii="Times New Roman" w:hAnsi="Times New Roman" w:cs="Times New Roman" w:eastAsia="Times New Roman" w:hint="default"/>
          <w:b/>
          <w:bCs/>
          <w:sz w:val="12"/>
          <w:szCs w:val="12"/>
        </w:rPr>
      </w:pPr>
    </w:p>
    <w:p>
      <w:pPr>
        <w:pStyle w:val="Heading3"/>
        <w:spacing w:line="240" w:lineRule="auto"/>
        <w:ind w:right="2026"/>
        <w:jc w:val="center"/>
        <w:rPr>
          <w:rFonts w:ascii="Times New Roman" w:hAnsi="Times New Roman" w:cs="Times New Roman" w:eastAsia="Times New Roman" w:hint="default"/>
          <w:b w:val="0"/>
          <w:bCs w:val="0"/>
        </w:rPr>
      </w:pPr>
      <w:r>
        <w:rPr/>
        <w:pict>
          <v:group style="position:absolute;margin-left:283.489990pt;margin-top:-7.970464pt;width:6pt;height:35.450pt;mso-position-horizontal-relative:page;mso-position-vertical-relative:paragraph;z-index:-666832" coordorigin="5670,-159" coordsize="120,709">
            <v:shape style="position:absolute;left:5670;top:-159;width:120;height:709" coordorigin="5670,-159" coordsize="120,709" path="m5720,430l5670,430,5730,550,5775,460,5724,460,5720,455,5720,430xe" filled="true" fillcolor="#000000" stroked="false">
              <v:path arrowok="t"/>
              <v:fill type="solid"/>
            </v:shape>
            <v:shape style="position:absolute;left:5670;top:-159;width:120;height:709" coordorigin="5670,-159" coordsize="120,709" path="m5735,-159l5723,-159,5719,-155,5720,455,5724,460,5735,460,5740,455,5739,-149,5739,-155,5735,-159xe" filled="true" fillcolor="#000000" stroked="false">
              <v:path arrowok="t"/>
              <v:fill type="solid"/>
            </v:shape>
            <v:shape style="position:absolute;left:5670;top:-159;width:120;height:709" coordorigin="5670,-159" coordsize="120,709" path="m5790,430l5740,430,5740,455,5735,460,5775,460,5790,430xe" filled="true" fillcolor="#000000" stroked="false">
              <v:path arrowok="t"/>
              <v:fill type="solid"/>
            </v:shape>
            <w10:wrap type="none"/>
          </v:group>
        </w:pict>
      </w:r>
      <w:r>
        <w:rPr>
          <w:rFonts w:ascii="Times New Roman"/>
        </w:rPr>
        <w:t>0.00083%</w:t>
      </w:r>
      <w:r>
        <w:rPr>
          <w:rFonts w:ascii="Times New Roman"/>
          <w:b w:val="0"/>
        </w:rPr>
      </w: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7"/>
        <w:rPr>
          <w:rFonts w:ascii="Times New Roman" w:hAnsi="Times New Roman" w:cs="Times New Roman" w:eastAsia="Times New Roman" w:hint="default"/>
          <w:b/>
          <w:bCs/>
          <w:sz w:val="19"/>
          <w:szCs w:val="19"/>
        </w:rPr>
      </w:pPr>
    </w:p>
    <w:p>
      <w:pPr>
        <w:pStyle w:val="Heading3"/>
        <w:spacing w:line="240" w:lineRule="auto" w:before="0"/>
        <w:ind w:right="298"/>
        <w:jc w:val="center"/>
        <w:rPr>
          <w:rFonts w:ascii="Times New Roman" w:hAnsi="Times New Roman" w:cs="Times New Roman" w:eastAsia="Times New Roman" w:hint="default"/>
          <w:b w:val="0"/>
          <w:bCs w:val="0"/>
        </w:rPr>
      </w:pPr>
      <w:r>
        <w:rPr/>
        <w:pict>
          <v:group style="position:absolute;margin-left:320.290009pt;margin-top:-11.560467pt;width:6pt;height:35.450pt;mso-position-horizontal-relative:page;mso-position-vertical-relative:paragraph;z-index:-666856" coordorigin="6406,-231" coordsize="120,709">
            <v:shape style="position:absolute;left:6406;top:-231;width:120;height:709" coordorigin="6406,-231" coordsize="120,709" path="m6456,358l6406,358,6466,478,6511,388,6460,388,6456,383,6456,358xe" filled="true" fillcolor="#000000" stroked="false">
              <v:path arrowok="t"/>
              <v:fill type="solid"/>
            </v:shape>
            <v:shape style="position:absolute;left:6406;top:-231;width:120;height:709" coordorigin="6406,-231" coordsize="120,709" path="m6471,-231l6459,-231,6455,-227,6456,383,6460,388,6471,388,6476,383,6475,-221,6475,-227,6471,-231xe" filled="true" fillcolor="#000000" stroked="false">
              <v:path arrowok="t"/>
              <v:fill type="solid"/>
            </v:shape>
            <v:shape style="position:absolute;left:6406;top:-231;width:120;height:709" coordorigin="6406,-231" coordsize="120,709" path="m6526,358l6476,358,6476,383,6471,388,6511,388,6526,358xe" filled="true" fillcolor="#000000" stroked="false">
              <v:path arrowok="t"/>
              <v:fill type="solid"/>
            </v:shape>
            <w10:wrap type="none"/>
          </v:group>
        </w:pict>
      </w:r>
      <w:r>
        <w:rPr>
          <w:rFonts w:ascii="Times New Roman"/>
        </w:rPr>
        <w:t>29.83%</w:t>
      </w:r>
      <w:r>
        <w:rPr>
          <w:rFonts w:ascii="Times New Roman"/>
          <w:b w:val="0"/>
        </w:rPr>
      </w:r>
    </w:p>
    <w:p>
      <w:pPr>
        <w:spacing w:line="240" w:lineRule="auto" w:before="6"/>
        <w:rPr>
          <w:rFonts w:ascii="Times New Roman" w:hAnsi="Times New Roman" w:cs="Times New Roman" w:eastAsia="Times New Roman" w:hint="default"/>
          <w:b/>
          <w:bCs/>
          <w:sz w:val="19"/>
          <w:szCs w:val="19"/>
        </w:rPr>
      </w:pPr>
    </w:p>
    <w:p>
      <w:pPr>
        <w:spacing w:line="470" w:lineRule="exact"/>
        <w:ind w:left="3551"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shape style="width:208.65pt;height:23.5pt;mso-position-horizontal-relative:char;mso-position-vertical-relative:line" type="#_x0000_t202" filled="false" stroked="true" strokeweight=".75pt" strokecolor="#000000">
            <w10:anchorlock/>
            <v:textbox inset="0,0,0,0">
              <w:txbxContent>
                <w:p>
                  <w:pPr>
                    <w:spacing w:before="68"/>
                    <w:ind w:left="533" w:right="0" w:firstLine="0"/>
                    <w:jc w:val="left"/>
                    <w:rPr>
                      <w:rFonts w:ascii="宋体" w:hAnsi="宋体" w:cs="宋体" w:eastAsia="宋体" w:hint="default"/>
                      <w:sz w:val="22"/>
                      <w:szCs w:val="22"/>
                    </w:rPr>
                  </w:pPr>
                  <w:r>
                    <w:rPr>
                      <w:rFonts w:ascii="宋体" w:hAnsi="宋体" w:cs="宋体" w:eastAsia="宋体" w:hint="default"/>
                      <w:b/>
                      <w:bCs/>
                      <w:sz w:val="22"/>
                      <w:szCs w:val="22"/>
                    </w:rPr>
                    <w:t>北京凤凰财富资产管理有限公司</w:t>
                  </w:r>
                  <w:r>
                    <w:rPr>
                      <w:rFonts w:ascii="宋体" w:hAnsi="宋体" w:cs="宋体" w:eastAsia="宋体" w:hint="default"/>
                      <w:sz w:val="22"/>
                      <w:szCs w:val="22"/>
                    </w:rPr>
                  </w:r>
                </w:p>
              </w:txbxContent>
            </v:textbox>
          </v:shape>
        </w:pict>
      </w:r>
      <w:r>
        <w:rPr>
          <w:rFonts w:ascii="Times New Roman" w:hAnsi="Times New Roman" w:cs="Times New Roman" w:eastAsia="Times New Roman" w:hint="default"/>
          <w:position w:val="-8"/>
          <w:sz w:val="20"/>
          <w:szCs w:val="20"/>
        </w:rPr>
      </w:r>
    </w:p>
    <w:p>
      <w:pPr>
        <w:spacing w:line="240" w:lineRule="auto" w:before="3"/>
        <w:rPr>
          <w:rFonts w:ascii="Times New Roman" w:hAnsi="Times New Roman" w:cs="Times New Roman" w:eastAsia="Times New Roman" w:hint="default"/>
          <w:b/>
          <w:bCs/>
          <w:sz w:val="24"/>
          <w:szCs w:val="24"/>
        </w:rPr>
      </w:pPr>
    </w:p>
    <w:p>
      <w:pPr>
        <w:pStyle w:val="BodyText"/>
        <w:tabs>
          <w:tab w:pos="7087" w:val="left" w:leader="none"/>
        </w:tabs>
        <w:spacing w:line="240" w:lineRule="auto" w:before="36"/>
        <w:ind w:right="0"/>
        <w:jc w:val="left"/>
      </w:pPr>
      <w:r>
        <w:rPr>
          <w:spacing w:val="-2"/>
        </w:rPr>
        <w:t>实际控制人通过信托或其他资产管理方式控制公司</w:t>
        <w:tab/>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spacing w:val="-1"/>
        </w:rPr>
        <w:t>不适用</w:t>
      </w:r>
    </w:p>
    <w:p>
      <w:pPr>
        <w:spacing w:line="240" w:lineRule="auto" w:before="7"/>
        <w:rPr>
          <w:rFonts w:ascii="宋体" w:hAnsi="宋体" w:cs="宋体" w:eastAsia="宋体" w:hint="default"/>
          <w:sz w:val="24"/>
          <w:szCs w:val="24"/>
        </w:rPr>
      </w:pPr>
    </w:p>
    <w:p>
      <w:pPr>
        <w:tabs>
          <w:tab w:pos="8113" w:val="left" w:leader="none"/>
        </w:tabs>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、其他持股在</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以上的法人股东</w:t>
        <w:tab/>
      </w: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不适用</w:t>
      </w:r>
    </w:p>
    <w:p>
      <w:pPr>
        <w:spacing w:line="240" w:lineRule="auto" w:before="10"/>
        <w:rPr>
          <w:rFonts w:ascii="宋体" w:hAnsi="宋体" w:cs="宋体" w:eastAsia="宋体" w:hint="default"/>
          <w:sz w:val="24"/>
          <w:szCs w:val="24"/>
        </w:rPr>
      </w:pPr>
    </w:p>
    <w:p>
      <w:pPr>
        <w:tabs>
          <w:tab w:pos="8165" w:val="left" w:leader="none"/>
        </w:tabs>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5</w:t>
      </w:r>
      <w:r>
        <w:rPr>
          <w:rFonts w:ascii="宋体" w:hAnsi="宋体" w:cs="宋体" w:eastAsia="宋体" w:hint="default"/>
          <w:b/>
          <w:bCs/>
          <w:spacing w:val="-1"/>
          <w:sz w:val="21"/>
          <w:szCs w:val="21"/>
        </w:rPr>
        <w:t>、控股股东、实际控制人、重组方及其他承诺主体股份限制减持情况</w:t>
        <w:tab/>
      </w:r>
      <w:r>
        <w:rPr>
          <w:rFonts w:ascii="Times New Roman" w:hAnsi="Times New Roman" w:cs="Times New Roman" w:eastAsia="Times New Roman" w:hint="default"/>
          <w:sz w:val="21"/>
          <w:szCs w:val="21"/>
        </w:rPr>
        <w:t>□  </w:t>
      </w:r>
      <w:r>
        <w:rPr>
          <w:rFonts w:ascii="宋体" w:hAnsi="宋体" w:cs="宋体" w:eastAsia="宋体" w:hint="default"/>
          <w:spacing w:val="-2"/>
          <w:sz w:val="21"/>
          <w:szCs w:val="21"/>
        </w:rPr>
        <w:t>适用</w:t>
      </w:r>
      <w:r>
        <w:rPr>
          <w:rFonts w:ascii="宋体" w:hAnsi="宋体" w:cs="宋体" w:eastAsia="宋体" w:hint="default"/>
          <w:sz w:val="21"/>
          <w:szCs w:val="21"/>
        </w:rPr>
        <w:t>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5"/>
          <w:sz w:val="21"/>
          <w:szCs w:val="21"/>
        </w:rPr>
        <w:t> </w:t>
      </w:r>
      <w:r>
        <w:rPr>
          <w:rFonts w:ascii="宋体" w:hAnsi="宋体" w:cs="宋体" w:eastAsia="宋体" w:hint="default"/>
          <w:spacing w:val="-1"/>
          <w:sz w:val="21"/>
          <w:szCs w:val="21"/>
        </w:rPr>
        <w:t>不适用</w:t>
      </w:r>
    </w:p>
    <w:p>
      <w:pPr>
        <w:spacing w:after="0"/>
        <w:jc w:val="left"/>
        <w:rPr>
          <w:rFonts w:ascii="宋体" w:hAnsi="宋体" w:cs="宋体" w:eastAsia="宋体" w:hint="default"/>
          <w:sz w:val="21"/>
          <w:szCs w:val="21"/>
        </w:rPr>
        <w:sectPr>
          <w:pgSz w:w="11910" w:h="16840"/>
          <w:pgMar w:header="877"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285" w:right="0"/>
        <w:jc w:val="left"/>
        <w:rPr>
          <w:b w:val="0"/>
          <w:bCs w:val="0"/>
        </w:rPr>
      </w:pPr>
      <w:bookmarkStart w:name="_bookmark5" w:id="6"/>
      <w:bookmarkEnd w:id="6"/>
      <w:r>
        <w:rPr>
          <w:b w:val="0"/>
          <w:bCs w:val="0"/>
        </w:rPr>
      </w:r>
      <w:r>
        <w:rPr/>
        <w:t>第七节</w:t>
      </w:r>
      <w:r>
        <w:rPr>
          <w:spacing w:val="-6"/>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8"/>
          <w:szCs w:val="18"/>
        </w:rPr>
      </w:pPr>
    </w:p>
    <w:p>
      <w:pPr>
        <w:pStyle w:val="BodyText"/>
        <w:spacing w:line="290" w:lineRule="auto" w:before="36"/>
        <w:ind w:right="58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报告期公司不存在优先股。</w:t>
      </w:r>
    </w:p>
    <w:p>
      <w:pPr>
        <w:spacing w:after="0" w:line="290" w:lineRule="auto"/>
        <w:jc w:val="left"/>
        <w:sectPr>
          <w:pgSz w:w="11910" w:h="16840"/>
          <w:pgMar w:header="877" w:footer="979" w:top="1060" w:bottom="1160" w:left="980" w:right="980"/>
        </w:sectPr>
      </w:pPr>
    </w:p>
    <w:p>
      <w:pPr>
        <w:spacing w:line="240" w:lineRule="auto" w:before="0"/>
        <w:rPr>
          <w:rFonts w:ascii="宋体" w:hAnsi="宋体" w:cs="宋体" w:eastAsia="宋体" w:hint="default"/>
          <w:sz w:val="20"/>
          <w:szCs w:val="20"/>
        </w:rPr>
      </w:pPr>
      <w:r>
        <w:rPr/>
        <w:pict>
          <v:group style="position:absolute;margin-left:149.059998pt;margin-top:259.249969pt;width:28pt;height:7.8pt;mso-position-horizontal-relative:page;mso-position-vertical-relative:page;z-index:-666784" coordorigin="2981,5185" coordsize="560,156">
            <v:shape style="position:absolute;left:2981;top:5185;width:560;height:156" coordorigin="2981,5185" coordsize="560,156" path="m2981,5341l3540,5341,3540,5185,2981,5185,2981,5341xe" filled="true" fillcolor="#ffffff" stroked="false">
              <v:path arrowok="t"/>
              <v:fill type="solid"/>
            </v:shape>
            <w10:wrap type="none"/>
          </v:group>
        </w:pic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1679" w:right="0"/>
        <w:jc w:val="left"/>
        <w:rPr>
          <w:b w:val="0"/>
          <w:bCs w:val="0"/>
        </w:rPr>
      </w:pPr>
      <w:bookmarkStart w:name="_bookmark6" w:id="7"/>
      <w:bookmarkEnd w:id="7"/>
      <w:r>
        <w:rPr>
          <w:b w:val="0"/>
          <w:bCs w:val="0"/>
        </w:rPr>
      </w:r>
      <w:r>
        <w:rPr/>
        <w:t>第八节</w:t>
      </w:r>
      <w:r>
        <w:rPr>
          <w:spacing w:val="-8"/>
        </w:rPr>
        <w:t> </w:t>
      </w:r>
      <w:r>
        <w:rPr/>
        <w:t>董事、监事、高级管理人员和员工情况</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left"/>
        <w:rPr>
          <w:b w:val="0"/>
          <w:bCs w:val="0"/>
        </w:rPr>
      </w:pPr>
      <w:r>
        <w:rPr/>
        <w:pict>
          <v:shape style="position:absolute;margin-left:427.989044pt;margin-top:66.215599pt;width:52.75pt;height:17.650pt;mso-position-horizontal-relative:page;mso-position-vertical-relative:paragraph;z-index:-666808" type="#_x0000_t202" filled="false" stroked="false">
            <v:textbox inset="0,0,0,0">
              <w:txbxContent>
                <w:p>
                  <w:pPr>
                    <w:pStyle w:val="BodyText"/>
                    <w:spacing w:line="262" w:lineRule="exact"/>
                    <w:ind w:left="0" w:right="0"/>
                    <w:jc w:val="left"/>
                  </w:pPr>
                  <w:r>
                    <w:rPr/>
                    <w:t>（股）</w:t>
                  </w:r>
                </w:p>
              </w:txbxContent>
            </v:textbox>
            <w10:wrap type="none"/>
          </v:shape>
        </w:pict>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800"/>
        <w:gridCol w:w="1044"/>
        <w:gridCol w:w="566"/>
        <w:gridCol w:w="356"/>
        <w:gridCol w:w="355"/>
        <w:gridCol w:w="991"/>
        <w:gridCol w:w="992"/>
        <w:gridCol w:w="994"/>
        <w:gridCol w:w="1135"/>
        <w:gridCol w:w="745"/>
        <w:gridCol w:w="530"/>
        <w:gridCol w:w="1066"/>
      </w:tblGrid>
      <w:tr>
        <w:trPr>
          <w:trHeight w:val="1027"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left="185"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left="307" w:right="0"/>
              <w:jc w:val="left"/>
              <w:rPr>
                <w:rFonts w:ascii="宋体" w:hAnsi="宋体" w:cs="宋体" w:eastAsia="宋体" w:hint="default"/>
                <w:sz w:val="21"/>
                <w:szCs w:val="21"/>
              </w:rPr>
            </w:pPr>
            <w:r>
              <w:rPr>
                <w:rFonts w:ascii="宋体" w:hAnsi="宋体" w:cs="宋体" w:eastAsia="宋体" w:hint="default"/>
                <w:sz w:val="21"/>
                <w:szCs w:val="21"/>
              </w:rPr>
              <w:t>职务</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73" w:lineRule="auto"/>
              <w:ind w:left="69" w:right="62"/>
              <w:jc w:val="left"/>
              <w:rPr>
                <w:rFonts w:ascii="宋体" w:hAnsi="宋体" w:cs="宋体" w:eastAsia="宋体" w:hint="default"/>
                <w:sz w:val="21"/>
                <w:szCs w:val="21"/>
              </w:rPr>
            </w:pPr>
            <w:r>
              <w:rPr>
                <w:rFonts w:ascii="宋体" w:hAnsi="宋体" w:cs="宋体" w:eastAsia="宋体" w:hint="default"/>
                <w:sz w:val="21"/>
                <w:szCs w:val="21"/>
              </w:rPr>
              <w:t>任职</w:t>
            </w:r>
            <w:r>
              <w:rPr>
                <w:rFonts w:ascii="宋体" w:hAnsi="宋体" w:cs="宋体" w:eastAsia="宋体" w:hint="default"/>
                <w:spacing w:val="-103"/>
                <w:sz w:val="21"/>
                <w:szCs w:val="21"/>
              </w:rPr>
              <w:t> </w:t>
            </w:r>
            <w:r>
              <w:rPr>
                <w:rFonts w:ascii="宋体" w:hAnsi="宋体" w:cs="宋体" w:eastAsia="宋体" w:hint="default"/>
                <w:sz w:val="21"/>
                <w:szCs w:val="21"/>
              </w:rPr>
              <w:t>状态</w:t>
            </w:r>
          </w:p>
        </w:tc>
        <w:tc>
          <w:tcPr>
            <w:tcW w:w="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73" w:lineRule="auto"/>
              <w:ind w:left="67" w:right="65"/>
              <w:jc w:val="left"/>
              <w:rPr>
                <w:rFonts w:ascii="宋体" w:hAnsi="宋体" w:cs="宋体" w:eastAsia="宋体" w:hint="default"/>
                <w:sz w:val="21"/>
                <w:szCs w:val="21"/>
              </w:rPr>
            </w:pPr>
            <w:r>
              <w:rPr>
                <w:rFonts w:ascii="宋体" w:hAnsi="宋体" w:cs="宋体" w:eastAsia="宋体" w:hint="default"/>
                <w:sz w:val="21"/>
                <w:szCs w:val="21"/>
              </w:rPr>
              <w:t>性</w:t>
            </w:r>
            <w:r>
              <w:rPr>
                <w:rFonts w:ascii="宋体" w:hAnsi="宋体" w:cs="宋体" w:eastAsia="宋体" w:hint="default"/>
                <w:w w:val="100"/>
                <w:sz w:val="21"/>
                <w:szCs w:val="21"/>
              </w:rPr>
              <w:t> </w:t>
            </w:r>
            <w:r>
              <w:rPr>
                <w:rFonts w:ascii="宋体" w:hAnsi="宋体" w:cs="宋体" w:eastAsia="宋体" w:hint="default"/>
                <w:sz w:val="21"/>
                <w:szCs w:val="21"/>
              </w:rPr>
              <w:t>别</w:t>
            </w:r>
          </w:p>
        </w:tc>
        <w:tc>
          <w:tcPr>
            <w:tcW w:w="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73" w:lineRule="auto"/>
              <w:ind w:left="67" w:right="65"/>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龄</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73" w:lineRule="auto"/>
              <w:ind w:left="280" w:right="65" w:hanging="209"/>
              <w:jc w:val="left"/>
              <w:rPr>
                <w:rFonts w:ascii="宋体" w:hAnsi="宋体" w:cs="宋体" w:eastAsia="宋体" w:hint="default"/>
                <w:sz w:val="21"/>
                <w:szCs w:val="21"/>
              </w:rPr>
            </w:pPr>
            <w:r>
              <w:rPr>
                <w:rFonts w:ascii="宋体" w:hAnsi="宋体" w:cs="宋体" w:eastAsia="宋体" w:hint="default"/>
                <w:sz w:val="21"/>
                <w:szCs w:val="21"/>
              </w:rPr>
              <w:t>任期起始</w:t>
            </w:r>
            <w:r>
              <w:rPr>
                <w:rFonts w:ascii="宋体" w:hAnsi="宋体" w:cs="宋体" w:eastAsia="宋体" w:hint="default"/>
                <w:w w:val="100"/>
                <w:sz w:val="21"/>
                <w:szCs w:val="21"/>
              </w:rPr>
              <w:t> </w:t>
            </w:r>
            <w:r>
              <w:rPr>
                <w:rFonts w:ascii="宋体" w:hAnsi="宋体" w:cs="宋体" w:eastAsia="宋体" w:hint="default"/>
                <w:sz w:val="21"/>
                <w:szCs w:val="21"/>
              </w:rPr>
              <w:t>日期</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73" w:lineRule="auto"/>
              <w:ind w:left="280" w:right="65" w:hanging="209"/>
              <w:jc w:val="left"/>
              <w:rPr>
                <w:rFonts w:ascii="宋体" w:hAnsi="宋体" w:cs="宋体" w:eastAsia="宋体" w:hint="default"/>
                <w:sz w:val="21"/>
                <w:szCs w:val="21"/>
              </w:rPr>
            </w:pPr>
            <w:r>
              <w:rPr>
                <w:rFonts w:ascii="宋体" w:hAnsi="宋体" w:cs="宋体" w:eastAsia="宋体" w:hint="default"/>
                <w:sz w:val="21"/>
                <w:szCs w:val="21"/>
              </w:rPr>
              <w:t>任期终止</w:t>
            </w:r>
            <w:r>
              <w:rPr>
                <w:rFonts w:ascii="宋体" w:hAnsi="宋体" w:cs="宋体" w:eastAsia="宋体" w:hint="default"/>
                <w:w w:val="100"/>
                <w:sz w:val="21"/>
                <w:szCs w:val="21"/>
              </w:rPr>
              <w:t> </w:t>
            </w:r>
            <w:r>
              <w:rPr>
                <w:rFonts w:ascii="宋体" w:hAnsi="宋体" w:cs="宋体" w:eastAsia="宋体" w:hint="default"/>
                <w:sz w:val="21"/>
                <w:szCs w:val="21"/>
              </w:rPr>
              <w:t>日期</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73" w:lineRule="auto"/>
              <w:ind w:left="72" w:right="67"/>
              <w:jc w:val="left"/>
              <w:rPr>
                <w:rFonts w:ascii="宋体" w:hAnsi="宋体" w:cs="宋体" w:eastAsia="宋体" w:hint="default"/>
                <w:sz w:val="21"/>
                <w:szCs w:val="21"/>
              </w:rPr>
            </w:pPr>
            <w:r>
              <w:rPr>
                <w:rFonts w:ascii="宋体" w:hAnsi="宋体" w:cs="宋体" w:eastAsia="宋体" w:hint="default"/>
                <w:sz w:val="21"/>
                <w:szCs w:val="21"/>
              </w:rPr>
              <w:t>期初持股</w:t>
            </w:r>
            <w:r>
              <w:rPr>
                <w:rFonts w:ascii="宋体" w:hAnsi="宋体" w:cs="宋体" w:eastAsia="宋体" w:hint="default"/>
                <w:w w:val="100"/>
                <w:sz w:val="21"/>
                <w:szCs w:val="21"/>
              </w:rPr>
              <w:t> </w:t>
            </w:r>
            <w:r>
              <w:rPr>
                <w:rFonts w:ascii="宋体" w:hAnsi="宋体" w:cs="宋体" w:eastAsia="宋体" w:hint="default"/>
                <w:sz w:val="21"/>
                <w:szCs w:val="21"/>
              </w:rPr>
              <w:t>数（股）</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73" w:lineRule="auto"/>
              <w:ind w:left="35" w:right="33"/>
              <w:jc w:val="left"/>
              <w:rPr>
                <w:rFonts w:ascii="宋体" w:hAnsi="宋体" w:cs="宋体" w:eastAsia="宋体" w:hint="default"/>
                <w:sz w:val="21"/>
                <w:szCs w:val="21"/>
              </w:rPr>
            </w:pPr>
            <w:r>
              <w:rPr>
                <w:rFonts w:ascii="宋体" w:hAnsi="宋体" w:cs="宋体" w:eastAsia="宋体" w:hint="default"/>
                <w:sz w:val="21"/>
                <w:szCs w:val="21"/>
              </w:rPr>
              <w:t>本期增持股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份数（股）</w:t>
            </w:r>
          </w:p>
        </w:tc>
        <w:tc>
          <w:tcPr>
            <w:tcW w:w="7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4" w:right="46" w:firstLine="28"/>
              <w:jc w:val="both"/>
              <w:rPr>
                <w:rFonts w:ascii="宋体" w:hAnsi="宋体" w:cs="宋体" w:eastAsia="宋体" w:hint="default"/>
                <w:sz w:val="21"/>
                <w:szCs w:val="21"/>
              </w:rPr>
            </w:pPr>
            <w:r>
              <w:rPr>
                <w:rFonts w:ascii="宋体" w:hAnsi="宋体" w:cs="宋体" w:eastAsia="宋体" w:hint="default"/>
                <w:sz w:val="21"/>
                <w:szCs w:val="21"/>
              </w:rPr>
              <w:t>本期减</w:t>
            </w:r>
            <w:r>
              <w:rPr>
                <w:rFonts w:ascii="宋体" w:hAnsi="宋体" w:cs="宋体" w:eastAsia="宋体" w:hint="default"/>
                <w:w w:val="100"/>
                <w:sz w:val="21"/>
                <w:szCs w:val="21"/>
              </w:rPr>
              <w:t> </w:t>
            </w:r>
            <w:r>
              <w:rPr>
                <w:rFonts w:ascii="宋体" w:hAnsi="宋体" w:cs="宋体" w:eastAsia="宋体" w:hint="default"/>
                <w:sz w:val="21"/>
                <w:szCs w:val="21"/>
              </w:rPr>
              <w:t>持股份</w:t>
            </w:r>
            <w:r>
              <w:rPr>
                <w:rFonts w:ascii="宋体" w:hAnsi="宋体" w:cs="宋体" w:eastAsia="宋体" w:hint="default"/>
                <w:spacing w:val="-102"/>
                <w:sz w:val="21"/>
                <w:szCs w:val="21"/>
              </w:rPr>
              <w:t> </w:t>
            </w:r>
            <w:r>
              <w:rPr>
                <w:rFonts w:ascii="宋体" w:hAnsi="宋体" w:cs="宋体" w:eastAsia="宋体" w:hint="default"/>
                <w:sz w:val="21"/>
                <w:szCs w:val="21"/>
              </w:rPr>
              <w:t>数</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50" w:right="47"/>
              <w:jc w:val="both"/>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增减</w:t>
            </w:r>
            <w:r>
              <w:rPr>
                <w:rFonts w:ascii="宋体" w:hAnsi="宋体" w:cs="宋体" w:eastAsia="宋体" w:hint="default"/>
                <w:spacing w:val="-103"/>
                <w:sz w:val="21"/>
                <w:szCs w:val="21"/>
              </w:rPr>
              <w:t> </w:t>
            </w:r>
            <w:r>
              <w:rPr>
                <w:rFonts w:ascii="宋体" w:hAnsi="宋体" w:cs="宋体" w:eastAsia="宋体" w:hint="default"/>
                <w:sz w:val="21"/>
                <w:szCs w:val="21"/>
              </w:rPr>
              <w:t>变动</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73" w:lineRule="auto"/>
              <w:ind w:left="107" w:right="103"/>
              <w:jc w:val="left"/>
              <w:rPr>
                <w:rFonts w:ascii="宋体" w:hAnsi="宋体" w:cs="宋体" w:eastAsia="宋体" w:hint="default"/>
                <w:sz w:val="21"/>
                <w:szCs w:val="21"/>
              </w:rPr>
            </w:pPr>
            <w:r>
              <w:rPr>
                <w:rFonts w:ascii="宋体" w:hAnsi="宋体" w:cs="宋体" w:eastAsia="宋体" w:hint="default"/>
                <w:sz w:val="21"/>
                <w:szCs w:val="21"/>
              </w:rPr>
              <w:t>期末持股</w:t>
            </w:r>
            <w:r>
              <w:rPr>
                <w:rFonts w:ascii="宋体" w:hAnsi="宋体" w:cs="宋体" w:eastAsia="宋体" w:hint="default"/>
                <w:w w:val="100"/>
                <w:sz w:val="21"/>
                <w:szCs w:val="21"/>
              </w:rPr>
              <w:t> </w:t>
            </w:r>
            <w:r>
              <w:rPr>
                <w:rFonts w:ascii="宋体" w:hAnsi="宋体" w:cs="宋体" w:eastAsia="宋体" w:hint="default"/>
                <w:sz w:val="21"/>
                <w:szCs w:val="21"/>
              </w:rPr>
              <w:t>数（股）</w:t>
            </w: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杜力</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35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07</w:t>
            </w:r>
          </w:p>
          <w:p>
            <w:pPr>
              <w:pStyle w:val="TableParagraph"/>
              <w:spacing w:line="240" w:lineRule="auto" w:before="19"/>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2016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pacing w:val="-8"/>
                <w:sz w:val="21"/>
                <w:szCs w:val="21"/>
              </w:rPr>
              <w:t>11</w:t>
            </w:r>
            <w:r>
              <w:rPr>
                <w:rFonts w:ascii="Times New Roman" w:hAnsi="Times New Roman" w:cs="Times New Roman" w:eastAsia="Times New Roman" w:hint="default"/>
                <w:sz w:val="21"/>
                <w:szCs w:val="21"/>
              </w:rPr>
            </w:r>
          </w:p>
          <w:p>
            <w:pPr>
              <w:pStyle w:val="TableParagraph"/>
              <w:spacing w:line="240" w:lineRule="auto" w:before="19"/>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r>
      <w:tr>
        <w:trPr>
          <w:trHeight w:val="71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张巍</w:t>
            </w:r>
          </w:p>
        </w:tc>
        <w:tc>
          <w:tcPr>
            <w:tcW w:w="1044" w:type="dxa"/>
            <w:tcBorders>
              <w:top w:val="single" w:sz="4" w:space="0" w:color="000000"/>
              <w:left w:val="single" w:sz="4" w:space="0" w:color="000000"/>
              <w:bottom w:val="single" w:sz="4" w:space="0" w:color="000000"/>
              <w:right w:val="single" w:sz="13" w:space="0" w:color="FFFFFF"/>
            </w:tcBorders>
          </w:tcPr>
          <w:p>
            <w:pPr>
              <w:pStyle w:val="TableParagraph"/>
              <w:spacing w:line="273" w:lineRule="auto" w:before="28"/>
              <w:ind w:left="23" w:right="-54"/>
              <w:jc w:val="left"/>
              <w:rPr>
                <w:rFonts w:ascii="宋体" w:hAnsi="宋体" w:cs="宋体" w:eastAsia="宋体" w:hint="default"/>
                <w:sz w:val="21"/>
                <w:szCs w:val="21"/>
              </w:rPr>
            </w:pPr>
            <w:r>
              <w:rPr>
                <w:rFonts w:ascii="宋体" w:hAnsi="宋体" w:cs="宋体" w:eastAsia="宋体" w:hint="default"/>
                <w:sz w:val="21"/>
                <w:szCs w:val="21"/>
              </w:rPr>
              <w:t>副董事长、</w:t>
            </w:r>
            <w:r>
              <w:rPr>
                <w:rFonts w:ascii="宋体" w:hAnsi="宋体" w:cs="宋体" w:eastAsia="宋体" w:hint="default"/>
                <w:w w:val="100"/>
                <w:sz w:val="21"/>
                <w:szCs w:val="21"/>
              </w:rPr>
              <w:t> </w:t>
            </w:r>
            <w:r>
              <w:rPr>
                <w:rFonts w:ascii="宋体" w:hAnsi="宋体" w:cs="宋体" w:eastAsia="宋体" w:hint="default"/>
                <w:sz w:val="21"/>
                <w:szCs w:val="21"/>
              </w:rPr>
              <w:t>总经理</w:t>
            </w:r>
          </w:p>
        </w:tc>
        <w:tc>
          <w:tcPr>
            <w:tcW w:w="566"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sz w:val="21"/>
                <w:szCs w:val="21"/>
              </w:rPr>
              <w:t>现任</w:t>
            </w:r>
          </w:p>
        </w:tc>
        <w:tc>
          <w:tcPr>
            <w:tcW w:w="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35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07</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2016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pacing w:val="-8"/>
                <w:sz w:val="21"/>
                <w:szCs w:val="21"/>
              </w:rPr>
              <w:t>11</w:t>
            </w:r>
            <w:r>
              <w:rPr>
                <w:rFonts w:ascii="Times New Roman" w:hAnsi="Times New Roman" w:cs="Times New Roman" w:eastAsia="Times New Roman" w:hint="default"/>
                <w:sz w:val="21"/>
                <w:szCs w:val="21"/>
              </w:rPr>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谢基柱</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23" w:right="16"/>
              <w:jc w:val="left"/>
              <w:rPr>
                <w:rFonts w:ascii="宋体" w:hAnsi="宋体" w:cs="宋体" w:eastAsia="宋体" w:hint="default"/>
                <w:sz w:val="21"/>
                <w:szCs w:val="21"/>
              </w:rPr>
            </w:pPr>
            <w:r>
              <w:rPr>
                <w:rFonts w:ascii="宋体" w:hAnsi="宋体" w:cs="宋体" w:eastAsia="宋体" w:hint="default"/>
                <w:spacing w:val="-14"/>
                <w:sz w:val="21"/>
                <w:szCs w:val="21"/>
              </w:rPr>
              <w:t>董事、副总</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47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10</w:t>
            </w:r>
          </w:p>
          <w:p>
            <w:pPr>
              <w:pStyle w:val="TableParagraph"/>
              <w:spacing w:line="240" w:lineRule="auto" w:before="19"/>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2016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pacing w:val="-8"/>
                <w:sz w:val="21"/>
                <w:szCs w:val="21"/>
              </w:rPr>
              <w:t>11</w:t>
            </w:r>
            <w:r>
              <w:rPr>
                <w:rFonts w:ascii="Times New Roman" w:hAnsi="Times New Roman" w:cs="Times New Roman" w:eastAsia="Times New Roman" w:hint="default"/>
                <w:sz w:val="21"/>
                <w:szCs w:val="21"/>
              </w:rPr>
            </w:r>
          </w:p>
          <w:p>
            <w:pPr>
              <w:pStyle w:val="TableParagraph"/>
              <w:spacing w:line="240" w:lineRule="auto" w:before="19"/>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570,000</w:t>
            </w:r>
          </w:p>
        </w:tc>
        <w:tc>
          <w:tcPr>
            <w:tcW w:w="1135"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14"/>
              <w:jc w:val="right"/>
              <w:rPr>
                <w:rFonts w:ascii="Times New Roman" w:hAnsi="Times New Roman" w:cs="Times New Roman" w:eastAsia="Times New Roman" w:hint="default"/>
                <w:sz w:val="21"/>
                <w:szCs w:val="21"/>
              </w:rPr>
            </w:pPr>
            <w:r>
              <w:rPr>
                <w:rFonts w:ascii="Times New Roman"/>
                <w:sz w:val="21"/>
              </w:rPr>
              <w:t>20,000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550,000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赵岑</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6"/>
              <w:jc w:val="both"/>
              <w:rPr>
                <w:rFonts w:ascii="宋体" w:hAnsi="宋体" w:cs="宋体" w:eastAsia="宋体" w:hint="default"/>
                <w:sz w:val="21"/>
                <w:szCs w:val="21"/>
              </w:rPr>
            </w:pPr>
            <w:r>
              <w:rPr>
                <w:rFonts w:ascii="宋体" w:hAnsi="宋体" w:cs="宋体" w:eastAsia="宋体" w:hint="default"/>
                <w:spacing w:val="-14"/>
                <w:sz w:val="21"/>
                <w:szCs w:val="21"/>
              </w:rPr>
              <w:t>董事、董事</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14"/>
                <w:sz w:val="21"/>
                <w:szCs w:val="21"/>
              </w:rPr>
              <w:t>会秘书、财</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务总监</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9"/>
                <w:szCs w:val="2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48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08</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2016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pacing w:val="-8"/>
                <w:sz w:val="21"/>
                <w:szCs w:val="21"/>
              </w:rPr>
              <w:t>11</w:t>
            </w:r>
            <w:r>
              <w:rPr>
                <w:rFonts w:ascii="Times New Roman" w:hAnsi="Times New Roman" w:cs="Times New Roman" w:eastAsia="Times New Roman" w:hint="default"/>
                <w:sz w:val="21"/>
                <w:szCs w:val="21"/>
              </w:rPr>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9"/>
                <w:szCs w:val="29"/>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9"/>
                <w:szCs w:val="2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罗嘉俊</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05</w:t>
            </w:r>
          </w:p>
          <w:p>
            <w:pPr>
              <w:pStyle w:val="TableParagraph"/>
              <w:spacing w:line="240" w:lineRule="auto" w:before="19"/>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2016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pacing w:val="-8"/>
                <w:sz w:val="21"/>
                <w:szCs w:val="21"/>
              </w:rPr>
              <w:t>11</w:t>
            </w:r>
            <w:r>
              <w:rPr>
                <w:rFonts w:ascii="Times New Roman" w:hAnsi="Times New Roman" w:cs="Times New Roman" w:eastAsia="Times New Roman" w:hint="default"/>
                <w:sz w:val="21"/>
                <w:szCs w:val="21"/>
              </w:rPr>
            </w:r>
          </w:p>
          <w:p>
            <w:pPr>
              <w:pStyle w:val="TableParagraph"/>
              <w:spacing w:line="240" w:lineRule="auto" w:before="19"/>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r>
      <w:tr>
        <w:trPr>
          <w:trHeight w:val="716"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李英明</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37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07</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2016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pacing w:val="-8"/>
                <w:sz w:val="21"/>
                <w:szCs w:val="21"/>
              </w:rPr>
              <w:t>11</w:t>
            </w:r>
            <w:r>
              <w:rPr>
                <w:rFonts w:ascii="Times New Roman" w:hAnsi="Times New Roman" w:cs="Times New Roman" w:eastAsia="Times New Roman" w:hint="default"/>
                <w:sz w:val="21"/>
                <w:szCs w:val="21"/>
              </w:rPr>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张李平</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42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05</w:t>
            </w:r>
          </w:p>
          <w:p>
            <w:pPr>
              <w:pStyle w:val="TableParagraph"/>
              <w:spacing w:line="240" w:lineRule="auto" w:before="19"/>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2016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pacing w:val="-8"/>
                <w:sz w:val="21"/>
                <w:szCs w:val="21"/>
              </w:rPr>
              <w:t>11</w:t>
            </w:r>
            <w:r>
              <w:rPr>
                <w:rFonts w:ascii="Times New Roman" w:hAnsi="Times New Roman" w:cs="Times New Roman" w:eastAsia="Times New Roman" w:hint="default"/>
                <w:sz w:val="21"/>
                <w:szCs w:val="21"/>
              </w:rPr>
            </w:r>
          </w:p>
          <w:p>
            <w:pPr>
              <w:pStyle w:val="TableParagraph"/>
              <w:spacing w:line="240" w:lineRule="auto" w:before="19"/>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周春生</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49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07</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2016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pacing w:val="-8"/>
                <w:sz w:val="21"/>
                <w:szCs w:val="21"/>
              </w:rPr>
              <w:t>11</w:t>
            </w:r>
            <w:r>
              <w:rPr>
                <w:rFonts w:ascii="Times New Roman" w:hAnsi="Times New Roman" w:cs="Times New Roman" w:eastAsia="Times New Roman" w:hint="default"/>
                <w:sz w:val="21"/>
                <w:szCs w:val="21"/>
              </w:rPr>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徐强国</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51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07</w:t>
            </w:r>
          </w:p>
          <w:p>
            <w:pPr>
              <w:pStyle w:val="TableParagraph"/>
              <w:spacing w:line="240" w:lineRule="auto" w:before="19"/>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2016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pacing w:val="-8"/>
                <w:sz w:val="21"/>
                <w:szCs w:val="21"/>
              </w:rPr>
              <w:t>11</w:t>
            </w:r>
            <w:r>
              <w:rPr>
                <w:rFonts w:ascii="Times New Roman" w:hAnsi="Times New Roman" w:cs="Times New Roman" w:eastAsia="Times New Roman" w:hint="default"/>
                <w:sz w:val="21"/>
                <w:szCs w:val="21"/>
              </w:rPr>
            </w:r>
          </w:p>
          <w:p>
            <w:pPr>
              <w:pStyle w:val="TableParagraph"/>
              <w:spacing w:line="240" w:lineRule="auto" w:before="19"/>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何国英</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65"/>
              <w:jc w:val="left"/>
              <w:rPr>
                <w:rFonts w:ascii="宋体" w:hAnsi="宋体" w:cs="宋体" w:eastAsia="宋体" w:hint="default"/>
                <w:sz w:val="21"/>
                <w:szCs w:val="21"/>
              </w:rPr>
            </w:pPr>
            <w:r>
              <w:rPr>
                <w:rFonts w:ascii="宋体" w:hAnsi="宋体" w:cs="宋体" w:eastAsia="宋体" w:hint="default"/>
                <w:sz w:val="21"/>
                <w:szCs w:val="21"/>
              </w:rPr>
              <w:t>监事会主</w:t>
            </w:r>
            <w:r>
              <w:rPr>
                <w:rFonts w:ascii="宋体" w:hAnsi="宋体" w:cs="宋体" w:eastAsia="宋体" w:hint="default"/>
                <w:w w:val="100"/>
                <w:sz w:val="21"/>
                <w:szCs w:val="21"/>
              </w:rPr>
              <w:t> </w:t>
            </w:r>
            <w:r>
              <w:rPr>
                <w:rFonts w:ascii="宋体" w:hAnsi="宋体" w:cs="宋体" w:eastAsia="宋体" w:hint="default"/>
                <w:sz w:val="21"/>
                <w:szCs w:val="21"/>
              </w:rPr>
              <w:t>席</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53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10</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2016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pacing w:val="-8"/>
                <w:sz w:val="21"/>
                <w:szCs w:val="21"/>
              </w:rPr>
              <w:t>11</w:t>
            </w:r>
            <w:r>
              <w:rPr>
                <w:rFonts w:ascii="Times New Roman" w:hAnsi="Times New Roman" w:cs="Times New Roman" w:eastAsia="Times New Roman" w:hint="default"/>
                <w:sz w:val="21"/>
                <w:szCs w:val="21"/>
              </w:rPr>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刘琛</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43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10</w:t>
            </w:r>
          </w:p>
          <w:p>
            <w:pPr>
              <w:pStyle w:val="TableParagraph"/>
              <w:spacing w:line="240" w:lineRule="auto" w:before="19"/>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2016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pacing w:val="-8"/>
                <w:sz w:val="21"/>
                <w:szCs w:val="21"/>
              </w:rPr>
              <w:t>11</w:t>
            </w:r>
            <w:r>
              <w:rPr>
                <w:rFonts w:ascii="Times New Roman" w:hAnsi="Times New Roman" w:cs="Times New Roman" w:eastAsia="Times New Roman" w:hint="default"/>
                <w:sz w:val="21"/>
                <w:szCs w:val="21"/>
              </w:rPr>
            </w:r>
          </w:p>
          <w:p>
            <w:pPr>
              <w:pStyle w:val="TableParagraph"/>
              <w:spacing w:line="240" w:lineRule="auto" w:before="19"/>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50,000</w:t>
            </w:r>
          </w:p>
        </w:tc>
        <w:tc>
          <w:tcPr>
            <w:tcW w:w="1135"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50,000</w:t>
            </w:r>
          </w:p>
        </w:tc>
      </w:tr>
      <w:tr>
        <w:trPr>
          <w:trHeight w:val="71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叶强</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35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07</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2016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pacing w:val="-8"/>
                <w:sz w:val="21"/>
                <w:szCs w:val="21"/>
              </w:rPr>
              <w:t>11</w:t>
            </w:r>
            <w:r>
              <w:rPr>
                <w:rFonts w:ascii="Times New Roman" w:hAnsi="Times New Roman" w:cs="Times New Roman" w:eastAsia="Times New Roman" w:hint="default"/>
                <w:sz w:val="21"/>
                <w:szCs w:val="21"/>
              </w:rPr>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刘世明</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46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10</w:t>
            </w:r>
          </w:p>
          <w:p>
            <w:pPr>
              <w:pStyle w:val="TableParagraph"/>
              <w:spacing w:line="240" w:lineRule="auto" w:before="19"/>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2016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pacing w:val="-8"/>
                <w:sz w:val="21"/>
                <w:szCs w:val="21"/>
              </w:rPr>
              <w:t>11</w:t>
            </w:r>
            <w:r>
              <w:rPr>
                <w:rFonts w:ascii="Times New Roman" w:hAnsi="Times New Roman" w:cs="Times New Roman" w:eastAsia="Times New Roman" w:hint="default"/>
                <w:sz w:val="21"/>
                <w:szCs w:val="21"/>
              </w:rPr>
            </w:r>
          </w:p>
          <w:p>
            <w:pPr>
              <w:pStyle w:val="TableParagraph"/>
              <w:spacing w:line="240" w:lineRule="auto" w:before="19"/>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570,000</w:t>
            </w:r>
          </w:p>
        </w:tc>
        <w:tc>
          <w:tcPr>
            <w:tcW w:w="1135"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14"/>
              <w:jc w:val="right"/>
              <w:rPr>
                <w:rFonts w:ascii="Times New Roman" w:hAnsi="Times New Roman" w:cs="Times New Roman" w:eastAsia="Times New Roman" w:hint="default"/>
                <w:sz w:val="21"/>
                <w:szCs w:val="21"/>
              </w:rPr>
            </w:pPr>
            <w:r>
              <w:rPr>
                <w:rFonts w:ascii="Times New Roman"/>
                <w:sz w:val="21"/>
              </w:rPr>
              <w:t>25,000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545,000</w:t>
            </w:r>
          </w:p>
        </w:tc>
      </w:tr>
      <w:tr>
        <w:trPr>
          <w:trHeight w:val="71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罗桥胜</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6"/>
              <w:jc w:val="left"/>
              <w:rPr>
                <w:rFonts w:ascii="宋体" w:hAnsi="宋体" w:cs="宋体" w:eastAsia="宋体" w:hint="default"/>
                <w:sz w:val="21"/>
                <w:szCs w:val="21"/>
              </w:rPr>
            </w:pPr>
            <w:r>
              <w:rPr>
                <w:rFonts w:ascii="宋体" w:hAnsi="宋体" w:cs="宋体" w:eastAsia="宋体" w:hint="default"/>
                <w:spacing w:val="-14"/>
                <w:sz w:val="21"/>
                <w:szCs w:val="21"/>
              </w:rPr>
              <w:t>董事长、总</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53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10</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05</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155" w:right="0"/>
              <w:jc w:val="left"/>
              <w:rPr>
                <w:rFonts w:ascii="Times New Roman" w:hAnsi="Times New Roman" w:cs="Times New Roman" w:eastAsia="Times New Roman" w:hint="default"/>
                <w:sz w:val="21"/>
                <w:szCs w:val="21"/>
              </w:rPr>
            </w:pPr>
            <w:r>
              <w:rPr>
                <w:rFonts w:ascii="Times New Roman"/>
                <w:sz w:val="21"/>
              </w:rPr>
              <w:t>19,600,000</w:t>
            </w:r>
          </w:p>
        </w:tc>
        <w:tc>
          <w:tcPr>
            <w:tcW w:w="745"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19,600,000</w:t>
            </w:r>
          </w:p>
        </w:tc>
      </w:tr>
      <w:tr>
        <w:trPr>
          <w:trHeight w:val="401"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冯倩红</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3" w:right="0"/>
              <w:jc w:val="left"/>
              <w:rPr>
                <w:rFonts w:ascii="宋体" w:hAnsi="宋体" w:cs="宋体" w:eastAsia="宋体" w:hint="default"/>
                <w:sz w:val="21"/>
                <w:szCs w:val="21"/>
              </w:rPr>
            </w:pPr>
            <w:r>
              <w:rPr>
                <w:rFonts w:ascii="宋体" w:hAnsi="宋体" w:cs="宋体" w:eastAsia="宋体" w:hint="default"/>
                <w:spacing w:val="-14"/>
                <w:sz w:val="21"/>
                <w:szCs w:val="21"/>
              </w:rPr>
              <w:t>董事、副总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53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10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04</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800"/>
        <w:gridCol w:w="1044"/>
        <w:gridCol w:w="566"/>
        <w:gridCol w:w="356"/>
        <w:gridCol w:w="355"/>
        <w:gridCol w:w="991"/>
        <w:gridCol w:w="992"/>
        <w:gridCol w:w="994"/>
        <w:gridCol w:w="1135"/>
        <w:gridCol w:w="745"/>
        <w:gridCol w:w="530"/>
        <w:gridCol w:w="1066"/>
      </w:tblGrid>
      <w:tr>
        <w:trPr>
          <w:trHeight w:val="363" w:hRule="exact"/>
        </w:trPr>
        <w:tc>
          <w:tcPr>
            <w:tcW w:w="800"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经理</w:t>
            </w:r>
          </w:p>
        </w:tc>
        <w:tc>
          <w:tcPr>
            <w:tcW w:w="566"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卢锡球</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67"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67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10</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04</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黄喜强</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6"/>
              <w:jc w:val="left"/>
              <w:rPr>
                <w:rFonts w:ascii="宋体" w:hAnsi="宋体" w:cs="宋体" w:eastAsia="宋体" w:hint="default"/>
                <w:sz w:val="21"/>
                <w:szCs w:val="21"/>
              </w:rPr>
            </w:pPr>
            <w:r>
              <w:rPr>
                <w:rFonts w:ascii="宋体" w:hAnsi="宋体" w:cs="宋体" w:eastAsia="宋体" w:hint="default"/>
                <w:spacing w:val="-14"/>
                <w:sz w:val="21"/>
                <w:szCs w:val="21"/>
              </w:rPr>
              <w:t>董事、总经</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67"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38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10</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07</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1,700,000</w:t>
            </w:r>
          </w:p>
        </w:tc>
        <w:tc>
          <w:tcPr>
            <w:tcW w:w="1135"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1,700,000</w:t>
            </w: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吴东昕</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67"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46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pacing w:val="-8"/>
                <w:sz w:val="21"/>
                <w:szCs w:val="21"/>
              </w:rPr>
              <w:t>11</w:t>
            </w:r>
            <w:r>
              <w:rPr>
                <w:rFonts w:ascii="Times New Roman" w:hAnsi="Times New Roman" w:cs="Times New Roman" w:eastAsia="Times New Roman" w:hint="default"/>
                <w:sz w:val="21"/>
                <w:szCs w:val="21"/>
              </w:rPr>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07</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韩振平</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67"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42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10</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07</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孙颖楷</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67"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42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10</w:t>
            </w:r>
          </w:p>
          <w:p>
            <w:pPr>
              <w:pStyle w:val="TableParagraph"/>
              <w:spacing w:line="240" w:lineRule="auto" w:before="22"/>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07</w:t>
            </w:r>
          </w:p>
          <w:p>
            <w:pPr>
              <w:pStyle w:val="TableParagraph"/>
              <w:spacing w:line="240" w:lineRule="auto" w:before="22"/>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卢惠全</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67"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39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10</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05</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陈春霖</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任免</w:t>
            </w:r>
          </w:p>
        </w:tc>
        <w:tc>
          <w:tcPr>
            <w:tcW w:w="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67"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05</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07</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sz w:val="21"/>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c>
          <w:tcPr>
            <w:tcW w:w="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103" w:right="0"/>
              <w:jc w:val="left"/>
              <w:rPr>
                <w:rFonts w:ascii="Times New Roman" w:hAnsi="Times New Roman" w:cs="Times New Roman" w:eastAsia="Times New Roman" w:hint="default"/>
                <w:sz w:val="21"/>
                <w:szCs w:val="21"/>
              </w:rPr>
            </w:pPr>
            <w:r>
              <w:rPr>
                <w:rFonts w:ascii="Times New Roman"/>
                <w:sz w:val="21"/>
              </w:rPr>
              <w:t>--</w:t>
            </w:r>
          </w:p>
        </w:tc>
        <w:tc>
          <w:tcPr>
            <w:tcW w:w="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sz w:val="21"/>
              </w:rPr>
              <w:t>--</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1" w:right="0"/>
              <w:jc w:val="center"/>
              <w:rPr>
                <w:rFonts w:ascii="Times New Roman" w:hAnsi="Times New Roman" w:cs="Times New Roman" w:eastAsia="Times New Roman" w:hint="default"/>
                <w:sz w:val="21"/>
                <w:szCs w:val="21"/>
              </w:rPr>
            </w:pPr>
            <w:r>
              <w:rPr>
                <w:rFonts w:ascii="Times New Roman"/>
                <w:sz w:val="21"/>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2,890,000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55" w:right="0"/>
              <w:jc w:val="left"/>
              <w:rPr>
                <w:rFonts w:ascii="Times New Roman" w:hAnsi="Times New Roman" w:cs="Times New Roman" w:eastAsia="Times New Roman" w:hint="default"/>
                <w:sz w:val="21"/>
                <w:szCs w:val="21"/>
              </w:rPr>
            </w:pPr>
            <w:r>
              <w:rPr>
                <w:rFonts w:ascii="Times New Roman"/>
                <w:sz w:val="21"/>
              </w:rPr>
              <w:t>19,600,000</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37" w:right="0"/>
              <w:jc w:val="left"/>
              <w:rPr>
                <w:rFonts w:ascii="Times New Roman" w:hAnsi="Times New Roman" w:cs="Times New Roman" w:eastAsia="Times New Roman" w:hint="default"/>
                <w:sz w:val="21"/>
                <w:szCs w:val="21"/>
              </w:rPr>
            </w:pPr>
            <w:r>
              <w:rPr>
                <w:rFonts w:ascii="Times New Roman"/>
                <w:sz w:val="21"/>
              </w:rPr>
              <w:t>45,000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22,445,000</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二、公司董事、监事、高级管理人员变动情况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708"/>
        <w:gridCol w:w="1560"/>
        <w:gridCol w:w="567"/>
        <w:gridCol w:w="1843"/>
        <w:gridCol w:w="4890"/>
      </w:tblGrid>
      <w:tr>
        <w:trPr>
          <w:trHeight w:val="401" w:hRule="exact"/>
        </w:trPr>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51" w:right="0"/>
              <w:jc w:val="left"/>
              <w:rPr>
                <w:rFonts w:ascii="宋体" w:hAnsi="宋体" w:cs="宋体" w:eastAsia="宋体" w:hint="default"/>
                <w:sz w:val="21"/>
                <w:szCs w:val="21"/>
              </w:rPr>
            </w:pPr>
            <w:r>
              <w:rPr>
                <w:rFonts w:ascii="宋体" w:hAnsi="宋体" w:cs="宋体" w:eastAsia="宋体" w:hint="default"/>
                <w:sz w:val="21"/>
                <w:szCs w:val="21"/>
              </w:rPr>
              <w:t>担任的职务</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9" w:right="0"/>
              <w:jc w:val="left"/>
              <w:rPr>
                <w:rFonts w:ascii="宋体" w:hAnsi="宋体" w:cs="宋体" w:eastAsia="宋体" w:hint="default"/>
                <w:sz w:val="21"/>
                <w:szCs w:val="21"/>
              </w:rPr>
            </w:pPr>
            <w:r>
              <w:rPr>
                <w:rFonts w:ascii="宋体" w:hAnsi="宋体" w:cs="宋体" w:eastAsia="宋体" w:hint="default"/>
                <w:sz w:val="21"/>
                <w:szCs w:val="21"/>
              </w:rPr>
              <w:t>类型</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日期</w:t>
            </w:r>
          </w:p>
        </w:tc>
        <w:tc>
          <w:tcPr>
            <w:tcW w:w="48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原因</w:t>
            </w:r>
          </w:p>
        </w:tc>
      </w:tr>
      <w:tr>
        <w:trPr>
          <w:trHeight w:val="40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5"/>
              <w:jc w:val="center"/>
              <w:rPr>
                <w:rFonts w:ascii="宋体" w:hAnsi="宋体" w:cs="宋体" w:eastAsia="宋体" w:hint="default"/>
                <w:sz w:val="21"/>
                <w:szCs w:val="21"/>
              </w:rPr>
            </w:pPr>
            <w:r>
              <w:rPr>
                <w:rFonts w:ascii="宋体" w:hAnsi="宋体" w:cs="宋体" w:eastAsia="宋体" w:hint="default"/>
                <w:sz w:val="21"/>
                <w:szCs w:val="21"/>
              </w:rPr>
              <w:t>冯倩红</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董事、副总经理</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8"/>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因个人原因申请辞去所担任职务。</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5"/>
              <w:jc w:val="center"/>
              <w:rPr>
                <w:rFonts w:ascii="宋体" w:hAnsi="宋体" w:cs="宋体" w:eastAsia="宋体" w:hint="default"/>
                <w:sz w:val="21"/>
                <w:szCs w:val="21"/>
              </w:rPr>
            </w:pPr>
            <w:r>
              <w:rPr>
                <w:rFonts w:ascii="宋体" w:hAnsi="宋体" w:cs="宋体" w:eastAsia="宋体" w:hint="default"/>
                <w:sz w:val="21"/>
                <w:szCs w:val="21"/>
              </w:rPr>
              <w:t>卢锡球</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8"/>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因个人原因申请辞去所担任职务。</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5"/>
              <w:jc w:val="center"/>
              <w:rPr>
                <w:rFonts w:ascii="宋体" w:hAnsi="宋体" w:cs="宋体" w:eastAsia="宋体" w:hint="default"/>
                <w:sz w:val="21"/>
                <w:szCs w:val="21"/>
              </w:rPr>
            </w:pPr>
            <w:r>
              <w:rPr>
                <w:rFonts w:ascii="宋体" w:hAnsi="宋体" w:cs="宋体" w:eastAsia="宋体" w:hint="default"/>
                <w:sz w:val="21"/>
                <w:szCs w:val="21"/>
              </w:rPr>
              <w:t>罗桥胜</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董事长、总经理</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8"/>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因个人原因申请辞去所担任职务。</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5"/>
              <w:jc w:val="center"/>
              <w:rPr>
                <w:rFonts w:ascii="宋体" w:hAnsi="宋体" w:cs="宋体" w:eastAsia="宋体" w:hint="default"/>
                <w:sz w:val="21"/>
                <w:szCs w:val="21"/>
              </w:rPr>
            </w:pPr>
            <w:r>
              <w:rPr>
                <w:rFonts w:ascii="宋体" w:hAnsi="宋体" w:cs="宋体" w:eastAsia="宋体" w:hint="default"/>
                <w:sz w:val="21"/>
                <w:szCs w:val="21"/>
              </w:rPr>
              <w:t>卢惠全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8"/>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因个人原因申请辞去所担任职务。</w:t>
            </w:r>
          </w:p>
        </w:tc>
      </w:tr>
      <w:tr>
        <w:trPr>
          <w:trHeight w:val="1027"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right="15"/>
              <w:jc w:val="center"/>
              <w:rPr>
                <w:rFonts w:ascii="宋体" w:hAnsi="宋体" w:cs="宋体" w:eastAsia="宋体" w:hint="default"/>
                <w:sz w:val="21"/>
                <w:szCs w:val="21"/>
              </w:rPr>
            </w:pPr>
            <w:r>
              <w:rPr>
                <w:rFonts w:ascii="宋体" w:hAnsi="宋体" w:cs="宋体" w:eastAsia="宋体" w:hint="default"/>
                <w:sz w:val="21"/>
                <w:szCs w:val="21"/>
              </w:rPr>
              <w:t>黄喜强</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right="48"/>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9"/>
              <w:jc w:val="both"/>
              <w:rPr>
                <w:rFonts w:ascii="宋体" w:hAnsi="宋体" w:cs="宋体" w:eastAsia="宋体" w:hint="default"/>
                <w:sz w:val="21"/>
                <w:szCs w:val="21"/>
              </w:rPr>
            </w:pPr>
            <w:r>
              <w:rPr>
                <w:rFonts w:ascii="宋体" w:hAnsi="宋体" w:cs="宋体" w:eastAsia="宋体" w:hint="default"/>
                <w:spacing w:val="-2"/>
                <w:sz w:val="21"/>
                <w:szCs w:val="21"/>
              </w:rPr>
              <w:t>因公司控股股东变更且所筹划的重大资产重组事项将</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2"/>
                <w:sz w:val="21"/>
                <w:szCs w:val="21"/>
              </w:rPr>
              <w:t>导致公司资产和业务发生重大变化，为满足新情况下</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公司治理需要，申请辞去所担任职务。</w:t>
            </w:r>
          </w:p>
        </w:tc>
      </w:tr>
      <w:tr>
        <w:trPr>
          <w:trHeight w:val="102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right="15"/>
              <w:jc w:val="center"/>
              <w:rPr>
                <w:rFonts w:ascii="宋体" w:hAnsi="宋体" w:cs="宋体" w:eastAsia="宋体" w:hint="default"/>
                <w:sz w:val="21"/>
                <w:szCs w:val="21"/>
              </w:rPr>
            </w:pPr>
            <w:r>
              <w:rPr>
                <w:rFonts w:ascii="宋体" w:hAnsi="宋体" w:cs="宋体" w:eastAsia="宋体" w:hint="default"/>
                <w:sz w:val="21"/>
                <w:szCs w:val="21"/>
              </w:rPr>
              <w:t>吴东昕</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right="48"/>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23" w:right="19"/>
              <w:jc w:val="both"/>
              <w:rPr>
                <w:rFonts w:ascii="宋体" w:hAnsi="宋体" w:cs="宋体" w:eastAsia="宋体" w:hint="default"/>
                <w:sz w:val="21"/>
                <w:szCs w:val="21"/>
              </w:rPr>
            </w:pPr>
            <w:r>
              <w:rPr>
                <w:rFonts w:ascii="宋体" w:hAnsi="宋体" w:cs="宋体" w:eastAsia="宋体" w:hint="default"/>
                <w:spacing w:val="-2"/>
                <w:sz w:val="21"/>
                <w:szCs w:val="21"/>
              </w:rPr>
              <w:t>因公司控股股东变更且所筹划的重大资产重组事项将</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2"/>
                <w:sz w:val="21"/>
                <w:szCs w:val="21"/>
              </w:rPr>
              <w:t>导致公司资产和业务发生重大变化，为满足新情况下</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公司治理需要，申请辞去所担任职务。</w:t>
            </w:r>
          </w:p>
        </w:tc>
      </w:tr>
      <w:tr>
        <w:trPr>
          <w:trHeight w:val="1027"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right="15"/>
              <w:jc w:val="center"/>
              <w:rPr>
                <w:rFonts w:ascii="宋体" w:hAnsi="宋体" w:cs="宋体" w:eastAsia="宋体" w:hint="default"/>
                <w:sz w:val="21"/>
                <w:szCs w:val="21"/>
              </w:rPr>
            </w:pPr>
            <w:r>
              <w:rPr>
                <w:rFonts w:ascii="宋体" w:hAnsi="宋体" w:cs="宋体" w:eastAsia="宋体" w:hint="default"/>
                <w:sz w:val="21"/>
                <w:szCs w:val="21"/>
              </w:rPr>
              <w:t>韩振平</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right="48"/>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9"/>
              <w:jc w:val="both"/>
              <w:rPr>
                <w:rFonts w:ascii="宋体" w:hAnsi="宋体" w:cs="宋体" w:eastAsia="宋体" w:hint="default"/>
                <w:sz w:val="21"/>
                <w:szCs w:val="21"/>
              </w:rPr>
            </w:pPr>
            <w:r>
              <w:rPr>
                <w:rFonts w:ascii="宋体" w:hAnsi="宋体" w:cs="宋体" w:eastAsia="宋体" w:hint="default"/>
                <w:spacing w:val="-2"/>
                <w:sz w:val="21"/>
                <w:szCs w:val="21"/>
              </w:rPr>
              <w:t>因公司控股股东变更且所筹划的重大资产重组事项将</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2"/>
                <w:sz w:val="21"/>
                <w:szCs w:val="21"/>
              </w:rPr>
              <w:t>导致公司资产和业务发生重大变化，为满足新情况下</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公司治理需要，申请辞去所担任职务。</w:t>
            </w:r>
          </w:p>
        </w:tc>
      </w:tr>
      <w:tr>
        <w:trPr>
          <w:trHeight w:val="102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right="15"/>
              <w:jc w:val="center"/>
              <w:rPr>
                <w:rFonts w:ascii="宋体" w:hAnsi="宋体" w:cs="宋体" w:eastAsia="宋体" w:hint="default"/>
                <w:sz w:val="21"/>
                <w:szCs w:val="21"/>
              </w:rPr>
            </w:pPr>
            <w:r>
              <w:rPr>
                <w:rFonts w:ascii="宋体" w:hAnsi="宋体" w:cs="宋体" w:eastAsia="宋体" w:hint="default"/>
                <w:sz w:val="21"/>
                <w:szCs w:val="21"/>
              </w:rPr>
              <w:t>孙颖楷</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right="48"/>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23" w:right="19"/>
              <w:jc w:val="both"/>
              <w:rPr>
                <w:rFonts w:ascii="宋体" w:hAnsi="宋体" w:cs="宋体" w:eastAsia="宋体" w:hint="default"/>
                <w:sz w:val="21"/>
                <w:szCs w:val="21"/>
              </w:rPr>
            </w:pPr>
            <w:r>
              <w:rPr>
                <w:rFonts w:ascii="宋体" w:hAnsi="宋体" w:cs="宋体" w:eastAsia="宋体" w:hint="default"/>
                <w:spacing w:val="-2"/>
                <w:sz w:val="21"/>
                <w:szCs w:val="21"/>
              </w:rPr>
              <w:t>因公司控股股东变更且所筹划的重大资产重组事项将</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2"/>
                <w:sz w:val="21"/>
                <w:szCs w:val="21"/>
              </w:rPr>
              <w:t>导致公司资产和业务发生重大变化，为满足新情况下</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公司治理需要，申请辞去所担任职务。</w:t>
            </w:r>
          </w:p>
        </w:tc>
      </w:tr>
      <w:tr>
        <w:trPr>
          <w:trHeight w:val="1027"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right="15"/>
              <w:jc w:val="center"/>
              <w:rPr>
                <w:rFonts w:ascii="宋体" w:hAnsi="宋体" w:cs="宋体" w:eastAsia="宋体" w:hint="default"/>
                <w:sz w:val="21"/>
                <w:szCs w:val="21"/>
              </w:rPr>
            </w:pPr>
            <w:r>
              <w:rPr>
                <w:rFonts w:ascii="宋体" w:hAnsi="宋体" w:cs="宋体" w:eastAsia="宋体" w:hint="default"/>
                <w:sz w:val="21"/>
                <w:szCs w:val="21"/>
              </w:rPr>
              <w:t>陈春霖</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任免</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right="48"/>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9"/>
              <w:jc w:val="both"/>
              <w:rPr>
                <w:rFonts w:ascii="宋体" w:hAnsi="宋体" w:cs="宋体" w:eastAsia="宋体" w:hint="default"/>
                <w:sz w:val="21"/>
                <w:szCs w:val="21"/>
              </w:rPr>
            </w:pPr>
            <w:r>
              <w:rPr>
                <w:rFonts w:ascii="宋体" w:hAnsi="宋体" w:cs="宋体" w:eastAsia="宋体" w:hint="default"/>
                <w:spacing w:val="-2"/>
                <w:sz w:val="21"/>
                <w:szCs w:val="21"/>
              </w:rPr>
              <w:t>因公司控股股东变更且所筹划的重大资产重组事项将</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2"/>
                <w:sz w:val="21"/>
                <w:szCs w:val="21"/>
              </w:rPr>
              <w:t>导致公司资产和业务发生重大变化，为满足新情况下</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公司治理需要，申请辞去所担任的监事职务。</w:t>
            </w:r>
          </w:p>
        </w:tc>
      </w:tr>
    </w:tbl>
    <w:p>
      <w:pPr>
        <w:spacing w:after="0" w:line="273" w:lineRule="auto"/>
        <w:jc w:val="both"/>
        <w:rPr>
          <w:rFonts w:ascii="宋体" w:hAnsi="宋体" w:cs="宋体" w:eastAsia="宋体" w:hint="default"/>
          <w:sz w:val="21"/>
          <w:szCs w:val="21"/>
        </w:rPr>
        <w:sectPr>
          <w:pgSz w:w="11910" w:h="16840"/>
          <w:pgMar w:header="877" w:footer="979" w:top="1060" w:bottom="1160" w:left="980" w:right="980"/>
        </w:sectPr>
      </w:pPr>
    </w:p>
    <w:p>
      <w:pPr>
        <w:spacing w:line="240" w:lineRule="auto" w:before="8"/>
        <w:rPr>
          <w:rFonts w:ascii="宋体" w:hAnsi="宋体" w:cs="宋体" w:eastAsia="宋体" w:hint="default"/>
          <w:b/>
          <w:bCs/>
          <w:sz w:val="23"/>
          <w:szCs w:val="23"/>
        </w:rPr>
      </w:pPr>
    </w:p>
    <w:p>
      <w:pPr>
        <w:pStyle w:val="Heading2"/>
        <w:spacing w:line="240" w:lineRule="auto" w:before="26"/>
        <w:ind w:right="105"/>
        <w:jc w:val="left"/>
        <w:rPr>
          <w:b w:val="0"/>
          <w:bCs w:val="0"/>
        </w:rPr>
      </w:pPr>
      <w:r>
        <w:rPr/>
        <w:t>三、任职情况</w:t>
      </w:r>
      <w:r>
        <w:rPr>
          <w:b w:val="0"/>
          <w:bCs w:val="0"/>
        </w:rPr>
      </w:r>
    </w:p>
    <w:p>
      <w:pPr>
        <w:spacing w:line="240" w:lineRule="auto" w:before="12"/>
        <w:rPr>
          <w:rFonts w:ascii="宋体" w:hAnsi="宋体" w:cs="宋体" w:eastAsia="宋体" w:hint="default"/>
          <w:b/>
          <w:bCs/>
          <w:sz w:val="24"/>
          <w:szCs w:val="24"/>
        </w:rPr>
      </w:pPr>
    </w:p>
    <w:p>
      <w:pPr>
        <w:pStyle w:val="BodyText"/>
        <w:spacing w:line="307" w:lineRule="auto"/>
        <w:ind w:left="573" w:right="105" w:hanging="421"/>
        <w:jc w:val="left"/>
      </w:pPr>
      <w:r>
        <w:rPr/>
        <w:t>公司现任董事、监事、高级管理人员专业背景、主要工作经历以及目前在公司的主要职责</w:t>
      </w:r>
      <w:r>
        <w:rPr>
          <w:w w:val="100"/>
        </w:rPr>
        <w:t> </w:t>
      </w:r>
      <w:r>
        <w:rPr>
          <w:spacing w:val="-2"/>
        </w:rPr>
        <w:t>杜力先生，</w:t>
      </w:r>
      <w:r>
        <w:rPr>
          <w:rFonts w:ascii="Times New Roman" w:hAnsi="Times New Roman" w:cs="Times New Roman" w:eastAsia="Times New Roman" w:hint="default"/>
          <w:spacing w:val="-2"/>
        </w:rPr>
        <w:t>1980</w:t>
      </w:r>
      <w:r>
        <w:rPr>
          <w:spacing w:val="-2"/>
        </w:rPr>
        <w:t>年出生，中国国籍，无境外永久居留权，硕士研究生学历。曾任中能基业投资公司董</w:t>
      </w:r>
    </w:p>
    <w:p>
      <w:pPr>
        <w:pStyle w:val="BodyText"/>
        <w:spacing w:line="231" w:lineRule="exact"/>
        <w:ind w:right="105"/>
        <w:jc w:val="left"/>
      </w:pPr>
      <w:r>
        <w:rPr/>
        <w:t>事长，现任公司董事长、北京凤凰财智创新投资中心（有限合伙）执行事务合伙人委派代表、北京凤凰财</w:t>
      </w:r>
    </w:p>
    <w:p>
      <w:pPr>
        <w:pStyle w:val="BodyText"/>
        <w:spacing w:line="273" w:lineRule="auto" w:before="37"/>
        <w:ind w:left="573" w:right="105" w:hanging="421"/>
        <w:jc w:val="left"/>
      </w:pPr>
      <w:r>
        <w:rPr/>
        <w:t>富资产管理有限公司、北京凤凰财富控股集团有限公司董事、经理等职。</w:t>
      </w:r>
      <w:r>
        <w:rPr>
          <w:w w:val="100"/>
        </w:rPr>
        <w:t> </w:t>
      </w:r>
      <w:r>
        <w:rPr>
          <w:spacing w:val="-2"/>
        </w:rPr>
        <w:t>张巍先生，</w:t>
      </w:r>
      <w:r>
        <w:rPr>
          <w:rFonts w:ascii="Times New Roman" w:hAnsi="Times New Roman" w:cs="Times New Roman" w:eastAsia="Times New Roman" w:hint="default"/>
          <w:spacing w:val="-2"/>
        </w:rPr>
        <w:t>1980</w:t>
      </w:r>
      <w:r>
        <w:rPr>
          <w:spacing w:val="-2"/>
        </w:rPr>
        <w:t>年出生，中国国籍，无境外永久居留权，硕士研究生学历。曾任江苏通达动力科技股</w:t>
      </w:r>
    </w:p>
    <w:p>
      <w:pPr>
        <w:pStyle w:val="BodyText"/>
        <w:spacing w:line="273" w:lineRule="auto"/>
        <w:ind w:right="105"/>
        <w:jc w:val="left"/>
      </w:pPr>
      <w:r>
        <w:rPr>
          <w:spacing w:val="-2"/>
        </w:rPr>
        <w:t>份有限公司副总经理、董事会秘书，现任公司副董事长、总经理，北京凤凰财富资产管理有限公司、北京</w:t>
      </w:r>
      <w:r>
        <w:rPr>
          <w:spacing w:val="-43"/>
        </w:rPr>
        <w:t> </w:t>
      </w:r>
      <w:r>
        <w:rPr>
          <w:spacing w:val="-43"/>
        </w:rPr>
      </w:r>
      <w:r>
        <w:rPr/>
        <w:t>凤凰财富控股集团有限公司监事。</w:t>
      </w:r>
    </w:p>
    <w:p>
      <w:pPr>
        <w:pStyle w:val="BodyText"/>
        <w:spacing w:line="264" w:lineRule="auto" w:before="7"/>
        <w:ind w:right="206" w:firstLine="420"/>
        <w:jc w:val="both"/>
      </w:pPr>
      <w:r>
        <w:rPr>
          <w:spacing w:val="-2"/>
        </w:rPr>
        <w:t>谢基柱先生，</w:t>
      </w:r>
      <w:r>
        <w:rPr>
          <w:rFonts w:ascii="Times New Roman" w:hAnsi="Times New Roman" w:cs="Times New Roman" w:eastAsia="Times New Roman" w:hint="default"/>
          <w:spacing w:val="-2"/>
        </w:rPr>
        <w:t>1968</w:t>
      </w:r>
      <w:r>
        <w:rPr>
          <w:spacing w:val="-2"/>
        </w:rPr>
        <w:t>年出生，中国国籍，无永久境外居留权，硕士研究生学历，工程师。</w:t>
      </w:r>
      <w:r>
        <w:rPr>
          <w:rFonts w:ascii="Times New Roman" w:hAnsi="Times New Roman" w:cs="Times New Roman" w:eastAsia="Times New Roman" w:hint="default"/>
          <w:spacing w:val="-2"/>
        </w:rPr>
        <w:t>2005</w:t>
      </w:r>
      <w:r>
        <w:rPr>
          <w:spacing w:val="-2"/>
        </w:rPr>
        <w:t>年加入公</w:t>
      </w:r>
      <w:r>
        <w:rPr>
          <w:w w:val="100"/>
        </w:rPr>
        <w:t> </w:t>
      </w:r>
      <w:r>
        <w:rPr>
          <w:spacing w:val="-2"/>
        </w:rPr>
        <w:t>司，历任总经理助理、生产副总经理、子公司扬州华声电子实业有限公司总经理等职，现任公司董事、副</w:t>
      </w:r>
      <w:r>
        <w:rPr>
          <w:spacing w:val="-43"/>
        </w:rPr>
        <w:t> </w:t>
      </w:r>
      <w:r>
        <w:rPr>
          <w:spacing w:val="-43"/>
        </w:rPr>
      </w:r>
      <w:r>
        <w:rPr/>
        <w:t>总经理，负责公司研发、设备管理等工作，兼任子公司扬州华声电子实业有限公司董事等职。</w:t>
      </w:r>
    </w:p>
    <w:p>
      <w:pPr>
        <w:pStyle w:val="BodyText"/>
        <w:spacing w:line="266" w:lineRule="auto" w:before="16"/>
        <w:ind w:right="206" w:firstLine="420"/>
        <w:jc w:val="both"/>
      </w:pPr>
      <w:r>
        <w:rPr>
          <w:spacing w:val="-2"/>
        </w:rPr>
        <w:t>赵岑女士，</w:t>
      </w:r>
      <w:r>
        <w:rPr>
          <w:rFonts w:ascii="Times New Roman" w:hAnsi="Times New Roman" w:cs="Times New Roman" w:eastAsia="Times New Roman" w:hint="default"/>
          <w:spacing w:val="-2"/>
        </w:rPr>
        <w:t>1967</w:t>
      </w:r>
      <w:r>
        <w:rPr>
          <w:spacing w:val="-2"/>
        </w:rPr>
        <w:t>年出生，中国国籍，无永久境外居留权，硕士研究生学历。曾任东莞市高能电气股份</w:t>
      </w:r>
      <w:r>
        <w:rPr>
          <w:w w:val="100"/>
        </w:rPr>
        <w:t> </w:t>
      </w:r>
      <w:r>
        <w:rPr>
          <w:spacing w:val="-2"/>
        </w:rPr>
        <w:t>有限公司董事会秘书、深圳中南成长投资管理有限公司副总经理兼财务与风控总监、深圳市鼎泰数控机床</w:t>
      </w:r>
      <w:r>
        <w:rPr>
          <w:spacing w:val="-44"/>
        </w:rPr>
        <w:t> </w:t>
      </w:r>
      <w:r>
        <w:rPr>
          <w:spacing w:val="-44"/>
        </w:rPr>
      </w:r>
      <w:r>
        <w:rPr>
          <w:spacing w:val="-2"/>
        </w:rPr>
        <w:t>股份有限公司董事、董事会秘书、副总经理，现任公司董事、董事会秘书、财务总监，子公司广东华声电</w:t>
      </w:r>
      <w:r>
        <w:rPr>
          <w:spacing w:val="-42"/>
        </w:rPr>
        <w:t> </w:t>
      </w:r>
      <w:r>
        <w:rPr>
          <w:spacing w:val="-42"/>
        </w:rPr>
      </w:r>
      <w:r>
        <w:rPr/>
        <w:t>缆有限公司董事等职。</w:t>
      </w:r>
    </w:p>
    <w:p>
      <w:pPr>
        <w:pStyle w:val="BodyText"/>
        <w:spacing w:line="256" w:lineRule="auto" w:before="14"/>
        <w:ind w:right="207" w:firstLine="420"/>
        <w:jc w:val="both"/>
      </w:pPr>
      <w:r>
        <w:rPr>
          <w:spacing w:val="-2"/>
        </w:rPr>
        <w:t>罗嘉俊先生，</w:t>
      </w:r>
      <w:r>
        <w:rPr>
          <w:rFonts w:ascii="Times New Roman" w:hAnsi="Times New Roman" w:cs="Times New Roman" w:eastAsia="Times New Roman" w:hint="default"/>
          <w:spacing w:val="-2"/>
        </w:rPr>
        <w:t>1989</w:t>
      </w:r>
      <w:r>
        <w:rPr>
          <w:spacing w:val="-2"/>
        </w:rPr>
        <w:t>年出生，中国国籍，持有香港临时身份证，无永久境外居留权，毕业于英国皇家霍</w:t>
      </w:r>
      <w:r>
        <w:rPr>
          <w:w w:val="100"/>
        </w:rPr>
        <w:t> </w:t>
      </w:r>
      <w:r>
        <w:rPr/>
        <w:t>洛威大学。现任公司董事，佛山市顺德区瑞域房产有限公司执行董事、经理。</w:t>
      </w:r>
    </w:p>
    <w:p>
      <w:pPr>
        <w:pStyle w:val="BodyText"/>
        <w:spacing w:line="264" w:lineRule="auto" w:before="22"/>
        <w:ind w:right="207" w:firstLine="420"/>
        <w:jc w:val="both"/>
      </w:pPr>
      <w:r>
        <w:rPr>
          <w:spacing w:val="-2"/>
        </w:rPr>
        <w:t>李英明先生，</w:t>
      </w:r>
      <w:r>
        <w:rPr>
          <w:rFonts w:ascii="Times New Roman" w:hAnsi="Times New Roman" w:cs="Times New Roman" w:eastAsia="Times New Roman" w:hint="default"/>
          <w:spacing w:val="-2"/>
        </w:rPr>
        <w:t>1978</w:t>
      </w:r>
      <w:r>
        <w:rPr>
          <w:spacing w:val="-2"/>
        </w:rPr>
        <w:t>年出生，中国国籍，无境外永久居留权，硕士研究生学历。曾任正略钧策管理顾问</w:t>
      </w:r>
      <w:r>
        <w:rPr>
          <w:w w:val="100"/>
        </w:rPr>
        <w:t> </w:t>
      </w:r>
      <w:r>
        <w:rPr>
          <w:spacing w:val="-2"/>
        </w:rPr>
        <w:t>公司高级顾问、投资经理，现任公司董事，北京云江科技有限公司董事、北京凤凰财富资产管理有限公司</w:t>
      </w:r>
      <w:r>
        <w:rPr>
          <w:spacing w:val="-47"/>
        </w:rPr>
        <w:t> </w:t>
      </w:r>
      <w:r>
        <w:rPr>
          <w:spacing w:val="-47"/>
        </w:rPr>
      </w:r>
      <w:r>
        <w:rPr/>
        <w:t>副总经理。</w:t>
      </w:r>
    </w:p>
    <w:p>
      <w:pPr>
        <w:pStyle w:val="BodyText"/>
        <w:spacing w:line="256" w:lineRule="auto" w:before="16"/>
        <w:ind w:right="306" w:firstLine="420"/>
        <w:jc w:val="left"/>
      </w:pPr>
      <w:r>
        <w:rPr/>
        <w:t>张李平先生，</w:t>
      </w:r>
      <w:r>
        <w:rPr>
          <w:rFonts w:ascii="Times New Roman" w:hAnsi="Times New Roman" w:cs="Times New Roman" w:eastAsia="Times New Roman" w:hint="default"/>
        </w:rPr>
        <w:t>1973</w:t>
      </w:r>
      <w:r>
        <w:rPr>
          <w:rFonts w:ascii="Times New Roman" w:hAnsi="Times New Roman" w:cs="Times New Roman" w:eastAsia="Times New Roman" w:hint="default"/>
          <w:spacing w:val="25"/>
        </w:rPr>
        <w:t> </w:t>
      </w:r>
      <w:r>
        <w:rPr/>
        <w:t>年出生，大学本科学历，毕业于西南政法大学法律系，执业律师，曾任广东海顺</w:t>
      </w:r>
      <w:r>
        <w:rPr>
          <w:w w:val="100"/>
        </w:rPr>
        <w:t> </w:t>
      </w:r>
      <w:r>
        <w:rPr/>
        <w:t>律师事务所律师，现任广东兴顺律师事务所主任、公司独立董事。</w:t>
      </w:r>
    </w:p>
    <w:p>
      <w:pPr>
        <w:pStyle w:val="BodyText"/>
        <w:spacing w:line="261" w:lineRule="auto" w:before="23"/>
        <w:ind w:right="105" w:firstLine="420"/>
        <w:jc w:val="left"/>
      </w:pPr>
      <w:r>
        <w:rPr>
          <w:spacing w:val="-2"/>
        </w:rPr>
        <w:t>周春生先生，</w:t>
      </w:r>
      <w:r>
        <w:rPr>
          <w:rFonts w:ascii="Times New Roman" w:hAnsi="Times New Roman" w:cs="Times New Roman" w:eastAsia="Times New Roman" w:hint="default"/>
          <w:spacing w:val="-2"/>
        </w:rPr>
        <w:t>1966</w:t>
      </w:r>
      <w:r>
        <w:rPr>
          <w:spacing w:val="-2"/>
        </w:rPr>
        <w:t>年出生，中国国籍，无境外永久居留权，博士研究生学历。现为长江商学院金融教</w:t>
      </w:r>
      <w:r>
        <w:rPr>
          <w:w w:val="100"/>
        </w:rPr>
        <w:t> </w:t>
      </w:r>
      <w:r>
        <w:rPr>
          <w:spacing w:val="-2"/>
        </w:rPr>
        <w:t>授，</w:t>
      </w:r>
      <w:r>
        <w:rPr>
          <w:rFonts w:ascii="Times New Roman" w:hAnsi="Times New Roman" w:cs="Times New Roman" w:eastAsia="Times New Roman" w:hint="default"/>
          <w:spacing w:val="-2"/>
        </w:rPr>
        <w:t>EMBA</w:t>
      </w:r>
      <w:r>
        <w:rPr>
          <w:spacing w:val="-2"/>
        </w:rPr>
        <w:t>学术主任，兼任公司独立董事等职。国家杰出青年基金获得者。曾任北京大学光华管理学院院</w:t>
      </w:r>
      <w:r>
        <w:rPr>
          <w:spacing w:val="-16"/>
        </w:rPr>
        <w:t> </w:t>
      </w:r>
      <w:r>
        <w:rPr>
          <w:spacing w:val="-16"/>
        </w:rPr>
      </w:r>
      <w:r>
        <w:rPr>
          <w:spacing w:val="-2"/>
        </w:rPr>
        <w:t>长助理、高层管理者培训与发展中心主任、金融教授、中国证监会规划发展委员会委员（副局级），并兼</w:t>
      </w:r>
      <w:r>
        <w:rPr>
          <w:spacing w:val="-45"/>
        </w:rPr>
        <w:t> </w:t>
      </w:r>
      <w:r>
        <w:rPr>
          <w:spacing w:val="-45"/>
        </w:rPr>
      </w:r>
      <w:r>
        <w:rPr/>
        <w:t>任光华管理学院金融系主任，中国留美金融学会理事，美国经济学会、美国金融研究会会员，</w:t>
      </w:r>
      <w:r>
        <w:rPr>
          <w:rFonts w:ascii="Times New Roman" w:hAnsi="Times New Roman" w:cs="Times New Roman" w:eastAsia="Times New Roman" w:hint="default"/>
        </w:rPr>
        <w:t>Annuals</w:t>
      </w:r>
      <w:r>
        <w:rPr>
          <w:rFonts w:ascii="Times New Roman" w:hAnsi="Times New Roman" w:cs="Times New Roman" w:eastAsia="Times New Roman" w:hint="default"/>
          <w:spacing w:val="-3"/>
        </w:rPr>
        <w:t> </w:t>
      </w:r>
      <w:r>
        <w:rPr>
          <w:rFonts w:ascii="Times New Roman" w:hAnsi="Times New Roman" w:cs="Times New Roman" w:eastAsia="Times New Roman" w:hint="default"/>
        </w:rPr>
        <w:t>of</w:t>
      </w:r>
      <w:r>
        <w:rPr>
          <w:rFonts w:ascii="Times New Roman" w:hAnsi="Times New Roman" w:cs="Times New Roman" w:eastAsia="Times New Roman" w:hint="default"/>
          <w:w w:val="100"/>
        </w:rPr>
        <w:t> </w:t>
      </w:r>
      <w:r>
        <w:rPr>
          <w:rFonts w:ascii="Times New Roman" w:hAnsi="Times New Roman" w:cs="Times New Roman" w:eastAsia="Times New Roman" w:hint="default"/>
        </w:rPr>
        <w:t>Economics and Finance</w:t>
      </w:r>
      <w:r>
        <w:rPr>
          <w:rFonts w:ascii="Times New Roman" w:hAnsi="Times New Roman" w:cs="Times New Roman" w:eastAsia="Times New Roman" w:hint="default"/>
          <w:spacing w:val="10"/>
        </w:rPr>
        <w:t> </w:t>
      </w:r>
      <w:r>
        <w:rPr/>
        <w:t>编委。著名经济学家，香港大学荣誉教授，香港城市大学客座教授，深圳证券交易</w:t>
      </w:r>
      <w:r>
        <w:rPr>
          <w:w w:val="100"/>
        </w:rPr>
        <w:t> </w:t>
      </w:r>
      <w:r>
        <w:rPr>
          <w:spacing w:val="-2"/>
        </w:rPr>
        <w:t>所首届和第二届上市委员会委员。获北京大学数学系硕士学位，美国普林斯顿大学金融经济学博士学位，</w:t>
      </w:r>
      <w:r>
        <w:rPr>
          <w:spacing w:val="-21"/>
        </w:rPr>
        <w:t> </w:t>
      </w:r>
      <w:r>
        <w:rPr>
          <w:spacing w:val="-21"/>
        </w:rPr>
      </w:r>
      <w:r>
        <w:rPr/>
        <w:t>普林斯顿大学最优博士生荣誉奖学金。</w:t>
      </w:r>
    </w:p>
    <w:p>
      <w:pPr>
        <w:pStyle w:val="BodyText"/>
        <w:spacing w:line="256" w:lineRule="auto" w:before="18"/>
        <w:ind w:right="105" w:firstLine="420"/>
        <w:jc w:val="left"/>
      </w:pPr>
      <w:r>
        <w:rPr>
          <w:spacing w:val="-5"/>
        </w:rPr>
        <w:t>徐强国先生，</w:t>
      </w:r>
      <w:r>
        <w:rPr>
          <w:rFonts w:ascii="Times New Roman" w:hAnsi="Times New Roman" w:cs="Times New Roman" w:eastAsia="Times New Roman" w:hint="default"/>
          <w:spacing w:val="-5"/>
        </w:rPr>
        <w:t>1964</w:t>
      </w:r>
      <w:r>
        <w:rPr>
          <w:spacing w:val="-5"/>
        </w:rPr>
        <w:t>年出生，中国国籍，无境外永久居留权，博士研究生学历。曾任天津商业大学教授，</w:t>
      </w:r>
      <w:r>
        <w:rPr>
          <w:w w:val="100"/>
        </w:rPr>
        <w:t> </w:t>
      </w:r>
      <w:r>
        <w:rPr/>
        <w:t>现任浙江工商大学财务与会计学院教授，兼任公司独立董事等职。</w:t>
      </w:r>
    </w:p>
    <w:p>
      <w:pPr>
        <w:pStyle w:val="BodyText"/>
        <w:spacing w:line="266" w:lineRule="auto" w:before="22"/>
        <w:ind w:right="206" w:firstLine="420"/>
        <w:jc w:val="both"/>
      </w:pPr>
      <w:r>
        <w:rPr>
          <w:spacing w:val="-3"/>
        </w:rPr>
        <w:t>何国英先生，</w:t>
      </w:r>
      <w:r>
        <w:rPr>
          <w:rFonts w:ascii="Times New Roman" w:hAnsi="Times New Roman" w:cs="Times New Roman" w:eastAsia="Times New Roman" w:hint="default"/>
          <w:spacing w:val="-3"/>
        </w:rPr>
        <w:t>1962</w:t>
      </w:r>
      <w:r>
        <w:rPr>
          <w:spacing w:val="-3"/>
        </w:rPr>
        <w:t>年</w:t>
      </w:r>
      <w:r>
        <w:rPr>
          <w:rFonts w:ascii="Times New Roman" w:hAnsi="Times New Roman" w:cs="Times New Roman" w:eastAsia="Times New Roman" w:hint="default"/>
          <w:spacing w:val="-3"/>
        </w:rPr>
        <w:t>11</w:t>
      </w:r>
      <w:r>
        <w:rPr>
          <w:spacing w:val="-3"/>
        </w:rPr>
        <w:t>月出生，中国国籍，无永久境外居留权，清华大学</w:t>
      </w:r>
      <w:r>
        <w:rPr>
          <w:rFonts w:ascii="Times New Roman" w:hAnsi="Times New Roman" w:cs="Times New Roman" w:eastAsia="Times New Roman" w:hint="default"/>
          <w:spacing w:val="-3"/>
        </w:rPr>
        <w:t>MBA</w:t>
      </w:r>
      <w:r>
        <w:rPr>
          <w:spacing w:val="-3"/>
        </w:rPr>
        <w:t>课程结业。历任广东德</w:t>
      </w:r>
      <w:r>
        <w:rPr>
          <w:w w:val="100"/>
        </w:rPr>
        <w:t> </w:t>
      </w:r>
      <w:r>
        <w:rPr>
          <w:spacing w:val="-2"/>
        </w:rPr>
        <w:t>美精细化工股份有限公司执行董事、监事、董事、总经理助理、营销负责人等职务。现任广东德美精细化</w:t>
      </w:r>
      <w:r>
        <w:rPr>
          <w:spacing w:val="-43"/>
        </w:rPr>
        <w:t> </w:t>
      </w:r>
      <w:r>
        <w:rPr>
          <w:spacing w:val="-43"/>
        </w:rPr>
      </w:r>
      <w:r>
        <w:rPr/>
        <w:t>工股份有限公司董事、副总经理、公司监事会主席等职。</w:t>
      </w:r>
    </w:p>
    <w:p>
      <w:pPr>
        <w:pStyle w:val="BodyText"/>
        <w:spacing w:line="256" w:lineRule="auto" w:before="14"/>
        <w:ind w:right="290" w:firstLine="420"/>
        <w:jc w:val="both"/>
      </w:pPr>
      <w:r>
        <w:rPr>
          <w:spacing w:val="-2"/>
        </w:rPr>
        <w:t>刘琛女士，</w:t>
      </w:r>
      <w:r>
        <w:rPr>
          <w:rFonts w:ascii="Times New Roman" w:hAnsi="Times New Roman" w:cs="Times New Roman" w:eastAsia="Times New Roman" w:hint="default"/>
          <w:spacing w:val="-2"/>
        </w:rPr>
        <w:t>1972</w:t>
      </w:r>
      <w:r>
        <w:rPr>
          <w:spacing w:val="-2"/>
        </w:rPr>
        <w:t>年</w:t>
      </w:r>
      <w:r>
        <w:rPr>
          <w:rFonts w:ascii="Times New Roman" w:hAnsi="Times New Roman" w:cs="Times New Roman" w:eastAsia="Times New Roman" w:hint="default"/>
          <w:spacing w:val="-2"/>
        </w:rPr>
        <w:t>4</w:t>
      </w:r>
      <w:r>
        <w:rPr>
          <w:spacing w:val="-2"/>
        </w:rPr>
        <w:t>月出生，中国国籍，无境外永久居留权，大学本科学历，现任公司品质管理部副</w:t>
      </w:r>
      <w:r>
        <w:rPr>
          <w:w w:val="100"/>
        </w:rPr>
        <w:t> </w:t>
      </w:r>
      <w:r>
        <w:rPr/>
        <w:t>经理、监事。</w:t>
      </w:r>
    </w:p>
    <w:p>
      <w:pPr>
        <w:pStyle w:val="BodyText"/>
        <w:spacing w:line="256" w:lineRule="auto" w:before="22"/>
        <w:ind w:right="207" w:firstLine="420"/>
        <w:jc w:val="both"/>
      </w:pPr>
      <w:r>
        <w:rPr>
          <w:spacing w:val="-2"/>
        </w:rPr>
        <w:t>叶强先生，</w:t>
      </w:r>
      <w:r>
        <w:rPr>
          <w:rFonts w:ascii="Times New Roman" w:hAnsi="Times New Roman" w:cs="Times New Roman" w:eastAsia="Times New Roman" w:hint="default"/>
          <w:spacing w:val="-2"/>
        </w:rPr>
        <w:t>1980</w:t>
      </w:r>
      <w:r>
        <w:rPr>
          <w:spacing w:val="-2"/>
        </w:rPr>
        <w:t>年出生，中国国籍，无境外永久居留权，硕士研究生学历。曾任屈臣氏集团有限公司</w:t>
      </w:r>
      <w:r>
        <w:rPr>
          <w:w w:val="100"/>
        </w:rPr>
        <w:t> </w:t>
      </w:r>
      <w:r>
        <w:rPr/>
        <w:t>区域经理，现任公司监事，北京凤凰财富资产管理有限公司副总经理等职。</w:t>
      </w:r>
    </w:p>
    <w:p>
      <w:pPr>
        <w:pStyle w:val="BodyText"/>
        <w:spacing w:line="264" w:lineRule="auto" w:before="22"/>
        <w:ind w:right="105" w:firstLine="420"/>
        <w:jc w:val="left"/>
      </w:pPr>
      <w:r>
        <w:rPr/>
        <w:t>刘世明先生，</w:t>
      </w:r>
      <w:r>
        <w:rPr>
          <w:rFonts w:ascii="Times New Roman" w:hAnsi="Times New Roman" w:cs="Times New Roman" w:eastAsia="Times New Roman" w:hint="default"/>
        </w:rPr>
        <w:t>1969</w:t>
      </w:r>
      <w:r>
        <w:rPr/>
        <w:t>年</w:t>
      </w:r>
      <w:r>
        <w:rPr>
          <w:rFonts w:ascii="Times New Roman" w:hAnsi="Times New Roman" w:cs="Times New Roman" w:eastAsia="Times New Roman" w:hint="default"/>
        </w:rPr>
        <w:t>2</w:t>
      </w:r>
      <w:r>
        <w:rPr/>
        <w:t>月出生，中国国籍，无境外永久居留权，本科学历。</w:t>
      </w:r>
      <w:r>
        <w:rPr>
          <w:rFonts w:ascii="Times New Roman" w:hAnsi="Times New Roman" w:cs="Times New Roman" w:eastAsia="Times New Roman" w:hint="default"/>
        </w:rPr>
        <w:t>1997</w:t>
      </w:r>
      <w:r>
        <w:rPr/>
        <w:t>年加入公司，历任行</w:t>
      </w:r>
      <w:r>
        <w:rPr>
          <w:w w:val="100"/>
        </w:rPr>
        <w:t> </w:t>
      </w:r>
      <w:r>
        <w:rPr>
          <w:spacing w:val="-2"/>
        </w:rPr>
        <w:t>政部经理、企管部经理、品质副总经理、生产技术副总经理等职，现任公司副总经理，负责公司行政、人</w:t>
      </w:r>
      <w:r>
        <w:rPr>
          <w:spacing w:val="-45"/>
        </w:rPr>
        <w:t> </w:t>
      </w:r>
      <w:r>
        <w:rPr>
          <w:spacing w:val="-45"/>
        </w:rPr>
      </w:r>
      <w:r>
        <w:rPr/>
        <w:t>力资源等工作，兼任子公司扬州华声电子实业有限公司董事等职。</w:t>
      </w:r>
    </w:p>
    <w:p>
      <w:pPr>
        <w:spacing w:after="0" w:line="264" w:lineRule="auto"/>
        <w:jc w:val="left"/>
        <w:sectPr>
          <w:pgSz w:w="11910" w:h="16840"/>
          <w:pgMar w:header="877" w:footer="979" w:top="1060" w:bottom="1160" w:left="980" w:right="920"/>
        </w:sectPr>
      </w:pPr>
    </w:p>
    <w:p>
      <w:pPr>
        <w:spacing w:line="240" w:lineRule="auto" w:before="10"/>
        <w:rPr>
          <w:rFonts w:ascii="宋体" w:hAnsi="宋体" w:cs="宋体" w:eastAsia="宋体" w:hint="default"/>
          <w:sz w:val="24"/>
          <w:szCs w:val="24"/>
        </w:rPr>
      </w:pPr>
      <w:r>
        <w:rPr/>
        <w:pict>
          <v:shape style="position:absolute;margin-left:284.089783pt;margin-top:475.194977pt;width:90.3pt;height:22.8pt;mso-position-horizontal-relative:page;mso-position-vertical-relative:page;z-index:-666736" type="#_x0000_t202" filled="false" stroked="false">
            <v:textbox inset="0,0,0,0">
              <w:txbxContent>
                <w:p>
                  <w:pPr>
                    <w:pStyle w:val="BodyText"/>
                    <w:spacing w:line="211" w:lineRule="exact"/>
                    <w:ind w:left="0" w:right="0"/>
                    <w:jc w:val="left"/>
                  </w:pPr>
                  <w:r>
                    <w:rPr>
                      <w:w w:val="100"/>
                    </w:rPr>
                    <w:t>）</w:t>
                  </w:r>
                </w:p>
              </w:txbxContent>
            </v:textbox>
            <w10:wrap type="none"/>
          </v:shape>
        </w:pict>
      </w:r>
      <w:r>
        <w:rPr/>
        <w:pict>
          <v:shape style="position:absolute;margin-left:284.089783pt;margin-top:510.834991pt;width:90.3pt;height:22.9pt;mso-position-horizontal-relative:page;mso-position-vertical-relative:page;z-index:-666712" type="#_x0000_t202" filled="false" stroked="false">
            <v:textbox inset="0,0,0,0">
              <w:txbxContent>
                <w:p>
                  <w:pPr>
                    <w:pStyle w:val="BodyText"/>
                    <w:spacing w:line="211" w:lineRule="exact"/>
                    <w:ind w:left="0" w:right="0"/>
                    <w:jc w:val="left"/>
                  </w:pPr>
                  <w:r>
                    <w:rPr>
                      <w:w w:val="100"/>
                    </w:rPr>
                    <w:t>）</w:t>
                  </w:r>
                </w:p>
              </w:txbxContent>
            </v:textbox>
            <w10:wrap type="none"/>
          </v:shape>
        </w:pict>
      </w:r>
      <w:r>
        <w:rPr/>
        <w:pict>
          <v:shape style="position:absolute;margin-left:284.093842pt;margin-top:546.594971pt;width:90.3pt;height:22.8pt;mso-position-horizontal-relative:page;mso-position-vertical-relative:page;z-index:-666688" type="#_x0000_t202" filled="false" stroked="false">
            <v:textbox inset="0,0,0,0">
              <w:txbxContent>
                <w:p>
                  <w:pPr>
                    <w:pStyle w:val="BodyText"/>
                    <w:spacing w:line="211" w:lineRule="exact"/>
                    <w:ind w:left="0" w:right="0"/>
                    <w:jc w:val="left"/>
                  </w:pPr>
                  <w:r>
                    <w:rPr>
                      <w:w w:val="100"/>
                    </w:rPr>
                    <w:t>）</w:t>
                  </w:r>
                </w:p>
              </w:txbxContent>
            </v:textbox>
            <w10:wrap type="none"/>
          </v:shape>
        </w:pict>
      </w:r>
      <w:r>
        <w:rPr/>
        <w:pict>
          <v:shape style="position:absolute;margin-left:284.089783pt;margin-top:582.234985pt;width:90.3pt;height:22.95pt;mso-position-horizontal-relative:page;mso-position-vertical-relative:page;z-index:-666664" type="#_x0000_t202" filled="false" stroked="false">
            <v:textbox inset="0,0,0,0">
              <w:txbxContent>
                <w:p>
                  <w:pPr>
                    <w:pStyle w:val="BodyText"/>
                    <w:spacing w:line="211" w:lineRule="exact"/>
                    <w:ind w:left="0" w:right="0"/>
                    <w:jc w:val="left"/>
                  </w:pPr>
                  <w:r>
                    <w:rPr>
                      <w:w w:val="100"/>
                    </w:rPr>
                    <w:t>）</w:t>
                  </w:r>
                </w:p>
              </w:txbxContent>
            </v:textbox>
            <w10:wrap type="none"/>
          </v:shape>
        </w:pict>
      </w:r>
      <w:r>
        <w:rPr/>
        <w:pict>
          <v:group style="position:absolute;margin-left:290.929993pt;margin-top:462.249969pt;width:83.45pt;height:143.450pt;mso-position-horizontal-relative:page;mso-position-vertical-relative:page;z-index:-666616" coordorigin="5819,9245" coordsize="1669,2869">
            <v:group style="position:absolute;left:5829;top:9256;width:2;height:704" coordorigin="5829,9256" coordsize="2,704">
              <v:shape style="position:absolute;left:5829;top:9256;width:2;height:704" coordorigin="5829,9256" coordsize="0,704" path="m5829,9256l5829,9959e" filled="false" stroked="true" strokeweight="1.08pt" strokecolor="#ffffff">
                <v:path arrowok="t"/>
              </v:shape>
            </v:group>
            <v:group style="position:absolute;left:5840;top:9256;width:1647;height:351" coordorigin="5840,9256" coordsize="1647,351">
              <v:shape style="position:absolute;left:5840;top:9256;width:1647;height:351" coordorigin="5840,9256" coordsize="1647,351" path="m5840,9606l7487,9606,7487,9256,5840,9256,5840,9606xe" filled="true" fillcolor="#ffffff" stroked="false">
                <v:path arrowok="t"/>
                <v:fill type="solid"/>
              </v:shape>
            </v:group>
            <v:group style="position:absolute;left:5840;top:9606;width:1647;height:353" coordorigin="5840,9606" coordsize="1647,353">
              <v:shape style="position:absolute;left:5840;top:9606;width:1647;height:353" coordorigin="5840,9606" coordsize="1647,353" path="m5840,9959l7487,9959,7487,9606,5840,9606,5840,9959xe" filled="true" fillcolor="#ffffff" stroked="false">
                <v:path arrowok="t"/>
                <v:fill type="solid"/>
              </v:shape>
            </v:group>
            <v:group style="position:absolute;left:5829;top:9969;width:2;height:706" coordorigin="5829,9969" coordsize="2,706">
              <v:shape style="position:absolute;left:5829;top:9969;width:2;height:706" coordorigin="5829,9969" coordsize="0,706" path="m5829,9969l5829,10674e" filled="false" stroked="true" strokeweight="1.08pt" strokecolor="#ffffff">
                <v:path arrowok="t"/>
              </v:shape>
            </v:group>
            <v:group style="position:absolute;left:5840;top:9969;width:1647;height:353" coordorigin="5840,9969" coordsize="1647,353">
              <v:shape style="position:absolute;left:5840;top:9969;width:1647;height:353" coordorigin="5840,9969" coordsize="1647,353" path="m5840,10321l7487,10321,7487,9969,5840,9969,5840,10321xe" filled="true" fillcolor="#ffffff" stroked="false">
                <v:path arrowok="t"/>
                <v:fill type="solid"/>
              </v:shape>
            </v:group>
            <v:group style="position:absolute;left:5840;top:10321;width:1647;height:353" coordorigin="5840,10321" coordsize="1647,353">
              <v:shape style="position:absolute;left:5840;top:10321;width:1647;height:353" coordorigin="5840,10321" coordsize="1647,353" path="m5840,10674l7487,10674,7487,10321,5840,10321,5840,10674xe" filled="true" fillcolor="#ffffff" stroked="false">
                <v:path arrowok="t"/>
                <v:fill type="solid"/>
              </v:shape>
            </v:group>
            <v:group style="position:absolute;left:5829;top:10684;width:2;height:704" coordorigin="5829,10684" coordsize="2,704">
              <v:shape style="position:absolute;left:5829;top:10684;width:2;height:704" coordorigin="5829,10684" coordsize="0,704" path="m5829,10684l5829,11387e" filled="false" stroked="true" strokeweight="1.08pt" strokecolor="#ffffff">
                <v:path arrowok="t"/>
              </v:shape>
            </v:group>
            <v:group style="position:absolute;left:5840;top:10684;width:1647;height:351" coordorigin="5840,10684" coordsize="1647,351">
              <v:shape style="position:absolute;left:5840;top:10684;width:1647;height:351" coordorigin="5840,10684" coordsize="1647,351" path="m5840,11034l7487,11034,7487,10684,5840,10684,5840,11034xe" filled="true" fillcolor="#ffffff" stroked="false">
                <v:path arrowok="t"/>
                <v:fill type="solid"/>
              </v:shape>
            </v:group>
            <v:group style="position:absolute;left:5840;top:11034;width:1647;height:353" coordorigin="5840,11034" coordsize="1647,353">
              <v:shape style="position:absolute;left:5840;top:11034;width:1647;height:353" coordorigin="5840,11034" coordsize="1647,353" path="m5840,11387l7487,11387,7487,11034,5840,11034,5840,11387xe" filled="true" fillcolor="#ffffff" stroked="false">
                <v:path arrowok="t"/>
                <v:fill type="solid"/>
              </v:shape>
            </v:group>
            <v:group style="position:absolute;left:5829;top:11397;width:2;height:707" coordorigin="5829,11397" coordsize="2,707">
              <v:shape style="position:absolute;left:5829;top:11397;width:2;height:707" coordorigin="5829,11397" coordsize="0,707" path="m5829,11397l5829,12103e" filled="false" stroked="true" strokeweight="1.08pt" strokecolor="#ffffff">
                <v:path arrowok="t"/>
              </v:shape>
            </v:group>
            <v:group style="position:absolute;left:5840;top:11397;width:1647;height:353" coordorigin="5840,11397" coordsize="1647,353">
              <v:shape style="position:absolute;left:5840;top:11397;width:1647;height:353" coordorigin="5840,11397" coordsize="1647,353" path="m5840,11749l7487,11749,7487,11397,5840,11397,5840,11749xe" filled="true" fillcolor="#ffffff" stroked="false">
                <v:path arrowok="t"/>
                <v:fill type="solid"/>
              </v:shape>
            </v:group>
            <v:group style="position:absolute;left:5840;top:11750;width:1647;height:354" coordorigin="5840,11750" coordsize="1647,354">
              <v:shape style="position:absolute;left:5840;top:11750;width:1647;height:354" coordorigin="5840,11750" coordsize="1647,354" path="m5840,12103l7487,12103,7487,11750,5840,11750,5840,12103xe" filled="true" fillcolor="#ffffff" stroked="false">
                <v:path arrowok="t"/>
                <v:fill type="solid"/>
              </v:shape>
            </v:group>
            <w10:wrap type="none"/>
          </v:group>
        </w:pict>
      </w:r>
    </w:p>
    <w:p>
      <w:pPr>
        <w:pStyle w:val="BodyText"/>
        <w:tabs>
          <w:tab w:pos="8134" w:val="left" w:leader="none"/>
        </w:tabs>
        <w:spacing w:line="240" w:lineRule="auto" w:before="36"/>
        <w:ind w:right="0"/>
        <w:jc w:val="left"/>
      </w:pPr>
      <w:r>
        <w:rPr>
          <w:spacing w:val="-1"/>
        </w:rPr>
        <w:t>在股东单位任职情况</w:t>
        <w:tab/>
      </w:r>
      <w:r>
        <w:rPr>
          <w:rFonts w:ascii="Times New Roman" w:hAnsi="Times New Roman" w:cs="Times New Roman" w:eastAsia="Times New Roman" w:hint="default"/>
        </w:rPr>
        <w:t>√  </w:t>
      </w:r>
      <w:r>
        <w:rPr>
          <w:spacing w:val="-2"/>
        </w:rPr>
        <w:t>适用</w:t>
      </w:r>
      <w:r>
        <w:rPr/>
        <w:t> </w:t>
      </w:r>
      <w:r>
        <w:rPr>
          <w:rFonts w:ascii="Times New Roman" w:hAnsi="Times New Roman" w:cs="Times New Roman" w:eastAsia="Times New Roman" w:hint="default"/>
        </w:rPr>
        <w:t>□ </w:t>
      </w:r>
      <w:r>
        <w:rPr>
          <w:rFonts w:ascii="Times New Roman" w:hAnsi="Times New Roman" w:cs="Times New Roman" w:eastAsia="Times New Roman" w:hint="default"/>
          <w:spacing w:val="4"/>
        </w:rPr>
        <w:t> </w:t>
      </w:r>
      <w:r>
        <w:rPr>
          <w:spacing w:val="-1"/>
        </w:rPr>
        <w:t>不适用</w:t>
      </w:r>
    </w:p>
    <w:p>
      <w:pPr>
        <w:spacing w:line="240" w:lineRule="auto" w:before="10"/>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994"/>
        <w:gridCol w:w="3685"/>
        <w:gridCol w:w="1702"/>
        <w:gridCol w:w="992"/>
        <w:gridCol w:w="994"/>
        <w:gridCol w:w="1205"/>
      </w:tblGrid>
      <w:tr>
        <w:trPr>
          <w:trHeight w:val="1025"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71" w:lineRule="auto"/>
              <w:ind w:left="281" w:right="67" w:hanging="209"/>
              <w:jc w:val="left"/>
              <w:rPr>
                <w:rFonts w:ascii="宋体" w:hAnsi="宋体" w:cs="宋体" w:eastAsia="宋体" w:hint="default"/>
                <w:sz w:val="21"/>
                <w:szCs w:val="21"/>
              </w:rPr>
            </w:pPr>
            <w:r>
              <w:rPr>
                <w:rFonts w:ascii="宋体" w:hAnsi="宋体" w:cs="宋体" w:eastAsia="宋体" w:hint="default"/>
                <w:sz w:val="21"/>
                <w:szCs w:val="21"/>
              </w:rPr>
              <w:t>任职人员</w:t>
            </w:r>
            <w:r>
              <w:rPr>
                <w:rFonts w:ascii="宋体" w:hAnsi="宋体" w:cs="宋体" w:eastAsia="宋体" w:hint="default"/>
                <w:w w:val="100"/>
                <w:sz w:val="21"/>
                <w:szCs w:val="21"/>
              </w:rPr>
              <w:t> </w:t>
            </w:r>
            <w:r>
              <w:rPr>
                <w:rFonts w:ascii="宋体" w:hAnsi="宋体" w:cs="宋体" w:eastAsia="宋体" w:hint="default"/>
                <w:sz w:val="21"/>
                <w:szCs w:val="21"/>
              </w:rPr>
              <w:t>姓名</w:t>
            </w:r>
          </w:p>
        </w:tc>
        <w:tc>
          <w:tcPr>
            <w:tcW w:w="3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1207" w:right="0"/>
              <w:jc w:val="left"/>
              <w:rPr>
                <w:rFonts w:ascii="宋体" w:hAnsi="宋体" w:cs="宋体" w:eastAsia="宋体" w:hint="default"/>
                <w:sz w:val="21"/>
                <w:szCs w:val="21"/>
              </w:rPr>
            </w:pPr>
            <w:r>
              <w:rPr>
                <w:rFonts w:ascii="宋体" w:hAnsi="宋体" w:cs="宋体" w:eastAsia="宋体" w:hint="default"/>
                <w:sz w:val="21"/>
                <w:szCs w:val="21"/>
              </w:rPr>
              <w:t>股东单位名称</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71" w:lineRule="auto"/>
              <w:ind w:left="530" w:right="106" w:hanging="421"/>
              <w:jc w:val="left"/>
              <w:rPr>
                <w:rFonts w:ascii="宋体" w:hAnsi="宋体" w:cs="宋体" w:eastAsia="宋体" w:hint="default"/>
                <w:sz w:val="21"/>
                <w:szCs w:val="21"/>
              </w:rPr>
            </w:pPr>
            <w:r>
              <w:rPr>
                <w:rFonts w:ascii="宋体" w:hAnsi="宋体" w:cs="宋体" w:eastAsia="宋体" w:hint="default"/>
                <w:sz w:val="21"/>
                <w:szCs w:val="21"/>
              </w:rPr>
              <w:t>在股东单位担任</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的职务</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71" w:lineRule="auto"/>
              <w:ind w:left="280" w:right="65" w:hanging="209"/>
              <w:jc w:val="left"/>
              <w:rPr>
                <w:rFonts w:ascii="宋体" w:hAnsi="宋体" w:cs="宋体" w:eastAsia="宋体" w:hint="default"/>
                <w:sz w:val="21"/>
                <w:szCs w:val="21"/>
              </w:rPr>
            </w:pPr>
            <w:r>
              <w:rPr>
                <w:rFonts w:ascii="宋体" w:hAnsi="宋体" w:cs="宋体" w:eastAsia="宋体" w:hint="default"/>
                <w:sz w:val="21"/>
                <w:szCs w:val="21"/>
              </w:rPr>
              <w:t>任期起始</w:t>
            </w:r>
            <w:r>
              <w:rPr>
                <w:rFonts w:ascii="宋体" w:hAnsi="宋体" w:cs="宋体" w:eastAsia="宋体" w:hint="default"/>
                <w:w w:val="100"/>
                <w:sz w:val="21"/>
                <w:szCs w:val="21"/>
              </w:rPr>
              <w:t> </w:t>
            </w:r>
            <w:r>
              <w:rPr>
                <w:rFonts w:ascii="宋体" w:hAnsi="宋体" w:cs="宋体" w:eastAsia="宋体" w:hint="default"/>
                <w:sz w:val="21"/>
                <w:szCs w:val="21"/>
              </w:rPr>
              <w:t>日期</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71" w:lineRule="auto"/>
              <w:ind w:left="280" w:right="67" w:hanging="209"/>
              <w:jc w:val="left"/>
              <w:rPr>
                <w:rFonts w:ascii="宋体" w:hAnsi="宋体" w:cs="宋体" w:eastAsia="宋体" w:hint="default"/>
                <w:sz w:val="21"/>
                <w:szCs w:val="21"/>
              </w:rPr>
            </w:pPr>
            <w:r>
              <w:rPr>
                <w:rFonts w:ascii="宋体" w:hAnsi="宋体" w:cs="宋体" w:eastAsia="宋体" w:hint="default"/>
                <w:sz w:val="21"/>
                <w:szCs w:val="21"/>
              </w:rPr>
              <w:t>任期终止</w:t>
            </w:r>
            <w:r>
              <w:rPr>
                <w:rFonts w:ascii="宋体" w:hAnsi="宋体" w:cs="宋体" w:eastAsia="宋体" w:hint="default"/>
                <w:w w:val="100"/>
                <w:sz w:val="21"/>
                <w:szCs w:val="21"/>
              </w:rPr>
              <w:t> </w:t>
            </w:r>
            <w:r>
              <w:rPr>
                <w:rFonts w:ascii="宋体" w:hAnsi="宋体" w:cs="宋体" w:eastAsia="宋体" w:hint="default"/>
                <w:sz w:val="21"/>
                <w:szCs w:val="21"/>
              </w:rPr>
              <w:t>日期</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72" w:right="67"/>
              <w:jc w:val="center"/>
              <w:rPr>
                <w:rFonts w:ascii="宋体" w:hAnsi="宋体" w:cs="宋体" w:eastAsia="宋体" w:hint="default"/>
                <w:sz w:val="21"/>
                <w:szCs w:val="21"/>
              </w:rPr>
            </w:pPr>
            <w:r>
              <w:rPr>
                <w:rFonts w:ascii="宋体" w:hAnsi="宋体" w:cs="宋体" w:eastAsia="宋体" w:hint="default"/>
                <w:sz w:val="21"/>
                <w:szCs w:val="21"/>
              </w:rPr>
              <w:t>在股东单位</w:t>
            </w:r>
            <w:r>
              <w:rPr>
                <w:rFonts w:ascii="宋体" w:hAnsi="宋体" w:cs="宋体" w:eastAsia="宋体" w:hint="default"/>
                <w:w w:val="100"/>
                <w:sz w:val="21"/>
                <w:szCs w:val="21"/>
              </w:rPr>
              <w:t> </w:t>
            </w:r>
            <w:r>
              <w:rPr>
                <w:rFonts w:ascii="宋体" w:hAnsi="宋体" w:cs="宋体" w:eastAsia="宋体" w:hint="default"/>
                <w:sz w:val="21"/>
                <w:szCs w:val="21"/>
              </w:rPr>
              <w:t>是否领取报</w:t>
            </w:r>
            <w:r>
              <w:rPr>
                <w:rFonts w:ascii="宋体" w:hAnsi="宋体" w:cs="宋体" w:eastAsia="宋体" w:hint="default"/>
                <w:w w:val="100"/>
                <w:sz w:val="21"/>
                <w:szCs w:val="21"/>
              </w:rPr>
              <w:t> </w:t>
            </w:r>
            <w:r>
              <w:rPr>
                <w:rFonts w:ascii="宋体" w:hAnsi="宋体" w:cs="宋体" w:eastAsia="宋体" w:hint="default"/>
                <w:sz w:val="21"/>
                <w:szCs w:val="21"/>
              </w:rPr>
              <w:t>酬津贴</w:t>
            </w:r>
          </w:p>
        </w:tc>
      </w:tr>
      <w:tr>
        <w:trPr>
          <w:trHeight w:val="715"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杜力</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pacing w:val="-4"/>
                <w:sz w:val="21"/>
                <w:szCs w:val="21"/>
              </w:rPr>
              <w:t>北京凤凰财智创新投资中心（有限合伙</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92"/>
              <w:jc w:val="left"/>
              <w:rPr>
                <w:rFonts w:ascii="宋体" w:hAnsi="宋体" w:cs="宋体" w:eastAsia="宋体" w:hint="default"/>
                <w:sz w:val="21"/>
                <w:szCs w:val="21"/>
              </w:rPr>
            </w:pPr>
            <w:r>
              <w:rPr>
                <w:rFonts w:ascii="宋体" w:hAnsi="宋体" w:cs="宋体" w:eastAsia="宋体" w:hint="default"/>
                <w:sz w:val="21"/>
                <w:szCs w:val="21"/>
              </w:rPr>
              <w:t>执行事务合伙人</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委派代表</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10</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2019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Times New Roman" w:hAnsi="Times New Roman" w:cs="Times New Roman" w:eastAsia="Times New Roman" w:hint="default"/>
                <w:spacing w:val="-3"/>
                <w:sz w:val="21"/>
                <w:szCs w:val="21"/>
              </w:rPr>
              <w:t>10</w:t>
            </w:r>
            <w:r>
              <w:rPr>
                <w:rFonts w:ascii="Times New Roman" w:hAnsi="Times New Roman" w:cs="Times New Roman" w:eastAsia="Times New Roman" w:hint="default"/>
                <w:sz w:val="21"/>
                <w:szCs w:val="21"/>
              </w:rPr>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bl>
    <w:p>
      <w:pPr>
        <w:pStyle w:val="BodyText"/>
        <w:tabs>
          <w:tab w:pos="8134" w:val="left" w:leader="none"/>
        </w:tabs>
        <w:spacing w:line="240" w:lineRule="auto" w:before="28"/>
        <w:ind w:right="0"/>
        <w:jc w:val="left"/>
      </w:pPr>
      <w:r>
        <w:rPr/>
        <w:pict>
          <v:shape style="position:absolute;margin-left:284.089783pt;margin-top:-23.371353pt;width:90.3pt;height:22.9pt;mso-position-horizontal-relative:page;mso-position-vertical-relative:paragraph;z-index:-666760" type="#_x0000_t202" filled="false" stroked="false">
            <v:textbox inset="0,0,0,0">
              <w:txbxContent>
                <w:p>
                  <w:pPr>
                    <w:pStyle w:val="BodyText"/>
                    <w:spacing w:line="211" w:lineRule="exact"/>
                    <w:ind w:left="0" w:right="0"/>
                    <w:jc w:val="left"/>
                  </w:pPr>
                  <w:r>
                    <w:rPr>
                      <w:w w:val="100"/>
                    </w:rPr>
                    <w:t>）</w:t>
                  </w:r>
                </w:p>
              </w:txbxContent>
            </v:textbox>
            <w10:wrap type="none"/>
          </v:shape>
        </w:pict>
      </w:r>
      <w:r>
        <w:rPr/>
        <w:pict>
          <v:group style="position:absolute;margin-left:290.929993pt;margin-top:-36.316353pt;width:83.45pt;height:36.4pt;mso-position-horizontal-relative:page;mso-position-vertical-relative:paragraph;z-index:-666640" coordorigin="5819,-726" coordsize="1669,728">
            <v:group style="position:absolute;left:5829;top:-716;width:2;height:706" coordorigin="5829,-716" coordsize="2,706">
              <v:shape style="position:absolute;left:5829;top:-716;width:2;height:706" coordorigin="5829,-716" coordsize="0,706" path="m5829,-716l5829,-10e" filled="false" stroked="true" strokeweight="1.08pt" strokecolor="#ffffff">
                <v:path arrowok="t"/>
              </v:shape>
            </v:group>
            <v:group style="position:absolute;left:5840;top:-716;width:1647;height:353" coordorigin="5840,-716" coordsize="1647,353">
              <v:shape style="position:absolute;left:5840;top:-716;width:1647;height:353" coordorigin="5840,-716" coordsize="1647,353" path="m5840,-363l7487,-363,7487,-716,5840,-716,5840,-363xe" filled="true" fillcolor="#ffffff" stroked="false">
                <v:path arrowok="t"/>
                <v:fill type="solid"/>
              </v:shape>
            </v:group>
            <v:group style="position:absolute;left:5840;top:-363;width:1647;height:353" coordorigin="5840,-363" coordsize="1647,353">
              <v:shape style="position:absolute;left:5840;top:-363;width:1647;height:353" coordorigin="5840,-363" coordsize="1647,353" path="m5840,-10l7487,-10,7487,-363,5840,-363,5840,-10xe" filled="true" fillcolor="#ffffff" stroked="false">
                <v:path arrowok="t"/>
                <v:fill type="solid"/>
              </v:shape>
            </v:group>
            <w10:wrap type="none"/>
          </v:group>
        </w:pict>
      </w:r>
      <w:r>
        <w:rPr>
          <w:spacing w:val="-1"/>
        </w:rPr>
        <w:t>在其他单位任职情况</w:t>
        <w:tab/>
      </w:r>
      <w:r>
        <w:rPr>
          <w:rFonts w:ascii="Times New Roman" w:hAnsi="Times New Roman" w:cs="Times New Roman" w:eastAsia="Times New Roman" w:hint="default"/>
        </w:rPr>
        <w:t>√  </w:t>
      </w:r>
      <w:r>
        <w:rPr>
          <w:spacing w:val="-2"/>
        </w:rPr>
        <w:t>适用</w:t>
      </w:r>
      <w:r>
        <w:rPr/>
        <w:t> </w:t>
      </w:r>
      <w:r>
        <w:rPr>
          <w:rFonts w:ascii="Times New Roman" w:hAnsi="Times New Roman" w:cs="Times New Roman" w:eastAsia="Times New Roman" w:hint="default"/>
        </w:rPr>
        <w:t>□ </w:t>
      </w:r>
      <w:r>
        <w:rPr>
          <w:rFonts w:ascii="Times New Roman" w:hAnsi="Times New Roman" w:cs="Times New Roman" w:eastAsia="Times New Roman" w:hint="default"/>
          <w:spacing w:val="4"/>
        </w:rPr>
        <w:t> </w:t>
      </w:r>
      <w:r>
        <w:rPr>
          <w:spacing w:val="-1"/>
        </w:rPr>
        <w:t>不适用</w:t>
      </w:r>
    </w:p>
    <w:p>
      <w:pPr>
        <w:spacing w:line="240" w:lineRule="auto" w:before="7"/>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994"/>
        <w:gridCol w:w="3685"/>
        <w:gridCol w:w="1702"/>
        <w:gridCol w:w="992"/>
        <w:gridCol w:w="994"/>
        <w:gridCol w:w="1202"/>
      </w:tblGrid>
      <w:tr>
        <w:trPr>
          <w:trHeight w:val="1027"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281" w:right="67" w:hanging="209"/>
              <w:jc w:val="left"/>
              <w:rPr>
                <w:rFonts w:ascii="宋体" w:hAnsi="宋体" w:cs="宋体" w:eastAsia="宋体" w:hint="default"/>
                <w:sz w:val="21"/>
                <w:szCs w:val="21"/>
              </w:rPr>
            </w:pPr>
            <w:r>
              <w:rPr>
                <w:rFonts w:ascii="宋体" w:hAnsi="宋体" w:cs="宋体" w:eastAsia="宋体" w:hint="default"/>
                <w:sz w:val="21"/>
                <w:szCs w:val="21"/>
              </w:rPr>
              <w:t>任职人员</w:t>
            </w:r>
            <w:r>
              <w:rPr>
                <w:rFonts w:ascii="宋体" w:hAnsi="宋体" w:cs="宋体" w:eastAsia="宋体" w:hint="default"/>
                <w:w w:val="100"/>
                <w:sz w:val="21"/>
                <w:szCs w:val="21"/>
              </w:rPr>
              <w:t> </w:t>
            </w:r>
            <w:r>
              <w:rPr>
                <w:rFonts w:ascii="宋体" w:hAnsi="宋体" w:cs="宋体" w:eastAsia="宋体" w:hint="default"/>
                <w:sz w:val="21"/>
                <w:szCs w:val="21"/>
              </w:rPr>
              <w:t>姓名</w:t>
            </w:r>
          </w:p>
        </w:tc>
        <w:tc>
          <w:tcPr>
            <w:tcW w:w="3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1207" w:right="0"/>
              <w:jc w:val="left"/>
              <w:rPr>
                <w:rFonts w:ascii="宋体" w:hAnsi="宋体" w:cs="宋体" w:eastAsia="宋体" w:hint="default"/>
                <w:sz w:val="21"/>
                <w:szCs w:val="21"/>
              </w:rPr>
            </w:pPr>
            <w:r>
              <w:rPr>
                <w:rFonts w:ascii="宋体" w:hAnsi="宋体" w:cs="宋体" w:eastAsia="宋体" w:hint="default"/>
                <w:sz w:val="21"/>
                <w:szCs w:val="21"/>
              </w:rPr>
              <w:t>其他单位名称</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530" w:right="106" w:hanging="421"/>
              <w:jc w:val="left"/>
              <w:rPr>
                <w:rFonts w:ascii="宋体" w:hAnsi="宋体" w:cs="宋体" w:eastAsia="宋体" w:hint="default"/>
                <w:sz w:val="21"/>
                <w:szCs w:val="21"/>
              </w:rPr>
            </w:pPr>
            <w:r>
              <w:rPr>
                <w:rFonts w:ascii="宋体" w:hAnsi="宋体" w:cs="宋体" w:eastAsia="宋体" w:hint="default"/>
                <w:sz w:val="21"/>
                <w:szCs w:val="21"/>
              </w:rPr>
              <w:t>在其他单位担任</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的职务</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280" w:right="65" w:hanging="209"/>
              <w:jc w:val="left"/>
              <w:rPr>
                <w:rFonts w:ascii="宋体" w:hAnsi="宋体" w:cs="宋体" w:eastAsia="宋体" w:hint="default"/>
                <w:sz w:val="21"/>
                <w:szCs w:val="21"/>
              </w:rPr>
            </w:pPr>
            <w:r>
              <w:rPr>
                <w:rFonts w:ascii="宋体" w:hAnsi="宋体" w:cs="宋体" w:eastAsia="宋体" w:hint="default"/>
                <w:sz w:val="21"/>
                <w:szCs w:val="21"/>
              </w:rPr>
              <w:t>任期起始</w:t>
            </w:r>
            <w:r>
              <w:rPr>
                <w:rFonts w:ascii="宋体" w:hAnsi="宋体" w:cs="宋体" w:eastAsia="宋体" w:hint="default"/>
                <w:w w:val="100"/>
                <w:sz w:val="21"/>
                <w:szCs w:val="21"/>
              </w:rPr>
              <w:t> </w:t>
            </w:r>
            <w:r>
              <w:rPr>
                <w:rFonts w:ascii="宋体" w:hAnsi="宋体" w:cs="宋体" w:eastAsia="宋体" w:hint="default"/>
                <w:sz w:val="21"/>
                <w:szCs w:val="21"/>
              </w:rPr>
              <w:t>日期</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280" w:right="67" w:hanging="209"/>
              <w:jc w:val="left"/>
              <w:rPr>
                <w:rFonts w:ascii="宋体" w:hAnsi="宋体" w:cs="宋体" w:eastAsia="宋体" w:hint="default"/>
                <w:sz w:val="21"/>
                <w:szCs w:val="21"/>
              </w:rPr>
            </w:pPr>
            <w:r>
              <w:rPr>
                <w:rFonts w:ascii="宋体" w:hAnsi="宋体" w:cs="宋体" w:eastAsia="宋体" w:hint="default"/>
                <w:sz w:val="21"/>
                <w:szCs w:val="21"/>
              </w:rPr>
              <w:t>任期终止</w:t>
            </w:r>
            <w:r>
              <w:rPr>
                <w:rFonts w:ascii="宋体" w:hAnsi="宋体" w:cs="宋体" w:eastAsia="宋体" w:hint="default"/>
                <w:w w:val="100"/>
                <w:sz w:val="21"/>
                <w:szCs w:val="21"/>
              </w:rPr>
              <w:t> </w:t>
            </w:r>
            <w:r>
              <w:rPr>
                <w:rFonts w:ascii="宋体" w:hAnsi="宋体" w:cs="宋体" w:eastAsia="宋体" w:hint="default"/>
                <w:sz w:val="21"/>
                <w:szCs w:val="21"/>
              </w:rPr>
              <w:t>日期</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72" w:right="65"/>
              <w:jc w:val="center"/>
              <w:rPr>
                <w:rFonts w:ascii="宋体" w:hAnsi="宋体" w:cs="宋体" w:eastAsia="宋体" w:hint="default"/>
                <w:sz w:val="21"/>
                <w:szCs w:val="21"/>
              </w:rPr>
            </w:pPr>
            <w:r>
              <w:rPr>
                <w:rFonts w:ascii="宋体" w:hAnsi="宋体" w:cs="宋体" w:eastAsia="宋体" w:hint="default"/>
                <w:sz w:val="21"/>
                <w:szCs w:val="21"/>
              </w:rPr>
              <w:t>在其他单位</w:t>
            </w:r>
            <w:r>
              <w:rPr>
                <w:rFonts w:ascii="宋体" w:hAnsi="宋体" w:cs="宋体" w:eastAsia="宋体" w:hint="default"/>
                <w:w w:val="100"/>
                <w:sz w:val="21"/>
                <w:szCs w:val="21"/>
              </w:rPr>
              <w:t> </w:t>
            </w:r>
            <w:r>
              <w:rPr>
                <w:rFonts w:ascii="宋体" w:hAnsi="宋体" w:cs="宋体" w:eastAsia="宋体" w:hint="default"/>
                <w:sz w:val="21"/>
                <w:szCs w:val="21"/>
              </w:rPr>
              <w:t>是否领取报</w:t>
            </w:r>
            <w:r>
              <w:rPr>
                <w:rFonts w:ascii="宋体" w:hAnsi="宋体" w:cs="宋体" w:eastAsia="宋体" w:hint="default"/>
                <w:w w:val="100"/>
                <w:sz w:val="21"/>
                <w:szCs w:val="21"/>
              </w:rPr>
              <w:t> </w:t>
            </w:r>
            <w:r>
              <w:rPr>
                <w:rFonts w:ascii="宋体" w:hAnsi="宋体" w:cs="宋体" w:eastAsia="宋体" w:hint="default"/>
                <w:sz w:val="21"/>
                <w:szCs w:val="21"/>
              </w:rPr>
              <w:t>酬津贴</w:t>
            </w:r>
          </w:p>
        </w:tc>
      </w:tr>
      <w:tr>
        <w:trPr>
          <w:trHeight w:val="713" w:hRule="exact"/>
        </w:trPr>
        <w:tc>
          <w:tcPr>
            <w:tcW w:w="9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杜力</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北京凤凰财鑫投资管理有限公司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董事、经理</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02</w:t>
            </w:r>
          </w:p>
          <w:p>
            <w:pPr>
              <w:pStyle w:val="TableParagraph"/>
              <w:spacing w:line="240" w:lineRule="auto" w:before="19"/>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715" w:hRule="exact"/>
        </w:trPr>
        <w:tc>
          <w:tcPr>
            <w:tcW w:w="994" w:type="dxa"/>
            <w:vMerge/>
            <w:tcBorders>
              <w:left w:val="single" w:sz="4" w:space="0" w:color="000000"/>
              <w:right w:val="single" w:sz="4" w:space="0" w:color="000000"/>
            </w:tcBorders>
          </w:tcPr>
          <w:p>
            <w:pP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北京凤凰财富资产管理有限公司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董事、经理</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07</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713" w:hRule="exact"/>
        </w:trPr>
        <w:tc>
          <w:tcPr>
            <w:tcW w:w="994" w:type="dxa"/>
            <w:vMerge/>
            <w:tcBorders>
              <w:left w:val="single" w:sz="4" w:space="0" w:color="000000"/>
              <w:right w:val="single" w:sz="4" w:space="0" w:color="000000"/>
            </w:tcBorders>
          </w:tcPr>
          <w:p>
            <w:pP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北京凤凰财富创新投资有限公司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董事、经理</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01</w:t>
            </w:r>
          </w:p>
          <w:p>
            <w:pPr>
              <w:pStyle w:val="TableParagraph"/>
              <w:spacing w:line="240" w:lineRule="auto" w:before="19"/>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715" w:hRule="exact"/>
        </w:trPr>
        <w:tc>
          <w:tcPr>
            <w:tcW w:w="994" w:type="dxa"/>
            <w:vMerge/>
            <w:tcBorders>
              <w:left w:val="single" w:sz="4" w:space="0" w:color="000000"/>
              <w:right w:val="single" w:sz="4" w:space="0" w:color="000000"/>
            </w:tcBorders>
          </w:tcPr>
          <w:p>
            <w:pP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北京凤凰财富投资咨询有限公司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董事、经理</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01</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713" w:hRule="exact"/>
        </w:trPr>
        <w:tc>
          <w:tcPr>
            <w:tcW w:w="994" w:type="dxa"/>
            <w:vMerge/>
            <w:tcBorders>
              <w:left w:val="single" w:sz="4" w:space="0" w:color="000000"/>
              <w:right w:val="single" w:sz="4" w:space="0" w:color="000000"/>
            </w:tcBorders>
          </w:tcPr>
          <w:p>
            <w:pP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北京凤凰财富投资管理有限公司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董事、经理</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01</w:t>
            </w:r>
          </w:p>
          <w:p>
            <w:pPr>
              <w:pStyle w:val="TableParagraph"/>
              <w:spacing w:line="240" w:lineRule="auto" w:before="19"/>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716" w:hRule="exact"/>
        </w:trPr>
        <w:tc>
          <w:tcPr>
            <w:tcW w:w="994" w:type="dxa"/>
            <w:vMerge/>
            <w:tcBorders>
              <w:left w:val="single" w:sz="4" w:space="0" w:color="000000"/>
              <w:right w:val="single" w:sz="4" w:space="0" w:color="000000"/>
            </w:tcBorders>
          </w:tcPr>
          <w:p>
            <w:pP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北京凤凰财富控股集团有限公司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董事、经理</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12</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713" w:hRule="exact"/>
        </w:trPr>
        <w:tc>
          <w:tcPr>
            <w:tcW w:w="994" w:type="dxa"/>
            <w:vMerge/>
            <w:tcBorders>
              <w:left w:val="single" w:sz="4" w:space="0" w:color="000000"/>
              <w:right w:val="single" w:sz="4" w:space="0" w:color="000000"/>
            </w:tcBorders>
          </w:tcPr>
          <w:p>
            <w:pP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pacing w:val="-4"/>
                <w:sz w:val="21"/>
                <w:szCs w:val="21"/>
              </w:rPr>
              <w:t>北京凤凰财鑫股权投资中心（有限合伙</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23" w:right="192"/>
              <w:jc w:val="left"/>
              <w:rPr>
                <w:rFonts w:ascii="宋体" w:hAnsi="宋体" w:cs="宋体" w:eastAsia="宋体" w:hint="default"/>
                <w:sz w:val="21"/>
                <w:szCs w:val="21"/>
              </w:rPr>
            </w:pPr>
            <w:r>
              <w:rPr>
                <w:rFonts w:ascii="宋体" w:hAnsi="宋体" w:cs="宋体" w:eastAsia="宋体" w:hint="default"/>
                <w:sz w:val="21"/>
                <w:szCs w:val="21"/>
              </w:rPr>
              <w:t>执行事务合伙人</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委派代表</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05</w:t>
            </w:r>
          </w:p>
          <w:p>
            <w:pPr>
              <w:pStyle w:val="TableParagraph"/>
              <w:spacing w:line="240" w:lineRule="auto" w:before="19"/>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715" w:hRule="exact"/>
        </w:trPr>
        <w:tc>
          <w:tcPr>
            <w:tcW w:w="994" w:type="dxa"/>
            <w:vMerge/>
            <w:tcBorders>
              <w:left w:val="single" w:sz="4" w:space="0" w:color="000000"/>
              <w:right w:val="single" w:sz="4" w:space="0" w:color="000000"/>
            </w:tcBorders>
          </w:tcPr>
          <w:p>
            <w:pP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pacing w:val="-4"/>
                <w:sz w:val="21"/>
                <w:szCs w:val="21"/>
              </w:rPr>
              <w:t>深圳前海财智远大投资中心（有限合伙</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92"/>
              <w:jc w:val="left"/>
              <w:rPr>
                <w:rFonts w:ascii="宋体" w:hAnsi="宋体" w:cs="宋体" w:eastAsia="宋体" w:hint="default"/>
                <w:sz w:val="21"/>
                <w:szCs w:val="21"/>
              </w:rPr>
            </w:pPr>
            <w:r>
              <w:rPr>
                <w:rFonts w:ascii="宋体" w:hAnsi="宋体" w:cs="宋体" w:eastAsia="宋体" w:hint="default"/>
                <w:sz w:val="21"/>
                <w:szCs w:val="21"/>
              </w:rPr>
              <w:t>执行事务合伙人</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委派代表</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10</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713" w:hRule="exact"/>
        </w:trPr>
        <w:tc>
          <w:tcPr>
            <w:tcW w:w="994" w:type="dxa"/>
            <w:vMerge/>
            <w:tcBorders>
              <w:left w:val="single" w:sz="4" w:space="0" w:color="000000"/>
              <w:right w:val="single" w:sz="4" w:space="0" w:color="000000"/>
            </w:tcBorders>
          </w:tcPr>
          <w:p>
            <w:pP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pacing w:val="-4"/>
                <w:sz w:val="21"/>
                <w:szCs w:val="21"/>
              </w:rPr>
              <w:t>北京凤凰祥瑞互联投资基金（有限合伙</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23" w:right="192"/>
              <w:jc w:val="left"/>
              <w:rPr>
                <w:rFonts w:ascii="宋体" w:hAnsi="宋体" w:cs="宋体" w:eastAsia="宋体" w:hint="default"/>
                <w:sz w:val="21"/>
                <w:szCs w:val="21"/>
              </w:rPr>
            </w:pPr>
            <w:r>
              <w:rPr>
                <w:rFonts w:ascii="宋体" w:hAnsi="宋体" w:cs="宋体" w:eastAsia="宋体" w:hint="default"/>
                <w:sz w:val="21"/>
                <w:szCs w:val="21"/>
              </w:rPr>
              <w:t>执行事务合伙人</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委派代表</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06</w:t>
            </w:r>
          </w:p>
          <w:p>
            <w:pPr>
              <w:pStyle w:val="TableParagraph"/>
              <w:spacing w:line="240" w:lineRule="auto" w:before="19"/>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716" w:hRule="exact"/>
        </w:trPr>
        <w:tc>
          <w:tcPr>
            <w:tcW w:w="994" w:type="dxa"/>
            <w:vMerge/>
            <w:tcBorders>
              <w:left w:val="single" w:sz="4" w:space="0" w:color="000000"/>
              <w:bottom w:val="single" w:sz="4" w:space="0" w:color="000000"/>
              <w:right w:val="single" w:sz="4" w:space="0" w:color="000000"/>
            </w:tcBorders>
          </w:tcPr>
          <w:p>
            <w:pP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pacing w:val="-4"/>
                <w:sz w:val="21"/>
                <w:szCs w:val="21"/>
              </w:rPr>
              <w:t>北京凤凰财富成长投资中心（有限合伙</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92"/>
              <w:jc w:val="left"/>
              <w:rPr>
                <w:rFonts w:ascii="宋体" w:hAnsi="宋体" w:cs="宋体" w:eastAsia="宋体" w:hint="default"/>
                <w:sz w:val="21"/>
                <w:szCs w:val="21"/>
              </w:rPr>
            </w:pPr>
            <w:r>
              <w:rPr>
                <w:rFonts w:ascii="宋体" w:hAnsi="宋体" w:cs="宋体" w:eastAsia="宋体" w:hint="default"/>
                <w:sz w:val="21"/>
                <w:szCs w:val="21"/>
              </w:rPr>
              <w:t>执行事务合伙人</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委派代表</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05</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2016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Times New Roman" w:hAnsi="Times New Roman" w:cs="Times New Roman" w:eastAsia="Times New Roman" w:hint="default"/>
                <w:spacing w:val="-3"/>
                <w:sz w:val="21"/>
                <w:szCs w:val="21"/>
              </w:rPr>
              <w:t>05</w:t>
            </w:r>
            <w:r>
              <w:rPr>
                <w:rFonts w:ascii="Times New Roman" w:hAnsi="Times New Roman" w:cs="Times New Roman" w:eastAsia="Times New Roman" w:hint="default"/>
                <w:sz w:val="21"/>
                <w:szCs w:val="21"/>
              </w:rPr>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713" w:hRule="exact"/>
        </w:trPr>
        <w:tc>
          <w:tcPr>
            <w:tcW w:w="9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张巍</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北京凤凰财富资产管理有限公司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07</w:t>
            </w:r>
          </w:p>
          <w:p>
            <w:pPr>
              <w:pStyle w:val="TableParagraph"/>
              <w:spacing w:line="240" w:lineRule="auto" w:before="19"/>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715" w:hRule="exact"/>
        </w:trPr>
        <w:tc>
          <w:tcPr>
            <w:tcW w:w="994" w:type="dxa"/>
            <w:vMerge/>
            <w:tcBorders>
              <w:left w:val="single" w:sz="4" w:space="0" w:color="000000"/>
              <w:bottom w:val="single" w:sz="4" w:space="0" w:color="000000"/>
              <w:right w:val="single" w:sz="4" w:space="0" w:color="000000"/>
            </w:tcBorders>
          </w:tcPr>
          <w:p>
            <w:pP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北京凤凰财富控股集团有限公司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12</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713" w:hRule="exact"/>
        </w:trPr>
        <w:tc>
          <w:tcPr>
            <w:tcW w:w="9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谢基柱</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扬州华声电子实业有限公司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06</w:t>
            </w:r>
          </w:p>
          <w:p>
            <w:pPr>
              <w:pStyle w:val="TableParagraph"/>
              <w:spacing w:line="240" w:lineRule="auto" w:before="19"/>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715" w:hRule="exact"/>
        </w:trPr>
        <w:tc>
          <w:tcPr>
            <w:tcW w:w="994" w:type="dxa"/>
            <w:vMerge/>
            <w:tcBorders>
              <w:left w:val="single" w:sz="4" w:space="0" w:color="000000"/>
              <w:right w:val="single" w:sz="4" w:space="0" w:color="000000"/>
            </w:tcBorders>
          </w:tcPr>
          <w:p>
            <w:pP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广东华声电缆有限公司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05</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1" w:hRule="exact"/>
        </w:trPr>
        <w:tc>
          <w:tcPr>
            <w:tcW w:w="994" w:type="dxa"/>
            <w:vMerge/>
            <w:tcBorders>
              <w:left w:val="single" w:sz="4" w:space="0" w:color="000000"/>
              <w:bottom w:val="single" w:sz="4" w:space="0" w:color="000000"/>
              <w:right w:val="single" w:sz="4" w:space="0" w:color="000000"/>
            </w:tcBorders>
          </w:tcPr>
          <w:p>
            <w:pP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广东华声电器实业有限公司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董事、经理</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10</w:t>
            </w:r>
          </w:p>
        </w:tc>
        <w:tc>
          <w:tcPr>
            <w:tcW w:w="994"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bl>
    <w:p>
      <w:pPr>
        <w:spacing w:after="0" w:line="240" w:lineRule="auto"/>
        <w:jc w:val="center"/>
        <w:rPr>
          <w:rFonts w:ascii="宋体" w:hAnsi="宋体" w:cs="宋体" w:eastAsia="宋体" w:hint="default"/>
          <w:sz w:val="21"/>
          <w:szCs w:val="21"/>
        </w:rPr>
        <w:sectPr>
          <w:pgSz w:w="11910" w:h="16840"/>
          <w:pgMar w:header="87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994"/>
        <w:gridCol w:w="3685"/>
        <w:gridCol w:w="1702"/>
        <w:gridCol w:w="992"/>
        <w:gridCol w:w="994"/>
        <w:gridCol w:w="1202"/>
      </w:tblGrid>
      <w:tr>
        <w:trPr>
          <w:trHeight w:val="363" w:hRule="exact"/>
        </w:trPr>
        <w:tc>
          <w:tcPr>
            <w:tcW w:w="994" w:type="dxa"/>
            <w:tcBorders>
              <w:top w:val="single" w:sz="4" w:space="0" w:color="000000"/>
              <w:left w:val="single" w:sz="4" w:space="0" w:color="000000"/>
              <w:bottom w:val="single" w:sz="4" w:space="0" w:color="000000"/>
              <w:right w:val="single" w:sz="4" w:space="0" w:color="000000"/>
            </w:tcBorders>
          </w:tcPr>
          <w:p>
            <w:pPr/>
          </w:p>
        </w:tc>
        <w:tc>
          <w:tcPr>
            <w:tcW w:w="368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9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7"/>
                <w:szCs w:val="27"/>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赵岑</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广东华声电缆有限公司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05</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715" w:hRule="exact"/>
        </w:trPr>
        <w:tc>
          <w:tcPr>
            <w:tcW w:w="994" w:type="dxa"/>
            <w:vMerge/>
            <w:tcBorders>
              <w:left w:val="single" w:sz="4" w:space="0" w:color="000000"/>
              <w:bottom w:val="single" w:sz="4" w:space="0" w:color="000000"/>
              <w:right w:val="single" w:sz="4" w:space="0" w:color="000000"/>
            </w:tcBorders>
          </w:tcPr>
          <w:p>
            <w:pP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深圳华声前海投资有限公司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08</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71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罗嘉俊</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佛山市顺德区瑞域房产有限公司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执行董事、经理</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05</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715" w:hRule="exact"/>
        </w:trPr>
        <w:tc>
          <w:tcPr>
            <w:tcW w:w="9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7"/>
                <w:szCs w:val="27"/>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李英明</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北京云江科技有限公司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pacing w:val="-8"/>
                <w:sz w:val="21"/>
                <w:szCs w:val="21"/>
              </w:rPr>
              <w:t>11</w:t>
            </w:r>
            <w:r>
              <w:rPr>
                <w:rFonts w:ascii="Times New Roman" w:hAnsi="Times New Roman" w:cs="Times New Roman" w:eastAsia="Times New Roman" w:hint="default"/>
                <w:sz w:val="21"/>
                <w:szCs w:val="21"/>
              </w:rPr>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pacing w:val="-10"/>
                <w:sz w:val="21"/>
                <w:szCs w:val="21"/>
              </w:rPr>
              <w:t>11</w:t>
            </w:r>
            <w:r>
              <w:rPr>
                <w:rFonts w:ascii="Times New Roman" w:hAnsi="Times New Roman" w:cs="Times New Roman" w:eastAsia="Times New Roman" w:hint="default"/>
                <w:sz w:val="21"/>
                <w:szCs w:val="21"/>
              </w:rPr>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713" w:hRule="exact"/>
        </w:trPr>
        <w:tc>
          <w:tcPr>
            <w:tcW w:w="994" w:type="dxa"/>
            <w:vMerge/>
            <w:tcBorders>
              <w:left w:val="single" w:sz="4" w:space="0" w:color="000000"/>
              <w:bottom w:val="single" w:sz="4" w:space="0" w:color="000000"/>
              <w:right w:val="single" w:sz="4" w:space="0" w:color="000000"/>
            </w:tcBorders>
          </w:tcPr>
          <w:p>
            <w:pP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北京凤凰财富资产管理有限公司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10</w:t>
            </w:r>
          </w:p>
          <w:p>
            <w:pPr>
              <w:pStyle w:val="TableParagraph"/>
              <w:spacing w:line="240" w:lineRule="auto" w:before="22"/>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715"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张李平</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广东兴顺律师事务所</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主任</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pacing w:val="-8"/>
                <w:sz w:val="21"/>
                <w:szCs w:val="21"/>
              </w:rPr>
              <w:t>11</w:t>
            </w:r>
            <w:r>
              <w:rPr>
                <w:rFonts w:ascii="Times New Roman" w:hAnsi="Times New Roman" w:cs="Times New Roman" w:eastAsia="Times New Roman" w:hint="default"/>
                <w:sz w:val="21"/>
                <w:szCs w:val="21"/>
              </w:rPr>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2019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pacing w:val="-10"/>
                <w:sz w:val="21"/>
                <w:szCs w:val="21"/>
              </w:rPr>
              <w:t>11</w:t>
            </w:r>
            <w:r>
              <w:rPr>
                <w:rFonts w:ascii="Times New Roman" w:hAnsi="Times New Roman" w:cs="Times New Roman" w:eastAsia="Times New Roman" w:hint="default"/>
                <w:sz w:val="21"/>
                <w:szCs w:val="21"/>
              </w:rPr>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713" w:hRule="exact"/>
        </w:trPr>
        <w:tc>
          <w:tcPr>
            <w:tcW w:w="9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周春生</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乐山市商业银行</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07</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Times New Roman" w:hAnsi="Times New Roman" w:cs="Times New Roman" w:eastAsia="Times New Roman" w:hint="default"/>
                <w:spacing w:val="-3"/>
                <w:sz w:val="21"/>
                <w:szCs w:val="21"/>
              </w:rPr>
              <w:t>07</w:t>
            </w:r>
            <w:r>
              <w:rPr>
                <w:rFonts w:ascii="Times New Roman" w:hAnsi="Times New Roman" w:cs="Times New Roman" w:eastAsia="Times New Roman" w:hint="default"/>
                <w:sz w:val="21"/>
                <w:szCs w:val="21"/>
              </w:rPr>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715" w:hRule="exact"/>
        </w:trPr>
        <w:tc>
          <w:tcPr>
            <w:tcW w:w="994" w:type="dxa"/>
            <w:vMerge/>
            <w:tcBorders>
              <w:left w:val="single" w:sz="4" w:space="0" w:color="000000"/>
              <w:right w:val="single" w:sz="4" w:space="0" w:color="000000"/>
            </w:tcBorders>
          </w:tcPr>
          <w:p>
            <w:pP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南大傲拓科技江苏股份有限公司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07</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Times New Roman" w:hAnsi="Times New Roman" w:cs="Times New Roman" w:eastAsia="Times New Roman" w:hint="default"/>
                <w:spacing w:val="-3"/>
                <w:sz w:val="21"/>
                <w:szCs w:val="21"/>
              </w:rPr>
              <w:t>07</w:t>
            </w:r>
            <w:r>
              <w:rPr>
                <w:rFonts w:ascii="Times New Roman" w:hAnsi="Times New Roman" w:cs="Times New Roman" w:eastAsia="Times New Roman" w:hint="default"/>
                <w:sz w:val="21"/>
                <w:szCs w:val="21"/>
              </w:rPr>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713" w:hRule="exact"/>
        </w:trPr>
        <w:tc>
          <w:tcPr>
            <w:tcW w:w="994" w:type="dxa"/>
            <w:vMerge/>
            <w:tcBorders>
              <w:left w:val="single" w:sz="4" w:space="0" w:color="000000"/>
              <w:right w:val="single" w:sz="4" w:space="0" w:color="000000"/>
            </w:tcBorders>
          </w:tcPr>
          <w:p>
            <w:pP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北亚资源控股有限公司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06</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2016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Times New Roman" w:hAnsi="Times New Roman" w:cs="Times New Roman" w:eastAsia="Times New Roman" w:hint="default"/>
                <w:spacing w:val="-3"/>
                <w:sz w:val="21"/>
                <w:szCs w:val="21"/>
              </w:rPr>
              <w:t>06</w:t>
            </w:r>
            <w:r>
              <w:rPr>
                <w:rFonts w:ascii="Times New Roman" w:hAnsi="Times New Roman" w:cs="Times New Roman" w:eastAsia="Times New Roman" w:hint="default"/>
                <w:sz w:val="21"/>
                <w:szCs w:val="21"/>
              </w:rPr>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716" w:hRule="exact"/>
        </w:trPr>
        <w:tc>
          <w:tcPr>
            <w:tcW w:w="994" w:type="dxa"/>
            <w:vMerge/>
            <w:tcBorders>
              <w:left w:val="single" w:sz="4" w:space="0" w:color="000000"/>
              <w:right w:val="single" w:sz="4" w:space="0" w:color="000000"/>
            </w:tcBorders>
          </w:tcPr>
          <w:p>
            <w:pP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安信期货有限责任公司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08</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713" w:hRule="exact"/>
        </w:trPr>
        <w:tc>
          <w:tcPr>
            <w:tcW w:w="994" w:type="dxa"/>
            <w:vMerge/>
            <w:tcBorders>
              <w:left w:val="single" w:sz="4" w:space="0" w:color="000000"/>
              <w:right w:val="single" w:sz="4" w:space="0" w:color="000000"/>
            </w:tcBorders>
          </w:tcPr>
          <w:p>
            <w:pP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北京海风联投资有限公司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10</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715" w:hRule="exact"/>
        </w:trPr>
        <w:tc>
          <w:tcPr>
            <w:tcW w:w="994" w:type="dxa"/>
            <w:vMerge/>
            <w:tcBorders>
              <w:left w:val="single" w:sz="4" w:space="0" w:color="000000"/>
              <w:right w:val="single" w:sz="4" w:space="0" w:color="000000"/>
            </w:tcBorders>
          </w:tcPr>
          <w:p>
            <w:pP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中国智能交通系统（控股）有限公司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09</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713" w:hRule="exact"/>
        </w:trPr>
        <w:tc>
          <w:tcPr>
            <w:tcW w:w="994" w:type="dxa"/>
            <w:vMerge/>
            <w:tcBorders>
              <w:left w:val="single" w:sz="4" w:space="0" w:color="000000"/>
              <w:bottom w:val="single" w:sz="4" w:space="0" w:color="000000"/>
              <w:right w:val="single" w:sz="4" w:space="0" w:color="000000"/>
            </w:tcBorders>
          </w:tcPr>
          <w:p>
            <w:pP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浙江传化股份有限公司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06</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2016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Times New Roman" w:hAnsi="Times New Roman" w:cs="Times New Roman" w:eastAsia="Times New Roman" w:hint="default"/>
                <w:spacing w:val="-3"/>
                <w:sz w:val="21"/>
                <w:szCs w:val="21"/>
              </w:rPr>
              <w:t>05</w:t>
            </w:r>
            <w:r>
              <w:rPr>
                <w:rFonts w:ascii="Times New Roman" w:hAnsi="Times New Roman" w:cs="Times New Roman" w:eastAsia="Times New Roman" w:hint="default"/>
                <w:sz w:val="21"/>
                <w:szCs w:val="21"/>
              </w:rPr>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715" w:hRule="exact"/>
        </w:trPr>
        <w:tc>
          <w:tcPr>
            <w:tcW w:w="9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徐强国</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浙江仙通橡胶股份有限公司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12</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713" w:hRule="exact"/>
        </w:trPr>
        <w:tc>
          <w:tcPr>
            <w:tcW w:w="994" w:type="dxa"/>
            <w:vMerge/>
            <w:tcBorders>
              <w:left w:val="single" w:sz="4" w:space="0" w:color="000000"/>
              <w:right w:val="single" w:sz="4" w:space="0" w:color="000000"/>
            </w:tcBorders>
          </w:tcPr>
          <w:p>
            <w:pP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香飘飘食品股份有限公司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09</w:t>
            </w:r>
          </w:p>
          <w:p>
            <w:pPr>
              <w:pStyle w:val="TableParagraph"/>
              <w:spacing w:line="240" w:lineRule="auto" w:before="22"/>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715" w:hRule="exact"/>
        </w:trPr>
        <w:tc>
          <w:tcPr>
            <w:tcW w:w="994" w:type="dxa"/>
            <w:vMerge/>
            <w:tcBorders>
              <w:left w:val="single" w:sz="4" w:space="0" w:color="000000"/>
              <w:right w:val="single" w:sz="4" w:space="0" w:color="000000"/>
            </w:tcBorders>
          </w:tcPr>
          <w:p>
            <w:pP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浙江圣达生物药业股份有限公司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09</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713" w:hRule="exact"/>
        </w:trPr>
        <w:tc>
          <w:tcPr>
            <w:tcW w:w="994" w:type="dxa"/>
            <w:vMerge/>
            <w:tcBorders>
              <w:left w:val="single" w:sz="4" w:space="0" w:color="000000"/>
              <w:bottom w:val="single" w:sz="4" w:space="0" w:color="000000"/>
              <w:right w:val="single" w:sz="4" w:space="0" w:color="000000"/>
            </w:tcBorders>
          </w:tcPr>
          <w:p>
            <w:pP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日月重工股份有限公司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12</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715" w:hRule="exact"/>
        </w:trPr>
        <w:tc>
          <w:tcPr>
            <w:tcW w:w="9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7"/>
                <w:szCs w:val="27"/>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何国英</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佛山市顺德区德美投资有限公司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pacing w:val="-6"/>
                <w:sz w:val="21"/>
                <w:szCs w:val="21"/>
              </w:rPr>
              <w:t>执行董事、总经理</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03</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Times New Roman" w:hAnsi="Times New Roman" w:cs="Times New Roman" w:eastAsia="Times New Roman" w:hint="default"/>
                <w:spacing w:val="-3"/>
                <w:sz w:val="21"/>
                <w:szCs w:val="21"/>
              </w:rPr>
              <w:t>03</w:t>
            </w:r>
            <w:r>
              <w:rPr>
                <w:rFonts w:ascii="Times New Roman" w:hAnsi="Times New Roman" w:cs="Times New Roman" w:eastAsia="Times New Roman" w:hint="default"/>
                <w:sz w:val="21"/>
                <w:szCs w:val="21"/>
              </w:rPr>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713" w:hRule="exact"/>
        </w:trPr>
        <w:tc>
          <w:tcPr>
            <w:tcW w:w="994" w:type="dxa"/>
            <w:vMerge/>
            <w:tcBorders>
              <w:left w:val="single" w:sz="4" w:space="0" w:color="000000"/>
              <w:bottom w:val="single" w:sz="4" w:space="0" w:color="000000"/>
              <w:right w:val="single" w:sz="4" w:space="0" w:color="000000"/>
            </w:tcBorders>
          </w:tcPr>
          <w:p>
            <w:pP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武汉德美精细化工有限公司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pacing w:val="-6"/>
                <w:sz w:val="21"/>
                <w:szCs w:val="21"/>
              </w:rPr>
              <w:t>执行董事、总经理</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12</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Times New Roman" w:hAnsi="Times New Roman" w:cs="Times New Roman" w:eastAsia="Times New Roman" w:hint="default"/>
                <w:spacing w:val="-3"/>
                <w:sz w:val="21"/>
                <w:szCs w:val="21"/>
              </w:rPr>
              <w:t>12</w:t>
            </w:r>
            <w:r>
              <w:rPr>
                <w:rFonts w:ascii="Times New Roman" w:hAnsi="Times New Roman" w:cs="Times New Roman" w:eastAsia="Times New Roman" w:hint="default"/>
                <w:sz w:val="21"/>
                <w:szCs w:val="21"/>
              </w:rPr>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bl>
    <w:p>
      <w:pPr>
        <w:spacing w:after="0" w:line="240" w:lineRule="auto"/>
        <w:jc w:val="center"/>
        <w:rPr>
          <w:rFonts w:ascii="宋体" w:hAnsi="宋体" w:cs="宋体" w:eastAsia="宋体" w:hint="default"/>
          <w:sz w:val="21"/>
          <w:szCs w:val="21"/>
        </w:rPr>
        <w:sectPr>
          <w:pgSz w:w="11910" w:h="16840"/>
          <w:pgMar w:header="87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994"/>
        <w:gridCol w:w="3685"/>
        <w:gridCol w:w="1702"/>
        <w:gridCol w:w="992"/>
        <w:gridCol w:w="994"/>
        <w:gridCol w:w="1202"/>
      </w:tblGrid>
      <w:tr>
        <w:trPr>
          <w:trHeight w:val="713" w:hRule="exact"/>
        </w:trPr>
        <w:tc>
          <w:tcPr>
            <w:tcW w:w="994" w:type="dxa"/>
            <w:vMerge w:val="restart"/>
            <w:tcBorders>
              <w:top w:val="single" w:sz="4" w:space="0" w:color="000000"/>
              <w:left w:val="single" w:sz="4" w:space="0" w:color="000000"/>
              <w:right w:val="single" w:sz="4" w:space="0" w:color="000000"/>
            </w:tcBorders>
          </w:tcPr>
          <w:p>
            <w:pP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广东德美精细化工股份有限公司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董事、副总经理</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03</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Times New Roman" w:hAnsi="Times New Roman" w:cs="Times New Roman" w:eastAsia="Times New Roman" w:hint="default"/>
                <w:spacing w:val="-3"/>
                <w:sz w:val="21"/>
                <w:szCs w:val="21"/>
              </w:rPr>
              <w:t>03</w:t>
            </w:r>
            <w:r>
              <w:rPr>
                <w:rFonts w:ascii="Times New Roman" w:hAnsi="Times New Roman" w:cs="Times New Roman" w:eastAsia="Times New Roman" w:hint="default"/>
                <w:sz w:val="21"/>
                <w:szCs w:val="21"/>
              </w:rPr>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715" w:hRule="exact"/>
        </w:trPr>
        <w:tc>
          <w:tcPr>
            <w:tcW w:w="994" w:type="dxa"/>
            <w:vMerge/>
            <w:tcBorders>
              <w:left w:val="single" w:sz="4" w:space="0" w:color="000000"/>
              <w:right w:val="single" w:sz="4" w:space="0" w:color="000000"/>
            </w:tcBorders>
          </w:tcPr>
          <w:p>
            <w:pP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福建省晋江新德美化工有限公司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pacing w:val="-6"/>
                <w:sz w:val="21"/>
                <w:szCs w:val="21"/>
              </w:rPr>
              <w:t>执行董事、总经理</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04</w:t>
            </w:r>
          </w:p>
          <w:p>
            <w:pPr>
              <w:pStyle w:val="TableParagraph"/>
              <w:spacing w:line="240" w:lineRule="auto" w:before="19"/>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Times New Roman" w:hAnsi="Times New Roman" w:cs="Times New Roman" w:eastAsia="Times New Roman" w:hint="default"/>
                <w:spacing w:val="-3"/>
                <w:sz w:val="21"/>
                <w:szCs w:val="21"/>
              </w:rPr>
              <w:t>04</w:t>
            </w:r>
            <w:r>
              <w:rPr>
                <w:rFonts w:ascii="Times New Roman" w:hAnsi="Times New Roman" w:cs="Times New Roman" w:eastAsia="Times New Roman" w:hint="default"/>
                <w:sz w:val="21"/>
                <w:szCs w:val="21"/>
              </w:rPr>
            </w:r>
          </w:p>
          <w:p>
            <w:pPr>
              <w:pStyle w:val="TableParagraph"/>
              <w:spacing w:line="240" w:lineRule="auto" w:before="19"/>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713" w:hRule="exact"/>
        </w:trPr>
        <w:tc>
          <w:tcPr>
            <w:tcW w:w="994" w:type="dxa"/>
            <w:vMerge/>
            <w:tcBorders>
              <w:left w:val="single" w:sz="4" w:space="0" w:color="000000"/>
              <w:right w:val="single" w:sz="4" w:space="0" w:color="000000"/>
            </w:tcBorders>
          </w:tcPr>
          <w:p>
            <w:pP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无锡惠山德美化工有限公司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董事长、总经理</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04</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Times New Roman" w:hAnsi="Times New Roman" w:cs="Times New Roman" w:eastAsia="Times New Roman" w:hint="default"/>
                <w:spacing w:val="-3"/>
                <w:sz w:val="21"/>
                <w:szCs w:val="21"/>
              </w:rPr>
              <w:t>04</w:t>
            </w:r>
            <w:r>
              <w:rPr>
                <w:rFonts w:ascii="Times New Roman" w:hAnsi="Times New Roman" w:cs="Times New Roman" w:eastAsia="Times New Roman" w:hint="default"/>
                <w:sz w:val="21"/>
                <w:szCs w:val="21"/>
              </w:rPr>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715" w:hRule="exact"/>
        </w:trPr>
        <w:tc>
          <w:tcPr>
            <w:tcW w:w="994" w:type="dxa"/>
            <w:vMerge/>
            <w:tcBorders>
              <w:left w:val="single" w:sz="4" w:space="0" w:color="000000"/>
              <w:right w:val="single" w:sz="4" w:space="0" w:color="000000"/>
            </w:tcBorders>
          </w:tcPr>
          <w:p>
            <w:pP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无锡市德美化工技术有限公司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07</w:t>
            </w:r>
          </w:p>
          <w:p>
            <w:pPr>
              <w:pStyle w:val="TableParagraph"/>
              <w:spacing w:line="240" w:lineRule="auto" w:before="19"/>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Times New Roman" w:hAnsi="Times New Roman" w:cs="Times New Roman" w:eastAsia="Times New Roman" w:hint="default"/>
                <w:spacing w:val="-3"/>
                <w:sz w:val="21"/>
                <w:szCs w:val="21"/>
              </w:rPr>
              <w:t>07</w:t>
            </w:r>
            <w:r>
              <w:rPr>
                <w:rFonts w:ascii="Times New Roman" w:hAnsi="Times New Roman" w:cs="Times New Roman" w:eastAsia="Times New Roman" w:hint="default"/>
                <w:sz w:val="21"/>
                <w:szCs w:val="21"/>
              </w:rPr>
            </w:r>
          </w:p>
          <w:p>
            <w:pPr>
              <w:pStyle w:val="TableParagraph"/>
              <w:spacing w:line="240" w:lineRule="auto" w:before="19"/>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713" w:hRule="exact"/>
        </w:trPr>
        <w:tc>
          <w:tcPr>
            <w:tcW w:w="994" w:type="dxa"/>
            <w:vMerge/>
            <w:tcBorders>
              <w:left w:val="single" w:sz="4" w:space="0" w:color="000000"/>
              <w:right w:val="single" w:sz="4" w:space="0" w:color="000000"/>
            </w:tcBorders>
          </w:tcPr>
          <w:p>
            <w:pP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石家庄德美化工有限公司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06</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Times New Roman" w:hAnsi="Times New Roman" w:cs="Times New Roman" w:eastAsia="Times New Roman" w:hint="default"/>
                <w:spacing w:val="-3"/>
                <w:sz w:val="21"/>
                <w:szCs w:val="21"/>
              </w:rPr>
              <w:t>06</w:t>
            </w:r>
            <w:r>
              <w:rPr>
                <w:rFonts w:ascii="Times New Roman" w:hAnsi="Times New Roman" w:cs="Times New Roman" w:eastAsia="Times New Roman" w:hint="default"/>
                <w:sz w:val="21"/>
                <w:szCs w:val="21"/>
              </w:rPr>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716" w:hRule="exact"/>
        </w:trPr>
        <w:tc>
          <w:tcPr>
            <w:tcW w:w="994" w:type="dxa"/>
            <w:vMerge/>
            <w:tcBorders>
              <w:left w:val="single" w:sz="4" w:space="0" w:color="000000"/>
              <w:right w:val="single" w:sz="4" w:space="0" w:color="000000"/>
            </w:tcBorders>
          </w:tcPr>
          <w:p>
            <w:pP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佛山市顺德区德美油墨化工有限公司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09</w:t>
            </w:r>
          </w:p>
          <w:p>
            <w:pPr>
              <w:pStyle w:val="TableParagraph"/>
              <w:spacing w:line="240" w:lineRule="auto" w:before="19"/>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2016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Times New Roman" w:hAnsi="Times New Roman" w:cs="Times New Roman" w:eastAsia="Times New Roman" w:hint="default"/>
                <w:spacing w:val="-3"/>
                <w:sz w:val="21"/>
                <w:szCs w:val="21"/>
              </w:rPr>
              <w:t>09</w:t>
            </w:r>
            <w:r>
              <w:rPr>
                <w:rFonts w:ascii="Times New Roman" w:hAnsi="Times New Roman" w:cs="Times New Roman" w:eastAsia="Times New Roman" w:hint="default"/>
                <w:sz w:val="21"/>
                <w:szCs w:val="21"/>
              </w:rPr>
            </w:r>
          </w:p>
          <w:p>
            <w:pPr>
              <w:pStyle w:val="TableParagraph"/>
              <w:spacing w:line="240" w:lineRule="auto" w:before="19"/>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713" w:hRule="exact"/>
        </w:trPr>
        <w:tc>
          <w:tcPr>
            <w:tcW w:w="994" w:type="dxa"/>
            <w:vMerge/>
            <w:tcBorders>
              <w:left w:val="single" w:sz="4" w:space="0" w:color="000000"/>
              <w:right w:val="single" w:sz="4" w:space="0" w:color="000000"/>
            </w:tcBorders>
          </w:tcPr>
          <w:p>
            <w:pP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山东德美化工有限公司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pacing w:val="-6"/>
                <w:sz w:val="21"/>
                <w:szCs w:val="21"/>
              </w:rPr>
              <w:t>执行董事、总经理</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04</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Times New Roman" w:hAnsi="Times New Roman" w:cs="Times New Roman" w:eastAsia="Times New Roman" w:hint="default"/>
                <w:spacing w:val="-3"/>
                <w:sz w:val="21"/>
                <w:szCs w:val="21"/>
              </w:rPr>
              <w:t>04</w:t>
            </w:r>
            <w:r>
              <w:rPr>
                <w:rFonts w:ascii="Times New Roman" w:hAnsi="Times New Roman" w:cs="Times New Roman" w:eastAsia="Times New Roman" w:hint="default"/>
                <w:sz w:val="21"/>
                <w:szCs w:val="21"/>
              </w:rPr>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715" w:hRule="exact"/>
        </w:trPr>
        <w:tc>
          <w:tcPr>
            <w:tcW w:w="994" w:type="dxa"/>
            <w:vMerge/>
            <w:tcBorders>
              <w:left w:val="single" w:sz="4" w:space="0" w:color="000000"/>
              <w:right w:val="single" w:sz="4" w:space="0" w:color="000000"/>
            </w:tcBorders>
          </w:tcPr>
          <w:p>
            <w:pP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佛山市顺德区德美高进出口有限公司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pacing w:val="-6"/>
                <w:sz w:val="21"/>
                <w:szCs w:val="21"/>
              </w:rPr>
              <w:t>执行董事、总经理</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04</w:t>
            </w:r>
          </w:p>
          <w:p>
            <w:pPr>
              <w:pStyle w:val="TableParagraph"/>
              <w:spacing w:line="240" w:lineRule="auto" w:before="19"/>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Times New Roman" w:hAnsi="Times New Roman" w:cs="Times New Roman" w:eastAsia="Times New Roman" w:hint="default"/>
                <w:spacing w:val="-3"/>
                <w:sz w:val="21"/>
                <w:szCs w:val="21"/>
              </w:rPr>
              <w:t>04</w:t>
            </w:r>
            <w:r>
              <w:rPr>
                <w:rFonts w:ascii="Times New Roman" w:hAnsi="Times New Roman" w:cs="Times New Roman" w:eastAsia="Times New Roman" w:hint="default"/>
                <w:sz w:val="21"/>
                <w:szCs w:val="21"/>
              </w:rPr>
            </w:r>
          </w:p>
          <w:p>
            <w:pPr>
              <w:pStyle w:val="TableParagraph"/>
              <w:spacing w:line="240" w:lineRule="auto" w:before="19"/>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713" w:hRule="exact"/>
        </w:trPr>
        <w:tc>
          <w:tcPr>
            <w:tcW w:w="994" w:type="dxa"/>
            <w:vMerge/>
            <w:tcBorders>
              <w:left w:val="single" w:sz="4" w:space="0" w:color="000000"/>
              <w:right w:val="single" w:sz="4" w:space="0" w:color="000000"/>
            </w:tcBorders>
          </w:tcPr>
          <w:p>
            <w:pP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汕头市德美实业有限公司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pacing w:val="-6"/>
                <w:sz w:val="21"/>
                <w:szCs w:val="21"/>
              </w:rPr>
              <w:t>执行董事、总经理</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07</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2016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Times New Roman" w:hAnsi="Times New Roman" w:cs="Times New Roman" w:eastAsia="Times New Roman" w:hint="default"/>
                <w:spacing w:val="-3"/>
                <w:sz w:val="21"/>
                <w:szCs w:val="21"/>
              </w:rPr>
              <w:t>07</w:t>
            </w:r>
            <w:r>
              <w:rPr>
                <w:rFonts w:ascii="Times New Roman" w:hAnsi="Times New Roman" w:cs="Times New Roman" w:eastAsia="Times New Roman" w:hint="default"/>
                <w:sz w:val="21"/>
                <w:szCs w:val="21"/>
              </w:rPr>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715" w:hRule="exact"/>
        </w:trPr>
        <w:tc>
          <w:tcPr>
            <w:tcW w:w="994" w:type="dxa"/>
            <w:vMerge/>
            <w:tcBorders>
              <w:left w:val="single" w:sz="4" w:space="0" w:color="000000"/>
              <w:right w:val="single" w:sz="4" w:space="0" w:color="000000"/>
            </w:tcBorders>
          </w:tcPr>
          <w:p>
            <w:pP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绍兴县德美化工有限公司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03</w:t>
            </w:r>
          </w:p>
          <w:p>
            <w:pPr>
              <w:pStyle w:val="TableParagraph"/>
              <w:spacing w:line="240" w:lineRule="auto" w:before="19"/>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Times New Roman" w:hAnsi="Times New Roman" w:cs="Times New Roman" w:eastAsia="Times New Roman" w:hint="default"/>
                <w:spacing w:val="-3"/>
                <w:sz w:val="21"/>
                <w:szCs w:val="21"/>
              </w:rPr>
              <w:t>03</w:t>
            </w:r>
            <w:r>
              <w:rPr>
                <w:rFonts w:ascii="Times New Roman" w:hAnsi="Times New Roman" w:cs="Times New Roman" w:eastAsia="Times New Roman" w:hint="default"/>
                <w:sz w:val="21"/>
                <w:szCs w:val="21"/>
              </w:rPr>
            </w:r>
          </w:p>
          <w:p>
            <w:pPr>
              <w:pStyle w:val="TableParagraph"/>
              <w:spacing w:line="240" w:lineRule="auto" w:before="19"/>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713" w:hRule="exact"/>
        </w:trPr>
        <w:tc>
          <w:tcPr>
            <w:tcW w:w="994" w:type="dxa"/>
            <w:vMerge/>
            <w:tcBorders>
              <w:left w:val="single" w:sz="4" w:space="0" w:color="000000"/>
              <w:right w:val="single" w:sz="4" w:space="0" w:color="000000"/>
            </w:tcBorders>
          </w:tcPr>
          <w:p>
            <w:pP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绍兴县滨海德美精细化工有限公司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12</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Times New Roman" w:hAnsi="Times New Roman" w:cs="Times New Roman" w:eastAsia="Times New Roman" w:hint="default"/>
                <w:spacing w:val="-3"/>
                <w:sz w:val="21"/>
                <w:szCs w:val="21"/>
              </w:rPr>
              <w:t>12</w:t>
            </w:r>
            <w:r>
              <w:rPr>
                <w:rFonts w:ascii="Times New Roman" w:hAnsi="Times New Roman" w:cs="Times New Roman" w:eastAsia="Times New Roman" w:hint="default"/>
                <w:sz w:val="21"/>
                <w:szCs w:val="21"/>
              </w:rPr>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715" w:hRule="exact"/>
        </w:trPr>
        <w:tc>
          <w:tcPr>
            <w:tcW w:w="994" w:type="dxa"/>
            <w:vMerge/>
            <w:tcBorders>
              <w:left w:val="single" w:sz="4" w:space="0" w:color="000000"/>
              <w:right w:val="single" w:sz="4" w:space="0" w:color="000000"/>
            </w:tcBorders>
          </w:tcPr>
          <w:p>
            <w:pP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3" w:right="74"/>
              <w:jc w:val="left"/>
              <w:rPr>
                <w:rFonts w:ascii="宋体" w:hAnsi="宋体" w:cs="宋体" w:eastAsia="宋体" w:hint="default"/>
                <w:sz w:val="21"/>
                <w:szCs w:val="21"/>
              </w:rPr>
            </w:pPr>
            <w:r>
              <w:rPr>
                <w:rFonts w:ascii="宋体" w:hAnsi="宋体" w:cs="宋体" w:eastAsia="宋体" w:hint="default"/>
                <w:spacing w:val="-2"/>
                <w:sz w:val="21"/>
                <w:szCs w:val="21"/>
              </w:rPr>
              <w:t>佛山市顺德区德和恒信投资管理有限公</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09</w:t>
            </w:r>
          </w:p>
          <w:p>
            <w:pPr>
              <w:pStyle w:val="TableParagraph"/>
              <w:spacing w:line="240" w:lineRule="auto" w:before="19"/>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2016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Times New Roman" w:hAnsi="Times New Roman" w:cs="Times New Roman" w:eastAsia="Times New Roman" w:hint="default"/>
                <w:spacing w:val="-3"/>
                <w:sz w:val="21"/>
                <w:szCs w:val="21"/>
              </w:rPr>
              <w:t>09</w:t>
            </w:r>
            <w:r>
              <w:rPr>
                <w:rFonts w:ascii="Times New Roman" w:hAnsi="Times New Roman" w:cs="Times New Roman" w:eastAsia="Times New Roman" w:hint="default"/>
                <w:sz w:val="21"/>
                <w:szCs w:val="21"/>
              </w:rPr>
            </w:r>
          </w:p>
          <w:p>
            <w:pPr>
              <w:pStyle w:val="TableParagraph"/>
              <w:spacing w:line="240" w:lineRule="auto" w:before="19"/>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713" w:hRule="exact"/>
        </w:trPr>
        <w:tc>
          <w:tcPr>
            <w:tcW w:w="994" w:type="dxa"/>
            <w:vMerge/>
            <w:tcBorders>
              <w:left w:val="single" w:sz="4" w:space="0" w:color="000000"/>
              <w:right w:val="single" w:sz="4" w:space="0" w:color="000000"/>
            </w:tcBorders>
          </w:tcPr>
          <w:p>
            <w:pP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广东德雄创业投资有限公司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pacing w:val="-6"/>
                <w:sz w:val="21"/>
                <w:szCs w:val="21"/>
              </w:rPr>
              <w:t>执行董事、总经理</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05</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2016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Times New Roman" w:hAnsi="Times New Roman" w:cs="Times New Roman" w:eastAsia="Times New Roman" w:hint="default"/>
                <w:spacing w:val="-3"/>
                <w:sz w:val="21"/>
                <w:szCs w:val="21"/>
              </w:rPr>
              <w:t>05</w:t>
            </w:r>
            <w:r>
              <w:rPr>
                <w:rFonts w:ascii="Times New Roman" w:hAnsi="Times New Roman" w:cs="Times New Roman" w:eastAsia="Times New Roman" w:hint="default"/>
                <w:sz w:val="21"/>
                <w:szCs w:val="21"/>
              </w:rPr>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715" w:hRule="exact"/>
        </w:trPr>
        <w:tc>
          <w:tcPr>
            <w:tcW w:w="994" w:type="dxa"/>
            <w:vMerge/>
            <w:tcBorders>
              <w:left w:val="single" w:sz="4" w:space="0" w:color="000000"/>
              <w:right w:val="single" w:sz="4" w:space="0" w:color="000000"/>
            </w:tcBorders>
          </w:tcPr>
          <w:p>
            <w:pP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广东英农集团有限公司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10</w:t>
            </w:r>
          </w:p>
          <w:p>
            <w:pPr>
              <w:pStyle w:val="TableParagraph"/>
              <w:spacing w:line="240" w:lineRule="auto" w:before="19"/>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Times New Roman" w:hAnsi="Times New Roman" w:cs="Times New Roman" w:eastAsia="Times New Roman" w:hint="default"/>
                <w:spacing w:val="-3"/>
                <w:sz w:val="21"/>
                <w:szCs w:val="21"/>
              </w:rPr>
              <w:t>10</w:t>
            </w:r>
            <w:r>
              <w:rPr>
                <w:rFonts w:ascii="Times New Roman" w:hAnsi="Times New Roman" w:cs="Times New Roman" w:eastAsia="Times New Roman" w:hint="default"/>
                <w:sz w:val="21"/>
                <w:szCs w:val="21"/>
              </w:rPr>
            </w:r>
          </w:p>
          <w:p>
            <w:pPr>
              <w:pStyle w:val="TableParagraph"/>
              <w:spacing w:line="240" w:lineRule="auto" w:before="19"/>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713" w:hRule="exact"/>
        </w:trPr>
        <w:tc>
          <w:tcPr>
            <w:tcW w:w="994" w:type="dxa"/>
            <w:vMerge/>
            <w:tcBorders>
              <w:left w:val="single" w:sz="4" w:space="0" w:color="000000"/>
              <w:right w:val="single" w:sz="4" w:space="0" w:color="000000"/>
            </w:tcBorders>
          </w:tcPr>
          <w:p>
            <w:pP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74"/>
              <w:jc w:val="left"/>
              <w:rPr>
                <w:rFonts w:ascii="宋体" w:hAnsi="宋体" w:cs="宋体" w:eastAsia="宋体" w:hint="default"/>
                <w:sz w:val="21"/>
                <w:szCs w:val="21"/>
              </w:rPr>
            </w:pPr>
            <w:r>
              <w:rPr>
                <w:rFonts w:ascii="宋体" w:hAnsi="宋体" w:cs="宋体" w:eastAsia="宋体" w:hint="default"/>
                <w:spacing w:val="-2"/>
                <w:sz w:val="21"/>
                <w:szCs w:val="21"/>
              </w:rPr>
              <w:t>佛山市顺德区德怡创展电子科技有限公</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10</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Times New Roman" w:hAnsi="Times New Roman" w:cs="Times New Roman" w:eastAsia="Times New Roman" w:hint="default"/>
                <w:spacing w:val="-3"/>
                <w:sz w:val="21"/>
                <w:szCs w:val="21"/>
              </w:rPr>
              <w:t>10</w:t>
            </w:r>
            <w:r>
              <w:rPr>
                <w:rFonts w:ascii="Times New Roman" w:hAnsi="Times New Roman" w:cs="Times New Roman" w:eastAsia="Times New Roman" w:hint="default"/>
                <w:sz w:val="21"/>
                <w:szCs w:val="21"/>
              </w:rPr>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715" w:hRule="exact"/>
        </w:trPr>
        <w:tc>
          <w:tcPr>
            <w:tcW w:w="994" w:type="dxa"/>
            <w:vMerge/>
            <w:tcBorders>
              <w:left w:val="single" w:sz="4" w:space="0" w:color="000000"/>
              <w:bottom w:val="single" w:sz="4" w:space="0" w:color="000000"/>
              <w:right w:val="single" w:sz="4" w:space="0" w:color="000000"/>
            </w:tcBorders>
          </w:tcPr>
          <w:p>
            <w:pP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广东德运创业投资有限公司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05</w:t>
            </w:r>
          </w:p>
          <w:p>
            <w:pPr>
              <w:pStyle w:val="TableParagraph"/>
              <w:spacing w:line="240" w:lineRule="auto" w:before="19"/>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2016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Times New Roman" w:hAnsi="Times New Roman" w:cs="Times New Roman" w:eastAsia="Times New Roman" w:hint="default"/>
                <w:spacing w:val="-3"/>
                <w:sz w:val="21"/>
                <w:szCs w:val="21"/>
              </w:rPr>
              <w:t>05</w:t>
            </w:r>
            <w:r>
              <w:rPr>
                <w:rFonts w:ascii="Times New Roman" w:hAnsi="Times New Roman" w:cs="Times New Roman" w:eastAsia="Times New Roman" w:hint="default"/>
                <w:sz w:val="21"/>
                <w:szCs w:val="21"/>
              </w:rPr>
            </w:r>
          </w:p>
          <w:p>
            <w:pPr>
              <w:pStyle w:val="TableParagraph"/>
              <w:spacing w:line="240" w:lineRule="auto" w:before="19"/>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713" w:hRule="exact"/>
        </w:trPr>
        <w:tc>
          <w:tcPr>
            <w:tcW w:w="9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7"/>
                <w:szCs w:val="27"/>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叶强</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北京凤凰财富资产管理有限公司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07</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715" w:hRule="exact"/>
        </w:trPr>
        <w:tc>
          <w:tcPr>
            <w:tcW w:w="994" w:type="dxa"/>
            <w:vMerge/>
            <w:tcBorders>
              <w:left w:val="single" w:sz="4" w:space="0" w:color="000000"/>
              <w:bottom w:val="single" w:sz="4" w:space="0" w:color="000000"/>
              <w:right w:val="single" w:sz="4" w:space="0" w:color="000000"/>
            </w:tcBorders>
          </w:tcPr>
          <w:p>
            <w:pP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pacing w:val="-4"/>
                <w:sz w:val="21"/>
                <w:szCs w:val="21"/>
              </w:rPr>
              <w:t>深圳前海财智发展投资中心（有限合伙</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3" w:right="192"/>
              <w:jc w:val="left"/>
              <w:rPr>
                <w:rFonts w:ascii="宋体" w:hAnsi="宋体" w:cs="宋体" w:eastAsia="宋体" w:hint="default"/>
                <w:sz w:val="21"/>
                <w:szCs w:val="21"/>
              </w:rPr>
            </w:pPr>
            <w:r>
              <w:rPr>
                <w:rFonts w:ascii="宋体" w:hAnsi="宋体" w:cs="宋体" w:eastAsia="宋体" w:hint="default"/>
                <w:sz w:val="21"/>
                <w:szCs w:val="21"/>
              </w:rPr>
              <w:t>执行事务合伙人</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委派代表</w:t>
            </w:r>
          </w:p>
          <w:p>
            <w:pPr>
              <w:pStyle w:val="TableParagraph"/>
              <w:spacing w:line="724" w:lineRule="exact"/>
              <w:ind w:left="2" w:right="-17"/>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3"/>
                <w:sz w:val="20"/>
                <w:szCs w:val="20"/>
              </w:rPr>
              <w:pict>
                <v:group style="width:83.45pt;height:36.25pt;mso-position-horizontal-relative:char;mso-position-vertical-relative:line" coordorigin="0,0" coordsize="1669,725">
                  <v:group style="position:absolute;left:11;top:11;width:2;height:704" coordorigin="11,11" coordsize="2,704">
                    <v:shape style="position:absolute;left:11;top:11;width:2;height:704" coordorigin="11,11" coordsize="0,704" path="m11,11l11,714e" filled="false" stroked="true" strokeweight="1.08pt" strokecolor="#ffffff">
                      <v:path arrowok="t"/>
                    </v:shape>
                  </v:group>
                  <v:group style="position:absolute;left:22;top:11;width:1647;height:351" coordorigin="22,11" coordsize="1647,351">
                    <v:shape style="position:absolute;left:22;top:11;width:1647;height:351" coordorigin="22,11" coordsize="1647,351" path="m22,361l1668,361,1668,11,22,11,22,361xe" filled="true" fillcolor="#ffffff" stroked="false">
                      <v:path arrowok="t"/>
                      <v:fill type="solid"/>
                    </v:shape>
                  </v:group>
                  <v:group style="position:absolute;left:22;top:361;width:1647;height:353" coordorigin="22,361" coordsize="1647,353">
                    <v:shape style="position:absolute;left:22;top:361;width:1647;height:353" coordorigin="22,361" coordsize="1647,353" path="m22,714l1668,714,1668,361,22,361,22,714xe" filled="true" fillcolor="#ffffff" stroked="false">
                      <v:path arrowok="t"/>
                      <v:fill type="solid"/>
                    </v:shape>
                  </v:group>
                </v:group>
              </w:pict>
            </w:r>
            <w:r>
              <w:rPr>
                <w:rFonts w:ascii="Times New Roman" w:hAnsi="Times New Roman" w:cs="Times New Roman" w:eastAsia="Times New Roman" w:hint="default"/>
                <w:position w:val="-13"/>
                <w:sz w:val="20"/>
                <w:szCs w:val="20"/>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10</w:t>
            </w:r>
          </w:p>
          <w:p>
            <w:pPr>
              <w:pStyle w:val="TableParagraph"/>
              <w:spacing w:line="240" w:lineRule="auto" w:before="19"/>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bl>
    <w:p>
      <w:pPr>
        <w:pStyle w:val="BodyText"/>
        <w:tabs>
          <w:tab w:pos="8139" w:val="left" w:leader="none"/>
        </w:tabs>
        <w:spacing w:line="240" w:lineRule="auto" w:before="28"/>
        <w:ind w:right="0"/>
        <w:jc w:val="left"/>
      </w:pPr>
      <w:r>
        <w:rPr/>
        <w:pict>
          <v:shape style="position:absolute;margin-left:284.089783pt;margin-top:-23.251331pt;width:90.3pt;height:22.8pt;mso-position-horizontal-relative:page;mso-position-vertical-relative:paragraph;z-index:-666568" type="#_x0000_t202" filled="false" stroked="false">
            <v:textbox inset="0,0,0,0">
              <w:txbxContent>
                <w:p>
                  <w:pPr>
                    <w:pStyle w:val="BodyText"/>
                    <w:spacing w:line="211" w:lineRule="exact"/>
                    <w:ind w:left="0" w:right="0"/>
                    <w:jc w:val="left"/>
                  </w:pPr>
                  <w:r>
                    <w:rPr>
                      <w:w w:val="100"/>
                    </w:rPr>
                    <w:t>）</w:t>
                  </w:r>
                </w:p>
              </w:txbxContent>
            </v:textbox>
            <w10:wrap type="none"/>
          </v:shape>
        </w:pict>
      </w:r>
      <w:r>
        <w:rPr>
          <w:spacing w:val="-2"/>
        </w:rPr>
        <w:t>公司现任及报告期内离任董事、监事和高级管理人员近三年证券监管机构处罚的情况</w:t>
        <w:tab/>
      </w:r>
      <w:r>
        <w:rPr>
          <w:rFonts w:ascii="Times New Roman" w:hAnsi="Times New Roman" w:cs="Times New Roman" w:eastAsia="Times New Roman" w:hint="default"/>
        </w:rPr>
        <w:t>□  </w:t>
      </w:r>
      <w:r>
        <w:rPr>
          <w:spacing w:val="-2"/>
        </w:rPr>
        <w:t>适用</w:t>
      </w:r>
      <w:r>
        <w:rPr/>
        <w:t> </w:t>
      </w:r>
      <w:r>
        <w:rPr>
          <w:rFonts w:ascii="Times New Roman" w:hAnsi="Times New Roman" w:cs="Times New Roman" w:eastAsia="Times New Roman" w:hint="default"/>
        </w:rPr>
        <w:t>√ </w:t>
      </w:r>
      <w:r>
        <w:rPr>
          <w:rFonts w:ascii="Times New Roman" w:hAnsi="Times New Roman" w:cs="Times New Roman" w:eastAsia="Times New Roman" w:hint="default"/>
          <w:spacing w:val="5"/>
        </w:rPr>
        <w:t> </w:t>
      </w:r>
      <w:r>
        <w:rPr>
          <w:spacing w:val="-1"/>
        </w:rPr>
        <w:t>不适用</w:t>
      </w:r>
    </w:p>
    <w:p>
      <w:pPr>
        <w:spacing w:after="0" w:line="240" w:lineRule="auto"/>
        <w:jc w:val="left"/>
        <w:sectPr>
          <w:pgSz w:w="11910" w:h="16840"/>
          <w:pgMar w:header="877" w:footer="979"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四、董事、监事、高级管理人员报酬情况</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ind w:right="0"/>
        <w:jc w:val="left"/>
      </w:pPr>
      <w:r>
        <w:rPr/>
        <w:t>董事、监事、高级管理人员报酬的决策程序、确定依据、实际支付情况</w:t>
      </w:r>
    </w:p>
    <w:p>
      <w:pPr>
        <w:pStyle w:val="BodyText"/>
        <w:spacing w:line="256" w:lineRule="auto" w:before="75"/>
        <w:ind w:right="0" w:firstLine="420"/>
        <w:jc w:val="left"/>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4</w:t>
      </w:r>
      <w:r>
        <w:rPr/>
        <w:t>日公司</w:t>
      </w:r>
      <w:r>
        <w:rPr>
          <w:rFonts w:ascii="Times New Roman" w:hAnsi="Times New Roman" w:cs="Times New Roman" w:eastAsia="Times New Roman" w:hint="default"/>
        </w:rPr>
        <w:t>2013</w:t>
      </w:r>
      <w:r>
        <w:rPr/>
        <w:t>年第一次临时股东大会审议通过《关于推选公司第二届董事会董事及审议董</w:t>
      </w:r>
      <w:r>
        <w:rPr>
          <w:w w:val="100"/>
        </w:rPr>
        <w:t> </w:t>
      </w:r>
      <w:r>
        <w:rPr>
          <w:spacing w:val="-2"/>
        </w:rPr>
        <w:t>事薪酬方案的议案》、《关于推选公司第二届监事会非职工监事及审议监事薪酬方案的议案》，</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11</w:t>
      </w:r>
      <w:r>
        <w:rPr>
          <w:rFonts w:ascii="Times New Roman" w:hAnsi="Times New Roman" w:cs="Times New Roman" w:eastAsia="Times New Roman" w:hint="default"/>
          <w:spacing w:val="15"/>
        </w:rPr>
        <w:t> </w:t>
      </w:r>
      <w:r>
        <w:rPr/>
        <w:t>月</w:t>
      </w:r>
      <w:r>
        <w:rPr>
          <w:rFonts w:ascii="Times New Roman" w:hAnsi="Times New Roman" w:cs="Times New Roman" w:eastAsia="Times New Roman" w:hint="default"/>
        </w:rPr>
        <w:t>4</w:t>
      </w:r>
      <w:r>
        <w:rPr/>
        <w:t>日公司第二届董事会第一次会议审议通过《关于聘任公司其他高级管理人员及确定高级管理人员薪酬</w:t>
      </w:r>
      <w:r>
        <w:rPr>
          <w:w w:val="100"/>
        </w:rPr>
        <w:t> </w:t>
      </w:r>
      <w:r>
        <w:rPr/>
        <w:t>的议案》。</w:t>
      </w:r>
    </w:p>
    <w:p>
      <w:pPr>
        <w:pStyle w:val="BodyText"/>
        <w:spacing w:line="240" w:lineRule="auto" w:before="63"/>
        <w:ind w:right="0"/>
        <w:jc w:val="left"/>
      </w:pPr>
      <w:r>
        <w:rPr/>
        <w:t>公司报告期内董事、监事和高级管理人员报酬情况</w:t>
      </w:r>
    </w:p>
    <w:p>
      <w:pPr>
        <w:pStyle w:val="BodyText"/>
        <w:spacing w:line="240" w:lineRule="auto" w:before="78"/>
        <w:ind w:left="0" w:right="254"/>
        <w:jc w:val="right"/>
      </w:pPr>
      <w:r>
        <w:rPr>
          <w:spacing w:val="-1"/>
        </w:rPr>
        <w:t>单位：万元</w:t>
      </w:r>
    </w:p>
    <w:p>
      <w:pPr>
        <w:spacing w:line="240" w:lineRule="auto" w:before="10"/>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419"/>
        <w:gridCol w:w="2693"/>
        <w:gridCol w:w="1275"/>
        <w:gridCol w:w="1277"/>
        <w:gridCol w:w="1277"/>
        <w:gridCol w:w="1560"/>
      </w:tblGrid>
      <w:tr>
        <w:trPr>
          <w:trHeight w:val="715"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2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职务</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性别</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年龄</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任职状态</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49" w:right="33" w:hanging="209"/>
              <w:jc w:val="left"/>
              <w:rPr>
                <w:rFonts w:ascii="宋体" w:hAnsi="宋体" w:cs="宋体" w:eastAsia="宋体" w:hint="default"/>
                <w:sz w:val="21"/>
                <w:szCs w:val="21"/>
              </w:rPr>
            </w:pPr>
            <w:r>
              <w:rPr>
                <w:rFonts w:ascii="宋体" w:hAnsi="宋体" w:cs="宋体" w:eastAsia="宋体" w:hint="default"/>
                <w:sz w:val="21"/>
                <w:szCs w:val="21"/>
              </w:rPr>
              <w:t>从公司获得的税</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前报酬总额</w:t>
            </w: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sz w:val="21"/>
                <w:szCs w:val="21"/>
              </w:rPr>
              <w:t>杜力</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35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2.08</w:t>
            </w: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张巍</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副董事长、总经理</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35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14.74</w:t>
            </w: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谢基柱</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董事、副总经理</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47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36.99</w:t>
            </w: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赵岑</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pacing w:val="-9"/>
                <w:sz w:val="21"/>
                <w:szCs w:val="21"/>
              </w:rPr>
              <w:t>董事、董事会秘书、财务总监</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48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33.49</w:t>
            </w: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罗嘉俊</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26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2.72</w:t>
            </w: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李英明</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37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2.08</w:t>
            </w: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张李平</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42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5.00</w:t>
            </w: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周春生</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49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2.08</w:t>
            </w: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徐强国</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51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2.08</w:t>
            </w: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何国英</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53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100"/>
                <w:sz w:val="21"/>
              </w:rPr>
              <w:t>0</w:t>
            </w: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刘琛</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43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14.52</w:t>
            </w: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叶强</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35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100"/>
                <w:sz w:val="21"/>
              </w:rPr>
              <w:t>0</w:t>
            </w: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刘世明</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46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44.52</w:t>
            </w: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罗桥胜</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董事长、总经理</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53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7.66</w:t>
            </w: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冯倩红</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董事、副总经理</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43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22.83</w:t>
            </w: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卢锡球</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67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2.25</w:t>
            </w: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黄喜强</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董事、总经理</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38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19.79</w:t>
            </w:r>
          </w:p>
        </w:tc>
      </w:tr>
      <w:tr>
        <w:trPr>
          <w:trHeight w:val="40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sz w:val="21"/>
                <w:szCs w:val="21"/>
              </w:rPr>
              <w:t>吴东昕</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46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2.50</w:t>
            </w: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韩振平</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42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2.50</w:t>
            </w: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孙颖楷</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42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2.50</w:t>
            </w: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卢惠全</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39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100"/>
                <w:sz w:val="21"/>
              </w:rPr>
              <w:t>0</w:t>
            </w: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陈春霖</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28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任免</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7.45</w:t>
            </w: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1" w:right="0"/>
              <w:jc w:val="center"/>
              <w:rPr>
                <w:rFonts w:ascii="Times New Roman" w:hAnsi="Times New Roman" w:cs="Times New Roman" w:eastAsia="Times New Roman" w:hint="default"/>
                <w:sz w:val="21"/>
                <w:szCs w:val="21"/>
              </w:rPr>
            </w:pPr>
            <w:r>
              <w:rPr>
                <w:rFonts w:ascii="Times New Roman"/>
                <w:sz w:val="21"/>
              </w:rPr>
              <w:t>--</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c>
          <w:tcPr>
            <w:tcW w:w="156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227.78</w:t>
            </w:r>
          </w:p>
        </w:tc>
      </w:tr>
    </w:tbl>
    <w:p>
      <w:pPr>
        <w:pStyle w:val="BodyText"/>
        <w:spacing w:line="273" w:lineRule="auto" w:before="28"/>
        <w:ind w:right="0"/>
        <w:jc w:val="left"/>
      </w:pPr>
      <w:r>
        <w:rPr>
          <w:spacing w:val="-7"/>
          <w:w w:val="100"/>
        </w:rPr>
        <w:t>注：公司董事、监事、高级管理人员除在上述“股东单位”、“其他单位”任职并领取报酬（如有）外，未</w:t>
      </w:r>
      <w:r>
        <w:rPr>
          <w:spacing w:val="-74"/>
          <w:w w:val="100"/>
        </w:rPr>
        <w:t> </w:t>
      </w:r>
      <w:r>
        <w:rPr>
          <w:spacing w:val="-74"/>
          <w:w w:val="100"/>
        </w:rPr>
      </w:r>
      <w:r>
        <w:rPr/>
        <w:t>在公司其他关联方单位领取报酬。</w:t>
      </w:r>
    </w:p>
    <w:p>
      <w:pPr>
        <w:pStyle w:val="BodyText"/>
        <w:tabs>
          <w:tab w:pos="8033" w:val="left" w:leader="none"/>
        </w:tabs>
        <w:spacing w:line="240" w:lineRule="auto" w:before="48"/>
        <w:ind w:right="0"/>
        <w:jc w:val="left"/>
      </w:pPr>
      <w:r>
        <w:rPr>
          <w:spacing w:val="-2"/>
        </w:rPr>
        <w:t>公司董事、监事、高级管理人员报告期内被授予的股权激励情况</w:t>
        <w:tab/>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spacing w:val="-1"/>
        </w:rPr>
        <w:t>不适用</w:t>
      </w:r>
    </w:p>
    <w:p>
      <w:pPr>
        <w:spacing w:after="0" w:line="240" w:lineRule="auto"/>
        <w:jc w:val="left"/>
        <w:sectPr>
          <w:pgSz w:w="11910" w:h="16840"/>
          <w:pgMar w:header="877" w:footer="979"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五、公司员工情况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7"/>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5226"/>
        <w:gridCol w:w="4333"/>
      </w:tblGrid>
      <w:tr>
        <w:trPr>
          <w:trHeight w:val="403" w:hRule="exact"/>
        </w:trPr>
        <w:tc>
          <w:tcPr>
            <w:tcW w:w="52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母公司在职员工的数量（人）</w:t>
            </w:r>
          </w:p>
        </w:tc>
        <w:tc>
          <w:tcPr>
            <w:tcW w:w="433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324</w:t>
            </w:r>
          </w:p>
        </w:tc>
      </w:tr>
      <w:tr>
        <w:trPr>
          <w:trHeight w:val="401" w:hRule="exact"/>
        </w:trPr>
        <w:tc>
          <w:tcPr>
            <w:tcW w:w="52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主要子公司在职员工的数量（人）</w:t>
            </w:r>
          </w:p>
        </w:tc>
        <w:tc>
          <w:tcPr>
            <w:tcW w:w="433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400</w:t>
            </w:r>
          </w:p>
        </w:tc>
      </w:tr>
      <w:tr>
        <w:trPr>
          <w:trHeight w:val="403" w:hRule="exact"/>
        </w:trPr>
        <w:tc>
          <w:tcPr>
            <w:tcW w:w="52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在职员工的数量合计（人）</w:t>
            </w:r>
          </w:p>
        </w:tc>
        <w:tc>
          <w:tcPr>
            <w:tcW w:w="433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724</w:t>
            </w:r>
          </w:p>
        </w:tc>
      </w:tr>
      <w:tr>
        <w:trPr>
          <w:trHeight w:val="401" w:hRule="exact"/>
        </w:trPr>
        <w:tc>
          <w:tcPr>
            <w:tcW w:w="52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当期领取薪酬员工总人数（人）</w:t>
            </w:r>
          </w:p>
        </w:tc>
        <w:tc>
          <w:tcPr>
            <w:tcW w:w="433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10,014</w:t>
            </w:r>
          </w:p>
        </w:tc>
      </w:tr>
      <w:tr>
        <w:trPr>
          <w:trHeight w:val="408" w:hRule="exact"/>
        </w:trPr>
        <w:tc>
          <w:tcPr>
            <w:tcW w:w="5226" w:type="dxa"/>
            <w:tcBorders>
              <w:top w:val="single" w:sz="4" w:space="0" w:color="000000"/>
              <w:left w:val="single" w:sz="4" w:space="0" w:color="000000"/>
              <w:bottom w:val="single" w:sz="4" w:space="0" w:color="000000"/>
              <w:right w:val="single" w:sz="14" w:space="0" w:color="FFFFFF"/>
            </w:tcBorders>
            <w:shd w:val="clear" w:color="auto" w:fill="D2D2D2"/>
          </w:tcPr>
          <w:p>
            <w:pPr>
              <w:pStyle w:val="TableParagraph"/>
              <w:spacing w:line="240" w:lineRule="auto" w:before="28"/>
              <w:ind w:left="12" w:right="-61"/>
              <w:jc w:val="left"/>
              <w:rPr>
                <w:rFonts w:ascii="宋体" w:hAnsi="宋体" w:cs="宋体" w:eastAsia="宋体" w:hint="default"/>
                <w:sz w:val="21"/>
                <w:szCs w:val="21"/>
              </w:rPr>
            </w:pPr>
            <w:r>
              <w:rPr>
                <w:rFonts w:ascii="宋体" w:hAnsi="宋体" w:cs="宋体" w:eastAsia="宋体" w:hint="default"/>
                <w:spacing w:val="-2"/>
                <w:sz w:val="21"/>
                <w:szCs w:val="21"/>
              </w:rPr>
              <w:t>母公司及主要子公司需承担费用的离退休职工人数（人）</w:t>
            </w:r>
          </w:p>
        </w:tc>
        <w:tc>
          <w:tcPr>
            <w:tcW w:w="4333" w:type="dxa"/>
            <w:tcBorders>
              <w:top w:val="single" w:sz="4" w:space="0" w:color="000000"/>
              <w:left w:val="single" w:sz="23" w:space="0" w:color="FFFFFF"/>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100"/>
                <w:sz w:val="21"/>
              </w:rPr>
              <w:t>0</w:t>
            </w:r>
          </w:p>
        </w:tc>
      </w:tr>
      <w:tr>
        <w:trPr>
          <w:trHeight w:val="391"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3"/>
              <w:ind w:left="-1" w:right="9"/>
              <w:jc w:val="center"/>
              <w:rPr>
                <w:rFonts w:ascii="宋体" w:hAnsi="宋体" w:cs="宋体" w:eastAsia="宋体" w:hint="default"/>
                <w:sz w:val="21"/>
                <w:szCs w:val="21"/>
              </w:rPr>
            </w:pPr>
            <w:r>
              <w:rPr>
                <w:rFonts w:ascii="宋体" w:hAnsi="宋体" w:cs="宋体" w:eastAsia="宋体" w:hint="default"/>
                <w:sz w:val="21"/>
                <w:szCs w:val="21"/>
              </w:rPr>
              <w:t>专业构成</w:t>
            </w:r>
          </w:p>
        </w:tc>
      </w:tr>
      <w:tr>
        <w:trPr>
          <w:trHeight w:val="409" w:hRule="exact"/>
        </w:trPr>
        <w:tc>
          <w:tcPr>
            <w:tcW w:w="52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1" w:right="0"/>
              <w:jc w:val="center"/>
              <w:rPr>
                <w:rFonts w:ascii="宋体" w:hAnsi="宋体" w:cs="宋体" w:eastAsia="宋体" w:hint="default"/>
                <w:sz w:val="21"/>
                <w:szCs w:val="21"/>
              </w:rPr>
            </w:pPr>
            <w:r>
              <w:rPr>
                <w:rFonts w:ascii="宋体" w:hAnsi="宋体" w:cs="宋体" w:eastAsia="宋体" w:hint="default"/>
                <w:sz w:val="21"/>
                <w:szCs w:val="21"/>
              </w:rPr>
              <w:t>专业构成类别</w:t>
            </w:r>
          </w:p>
        </w:tc>
        <w:tc>
          <w:tcPr>
            <w:tcW w:w="43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1221" w:right="0"/>
              <w:jc w:val="left"/>
              <w:rPr>
                <w:rFonts w:ascii="宋体" w:hAnsi="宋体" w:cs="宋体" w:eastAsia="宋体" w:hint="default"/>
                <w:sz w:val="21"/>
                <w:szCs w:val="21"/>
              </w:rPr>
            </w:pPr>
            <w:r>
              <w:rPr>
                <w:rFonts w:ascii="宋体" w:hAnsi="宋体" w:cs="宋体" w:eastAsia="宋体" w:hint="default"/>
                <w:sz w:val="21"/>
                <w:szCs w:val="21"/>
              </w:rPr>
              <w:t>专业构成人数（人）</w:t>
            </w:r>
          </w:p>
        </w:tc>
      </w:tr>
      <w:tr>
        <w:trPr>
          <w:trHeight w:val="401" w:hRule="exact"/>
        </w:trPr>
        <w:tc>
          <w:tcPr>
            <w:tcW w:w="52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生产人员</w:t>
            </w:r>
          </w:p>
        </w:tc>
        <w:tc>
          <w:tcPr>
            <w:tcW w:w="433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356</w:t>
            </w:r>
          </w:p>
        </w:tc>
      </w:tr>
      <w:tr>
        <w:trPr>
          <w:trHeight w:val="403" w:hRule="exact"/>
        </w:trPr>
        <w:tc>
          <w:tcPr>
            <w:tcW w:w="52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销售人员</w:t>
            </w:r>
          </w:p>
        </w:tc>
        <w:tc>
          <w:tcPr>
            <w:tcW w:w="433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49</w:t>
            </w:r>
          </w:p>
        </w:tc>
      </w:tr>
      <w:tr>
        <w:trPr>
          <w:trHeight w:val="401" w:hRule="exact"/>
        </w:trPr>
        <w:tc>
          <w:tcPr>
            <w:tcW w:w="52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技术人员</w:t>
            </w:r>
          </w:p>
        </w:tc>
        <w:tc>
          <w:tcPr>
            <w:tcW w:w="433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204</w:t>
            </w:r>
          </w:p>
        </w:tc>
      </w:tr>
      <w:tr>
        <w:trPr>
          <w:trHeight w:val="403" w:hRule="exact"/>
        </w:trPr>
        <w:tc>
          <w:tcPr>
            <w:tcW w:w="52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财务人员</w:t>
            </w:r>
          </w:p>
        </w:tc>
        <w:tc>
          <w:tcPr>
            <w:tcW w:w="433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27</w:t>
            </w:r>
          </w:p>
        </w:tc>
      </w:tr>
      <w:tr>
        <w:trPr>
          <w:trHeight w:val="401" w:hRule="exact"/>
        </w:trPr>
        <w:tc>
          <w:tcPr>
            <w:tcW w:w="52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行政人员</w:t>
            </w:r>
          </w:p>
        </w:tc>
        <w:tc>
          <w:tcPr>
            <w:tcW w:w="433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88</w:t>
            </w:r>
          </w:p>
        </w:tc>
      </w:tr>
      <w:tr>
        <w:trPr>
          <w:trHeight w:val="408" w:hRule="exact"/>
        </w:trPr>
        <w:tc>
          <w:tcPr>
            <w:tcW w:w="52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433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724</w:t>
            </w:r>
          </w:p>
        </w:tc>
      </w:tr>
      <w:tr>
        <w:trPr>
          <w:trHeight w:val="391"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3"/>
              <w:ind w:left="-1" w:right="9"/>
              <w:jc w:val="center"/>
              <w:rPr>
                <w:rFonts w:ascii="宋体" w:hAnsi="宋体" w:cs="宋体" w:eastAsia="宋体" w:hint="default"/>
                <w:sz w:val="21"/>
                <w:szCs w:val="21"/>
              </w:rPr>
            </w:pPr>
            <w:r>
              <w:rPr>
                <w:rFonts w:ascii="宋体" w:hAnsi="宋体" w:cs="宋体" w:eastAsia="宋体" w:hint="default"/>
                <w:sz w:val="21"/>
                <w:szCs w:val="21"/>
              </w:rPr>
              <w:t>教育程度</w:t>
            </w:r>
          </w:p>
        </w:tc>
      </w:tr>
      <w:tr>
        <w:trPr>
          <w:trHeight w:val="408" w:hRule="exact"/>
        </w:trPr>
        <w:tc>
          <w:tcPr>
            <w:tcW w:w="52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1" w:right="0"/>
              <w:jc w:val="center"/>
              <w:rPr>
                <w:rFonts w:ascii="宋体" w:hAnsi="宋体" w:cs="宋体" w:eastAsia="宋体" w:hint="default"/>
                <w:sz w:val="21"/>
                <w:szCs w:val="21"/>
              </w:rPr>
            </w:pPr>
            <w:r>
              <w:rPr>
                <w:rFonts w:ascii="宋体" w:hAnsi="宋体" w:cs="宋体" w:eastAsia="宋体" w:hint="default"/>
                <w:sz w:val="21"/>
                <w:szCs w:val="21"/>
              </w:rPr>
              <w:t>教育程度类别</w:t>
            </w:r>
          </w:p>
        </w:tc>
        <w:tc>
          <w:tcPr>
            <w:tcW w:w="43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13" w:right="0"/>
              <w:jc w:val="center"/>
              <w:rPr>
                <w:rFonts w:ascii="宋体" w:hAnsi="宋体" w:cs="宋体" w:eastAsia="宋体" w:hint="default"/>
                <w:sz w:val="21"/>
                <w:szCs w:val="21"/>
              </w:rPr>
            </w:pPr>
            <w:r>
              <w:rPr>
                <w:rFonts w:ascii="宋体" w:hAnsi="宋体" w:cs="宋体" w:eastAsia="宋体" w:hint="default"/>
                <w:sz w:val="21"/>
                <w:szCs w:val="21"/>
              </w:rPr>
              <w:t>数量（人）</w:t>
            </w:r>
          </w:p>
        </w:tc>
      </w:tr>
      <w:tr>
        <w:trPr>
          <w:trHeight w:val="401" w:hRule="exact"/>
        </w:trPr>
        <w:tc>
          <w:tcPr>
            <w:tcW w:w="5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高中及以下</w:t>
            </w:r>
          </w:p>
        </w:tc>
        <w:tc>
          <w:tcPr>
            <w:tcW w:w="4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525</w:t>
            </w:r>
          </w:p>
        </w:tc>
      </w:tr>
      <w:tr>
        <w:trPr>
          <w:trHeight w:val="403" w:hRule="exact"/>
        </w:trPr>
        <w:tc>
          <w:tcPr>
            <w:tcW w:w="5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大专</w:t>
            </w:r>
          </w:p>
        </w:tc>
        <w:tc>
          <w:tcPr>
            <w:tcW w:w="4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3"/>
                <w:sz w:val="21"/>
              </w:rPr>
              <w:t>115</w:t>
            </w:r>
          </w:p>
        </w:tc>
      </w:tr>
      <w:tr>
        <w:trPr>
          <w:trHeight w:val="401" w:hRule="exact"/>
        </w:trPr>
        <w:tc>
          <w:tcPr>
            <w:tcW w:w="5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本科及以上</w:t>
            </w:r>
          </w:p>
        </w:tc>
        <w:tc>
          <w:tcPr>
            <w:tcW w:w="4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84</w:t>
            </w:r>
          </w:p>
        </w:tc>
      </w:tr>
      <w:tr>
        <w:trPr>
          <w:trHeight w:val="403" w:hRule="exact"/>
        </w:trPr>
        <w:tc>
          <w:tcPr>
            <w:tcW w:w="52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4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724</w:t>
            </w:r>
          </w:p>
        </w:tc>
      </w:tr>
    </w:tbl>
    <w:p>
      <w:pPr>
        <w:spacing w:line="240" w:lineRule="auto" w:before="3"/>
        <w:rPr>
          <w:rFonts w:ascii="宋体" w:hAnsi="宋体" w:cs="宋体" w:eastAsia="宋体" w:hint="default"/>
          <w:b/>
          <w:bCs/>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2</w:t>
      </w:r>
      <w:r>
        <w:rPr/>
        <w:t>、薪酬政策</w:t>
      </w:r>
      <w:r>
        <w:rPr>
          <w:b w:val="0"/>
          <w:bCs w:val="0"/>
        </w:rPr>
      </w:r>
    </w:p>
    <w:p>
      <w:pPr>
        <w:spacing w:line="240" w:lineRule="auto" w:before="7"/>
        <w:rPr>
          <w:rFonts w:ascii="宋体" w:hAnsi="宋体" w:cs="宋体" w:eastAsia="宋体" w:hint="default"/>
          <w:b/>
          <w:bCs/>
          <w:sz w:val="24"/>
          <w:szCs w:val="24"/>
        </w:rPr>
      </w:pPr>
    </w:p>
    <w:p>
      <w:pPr>
        <w:pStyle w:val="BodyText"/>
        <w:spacing w:line="268" w:lineRule="auto"/>
        <w:ind w:right="125" w:firstLine="420"/>
        <w:jc w:val="both"/>
      </w:pPr>
      <w:r>
        <w:rPr>
          <w:spacing w:val="-2"/>
        </w:rPr>
        <w:t>为提升企业竞争力及员工积极性，公司建立了与战略相匹配的薪酬管理体系，吸引和保留符合企业需</w:t>
      </w:r>
      <w:r>
        <w:rPr>
          <w:w w:val="100"/>
        </w:rPr>
        <w:t> </w:t>
      </w:r>
      <w:r>
        <w:rPr>
          <w:spacing w:val="-2"/>
        </w:rPr>
        <w:t>求的人才。公司员工工资主要由基本工资、绩效奖金、福利津贴、年终奖等构成。公司根据年度经营目标</w:t>
      </w:r>
      <w:r>
        <w:rPr>
          <w:spacing w:val="-43"/>
        </w:rPr>
        <w:t> </w:t>
      </w:r>
      <w:r>
        <w:rPr>
          <w:spacing w:val="-43"/>
        </w:rPr>
      </w:r>
      <w:r>
        <w:rPr>
          <w:spacing w:val="-2"/>
        </w:rPr>
        <w:t>的制定和分解，建立效益目标考核体系，制定各部门效益指标，其中绩效工资根据效益指标、管理指标、</w:t>
      </w:r>
      <w:r>
        <w:rPr>
          <w:spacing w:val="-21"/>
        </w:rPr>
        <w:t> </w:t>
      </w:r>
      <w:r>
        <w:rPr>
          <w:spacing w:val="-21"/>
        </w:rPr>
      </w:r>
      <w:r>
        <w:rPr>
          <w:spacing w:val="-4"/>
        </w:rPr>
        <w:t>优化指标等相关指标确定，年终奖根据公司全年经营效益及各部门指标完成情况确定。此外，公司每年</w:t>
      </w:r>
      <w:r>
        <w:rPr>
          <w:rFonts w:ascii="Times New Roman" w:hAnsi="Times New Roman" w:cs="Times New Roman" w:eastAsia="Times New Roman" w:hint="default"/>
          <w:spacing w:val="-4"/>
        </w:rPr>
        <w:t>6-8</w:t>
      </w:r>
      <w:r>
        <w:rPr>
          <w:rFonts w:ascii="Times New Roman" w:hAnsi="Times New Roman" w:cs="Times New Roman" w:eastAsia="Times New Roman" w:hint="default"/>
          <w:spacing w:val="37"/>
        </w:rPr>
        <w:t> </w:t>
      </w:r>
      <w:r>
        <w:rPr>
          <w:rFonts w:ascii="Times New Roman" w:hAnsi="Times New Roman" w:cs="Times New Roman" w:eastAsia="Times New Roman" w:hint="default"/>
          <w:spacing w:val="37"/>
        </w:rPr>
      </w:r>
      <w:r>
        <w:rPr/>
        <w:t>月份对员工上一年度工作进行综合考评，根据考评结果调整员工薪酬。</w:t>
      </w:r>
    </w:p>
    <w:p>
      <w:pPr>
        <w:spacing w:line="240" w:lineRule="auto" w:before="11"/>
        <w:rPr>
          <w:rFonts w:ascii="宋体" w:hAnsi="宋体" w:cs="宋体" w:eastAsia="宋体" w:hint="default"/>
          <w:sz w:val="23"/>
          <w:szCs w:val="23"/>
        </w:rPr>
      </w:pPr>
    </w:p>
    <w:p>
      <w:pPr>
        <w:pStyle w:val="Heading4"/>
        <w:spacing w:line="240" w:lineRule="auto"/>
        <w:ind w:right="0"/>
        <w:jc w:val="left"/>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right="146" w:firstLine="420"/>
        <w:jc w:val="both"/>
      </w:pPr>
      <w:r>
        <w:rPr>
          <w:spacing w:val="-2"/>
        </w:rPr>
        <w:t>为提高员工整体素质和工作效率，根据公司人力资源战略目标要求，公司每年年末由人力资源部制定</w:t>
      </w:r>
      <w:r>
        <w:rPr>
          <w:w w:val="100"/>
        </w:rPr>
        <w:t> </w:t>
      </w:r>
      <w:r>
        <w:rPr>
          <w:spacing w:val="-2"/>
        </w:rPr>
        <w:t>下一年的培训计划，按照计划开展培训，具体包括培训的项目、内容、时间、方式、对象等。主要培训内</w:t>
      </w:r>
      <w:r>
        <w:rPr>
          <w:spacing w:val="-49"/>
        </w:rPr>
        <w:t> </w:t>
      </w:r>
      <w:r>
        <w:rPr>
          <w:spacing w:val="-49"/>
        </w:rPr>
      </w:r>
      <w:r>
        <w:rPr>
          <w:spacing w:val="-2"/>
        </w:rPr>
        <w:t>容包括员工素质、岗位操作技能、管理能力提升、生产安全管理、沟通管理、执行力提升等各个方面，培</w:t>
      </w:r>
      <w:r>
        <w:rPr>
          <w:spacing w:val="-45"/>
        </w:rPr>
        <w:t> </w:t>
      </w:r>
      <w:r>
        <w:rPr>
          <w:spacing w:val="-45"/>
        </w:rPr>
      </w:r>
      <w:r>
        <w:rPr/>
        <w:t>训形式有内部讲师授课、网络学习、外聘讲师授课、外部交流学习等。</w:t>
      </w:r>
    </w:p>
    <w:p>
      <w:pPr>
        <w:spacing w:after="0" w:line="273" w:lineRule="auto"/>
        <w:jc w:val="both"/>
        <w:sectPr>
          <w:pgSz w:w="11910" w:h="16840"/>
          <w:pgMar w:header="877" w:footer="979" w:top="1060" w:bottom="1160" w:left="980" w:right="980"/>
        </w:sectPr>
      </w:pPr>
    </w:p>
    <w:p>
      <w:pPr>
        <w:spacing w:line="240" w:lineRule="auto" w:before="10"/>
        <w:rPr>
          <w:rFonts w:ascii="宋体" w:hAnsi="宋体" w:cs="宋体" w:eastAsia="宋体" w:hint="default"/>
          <w:sz w:val="24"/>
          <w:szCs w:val="24"/>
        </w:rPr>
      </w:pPr>
    </w:p>
    <w:p>
      <w:pPr>
        <w:tabs>
          <w:tab w:pos="8165" w:val="left" w:leader="none"/>
        </w:tabs>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、劳务外包情况</w:t>
        <w:tab/>
      </w:r>
      <w:r>
        <w:rPr>
          <w:rFonts w:ascii="Times New Roman" w:hAnsi="Times New Roman" w:cs="Times New Roman" w:eastAsia="Times New Roman" w:hint="default"/>
          <w:sz w:val="21"/>
          <w:szCs w:val="21"/>
        </w:rPr>
        <w:t>√  </w:t>
      </w:r>
      <w:r>
        <w:rPr>
          <w:rFonts w:ascii="宋体" w:hAnsi="宋体" w:cs="宋体" w:eastAsia="宋体" w:hint="default"/>
          <w:spacing w:val="-2"/>
          <w:sz w:val="21"/>
          <w:szCs w:val="21"/>
        </w:rPr>
        <w:t>适用</w:t>
      </w:r>
      <w:r>
        <w:rPr>
          <w:rFonts w:ascii="宋体" w:hAnsi="宋体" w:cs="宋体" w:eastAsia="宋体" w:hint="default"/>
          <w:sz w:val="21"/>
          <w:szCs w:val="21"/>
        </w:rPr>
        <w:t>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4"/>
          <w:sz w:val="21"/>
          <w:szCs w:val="21"/>
        </w:rPr>
        <w:t> </w:t>
      </w:r>
      <w:r>
        <w:rPr>
          <w:rFonts w:ascii="宋体" w:hAnsi="宋体" w:cs="宋体" w:eastAsia="宋体" w:hint="default"/>
          <w:spacing w:val="-1"/>
          <w:sz w:val="21"/>
          <w:szCs w:val="21"/>
        </w:rPr>
        <w:t>不适用</w:t>
      </w:r>
    </w:p>
    <w:p>
      <w:pPr>
        <w:spacing w:line="240" w:lineRule="auto" w:before="9"/>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劳务外包的工时总数（小时）</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3,130,715.50</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劳务外包支付的报酬总额（元）</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40,453,210.81</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751" w:right="3807"/>
        <w:jc w:val="center"/>
        <w:rPr>
          <w:b w:val="0"/>
          <w:bCs w:val="0"/>
        </w:rPr>
      </w:pPr>
      <w:bookmarkStart w:name="_bookmark7" w:id="8"/>
      <w:bookmarkEnd w:id="8"/>
      <w:r>
        <w:rPr>
          <w:b w:val="0"/>
          <w:bCs w:val="0"/>
        </w:rPr>
      </w:r>
      <w:r>
        <w:rPr/>
        <w:t>第九节</w:t>
      </w:r>
      <w:r>
        <w:rPr>
          <w:spacing w:val="-2"/>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05"/>
        <w:jc w:val="left"/>
        <w:rPr>
          <w:b w:val="0"/>
          <w:bCs w:val="0"/>
        </w:rPr>
      </w:pPr>
      <w:r>
        <w:rPr/>
        <w:t>一、公司治理的基本状况</w:t>
      </w:r>
      <w:r>
        <w:rPr>
          <w:b w:val="0"/>
          <w:bCs w:val="0"/>
        </w:rPr>
      </w:r>
    </w:p>
    <w:p>
      <w:pPr>
        <w:spacing w:line="240" w:lineRule="auto" w:before="9"/>
        <w:rPr>
          <w:rFonts w:ascii="宋体" w:hAnsi="宋体" w:cs="宋体" w:eastAsia="宋体" w:hint="default"/>
          <w:b/>
          <w:bCs/>
          <w:sz w:val="24"/>
          <w:szCs w:val="24"/>
        </w:rPr>
      </w:pPr>
    </w:p>
    <w:p>
      <w:pPr>
        <w:pStyle w:val="BodyText"/>
        <w:spacing w:line="273" w:lineRule="auto"/>
        <w:ind w:right="207" w:firstLine="420"/>
        <w:jc w:val="both"/>
      </w:pPr>
      <w:r>
        <w:rPr>
          <w:spacing w:val="-2"/>
        </w:rPr>
        <w:t>公司按照《公司法》、《证券法》和中国证监会的有关法律法规的要求，不断完善法人治理结构，董</w:t>
      </w:r>
      <w:r>
        <w:rPr>
          <w:w w:val="100"/>
        </w:rPr>
        <w:t> </w:t>
      </w:r>
      <w:r>
        <w:rPr>
          <w:spacing w:val="-2"/>
        </w:rPr>
        <w:t>事会下设战略委员会、审计委员会、提名委员会、薪酬与考核委员会，为董事会提供咨询、建议，保证董</w:t>
      </w:r>
      <w:r>
        <w:rPr>
          <w:spacing w:val="-42"/>
        </w:rPr>
        <w:t> </w:t>
      </w:r>
      <w:r>
        <w:rPr>
          <w:spacing w:val="-42"/>
        </w:rPr>
      </w:r>
      <w:r>
        <w:rPr>
          <w:spacing w:val="-2"/>
        </w:rPr>
        <w:t>事会议事、决策的专业化与高效化。为提高公司投资决策的科学性，报告期内，公司增设董事会投资决策</w:t>
      </w:r>
      <w:r>
        <w:rPr>
          <w:spacing w:val="-50"/>
        </w:rPr>
        <w:t> </w:t>
      </w:r>
      <w:r>
        <w:rPr>
          <w:spacing w:val="-50"/>
        </w:rPr>
      </w:r>
      <w:r>
        <w:rPr/>
        <w:t>委员会。</w:t>
      </w:r>
    </w:p>
    <w:p>
      <w:pPr>
        <w:pStyle w:val="BodyText"/>
        <w:spacing w:line="273" w:lineRule="auto" w:before="7"/>
        <w:ind w:right="101" w:firstLine="420"/>
        <w:jc w:val="both"/>
      </w:pPr>
      <w:r>
        <w:rPr/>
        <w:t>公司已建立健全了股东大会、董事会、监事会《议事规则》、董事会专门委员会《议事规则》、《独</w:t>
      </w:r>
      <w:r>
        <w:rPr>
          <w:w w:val="100"/>
        </w:rPr>
        <w:t> </w:t>
      </w:r>
      <w:r>
        <w:rPr>
          <w:spacing w:val="-2"/>
        </w:rPr>
        <w:t>立董事工作细则》、《经理人员工作细则》、《董事会秘书工作细则》以及《信息披露管理制度》、《关</w:t>
      </w:r>
      <w:r>
        <w:rPr>
          <w:spacing w:val="-46"/>
        </w:rPr>
        <w:t> </w:t>
      </w:r>
      <w:r>
        <w:rPr>
          <w:spacing w:val="-46"/>
        </w:rPr>
      </w:r>
      <w:r>
        <w:rPr>
          <w:spacing w:val="-5"/>
        </w:rPr>
        <w:t>联交易管理制度》、《投资者关系管理制度》、《内幕信息知情人员报备制度》、《对外担保管理制度》、</w:t>
      </w:r>
    </w:p>
    <w:p>
      <w:pPr>
        <w:pStyle w:val="BodyText"/>
        <w:tabs>
          <w:tab w:pos="8770" w:val="left" w:leader="none"/>
        </w:tabs>
        <w:spacing w:line="285" w:lineRule="auto" w:before="7"/>
        <w:ind w:right="105"/>
        <w:jc w:val="left"/>
      </w:pPr>
      <w:r>
        <w:rPr>
          <w:spacing w:val="-2"/>
        </w:rPr>
        <w:t>《投资决策管理制度》、《内部审计制度》、《财务管理制度》等一系列规范治理的文件制度。公司股东</w:t>
      </w:r>
      <w:r>
        <w:rPr>
          <w:spacing w:val="-49"/>
        </w:rPr>
        <w:t> </w:t>
      </w:r>
      <w:r>
        <w:rPr>
          <w:spacing w:val="-49"/>
        </w:rPr>
      </w:r>
      <w:r>
        <w:rPr>
          <w:spacing w:val="-5"/>
        </w:rPr>
        <w:t>大会、董事会、监事会和经营管理层责权分明、各司其职、有效制衡、科学决策、协调运营，为公司持续、</w:t>
      </w:r>
      <w:r>
        <w:rPr>
          <w:spacing w:val="-9"/>
        </w:rPr>
        <w:t> </w:t>
      </w:r>
      <w:r>
        <w:rPr>
          <w:spacing w:val="-9"/>
        </w:rPr>
      </w:r>
      <w:r>
        <w:rPr/>
        <w:t>稳定、健康发展奠定了坚实的基础。</w:t>
      </w:r>
      <w:r>
        <w:rPr>
          <w:w w:val="100"/>
        </w:rPr>
        <w:t> </w:t>
      </w:r>
      <w:r>
        <w:rPr>
          <w:spacing w:val="-2"/>
        </w:rPr>
        <w:t>公司治理的实际状况与中国证监会发布的有关上市公司治理的规范性文件是否存在重大差异</w:t>
        <w:tab/>
      </w: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否</w:t>
      </w:r>
      <w:r>
        <w:rPr>
          <w:w w:val="100"/>
        </w:rPr>
        <w:t> </w:t>
      </w:r>
      <w:r>
        <w:rPr/>
        <w:t>公司治理的实际状况与中国证监会发布的有关上市公司治理的规范性文件不存在重大差异。</w:t>
      </w:r>
    </w:p>
    <w:p>
      <w:pPr>
        <w:spacing w:line="240" w:lineRule="auto" w:before="10"/>
        <w:rPr>
          <w:rFonts w:ascii="宋体" w:hAnsi="宋体" w:cs="宋体" w:eastAsia="宋体" w:hint="default"/>
          <w:sz w:val="20"/>
          <w:szCs w:val="20"/>
        </w:rPr>
      </w:pPr>
    </w:p>
    <w:p>
      <w:pPr>
        <w:pStyle w:val="Heading2"/>
        <w:spacing w:line="240" w:lineRule="auto"/>
        <w:ind w:right="105"/>
        <w:jc w:val="left"/>
        <w:rPr>
          <w:b w:val="0"/>
          <w:bCs w:val="0"/>
        </w:rPr>
      </w:pPr>
      <w:r>
        <w:rPr/>
        <w:t>二、公司相对于控股股东在业务、人员、资产、机构、财务等方面的独立情况</w:t>
      </w:r>
      <w:r>
        <w:rPr>
          <w:b w:val="0"/>
          <w:bCs w:val="0"/>
        </w:rPr>
      </w:r>
    </w:p>
    <w:p>
      <w:pPr>
        <w:spacing w:line="240" w:lineRule="auto" w:before="12"/>
        <w:rPr>
          <w:rFonts w:ascii="宋体" w:hAnsi="宋体" w:cs="宋体" w:eastAsia="宋体" w:hint="default"/>
          <w:b/>
          <w:bCs/>
          <w:sz w:val="24"/>
          <w:szCs w:val="24"/>
        </w:rPr>
      </w:pPr>
    </w:p>
    <w:p>
      <w:pPr>
        <w:pStyle w:val="BodyText"/>
        <w:spacing w:line="273" w:lineRule="auto"/>
        <w:ind w:right="105" w:firstLine="420"/>
        <w:jc w:val="left"/>
      </w:pPr>
      <w:r>
        <w:rPr>
          <w:rFonts w:ascii="宋体" w:hAnsi="宋体" w:cs="宋体" w:eastAsia="宋体" w:hint="default"/>
          <w:spacing w:val="-2"/>
        </w:rPr>
        <w:t>1</w:t>
      </w:r>
      <w:r>
        <w:rPr>
          <w:spacing w:val="-2"/>
        </w:rPr>
        <w:t>、业务独立情况。本公司具有独立、完整的业务流程及自主经营能力，有关业务决策按照《公司章</w:t>
      </w:r>
      <w:r>
        <w:rPr>
          <w:w w:val="100"/>
        </w:rPr>
        <w:t> </w:t>
      </w:r>
      <w:r>
        <w:rPr/>
        <w:t>程》等规定作出，独立于控股股东及其控制的其他企业。</w:t>
      </w:r>
    </w:p>
    <w:p>
      <w:pPr>
        <w:pStyle w:val="BodyText"/>
        <w:spacing w:line="273" w:lineRule="auto" w:before="7"/>
        <w:ind w:right="105" w:firstLine="420"/>
        <w:jc w:val="left"/>
      </w:pPr>
      <w:r>
        <w:rPr>
          <w:rFonts w:ascii="宋体" w:hAnsi="宋体" w:cs="宋体" w:eastAsia="宋体" w:hint="default"/>
        </w:rPr>
        <w:t>2</w:t>
      </w:r>
      <w:r>
        <w:rPr/>
        <w:t>、人员独立情况。公司董事、监事、高级管理人员均严格按照《公司法》、《公司章程》的有关规</w:t>
      </w:r>
      <w:r>
        <w:rPr>
          <w:w w:val="100"/>
        </w:rPr>
        <w:t> </w:t>
      </w:r>
      <w:r>
        <w:rPr>
          <w:spacing w:val="-2"/>
        </w:rPr>
        <w:t>定选举，存在在控股股东干预公司董事会和股东大会作出人事任免决定的情况。公司总经理、副总经理、</w:t>
      </w:r>
      <w:r>
        <w:rPr>
          <w:spacing w:val="-21"/>
        </w:rPr>
        <w:t> </w:t>
      </w:r>
      <w:r>
        <w:rPr>
          <w:spacing w:val="-21"/>
        </w:rPr>
      </w:r>
      <w:r>
        <w:rPr>
          <w:spacing w:val="-2"/>
        </w:rPr>
        <w:t>财务负责人、董事会秘书等高级管理人员不在控股股东及其控制的其它单位担任除董事、监事以外的其它</w:t>
      </w:r>
      <w:r>
        <w:rPr>
          <w:spacing w:val="-44"/>
        </w:rPr>
        <w:t> </w:t>
      </w:r>
      <w:r>
        <w:rPr>
          <w:spacing w:val="-44"/>
        </w:rPr>
      </w:r>
      <w:r>
        <w:rPr/>
        <w:t>职务。公司财务人员不在控股股东及其控制的其它企业兼职。</w:t>
      </w:r>
    </w:p>
    <w:p>
      <w:pPr>
        <w:pStyle w:val="BodyText"/>
        <w:spacing w:line="273" w:lineRule="auto" w:before="7"/>
        <w:ind w:right="105" w:firstLine="420"/>
        <w:jc w:val="left"/>
      </w:pPr>
      <w:r>
        <w:rPr>
          <w:rFonts w:ascii="宋体" w:hAnsi="宋体" w:cs="宋体" w:eastAsia="宋体" w:hint="default"/>
          <w:spacing w:val="-2"/>
        </w:rPr>
        <w:t>3</w:t>
      </w:r>
      <w:r>
        <w:rPr>
          <w:spacing w:val="-2"/>
        </w:rPr>
        <w:t>、资产完整情况。公司合法拥有与生产经营有关的资产，公司资产独立于控股股东及其控制的其它</w:t>
      </w:r>
      <w:r>
        <w:rPr>
          <w:w w:val="100"/>
        </w:rPr>
        <w:t> </w:t>
      </w:r>
      <w:r>
        <w:rPr/>
        <w:t>企业。</w:t>
      </w:r>
    </w:p>
    <w:p>
      <w:pPr>
        <w:pStyle w:val="BodyText"/>
        <w:spacing w:line="273" w:lineRule="auto" w:before="7"/>
        <w:ind w:right="105" w:firstLine="420"/>
        <w:jc w:val="left"/>
      </w:pPr>
      <w:r>
        <w:rPr>
          <w:rFonts w:ascii="宋体" w:hAnsi="宋体" w:cs="宋体" w:eastAsia="宋体" w:hint="default"/>
        </w:rPr>
        <w:t>4</w:t>
      </w:r>
      <w:r>
        <w:rPr/>
        <w:t>、机构独立情况。公司拥有独立的法人治理结构，经营机构完整、独立，法人治理结构健全。公司</w:t>
      </w:r>
      <w:r>
        <w:rPr>
          <w:w w:val="100"/>
        </w:rPr>
        <w:t> </w:t>
      </w:r>
      <w:r>
        <w:rPr>
          <w:spacing w:val="-2"/>
        </w:rPr>
        <w:t>在劳动用工、薪酬分配、人事制度、经营管理等方面与控股股东及其控制的其他企业之间不存在交叉和上</w:t>
      </w:r>
      <w:r>
        <w:rPr>
          <w:spacing w:val="-43"/>
        </w:rPr>
        <w:t> </w:t>
      </w:r>
      <w:r>
        <w:rPr>
          <w:spacing w:val="-43"/>
        </w:rPr>
      </w:r>
      <w:r>
        <w:rPr>
          <w:spacing w:val="-2"/>
        </w:rPr>
        <w:t>下级关系。公司具有完全独立的办公机构与生产经营场所，不存在与控股股东及其控制的其他企业混合经</w:t>
      </w:r>
      <w:r>
        <w:rPr>
          <w:spacing w:val="-43"/>
        </w:rPr>
        <w:t> </w:t>
      </w:r>
      <w:r>
        <w:rPr>
          <w:spacing w:val="-43"/>
        </w:rPr>
      </w:r>
      <w:r>
        <w:rPr/>
        <w:t>营、合署办公的情形。</w:t>
      </w:r>
    </w:p>
    <w:p>
      <w:pPr>
        <w:pStyle w:val="BodyText"/>
        <w:spacing w:line="273" w:lineRule="auto" w:before="8"/>
        <w:ind w:right="105" w:firstLine="420"/>
        <w:jc w:val="left"/>
      </w:pPr>
      <w:r>
        <w:rPr>
          <w:rFonts w:ascii="宋体" w:hAnsi="宋体" w:cs="宋体" w:eastAsia="宋体" w:hint="default"/>
        </w:rPr>
        <w:t>5</w:t>
      </w:r>
      <w:r>
        <w:rPr/>
        <w:t>、财务独立情况。公司建立了独立的财务部门，配备了专门的财务人员，建立了独立的会计核算体</w:t>
      </w:r>
      <w:r>
        <w:rPr>
          <w:w w:val="100"/>
        </w:rPr>
        <w:t> </w:t>
      </w:r>
      <w:r>
        <w:rPr>
          <w:spacing w:val="-2"/>
        </w:rPr>
        <w:t>系和财务管理制度等内控制度，能够独立作出财务决策；公司开立了独立的银行账户，并依法独立履行纳</w:t>
      </w:r>
      <w:r>
        <w:rPr>
          <w:spacing w:val="-45"/>
        </w:rPr>
        <w:t> </w:t>
      </w:r>
      <w:r>
        <w:rPr>
          <w:spacing w:val="-45"/>
        </w:rPr>
      </w:r>
      <w:r>
        <w:rPr/>
        <w:t>税义务。公司拥有财务独立性。</w:t>
      </w:r>
    </w:p>
    <w:p>
      <w:pPr>
        <w:spacing w:line="240" w:lineRule="auto" w:before="8"/>
        <w:rPr>
          <w:rFonts w:ascii="宋体" w:hAnsi="宋体" w:cs="宋体" w:eastAsia="宋体" w:hint="default"/>
          <w:sz w:val="21"/>
          <w:szCs w:val="21"/>
        </w:rPr>
      </w:pPr>
    </w:p>
    <w:p>
      <w:pPr>
        <w:tabs>
          <w:tab w:pos="8103" w:val="left" w:leader="none"/>
        </w:tabs>
        <w:spacing w:before="0"/>
        <w:ind w:left="152" w:right="105" w:firstLine="0"/>
        <w:jc w:val="left"/>
        <w:rPr>
          <w:rFonts w:ascii="宋体" w:hAnsi="宋体" w:cs="宋体" w:eastAsia="宋体" w:hint="default"/>
          <w:sz w:val="21"/>
          <w:szCs w:val="21"/>
        </w:rPr>
      </w:pPr>
      <w:r>
        <w:rPr>
          <w:rFonts w:ascii="宋体" w:hAnsi="宋体" w:cs="宋体" w:eastAsia="宋体" w:hint="default"/>
          <w:b/>
          <w:bCs/>
          <w:w w:val="95"/>
          <w:sz w:val="24"/>
          <w:szCs w:val="24"/>
        </w:rPr>
        <w:t>三、同业竞争情况</w:t>
        <w:tab/>
      </w: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不适用</w:t>
      </w:r>
    </w:p>
    <w:p>
      <w:pPr>
        <w:spacing w:after="0"/>
        <w:jc w:val="left"/>
        <w:rPr>
          <w:rFonts w:ascii="宋体" w:hAnsi="宋体" w:cs="宋体" w:eastAsia="宋体" w:hint="default"/>
          <w:sz w:val="21"/>
          <w:szCs w:val="21"/>
        </w:rPr>
        <w:sectPr>
          <w:pgSz w:w="11910" w:h="16840"/>
          <w:pgMar w:header="877" w:footer="979" w:top="1060" w:bottom="1160" w:left="980" w:right="92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四、报告期内召开的年度股东大会和临时股东大会的有关情况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702"/>
        <w:gridCol w:w="1489"/>
        <w:gridCol w:w="1594"/>
        <w:gridCol w:w="1172"/>
        <w:gridCol w:w="1277"/>
        <w:gridCol w:w="2336"/>
      </w:tblGrid>
      <w:tr>
        <w:trPr>
          <w:trHeight w:val="403"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25"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1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19" w:right="0"/>
              <w:jc w:val="left"/>
              <w:rPr>
                <w:rFonts w:ascii="宋体" w:hAnsi="宋体" w:cs="宋体" w:eastAsia="宋体" w:hint="default"/>
                <w:sz w:val="21"/>
                <w:szCs w:val="21"/>
              </w:rPr>
            </w:pPr>
            <w:r>
              <w:rPr>
                <w:rFonts w:ascii="宋体" w:hAnsi="宋体" w:cs="宋体" w:eastAsia="宋体" w:hint="default"/>
                <w:sz w:val="21"/>
                <w:szCs w:val="21"/>
              </w:rPr>
              <w:t>会议类型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50"/>
              <w:jc w:val="right"/>
              <w:rPr>
                <w:rFonts w:ascii="宋体" w:hAnsi="宋体" w:cs="宋体" w:eastAsia="宋体" w:hint="default"/>
                <w:sz w:val="21"/>
                <w:szCs w:val="21"/>
              </w:rPr>
            </w:pPr>
            <w:r>
              <w:rPr>
                <w:rFonts w:ascii="宋体" w:hAnsi="宋体" w:cs="宋体" w:eastAsia="宋体" w:hint="default"/>
                <w:spacing w:val="-1"/>
                <w:sz w:val="21"/>
                <w:szCs w:val="21"/>
              </w:rPr>
              <w:t>投资者参与比例</w:t>
            </w:r>
          </w:p>
        </w:tc>
        <w:tc>
          <w:tcPr>
            <w:tcW w:w="1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61"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13" w:right="0"/>
              <w:jc w:val="left"/>
              <w:rPr>
                <w:rFonts w:ascii="宋体" w:hAnsi="宋体" w:cs="宋体" w:eastAsia="宋体" w:hint="default"/>
                <w:sz w:val="21"/>
                <w:szCs w:val="21"/>
              </w:rPr>
            </w:pPr>
            <w:r>
              <w:rPr>
                <w:rFonts w:ascii="宋体" w:hAnsi="宋体" w:cs="宋体" w:eastAsia="宋体" w:hint="default"/>
                <w:sz w:val="21"/>
                <w:szCs w:val="21"/>
              </w:rPr>
              <w:t>披露日期</w:t>
            </w:r>
          </w:p>
        </w:tc>
        <w:tc>
          <w:tcPr>
            <w:tcW w:w="2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44" w:right="0"/>
              <w:jc w:val="left"/>
              <w:rPr>
                <w:rFonts w:ascii="宋体" w:hAnsi="宋体" w:cs="宋体" w:eastAsia="宋体" w:hint="default"/>
                <w:sz w:val="21"/>
                <w:szCs w:val="21"/>
              </w:rPr>
            </w:pPr>
            <w:r>
              <w:rPr>
                <w:rFonts w:ascii="宋体" w:hAnsi="宋体" w:cs="宋体" w:eastAsia="宋体" w:hint="default"/>
                <w:sz w:val="21"/>
                <w:szCs w:val="21"/>
              </w:rPr>
              <w:t>披露索引</w:t>
            </w:r>
          </w:p>
        </w:tc>
      </w:tr>
      <w:tr>
        <w:trPr>
          <w:trHeight w:val="71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8"/>
              <w:ind w:left="24" w:right="141"/>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年年度股东</w:t>
            </w:r>
            <w:r>
              <w:rPr>
                <w:rFonts w:ascii="宋体" w:hAnsi="宋体" w:cs="宋体" w:eastAsia="宋体" w:hint="default"/>
                <w:w w:val="100"/>
                <w:sz w:val="21"/>
                <w:szCs w:val="21"/>
              </w:rPr>
              <w:t> </w:t>
            </w:r>
            <w:r>
              <w:rPr>
                <w:rFonts w:ascii="宋体" w:hAnsi="宋体" w:cs="宋体" w:eastAsia="宋体" w:hint="default"/>
                <w:sz w:val="21"/>
                <w:szCs w:val="21"/>
              </w:rPr>
              <w:t>大会</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63.05%</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05</w:t>
            </w:r>
          </w:p>
          <w:p>
            <w:pPr>
              <w:pStyle w:val="TableParagraph"/>
              <w:spacing w:line="240" w:lineRule="auto" w:before="19"/>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p>
            <w:pPr>
              <w:pStyle w:val="TableParagraph"/>
              <w:spacing w:line="240" w:lineRule="auto" w:before="19"/>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24" w:right="17"/>
              <w:jc w:val="left"/>
              <w:rPr>
                <w:rFonts w:ascii="宋体" w:hAnsi="宋体" w:cs="宋体" w:eastAsia="宋体" w:hint="default"/>
                <w:sz w:val="21"/>
                <w:szCs w:val="21"/>
              </w:rPr>
            </w:pPr>
            <w:r>
              <w:rPr>
                <w:rFonts w:ascii="宋体" w:hAnsi="宋体" w:cs="宋体" w:eastAsia="宋体" w:hint="default"/>
                <w:spacing w:val="-4"/>
                <w:sz w:val="21"/>
                <w:szCs w:val="21"/>
              </w:rPr>
              <w:t>于巨潮资讯网披露（公告</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编号：</w:t>
            </w:r>
            <w:r>
              <w:rPr>
                <w:rFonts w:ascii="Times New Roman" w:hAnsi="Times New Roman" w:cs="Times New Roman" w:eastAsia="Times New Roman" w:hint="default"/>
                <w:sz w:val="21"/>
                <w:szCs w:val="21"/>
              </w:rPr>
              <w:t>2015-030</w:t>
            </w:r>
            <w:r>
              <w:rPr>
                <w:rFonts w:ascii="宋体" w:hAnsi="宋体" w:cs="宋体" w:eastAsia="宋体" w:hint="default"/>
                <w:sz w:val="21"/>
                <w:szCs w:val="21"/>
              </w:rPr>
              <w:t>）</w:t>
            </w:r>
          </w:p>
        </w:tc>
      </w:tr>
      <w:tr>
        <w:trPr>
          <w:trHeight w:val="71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8"/>
              <w:ind w:left="24" w:right="141"/>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年第一次临</w:t>
            </w:r>
            <w:r>
              <w:rPr>
                <w:rFonts w:ascii="宋体" w:hAnsi="宋体" w:cs="宋体" w:eastAsia="宋体" w:hint="default"/>
                <w:w w:val="100"/>
                <w:sz w:val="21"/>
                <w:szCs w:val="21"/>
              </w:rPr>
              <w:t> </w:t>
            </w:r>
            <w:r>
              <w:rPr>
                <w:rFonts w:ascii="宋体" w:hAnsi="宋体" w:cs="宋体" w:eastAsia="宋体" w:hint="default"/>
                <w:sz w:val="21"/>
                <w:szCs w:val="21"/>
              </w:rPr>
              <w:t>时股东大会</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60.30%</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07</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p>
            <w:pPr>
              <w:pStyle w:val="TableParagraph"/>
              <w:spacing w:line="240" w:lineRule="auto" w:before="21"/>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7"/>
              <w:jc w:val="left"/>
              <w:rPr>
                <w:rFonts w:ascii="宋体" w:hAnsi="宋体" w:cs="宋体" w:eastAsia="宋体" w:hint="default"/>
                <w:sz w:val="21"/>
                <w:szCs w:val="21"/>
              </w:rPr>
            </w:pPr>
            <w:r>
              <w:rPr>
                <w:rFonts w:ascii="宋体" w:hAnsi="宋体" w:cs="宋体" w:eastAsia="宋体" w:hint="default"/>
                <w:spacing w:val="-4"/>
                <w:sz w:val="21"/>
                <w:szCs w:val="21"/>
              </w:rPr>
              <w:t>于巨潮资讯网披露（公告</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编号：</w:t>
            </w:r>
            <w:r>
              <w:rPr>
                <w:rFonts w:ascii="Times New Roman" w:hAnsi="Times New Roman" w:cs="Times New Roman" w:eastAsia="Times New Roman" w:hint="default"/>
                <w:sz w:val="21"/>
                <w:szCs w:val="21"/>
              </w:rPr>
              <w:t>2015-044</w:t>
            </w:r>
            <w:r>
              <w:rPr>
                <w:rFonts w:ascii="宋体" w:hAnsi="宋体" w:cs="宋体" w:eastAsia="宋体" w:hint="default"/>
                <w:sz w:val="21"/>
                <w:szCs w:val="21"/>
              </w:rPr>
              <w:t>）</w:t>
            </w:r>
          </w:p>
        </w:tc>
      </w:tr>
      <w:tr>
        <w:trPr>
          <w:trHeight w:val="71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8"/>
              <w:ind w:left="24" w:right="141"/>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年第二次临</w:t>
            </w:r>
            <w:r>
              <w:rPr>
                <w:rFonts w:ascii="宋体" w:hAnsi="宋体" w:cs="宋体" w:eastAsia="宋体" w:hint="default"/>
                <w:w w:val="100"/>
                <w:sz w:val="21"/>
                <w:szCs w:val="21"/>
              </w:rPr>
              <w:t> </w:t>
            </w:r>
            <w:r>
              <w:rPr>
                <w:rFonts w:ascii="宋体" w:hAnsi="宋体" w:cs="宋体" w:eastAsia="宋体" w:hint="default"/>
                <w:sz w:val="21"/>
                <w:szCs w:val="21"/>
              </w:rPr>
              <w:t>时股东大会</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63.78%</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pacing w:val="-8"/>
                <w:sz w:val="21"/>
                <w:szCs w:val="21"/>
              </w:rPr>
              <w:t>11</w:t>
            </w:r>
            <w:r>
              <w:rPr>
                <w:rFonts w:ascii="Times New Roman" w:hAnsi="Times New Roman" w:cs="Times New Roman" w:eastAsia="Times New Roman" w:hint="default"/>
                <w:sz w:val="21"/>
                <w:szCs w:val="21"/>
              </w:rPr>
            </w:r>
          </w:p>
          <w:p>
            <w:pPr>
              <w:pStyle w:val="TableParagraph"/>
              <w:spacing w:line="240" w:lineRule="auto" w:before="19"/>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p>
            <w:pPr>
              <w:pStyle w:val="TableParagraph"/>
              <w:spacing w:line="240" w:lineRule="auto" w:before="19"/>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24" w:right="17"/>
              <w:jc w:val="left"/>
              <w:rPr>
                <w:rFonts w:ascii="宋体" w:hAnsi="宋体" w:cs="宋体" w:eastAsia="宋体" w:hint="default"/>
                <w:sz w:val="21"/>
                <w:szCs w:val="21"/>
              </w:rPr>
            </w:pPr>
            <w:r>
              <w:rPr>
                <w:rFonts w:ascii="宋体" w:hAnsi="宋体" w:cs="宋体" w:eastAsia="宋体" w:hint="default"/>
                <w:spacing w:val="-4"/>
                <w:sz w:val="21"/>
                <w:szCs w:val="21"/>
              </w:rPr>
              <w:t>于巨潮资讯网披露（公告</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编号：</w:t>
            </w:r>
            <w:r>
              <w:rPr>
                <w:rFonts w:ascii="Times New Roman" w:hAnsi="Times New Roman" w:cs="Times New Roman" w:eastAsia="Times New Roman" w:hint="default"/>
                <w:sz w:val="21"/>
                <w:szCs w:val="21"/>
              </w:rPr>
              <w:t>2015-083</w:t>
            </w:r>
            <w:r>
              <w:rPr>
                <w:rFonts w:ascii="宋体" w:hAnsi="宋体" w:cs="宋体" w:eastAsia="宋体" w:hint="default"/>
                <w:sz w:val="21"/>
                <w:szCs w:val="21"/>
              </w:rPr>
              <w:t>）</w:t>
            </w:r>
          </w:p>
        </w:tc>
      </w:tr>
      <w:tr>
        <w:trPr>
          <w:trHeight w:val="71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8"/>
              <w:ind w:left="24" w:right="141"/>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年第三次临</w:t>
            </w:r>
            <w:r>
              <w:rPr>
                <w:rFonts w:ascii="宋体" w:hAnsi="宋体" w:cs="宋体" w:eastAsia="宋体" w:hint="default"/>
                <w:w w:val="100"/>
                <w:sz w:val="21"/>
                <w:szCs w:val="21"/>
              </w:rPr>
              <w:t> </w:t>
            </w:r>
            <w:r>
              <w:rPr>
                <w:rFonts w:ascii="宋体" w:hAnsi="宋体" w:cs="宋体" w:eastAsia="宋体" w:hint="default"/>
                <w:sz w:val="21"/>
                <w:szCs w:val="21"/>
              </w:rPr>
              <w:t>时股东大会</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40.21%</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p>
            <w:pPr>
              <w:pStyle w:val="TableParagraph"/>
              <w:spacing w:line="240" w:lineRule="auto" w:before="21"/>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7"/>
              <w:jc w:val="left"/>
              <w:rPr>
                <w:rFonts w:ascii="宋体" w:hAnsi="宋体" w:cs="宋体" w:eastAsia="宋体" w:hint="default"/>
                <w:sz w:val="21"/>
                <w:szCs w:val="21"/>
              </w:rPr>
            </w:pPr>
            <w:r>
              <w:rPr>
                <w:rFonts w:ascii="宋体" w:hAnsi="宋体" w:cs="宋体" w:eastAsia="宋体" w:hint="default"/>
                <w:spacing w:val="-4"/>
                <w:sz w:val="21"/>
                <w:szCs w:val="21"/>
              </w:rPr>
              <w:t>于巨潮资讯网披露（公告</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编号：</w:t>
            </w:r>
            <w:r>
              <w:rPr>
                <w:rFonts w:ascii="Times New Roman" w:hAnsi="Times New Roman" w:cs="Times New Roman" w:eastAsia="Times New Roman" w:hint="default"/>
                <w:sz w:val="21"/>
                <w:szCs w:val="21"/>
              </w:rPr>
              <w:t>2015-087</w:t>
            </w:r>
            <w:r>
              <w:rPr>
                <w:rFonts w:ascii="宋体" w:hAnsi="宋体" w:cs="宋体" w:eastAsia="宋体" w:hint="default"/>
                <w:sz w:val="21"/>
                <w:szCs w:val="21"/>
              </w:rPr>
              <w:t>）</w:t>
            </w:r>
          </w:p>
        </w:tc>
      </w:tr>
    </w:tbl>
    <w:p>
      <w:pPr>
        <w:spacing w:line="240" w:lineRule="auto" w:before="3"/>
        <w:rPr>
          <w:rFonts w:ascii="宋体" w:hAnsi="宋体" w:cs="宋体" w:eastAsia="宋体" w:hint="default"/>
          <w:b/>
          <w:bCs/>
          <w:sz w:val="19"/>
          <w:szCs w:val="19"/>
        </w:rPr>
      </w:pPr>
    </w:p>
    <w:p>
      <w:pPr>
        <w:tabs>
          <w:tab w:pos="8165" w:val="left" w:leader="none"/>
        </w:tabs>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2</w:t>
      </w:r>
      <w:r>
        <w:rPr>
          <w:rFonts w:ascii="宋体" w:hAnsi="宋体" w:cs="宋体" w:eastAsia="宋体" w:hint="default"/>
          <w:b/>
          <w:bCs/>
          <w:spacing w:val="-1"/>
          <w:sz w:val="21"/>
          <w:szCs w:val="21"/>
        </w:rPr>
        <w:t>、表决权恢复的优先股股东请求召开临时股东大会</w:t>
        <w:tab/>
      </w:r>
      <w:r>
        <w:rPr>
          <w:rFonts w:ascii="Times New Roman" w:hAnsi="Times New Roman" w:cs="Times New Roman" w:eastAsia="Times New Roman" w:hint="default"/>
          <w:sz w:val="21"/>
          <w:szCs w:val="21"/>
        </w:rPr>
        <w:t>□  </w:t>
      </w:r>
      <w:r>
        <w:rPr>
          <w:rFonts w:ascii="宋体" w:hAnsi="宋体" w:cs="宋体" w:eastAsia="宋体" w:hint="default"/>
          <w:spacing w:val="-2"/>
          <w:sz w:val="21"/>
          <w:szCs w:val="21"/>
        </w:rPr>
        <w:t>适用</w:t>
      </w:r>
      <w:r>
        <w:rPr>
          <w:rFonts w:ascii="宋体" w:hAnsi="宋体" w:cs="宋体" w:eastAsia="宋体" w:hint="default"/>
          <w:sz w:val="21"/>
          <w:szCs w:val="21"/>
        </w:rPr>
        <w:t>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5"/>
          <w:sz w:val="21"/>
          <w:szCs w:val="21"/>
        </w:rPr>
        <w:t> </w:t>
      </w:r>
      <w:r>
        <w:rPr>
          <w:rFonts w:ascii="宋体" w:hAnsi="宋体" w:cs="宋体" w:eastAsia="宋体" w:hint="default"/>
          <w:spacing w:val="-1"/>
          <w:sz w:val="21"/>
          <w:szCs w:val="21"/>
        </w:rPr>
        <w:t>不适用</w:t>
      </w:r>
    </w:p>
    <w:p>
      <w:pPr>
        <w:spacing w:line="240" w:lineRule="auto" w:before="8"/>
        <w:rPr>
          <w:rFonts w:ascii="宋体" w:hAnsi="宋体" w:cs="宋体" w:eastAsia="宋体" w:hint="default"/>
          <w:sz w:val="22"/>
          <w:szCs w:val="22"/>
        </w:rPr>
      </w:pPr>
    </w:p>
    <w:p>
      <w:pPr>
        <w:pStyle w:val="Heading2"/>
        <w:spacing w:line="240" w:lineRule="auto"/>
        <w:ind w:right="0"/>
        <w:jc w:val="left"/>
        <w:rPr>
          <w:b w:val="0"/>
          <w:bCs w:val="0"/>
        </w:rPr>
      </w:pPr>
      <w:r>
        <w:rPr/>
        <w:t>五、报告期内独立董事履行职责的情况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8"/>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625"/>
        <w:gridCol w:w="1323"/>
        <w:gridCol w:w="1325"/>
        <w:gridCol w:w="1325"/>
        <w:gridCol w:w="1322"/>
        <w:gridCol w:w="1021"/>
        <w:gridCol w:w="1630"/>
      </w:tblGrid>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 w:right="0"/>
              <w:jc w:val="center"/>
              <w:rPr>
                <w:rFonts w:ascii="宋体" w:hAnsi="宋体" w:cs="宋体" w:eastAsia="宋体" w:hint="default"/>
                <w:sz w:val="21"/>
                <w:szCs w:val="21"/>
              </w:rPr>
            </w:pPr>
            <w:r>
              <w:rPr>
                <w:rFonts w:ascii="宋体" w:hAnsi="宋体" w:cs="宋体" w:eastAsia="宋体" w:hint="default"/>
                <w:sz w:val="21"/>
                <w:szCs w:val="21"/>
              </w:rPr>
              <w:t>独立董事出席董事会情况</w:t>
            </w:r>
          </w:p>
        </w:tc>
      </w:tr>
      <w:tr>
        <w:trPr>
          <w:trHeight w:val="713" w:hRule="exact"/>
        </w:trPr>
        <w:tc>
          <w:tcPr>
            <w:tcW w:w="1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left="178" w:right="0"/>
              <w:jc w:val="left"/>
              <w:rPr>
                <w:rFonts w:ascii="宋体" w:hAnsi="宋体" w:cs="宋体" w:eastAsia="宋体" w:hint="default"/>
                <w:sz w:val="21"/>
                <w:szCs w:val="21"/>
              </w:rPr>
            </w:pPr>
            <w:r>
              <w:rPr>
                <w:rFonts w:ascii="宋体" w:hAnsi="宋体" w:cs="宋体" w:eastAsia="宋体" w:hint="default"/>
                <w:sz w:val="21"/>
                <w:szCs w:val="21"/>
              </w:rPr>
              <w:t>独立董事姓名</w:t>
            </w:r>
          </w:p>
        </w:tc>
        <w:tc>
          <w:tcPr>
            <w:tcW w:w="1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6" w:right="23"/>
              <w:jc w:val="left"/>
              <w:rPr>
                <w:rFonts w:ascii="宋体" w:hAnsi="宋体" w:cs="宋体" w:eastAsia="宋体" w:hint="default"/>
                <w:sz w:val="21"/>
                <w:szCs w:val="21"/>
              </w:rPr>
            </w:pPr>
            <w:r>
              <w:rPr>
                <w:rFonts w:ascii="宋体" w:hAnsi="宋体" w:cs="宋体" w:eastAsia="宋体" w:hint="default"/>
                <w:sz w:val="21"/>
                <w:szCs w:val="21"/>
              </w:rPr>
              <w:t>本报告期应参</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加董事会次数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24"/>
              <w:jc w:val="right"/>
              <w:rPr>
                <w:rFonts w:ascii="宋体" w:hAnsi="宋体" w:cs="宋体" w:eastAsia="宋体" w:hint="default"/>
                <w:sz w:val="21"/>
                <w:szCs w:val="21"/>
              </w:rPr>
            </w:pPr>
            <w:r>
              <w:rPr>
                <w:rFonts w:ascii="宋体" w:hAnsi="宋体" w:cs="宋体" w:eastAsia="宋体" w:hint="default"/>
                <w:spacing w:val="-1"/>
                <w:sz w:val="21"/>
                <w:szCs w:val="21"/>
              </w:rPr>
              <w:t>现场出席次数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340" w:right="24" w:hanging="315"/>
              <w:jc w:val="left"/>
              <w:rPr>
                <w:rFonts w:ascii="宋体" w:hAnsi="宋体" w:cs="宋体" w:eastAsia="宋体" w:hint="default"/>
                <w:sz w:val="21"/>
                <w:szCs w:val="21"/>
              </w:rPr>
            </w:pPr>
            <w:r>
              <w:rPr>
                <w:rFonts w:ascii="宋体" w:hAnsi="宋体" w:cs="宋体" w:eastAsia="宋体" w:hint="default"/>
                <w:sz w:val="21"/>
                <w:szCs w:val="21"/>
              </w:rPr>
              <w:t>以通讯方式参</w:t>
            </w:r>
            <w:r>
              <w:rPr>
                <w:rFonts w:ascii="宋体" w:hAnsi="宋体" w:cs="宋体" w:eastAsia="宋体" w:hint="default"/>
                <w:w w:val="100"/>
                <w:sz w:val="21"/>
                <w:szCs w:val="21"/>
              </w:rPr>
              <w:t> </w:t>
            </w:r>
            <w:r>
              <w:rPr>
                <w:rFonts w:ascii="宋体" w:hAnsi="宋体" w:cs="宋体" w:eastAsia="宋体" w:hint="default"/>
                <w:sz w:val="21"/>
                <w:szCs w:val="21"/>
              </w:rPr>
              <w:t>加次数</w:t>
            </w:r>
          </w:p>
        </w:tc>
        <w:tc>
          <w:tcPr>
            <w:tcW w:w="1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21"/>
              <w:jc w:val="right"/>
              <w:rPr>
                <w:rFonts w:ascii="宋体" w:hAnsi="宋体" w:cs="宋体" w:eastAsia="宋体" w:hint="default"/>
                <w:sz w:val="21"/>
                <w:szCs w:val="21"/>
              </w:rPr>
            </w:pPr>
            <w:r>
              <w:rPr>
                <w:rFonts w:ascii="宋体" w:hAnsi="宋体" w:cs="宋体" w:eastAsia="宋体" w:hint="default"/>
                <w:spacing w:val="-1"/>
                <w:sz w:val="21"/>
                <w:szCs w:val="21"/>
              </w:rPr>
              <w:t>委托出席次数</w:t>
            </w:r>
          </w:p>
        </w:tc>
        <w:tc>
          <w:tcPr>
            <w:tcW w:w="1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left="83" w:right="0"/>
              <w:jc w:val="left"/>
              <w:rPr>
                <w:rFonts w:ascii="宋体" w:hAnsi="宋体" w:cs="宋体" w:eastAsia="宋体" w:hint="default"/>
                <w:sz w:val="21"/>
                <w:szCs w:val="21"/>
              </w:rPr>
            </w:pPr>
            <w:r>
              <w:rPr>
                <w:rFonts w:ascii="宋体" w:hAnsi="宋体" w:cs="宋体" w:eastAsia="宋体" w:hint="default"/>
                <w:sz w:val="21"/>
                <w:szCs w:val="21"/>
              </w:rPr>
              <w:t>缺席次数</w:t>
            </w:r>
          </w:p>
        </w:tc>
        <w:tc>
          <w:tcPr>
            <w:tcW w:w="1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79" w:right="69" w:hanging="106"/>
              <w:jc w:val="left"/>
              <w:rPr>
                <w:rFonts w:ascii="宋体" w:hAnsi="宋体" w:cs="宋体" w:eastAsia="宋体" w:hint="default"/>
                <w:sz w:val="21"/>
                <w:szCs w:val="21"/>
              </w:rPr>
            </w:pPr>
            <w:r>
              <w:rPr>
                <w:rFonts w:ascii="宋体" w:hAnsi="宋体" w:cs="宋体" w:eastAsia="宋体" w:hint="default"/>
                <w:sz w:val="21"/>
                <w:szCs w:val="21"/>
              </w:rPr>
              <w:t>是否连续两次未</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亲自参加会议</w:t>
            </w:r>
          </w:p>
        </w:tc>
      </w:tr>
      <w:tr>
        <w:trPr>
          <w:trHeight w:val="403"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张李平</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z w:val="21"/>
              </w:rPr>
              <w:t>10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3"/>
              <w:jc w:val="right"/>
              <w:rPr>
                <w:rFonts w:ascii="Times New Roman" w:hAnsi="Times New Roman" w:cs="Times New Roman" w:eastAsia="Times New Roman" w:hint="default"/>
                <w:sz w:val="21"/>
                <w:szCs w:val="21"/>
              </w:rPr>
            </w:pPr>
            <w:r>
              <w:rPr>
                <w:rFonts w:ascii="Times New Roman"/>
                <w:w w:val="100"/>
                <w:sz w:val="21"/>
              </w:rPr>
              <w:t>5</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3"/>
              <w:jc w:val="right"/>
              <w:rPr>
                <w:rFonts w:ascii="Times New Roman" w:hAnsi="Times New Roman" w:cs="Times New Roman" w:eastAsia="Times New Roman" w:hint="default"/>
                <w:sz w:val="21"/>
                <w:szCs w:val="21"/>
              </w:rPr>
            </w:pPr>
            <w:r>
              <w:rPr>
                <w:rFonts w:ascii="Times New Roman"/>
                <w:w w:val="100"/>
                <w:sz w:val="21"/>
              </w:rPr>
              <w:t>5</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w w:val="100"/>
                <w:sz w:val="21"/>
              </w:rPr>
              <w:t>0</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3"/>
              <w:jc w:val="right"/>
              <w:rPr>
                <w:rFonts w:ascii="Times New Roman" w:hAnsi="Times New Roman" w:cs="Times New Roman" w:eastAsia="Times New Roman" w:hint="default"/>
                <w:sz w:val="21"/>
                <w:szCs w:val="21"/>
              </w:rPr>
            </w:pPr>
            <w:r>
              <w:rPr>
                <w:rFonts w:ascii="Times New Roman"/>
                <w:w w:val="100"/>
                <w:sz w:val="21"/>
              </w:rPr>
              <w:t>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1"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周春生</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100"/>
                <w:sz w:val="21"/>
              </w:rPr>
              <w:t>5</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Times New Roman" w:hAnsi="Times New Roman" w:cs="Times New Roman" w:eastAsia="Times New Roman" w:hint="default"/>
                <w:sz w:val="21"/>
                <w:szCs w:val="21"/>
              </w:rPr>
            </w:pPr>
            <w:r>
              <w:rPr>
                <w:rFonts w:ascii="Times New Roman"/>
                <w:w w:val="100"/>
                <w:sz w:val="21"/>
              </w:rPr>
              <w:t>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Times New Roman" w:hAnsi="Times New Roman" w:cs="Times New Roman" w:eastAsia="Times New Roman" w:hint="default"/>
                <w:sz w:val="21"/>
                <w:szCs w:val="21"/>
              </w:rPr>
            </w:pPr>
            <w:r>
              <w:rPr>
                <w:rFonts w:ascii="Times New Roman"/>
                <w:w w:val="100"/>
                <w:sz w:val="21"/>
              </w:rPr>
              <w:t>3</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100"/>
                <w:sz w:val="21"/>
              </w:rPr>
              <w:t>1</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Times New Roman" w:hAnsi="Times New Roman" w:cs="Times New Roman" w:eastAsia="Times New Roman" w:hint="default"/>
                <w:sz w:val="21"/>
                <w:szCs w:val="21"/>
              </w:rPr>
            </w:pPr>
            <w:r>
              <w:rPr>
                <w:rFonts w:ascii="Times New Roman"/>
                <w:w w:val="100"/>
                <w:sz w:val="21"/>
              </w:rPr>
              <w:t>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3"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徐强国</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w w:val="100"/>
                <w:sz w:val="21"/>
              </w:rPr>
              <w:t>5</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3"/>
              <w:jc w:val="right"/>
              <w:rPr>
                <w:rFonts w:ascii="Times New Roman" w:hAnsi="Times New Roman" w:cs="Times New Roman" w:eastAsia="Times New Roman" w:hint="default"/>
                <w:sz w:val="21"/>
                <w:szCs w:val="21"/>
              </w:rPr>
            </w:pPr>
            <w:r>
              <w:rPr>
                <w:rFonts w:ascii="Times New Roman"/>
                <w:w w:val="100"/>
                <w:sz w:val="21"/>
              </w:rPr>
              <w:t>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3"/>
              <w:jc w:val="right"/>
              <w:rPr>
                <w:rFonts w:ascii="Times New Roman" w:hAnsi="Times New Roman" w:cs="Times New Roman" w:eastAsia="Times New Roman" w:hint="default"/>
                <w:sz w:val="21"/>
                <w:szCs w:val="21"/>
              </w:rPr>
            </w:pPr>
            <w:r>
              <w:rPr>
                <w:rFonts w:ascii="Times New Roman"/>
                <w:w w:val="100"/>
                <w:sz w:val="21"/>
              </w:rPr>
              <w:t>3</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w w:val="100"/>
                <w:sz w:val="21"/>
              </w:rPr>
              <w:t>0</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3"/>
              <w:jc w:val="right"/>
              <w:rPr>
                <w:rFonts w:ascii="Times New Roman" w:hAnsi="Times New Roman" w:cs="Times New Roman" w:eastAsia="Times New Roman" w:hint="default"/>
                <w:sz w:val="21"/>
                <w:szCs w:val="21"/>
              </w:rPr>
            </w:pPr>
            <w:r>
              <w:rPr>
                <w:rFonts w:ascii="Times New Roman"/>
                <w:w w:val="100"/>
                <w:sz w:val="21"/>
              </w:rPr>
              <w:t>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1"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韩振平</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100"/>
                <w:sz w:val="21"/>
              </w:rPr>
              <w:t>5</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Times New Roman" w:hAnsi="Times New Roman" w:cs="Times New Roman" w:eastAsia="Times New Roman" w:hint="default"/>
                <w:sz w:val="21"/>
                <w:szCs w:val="21"/>
              </w:rPr>
            </w:pPr>
            <w:r>
              <w:rPr>
                <w:rFonts w:ascii="Times New Roman"/>
                <w:w w:val="100"/>
                <w:sz w:val="21"/>
              </w:rPr>
              <w:t>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Times New Roman" w:hAnsi="Times New Roman" w:cs="Times New Roman" w:eastAsia="Times New Roman" w:hint="default"/>
                <w:sz w:val="21"/>
                <w:szCs w:val="21"/>
              </w:rPr>
            </w:pPr>
            <w:r>
              <w:rPr>
                <w:rFonts w:ascii="Times New Roman"/>
                <w:w w:val="100"/>
                <w:sz w:val="21"/>
              </w:rPr>
              <w:t>3</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100"/>
                <w:sz w:val="21"/>
              </w:rPr>
              <w:t>0</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Times New Roman" w:hAnsi="Times New Roman" w:cs="Times New Roman" w:eastAsia="Times New Roman" w:hint="default"/>
                <w:sz w:val="21"/>
                <w:szCs w:val="21"/>
              </w:rPr>
            </w:pPr>
            <w:r>
              <w:rPr>
                <w:rFonts w:ascii="Times New Roman"/>
                <w:w w:val="100"/>
                <w:sz w:val="21"/>
              </w:rPr>
              <w:t>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3"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孙颖楷</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w w:val="100"/>
                <w:sz w:val="21"/>
              </w:rPr>
              <w:t>5</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3"/>
              <w:jc w:val="right"/>
              <w:rPr>
                <w:rFonts w:ascii="Times New Roman" w:hAnsi="Times New Roman" w:cs="Times New Roman" w:eastAsia="Times New Roman" w:hint="default"/>
                <w:sz w:val="21"/>
                <w:szCs w:val="21"/>
              </w:rPr>
            </w:pPr>
            <w:r>
              <w:rPr>
                <w:rFonts w:ascii="Times New Roman"/>
                <w:w w:val="100"/>
                <w:sz w:val="21"/>
              </w:rPr>
              <w:t>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3"/>
              <w:jc w:val="right"/>
              <w:rPr>
                <w:rFonts w:ascii="Times New Roman" w:hAnsi="Times New Roman" w:cs="Times New Roman" w:eastAsia="Times New Roman" w:hint="default"/>
                <w:sz w:val="21"/>
                <w:szCs w:val="21"/>
              </w:rPr>
            </w:pPr>
            <w:r>
              <w:rPr>
                <w:rFonts w:ascii="Times New Roman"/>
                <w:w w:val="100"/>
                <w:sz w:val="21"/>
              </w:rPr>
              <w:t>2</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w w:val="100"/>
                <w:sz w:val="21"/>
              </w:rPr>
              <w:t>0</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3"/>
              <w:jc w:val="right"/>
              <w:rPr>
                <w:rFonts w:ascii="Times New Roman" w:hAnsi="Times New Roman" w:cs="Times New Roman" w:eastAsia="Times New Roman" w:hint="default"/>
                <w:sz w:val="21"/>
                <w:szCs w:val="21"/>
              </w:rPr>
            </w:pPr>
            <w:r>
              <w:rPr>
                <w:rFonts w:ascii="Times New Roman"/>
                <w:w w:val="100"/>
                <w:sz w:val="21"/>
              </w:rPr>
              <w:t>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3" w:hRule="exact"/>
        </w:trPr>
        <w:tc>
          <w:tcPr>
            <w:tcW w:w="29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独立董事列席股东大会次数</w:t>
            </w:r>
          </w:p>
        </w:tc>
        <w:tc>
          <w:tcPr>
            <w:tcW w:w="662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Times New Roman" w:hAnsi="Times New Roman" w:cs="Times New Roman" w:eastAsia="Times New Roman" w:hint="default"/>
                <w:sz w:val="21"/>
                <w:szCs w:val="21"/>
              </w:rPr>
            </w:pPr>
            <w:r>
              <w:rPr>
                <w:rFonts w:ascii="Times New Roman"/>
                <w:w w:val="100"/>
                <w:sz w:val="21"/>
              </w:rPr>
              <w:t>4</w:t>
            </w:r>
          </w:p>
        </w:tc>
      </w:tr>
    </w:tbl>
    <w:p>
      <w:pPr>
        <w:spacing w:line="240" w:lineRule="auto" w:before="3"/>
        <w:rPr>
          <w:rFonts w:ascii="宋体" w:hAnsi="宋体" w:cs="宋体" w:eastAsia="宋体" w:hint="default"/>
          <w:b/>
          <w:bCs/>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7"/>
        <w:rPr>
          <w:rFonts w:ascii="宋体" w:hAnsi="宋体" w:cs="宋体" w:eastAsia="宋体" w:hint="default"/>
          <w:b/>
          <w:bCs/>
          <w:sz w:val="24"/>
          <w:szCs w:val="24"/>
        </w:rPr>
      </w:pPr>
    </w:p>
    <w:p>
      <w:pPr>
        <w:pStyle w:val="BodyText"/>
        <w:tabs>
          <w:tab w:pos="8765" w:val="left" w:leader="none"/>
        </w:tabs>
        <w:spacing w:line="240" w:lineRule="auto"/>
        <w:ind w:right="0"/>
        <w:jc w:val="left"/>
      </w:pPr>
      <w:r>
        <w:rPr>
          <w:spacing w:val="-2"/>
        </w:rPr>
        <w:t>独立董事对公司有关事项是否提出异议</w:t>
        <w:tab/>
      </w: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pStyle w:val="BodyText"/>
        <w:spacing w:line="240" w:lineRule="auto" w:before="62"/>
        <w:ind w:right="0"/>
        <w:jc w:val="left"/>
      </w:pPr>
      <w:r>
        <w:rPr/>
        <w:t>报告期内独立董事对公司有关事项未提出异议。</w:t>
      </w:r>
    </w:p>
    <w:p>
      <w:pPr>
        <w:spacing w:line="240" w:lineRule="auto" w:before="8"/>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10"/>
        <w:rPr>
          <w:rFonts w:ascii="宋体" w:hAnsi="宋体" w:cs="宋体" w:eastAsia="宋体" w:hint="default"/>
          <w:b/>
          <w:bCs/>
          <w:sz w:val="24"/>
          <w:szCs w:val="24"/>
        </w:rPr>
      </w:pPr>
    </w:p>
    <w:p>
      <w:pPr>
        <w:pStyle w:val="BodyText"/>
        <w:tabs>
          <w:tab w:pos="8768" w:val="left" w:leader="none"/>
        </w:tabs>
        <w:spacing w:line="240" w:lineRule="auto"/>
        <w:ind w:right="0"/>
        <w:jc w:val="left"/>
      </w:pPr>
      <w:r>
        <w:rPr>
          <w:spacing w:val="-2"/>
        </w:rPr>
        <w:t>独立董事对公司有关建议是否被采纳</w:t>
        <w:tab/>
      </w: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否</w:t>
      </w:r>
    </w:p>
    <w:p>
      <w:pPr>
        <w:pStyle w:val="BodyText"/>
        <w:spacing w:line="307" w:lineRule="auto" w:before="62"/>
        <w:ind w:left="573" w:right="0" w:hanging="421"/>
        <w:jc w:val="left"/>
      </w:pPr>
      <w:r>
        <w:rPr/>
        <w:t>独立董事对公司有关建议被采纳或未被采纳的说明</w:t>
      </w:r>
      <w:r>
        <w:rPr>
          <w:w w:val="100"/>
        </w:rPr>
        <w:t> </w:t>
      </w:r>
      <w:r>
        <w:rPr>
          <w:spacing w:val="-2"/>
        </w:rPr>
        <w:t>报告期内，公司独立董事严格按照有关法律、法规和《公司章程》的规定，关注公司运作，独立履行</w:t>
      </w:r>
    </w:p>
    <w:p>
      <w:pPr>
        <w:spacing w:after="0" w:line="307" w:lineRule="auto"/>
        <w:jc w:val="left"/>
        <w:sectPr>
          <w:pgSz w:w="11910" w:h="16840"/>
          <w:pgMar w:header="877" w:footer="979" w:top="1060" w:bottom="1160" w:left="980" w:right="980"/>
        </w:sectPr>
      </w:pPr>
    </w:p>
    <w:p>
      <w:pPr>
        <w:spacing w:line="240" w:lineRule="auto" w:before="10"/>
        <w:rPr>
          <w:rFonts w:ascii="宋体" w:hAnsi="宋体" w:cs="宋体" w:eastAsia="宋体" w:hint="default"/>
          <w:sz w:val="24"/>
          <w:szCs w:val="24"/>
        </w:rPr>
      </w:pPr>
    </w:p>
    <w:p>
      <w:pPr>
        <w:pStyle w:val="BodyText"/>
        <w:spacing w:line="273" w:lineRule="auto" w:before="36"/>
        <w:ind w:right="105"/>
        <w:jc w:val="left"/>
      </w:pPr>
      <w:r>
        <w:rPr>
          <w:spacing w:val="-2"/>
        </w:rPr>
        <w:t>职责，对公司经营决策提出了许多专业性意见，对报告期内需要独立董事发表意见的事项出具了独立、公</w:t>
      </w:r>
      <w:r>
        <w:rPr>
          <w:spacing w:val="-44"/>
        </w:rPr>
        <w:t> </w:t>
      </w:r>
      <w:r>
        <w:rPr>
          <w:spacing w:val="-44"/>
        </w:rPr>
      </w:r>
      <w:r>
        <w:rPr/>
        <w:t>正意见，为完善公司监督机制，维护公司和全体股东合法权益发挥了应有的作用。</w:t>
      </w:r>
    </w:p>
    <w:p>
      <w:pPr>
        <w:spacing w:line="240" w:lineRule="auto" w:before="8"/>
        <w:rPr>
          <w:rFonts w:ascii="宋体" w:hAnsi="宋体" w:cs="宋体" w:eastAsia="宋体" w:hint="default"/>
          <w:sz w:val="21"/>
          <w:szCs w:val="21"/>
        </w:rPr>
      </w:pPr>
    </w:p>
    <w:p>
      <w:pPr>
        <w:pStyle w:val="Heading2"/>
        <w:spacing w:line="240" w:lineRule="auto"/>
        <w:ind w:right="105"/>
        <w:jc w:val="left"/>
        <w:rPr>
          <w:b w:val="0"/>
          <w:bCs w:val="0"/>
        </w:rPr>
      </w:pPr>
      <w:r>
        <w:rPr/>
        <w:t>六、董事会下设专门委员会在报告期内履行职责情况</w:t>
      </w:r>
      <w:r>
        <w:rPr>
          <w:b w:val="0"/>
          <w:bCs w:val="0"/>
        </w:rPr>
      </w:r>
    </w:p>
    <w:p>
      <w:pPr>
        <w:spacing w:line="240" w:lineRule="auto" w:before="12"/>
        <w:rPr>
          <w:rFonts w:ascii="宋体" w:hAnsi="宋体" w:cs="宋体" w:eastAsia="宋体" w:hint="default"/>
          <w:b/>
          <w:bCs/>
          <w:sz w:val="24"/>
          <w:szCs w:val="24"/>
        </w:rPr>
      </w:pPr>
    </w:p>
    <w:p>
      <w:pPr>
        <w:pStyle w:val="BodyText"/>
        <w:spacing w:line="273" w:lineRule="auto"/>
        <w:ind w:right="185" w:firstLine="420"/>
        <w:jc w:val="both"/>
      </w:pPr>
      <w:r>
        <w:rPr>
          <w:spacing w:val="-2"/>
        </w:rPr>
        <w:t>公司董事会下设战略委员会、审计委员会、提名委员会、薪酬与考核委员会、投资决策委员会等五个</w:t>
      </w:r>
      <w:r>
        <w:rPr>
          <w:w w:val="100"/>
        </w:rPr>
        <w:t> </w:t>
      </w:r>
      <w:r>
        <w:rPr>
          <w:spacing w:val="-2"/>
        </w:rPr>
        <w:t>专门委员会，各专门委员会委员依据《公司章程》及有关规定，认真履行职责，就专业性事项进行研究，</w:t>
      </w:r>
      <w:r>
        <w:rPr>
          <w:spacing w:val="-21"/>
        </w:rPr>
        <w:t> </w:t>
      </w:r>
      <w:r>
        <w:rPr>
          <w:spacing w:val="-21"/>
        </w:rPr>
      </w:r>
      <w:r>
        <w:rPr/>
        <w:t>提出意见及建议，供董事会决策参考。根据《公司章程》，专门委员会成员全部由董事组成。</w:t>
      </w:r>
    </w:p>
    <w:p>
      <w:pPr>
        <w:pStyle w:val="BodyText"/>
        <w:spacing w:line="273" w:lineRule="auto" w:before="7"/>
        <w:ind w:left="573" w:right="105"/>
        <w:jc w:val="left"/>
      </w:pPr>
      <w:r>
        <w:rPr/>
        <w:t>（一）董事会战略委员会履职情况</w:t>
      </w:r>
      <w:r>
        <w:rPr>
          <w:w w:val="100"/>
        </w:rPr>
        <w:t> </w:t>
      </w:r>
      <w:r>
        <w:rPr>
          <w:spacing w:val="-2"/>
        </w:rPr>
        <w:t>报告期内，公司董事会战略委员会勤勉尽责地履行职责，及时对公司战略规划等事项进行研究，并提</w:t>
      </w:r>
    </w:p>
    <w:p>
      <w:pPr>
        <w:pStyle w:val="BodyText"/>
        <w:spacing w:line="240" w:lineRule="auto" w:before="7"/>
        <w:ind w:right="105"/>
        <w:jc w:val="left"/>
      </w:pPr>
      <w:r>
        <w:rPr/>
        <w:t>出合理建议。</w:t>
      </w:r>
    </w:p>
    <w:p>
      <w:pPr>
        <w:pStyle w:val="BodyText"/>
        <w:spacing w:line="273" w:lineRule="auto" w:before="37"/>
        <w:ind w:left="573" w:right="105"/>
        <w:jc w:val="left"/>
      </w:pPr>
      <w:r>
        <w:rPr/>
        <w:t>（二）董事会审计委员会履职情况</w:t>
      </w:r>
      <w:r>
        <w:rPr>
          <w:w w:val="100"/>
        </w:rPr>
        <w:t> </w:t>
      </w:r>
      <w:r>
        <w:rPr>
          <w:spacing w:val="-4"/>
        </w:rPr>
        <w:t>报告期内，董事会审计委员会审核了公司</w:t>
      </w:r>
      <w:r>
        <w:rPr>
          <w:rFonts w:ascii="Times New Roman" w:hAnsi="Times New Roman" w:cs="Times New Roman" w:eastAsia="Times New Roman" w:hint="default"/>
          <w:spacing w:val="-4"/>
        </w:rPr>
        <w:t>2014</w:t>
      </w:r>
      <w:r>
        <w:rPr>
          <w:spacing w:val="-4"/>
        </w:rPr>
        <w:t>年年度报告；对公司</w:t>
      </w:r>
      <w:r>
        <w:rPr>
          <w:rFonts w:ascii="Times New Roman" w:hAnsi="Times New Roman" w:cs="Times New Roman" w:eastAsia="Times New Roman" w:hint="default"/>
          <w:spacing w:val="-4"/>
        </w:rPr>
        <w:t>2015</w:t>
      </w:r>
      <w:r>
        <w:rPr>
          <w:spacing w:val="-4"/>
        </w:rPr>
        <w:t>年度审计工作计划进行了审核，</w:t>
      </w:r>
    </w:p>
    <w:p>
      <w:pPr>
        <w:pStyle w:val="BodyText"/>
        <w:spacing w:line="273" w:lineRule="auto"/>
        <w:ind w:right="105"/>
        <w:jc w:val="left"/>
      </w:pPr>
      <w:r>
        <w:rPr>
          <w:spacing w:val="-2"/>
        </w:rPr>
        <w:t>听取了公司内审部门的季度工作汇报；审查督促了公司内控制度的建设；对立信会计师事务所（特殊普通</w:t>
      </w:r>
      <w:r>
        <w:rPr>
          <w:spacing w:val="-44"/>
        </w:rPr>
        <w:t> </w:t>
      </w:r>
      <w:r>
        <w:rPr>
          <w:spacing w:val="-44"/>
        </w:rPr>
      </w:r>
      <w:r>
        <w:rPr/>
        <w:t>合伙）</w:t>
      </w:r>
      <w:r>
        <w:rPr>
          <w:rFonts w:ascii="Times New Roman" w:hAnsi="Times New Roman" w:cs="Times New Roman" w:eastAsia="Times New Roman" w:hint="default"/>
        </w:rPr>
        <w:t>2014</w:t>
      </w:r>
      <w:r>
        <w:rPr/>
        <w:t>年度财务报告审计情况进行了讨论，就审计过程中发现的问题进行了沟通和交流。</w:t>
      </w:r>
    </w:p>
    <w:p>
      <w:pPr>
        <w:pStyle w:val="BodyText"/>
        <w:spacing w:line="273" w:lineRule="auto"/>
        <w:ind w:left="573" w:right="105"/>
        <w:jc w:val="left"/>
      </w:pPr>
      <w:r>
        <w:rPr/>
        <w:t>（三）董事会提名委员会履职情况</w:t>
      </w:r>
      <w:r>
        <w:rPr>
          <w:w w:val="100"/>
        </w:rPr>
        <w:t> </w:t>
      </w:r>
      <w:r>
        <w:rPr>
          <w:spacing w:val="-2"/>
        </w:rPr>
        <w:t>报告期内，董事会提名委员会审议了公司董事及高级管理人员的变更及调整事项，就相关人员的任职</w:t>
      </w:r>
    </w:p>
    <w:p>
      <w:pPr>
        <w:pStyle w:val="BodyText"/>
        <w:spacing w:line="240" w:lineRule="auto" w:before="7"/>
        <w:ind w:right="105"/>
        <w:jc w:val="left"/>
      </w:pPr>
      <w:r>
        <w:rPr/>
        <w:t>资格进行了审查。</w:t>
      </w:r>
    </w:p>
    <w:p>
      <w:pPr>
        <w:pStyle w:val="BodyText"/>
        <w:spacing w:line="273" w:lineRule="auto" w:before="37"/>
        <w:ind w:left="573" w:right="105"/>
        <w:jc w:val="left"/>
      </w:pPr>
      <w:r>
        <w:rPr/>
        <w:t>（四）董事会薪酬与考核委员会履职情况</w:t>
      </w:r>
      <w:r>
        <w:rPr>
          <w:w w:val="100"/>
        </w:rPr>
        <w:t> </w:t>
      </w:r>
      <w:r>
        <w:rPr>
          <w:spacing w:val="-2"/>
        </w:rPr>
        <w:t>报告期内，董事会薪酬与考核委员会根据相关规定对公司高级管理人员薪酬进行了审查并提出了建</w:t>
      </w:r>
    </w:p>
    <w:p>
      <w:pPr>
        <w:pStyle w:val="BodyText"/>
        <w:spacing w:line="240" w:lineRule="auto" w:before="7"/>
        <w:ind w:right="105"/>
        <w:jc w:val="left"/>
      </w:pPr>
      <w:r>
        <w:rPr/>
        <w:t>议。</w:t>
      </w:r>
    </w:p>
    <w:p>
      <w:pPr>
        <w:pStyle w:val="BodyText"/>
        <w:spacing w:line="273" w:lineRule="auto" w:before="37"/>
        <w:ind w:left="573" w:right="105"/>
        <w:jc w:val="left"/>
      </w:pPr>
      <w:r>
        <w:rPr/>
        <w:t>（五）董事会投资决策委员会履职情况</w:t>
      </w:r>
      <w:r>
        <w:rPr>
          <w:w w:val="100"/>
        </w:rPr>
        <w:t> </w:t>
      </w:r>
      <w:r>
        <w:rPr>
          <w:spacing w:val="-2"/>
        </w:rPr>
        <w:t>为进一步完善法人治理结构，满足公司战略调整及转型的需要，促进董事会合理、高效决策，保障投</w:t>
      </w:r>
    </w:p>
    <w:p>
      <w:pPr>
        <w:pStyle w:val="BodyText"/>
        <w:spacing w:line="256" w:lineRule="auto" w:before="8"/>
        <w:ind w:right="105"/>
        <w:jc w:val="left"/>
      </w:pPr>
      <w:r>
        <w:rPr>
          <w:spacing w:val="-2"/>
        </w:rPr>
        <w:t>资决策的科学化、制度化，提高投资质量，降低投资风险，</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11</w:t>
      </w:r>
      <w:r>
        <w:rPr>
          <w:spacing w:val="-2"/>
        </w:rPr>
        <w:t>月，公司在董事会下增设投资决策委</w:t>
      </w:r>
      <w:r>
        <w:rPr>
          <w:spacing w:val="-38"/>
        </w:rPr>
        <w:t> </w:t>
      </w:r>
      <w:r>
        <w:rPr>
          <w:spacing w:val="-38"/>
        </w:rPr>
      </w:r>
      <w:r>
        <w:rPr/>
        <w:t>员会。公司投资决策委员会依照有关规定履行职责。</w:t>
      </w:r>
    </w:p>
    <w:p>
      <w:pPr>
        <w:spacing w:line="240" w:lineRule="auto" w:before="9"/>
        <w:rPr>
          <w:rFonts w:ascii="宋体" w:hAnsi="宋体" w:cs="宋体" w:eastAsia="宋体" w:hint="default"/>
          <w:sz w:val="22"/>
          <w:szCs w:val="22"/>
        </w:rPr>
      </w:pPr>
    </w:p>
    <w:p>
      <w:pPr>
        <w:pStyle w:val="Heading2"/>
        <w:spacing w:line="240" w:lineRule="auto"/>
        <w:ind w:right="105"/>
        <w:jc w:val="left"/>
        <w:rPr>
          <w:b w:val="0"/>
          <w:bCs w:val="0"/>
        </w:rPr>
      </w:pPr>
      <w:r>
        <w:rPr/>
        <w:t>七、监事会工作情况</w:t>
      </w:r>
      <w:r>
        <w:rPr>
          <w:b w:val="0"/>
          <w:bCs w:val="0"/>
        </w:rPr>
      </w:r>
    </w:p>
    <w:p>
      <w:pPr>
        <w:spacing w:line="240" w:lineRule="auto" w:before="9"/>
        <w:rPr>
          <w:rFonts w:ascii="宋体" w:hAnsi="宋体" w:cs="宋体" w:eastAsia="宋体" w:hint="default"/>
          <w:b/>
          <w:bCs/>
          <w:sz w:val="24"/>
          <w:szCs w:val="24"/>
        </w:rPr>
      </w:pPr>
    </w:p>
    <w:p>
      <w:pPr>
        <w:pStyle w:val="BodyText"/>
        <w:tabs>
          <w:tab w:pos="8768" w:val="left" w:leader="none"/>
        </w:tabs>
        <w:spacing w:line="290" w:lineRule="auto"/>
        <w:ind w:right="259"/>
        <w:jc w:val="left"/>
      </w:pPr>
      <w:r>
        <w:rPr>
          <w:spacing w:val="-2"/>
        </w:rPr>
        <w:t>监事会在报告期内的监督活动中发现公司是否存在风险</w:t>
        <w:tab/>
      </w: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否</w:t>
      </w:r>
      <w:r>
        <w:rPr>
          <w:w w:val="100"/>
        </w:rPr>
        <w:t> </w:t>
      </w:r>
      <w:r>
        <w:rPr/>
        <w:t>监事会对报告期内的监督事项无异议。</w:t>
      </w:r>
    </w:p>
    <w:p>
      <w:pPr>
        <w:spacing w:line="240" w:lineRule="auto" w:before="4"/>
        <w:rPr>
          <w:rFonts w:ascii="宋体" w:hAnsi="宋体" w:cs="宋体" w:eastAsia="宋体" w:hint="default"/>
          <w:sz w:val="20"/>
          <w:szCs w:val="20"/>
        </w:rPr>
      </w:pPr>
    </w:p>
    <w:p>
      <w:pPr>
        <w:pStyle w:val="Heading2"/>
        <w:spacing w:line="240" w:lineRule="auto"/>
        <w:ind w:right="105"/>
        <w:jc w:val="left"/>
        <w:rPr>
          <w:b w:val="0"/>
          <w:bCs w:val="0"/>
        </w:rPr>
      </w:pPr>
      <w:r>
        <w:rPr/>
        <w:t>八、高级管理人员的考评及激励情况</w:t>
      </w:r>
      <w:r>
        <w:rPr>
          <w:b w:val="0"/>
          <w:bCs w:val="0"/>
        </w:rPr>
      </w:r>
    </w:p>
    <w:p>
      <w:pPr>
        <w:spacing w:line="240" w:lineRule="auto" w:before="12"/>
        <w:rPr>
          <w:rFonts w:ascii="宋体" w:hAnsi="宋体" w:cs="宋体" w:eastAsia="宋体" w:hint="default"/>
          <w:b/>
          <w:bCs/>
          <w:sz w:val="24"/>
          <w:szCs w:val="24"/>
        </w:rPr>
      </w:pPr>
    </w:p>
    <w:p>
      <w:pPr>
        <w:pStyle w:val="BodyText"/>
        <w:spacing w:line="273" w:lineRule="auto"/>
        <w:ind w:right="206" w:firstLine="420"/>
        <w:jc w:val="both"/>
      </w:pPr>
      <w:r>
        <w:rPr>
          <w:spacing w:val="-2"/>
        </w:rPr>
        <w:t>公司高级管理人员直接对董事会负责，接受董事会的考核，实行责权利统一的激励机制。高级管理人</w:t>
      </w:r>
      <w:r>
        <w:rPr>
          <w:w w:val="100"/>
        </w:rPr>
        <w:t> </w:t>
      </w:r>
      <w:r>
        <w:rPr>
          <w:spacing w:val="-2"/>
        </w:rPr>
        <w:t>员实行年薪制，薪资标准依据行业薪酬水平、企业经营效益、高管岗位职级等因素确定。年终对高管人员</w:t>
      </w:r>
      <w:r>
        <w:rPr>
          <w:spacing w:val="-50"/>
        </w:rPr>
        <w:t> </w:t>
      </w:r>
      <w:r>
        <w:rPr>
          <w:spacing w:val="-50"/>
        </w:rPr>
      </w:r>
      <w:r>
        <w:rPr/>
        <w:t>的履职情况和年度业绩情况予以考核，根据考核结果发放年度绩效薪酬。</w:t>
      </w:r>
    </w:p>
    <w:p>
      <w:pPr>
        <w:spacing w:line="240" w:lineRule="auto" w:before="8"/>
        <w:rPr>
          <w:rFonts w:ascii="宋体" w:hAnsi="宋体" w:cs="宋体" w:eastAsia="宋体" w:hint="default"/>
          <w:sz w:val="21"/>
          <w:szCs w:val="21"/>
        </w:rPr>
      </w:pPr>
    </w:p>
    <w:p>
      <w:pPr>
        <w:pStyle w:val="Heading2"/>
        <w:spacing w:line="240" w:lineRule="auto"/>
        <w:ind w:right="105"/>
        <w:jc w:val="left"/>
        <w:rPr>
          <w:b w:val="0"/>
          <w:bCs w:val="0"/>
        </w:rPr>
      </w:pPr>
      <w:r>
        <w:rPr/>
        <w:t>九、内部控制评价报告</w:t>
      </w:r>
      <w:r>
        <w:rPr>
          <w:b w:val="0"/>
          <w:bCs w:val="0"/>
        </w:rPr>
      </w:r>
    </w:p>
    <w:p>
      <w:pPr>
        <w:spacing w:line="240" w:lineRule="auto" w:before="12"/>
        <w:rPr>
          <w:rFonts w:ascii="宋体" w:hAnsi="宋体" w:cs="宋体" w:eastAsia="宋体" w:hint="default"/>
          <w:b/>
          <w:bCs/>
          <w:sz w:val="24"/>
          <w:szCs w:val="24"/>
        </w:rPr>
      </w:pPr>
    </w:p>
    <w:p>
      <w:pPr>
        <w:tabs>
          <w:tab w:pos="8693" w:val="left" w:leader="none"/>
        </w:tabs>
        <w:spacing w:before="0"/>
        <w:ind w:left="152" w:right="105" w:firstLine="0"/>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1</w:t>
      </w:r>
      <w:r>
        <w:rPr>
          <w:rFonts w:ascii="宋体" w:hAnsi="宋体" w:cs="宋体" w:eastAsia="宋体" w:hint="default"/>
          <w:b/>
          <w:bCs/>
          <w:spacing w:val="-1"/>
          <w:sz w:val="21"/>
          <w:szCs w:val="21"/>
        </w:rPr>
        <w:t>、报告期内发现的内部控制重大缺陷的具体情况</w:t>
        <w:tab/>
      </w:r>
      <w:r>
        <w:rPr>
          <w:rFonts w:ascii="Times New Roman" w:hAnsi="Times New Roman" w:cs="Times New Roman" w:eastAsia="Times New Roman" w:hint="default"/>
          <w:sz w:val="21"/>
          <w:szCs w:val="21"/>
        </w:rPr>
        <w:t>□  </w:t>
      </w:r>
      <w:r>
        <w:rPr>
          <w:rFonts w:ascii="宋体" w:hAnsi="宋体" w:cs="宋体" w:eastAsia="宋体" w:hint="default"/>
          <w:sz w:val="21"/>
          <w:szCs w:val="21"/>
        </w:rPr>
        <w:t>是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否</w:t>
      </w:r>
    </w:p>
    <w:p>
      <w:pPr>
        <w:spacing w:line="240" w:lineRule="auto" w:before="7"/>
        <w:rPr>
          <w:rFonts w:ascii="宋体" w:hAnsi="宋体" w:cs="宋体" w:eastAsia="宋体" w:hint="default"/>
          <w:sz w:val="24"/>
          <w:szCs w:val="24"/>
        </w:rPr>
      </w:pPr>
    </w:p>
    <w:p>
      <w:pPr>
        <w:pStyle w:val="Heading4"/>
        <w:spacing w:line="240" w:lineRule="auto"/>
        <w:ind w:right="105"/>
        <w:jc w:val="left"/>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4"/>
        <w:gridCol w:w="6375"/>
      </w:tblGrid>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内部控制评价报告全文披露日期</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bl>
    <w:p>
      <w:pPr>
        <w:spacing w:after="0" w:line="240" w:lineRule="auto"/>
        <w:jc w:val="left"/>
        <w:rPr>
          <w:rFonts w:ascii="宋体" w:hAnsi="宋体" w:cs="宋体" w:eastAsia="宋体" w:hint="default"/>
          <w:sz w:val="21"/>
          <w:szCs w:val="21"/>
        </w:rPr>
        <w:sectPr>
          <w:pgSz w:w="11910" w:h="16840"/>
          <w:pgMar w:header="877" w:footer="979" w:top="1060" w:bottom="1160" w:left="980" w:right="920"/>
        </w:sectPr>
      </w:pPr>
    </w:p>
    <w:p>
      <w:pPr>
        <w:spacing w:line="240" w:lineRule="auto" w:before="6"/>
        <w:rPr>
          <w:rFonts w:ascii="宋体" w:hAnsi="宋体" w:cs="宋体" w:eastAsia="宋体" w:hint="default"/>
          <w:b/>
          <w:bCs/>
          <w:sz w:val="28"/>
          <w:szCs w:val="28"/>
        </w:rPr>
      </w:pPr>
    </w:p>
    <w:tbl>
      <w:tblPr>
        <w:tblW w:w="0" w:type="auto"/>
        <w:jc w:val="left"/>
        <w:tblInd w:w="160" w:type="dxa"/>
        <w:tblLayout w:type="fixed"/>
        <w:tblCellMar>
          <w:top w:w="0" w:type="dxa"/>
          <w:left w:w="0" w:type="dxa"/>
          <w:bottom w:w="0" w:type="dxa"/>
          <w:right w:w="0" w:type="dxa"/>
        </w:tblCellMar>
        <w:tblLook w:val="01E0"/>
      </w:tblPr>
      <w:tblGrid>
        <w:gridCol w:w="3178"/>
        <w:gridCol w:w="3191"/>
        <w:gridCol w:w="3190"/>
      </w:tblGrid>
      <w:tr>
        <w:trPr>
          <w:trHeight w:val="401"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内部控制评价报告全文披露索引</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pacing w:val="-2"/>
                <w:sz w:val="21"/>
                <w:szCs w:val="21"/>
              </w:rPr>
              <w:t>详见披露于巨潮资讯网的《</w:t>
            </w:r>
            <w:r>
              <w:rPr>
                <w:rFonts w:ascii="Times New Roman" w:hAnsi="Times New Roman" w:cs="Times New Roman" w:eastAsia="Times New Roman" w:hint="default"/>
                <w:spacing w:val="-2"/>
                <w:sz w:val="21"/>
                <w:szCs w:val="21"/>
              </w:rPr>
              <w:t>2015</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2"/>
                <w:sz w:val="21"/>
                <w:szCs w:val="21"/>
              </w:rPr>
              <w:t> </w:t>
            </w:r>
            <w:r>
              <w:rPr>
                <w:rFonts w:ascii="宋体" w:hAnsi="宋体" w:cs="宋体" w:eastAsia="宋体" w:hint="default"/>
                <w:spacing w:val="-2"/>
                <w:sz w:val="21"/>
                <w:szCs w:val="21"/>
              </w:rPr>
              <w:t>年度内部控制自我评价报告》</w:t>
            </w:r>
          </w:p>
        </w:tc>
      </w:tr>
      <w:tr>
        <w:trPr>
          <w:trHeight w:val="715"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12" w:right="209"/>
              <w:jc w:val="left"/>
              <w:rPr>
                <w:rFonts w:ascii="宋体" w:hAnsi="宋体" w:cs="宋体" w:eastAsia="宋体" w:hint="default"/>
                <w:sz w:val="21"/>
                <w:szCs w:val="21"/>
              </w:rPr>
            </w:pPr>
            <w:r>
              <w:rPr>
                <w:rFonts w:ascii="宋体" w:hAnsi="宋体" w:cs="宋体" w:eastAsia="宋体" w:hint="default"/>
                <w:spacing w:val="-2"/>
                <w:sz w:val="21"/>
                <w:szCs w:val="21"/>
              </w:rPr>
              <w:t>纳入评价范围单位资产总额占公</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司合并财务报表资产总额的比例</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z w:val="21"/>
              </w:rPr>
              <w:t>100.00%</w:t>
            </w:r>
          </w:p>
        </w:tc>
      </w:tr>
      <w:tr>
        <w:trPr>
          <w:trHeight w:val="714"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209"/>
              <w:jc w:val="left"/>
              <w:rPr>
                <w:rFonts w:ascii="宋体" w:hAnsi="宋体" w:cs="宋体" w:eastAsia="宋体" w:hint="default"/>
                <w:sz w:val="21"/>
                <w:szCs w:val="21"/>
              </w:rPr>
            </w:pPr>
            <w:r>
              <w:rPr>
                <w:rFonts w:ascii="宋体" w:hAnsi="宋体" w:cs="宋体" w:eastAsia="宋体" w:hint="default"/>
                <w:spacing w:val="-2"/>
                <w:sz w:val="21"/>
                <w:szCs w:val="21"/>
              </w:rPr>
              <w:t>纳入评价范围单位营业收入占公</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司合并财务报表营业收入的比例</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z w:val="21"/>
              </w:rPr>
              <w:t>100.00%</w:t>
            </w:r>
          </w:p>
        </w:tc>
      </w:tr>
      <w:tr>
        <w:trPr>
          <w:trHeight w:val="397" w:hRule="exact"/>
        </w:trPr>
        <w:tc>
          <w:tcPr>
            <w:tcW w:w="955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 w:right="7"/>
              <w:jc w:val="center"/>
              <w:rPr>
                <w:rFonts w:ascii="宋体" w:hAnsi="宋体" w:cs="宋体" w:eastAsia="宋体" w:hint="default"/>
                <w:sz w:val="21"/>
                <w:szCs w:val="21"/>
              </w:rPr>
            </w:pPr>
            <w:r>
              <w:rPr>
                <w:rFonts w:ascii="宋体" w:hAnsi="宋体" w:cs="宋体" w:eastAsia="宋体" w:hint="default"/>
                <w:sz w:val="21"/>
                <w:szCs w:val="21"/>
              </w:rPr>
              <w:t>缺陷认定标准</w:t>
            </w:r>
          </w:p>
        </w:tc>
      </w:tr>
      <w:tr>
        <w:trPr>
          <w:trHeight w:val="406"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1" w:right="2"/>
              <w:jc w:val="center"/>
              <w:rPr>
                <w:rFonts w:ascii="宋体" w:hAnsi="宋体" w:cs="宋体" w:eastAsia="宋体" w:hint="default"/>
                <w:sz w:val="21"/>
                <w:szCs w:val="21"/>
              </w:rPr>
            </w:pPr>
            <w:r>
              <w:rPr>
                <w:rFonts w:ascii="宋体" w:hAnsi="宋体" w:cs="宋体" w:eastAsia="宋体" w:hint="default"/>
                <w:sz w:val="21"/>
                <w:szCs w:val="21"/>
              </w:rPr>
              <w:t>类别</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9" w:right="0"/>
              <w:jc w:val="center"/>
              <w:rPr>
                <w:rFonts w:ascii="宋体" w:hAnsi="宋体" w:cs="宋体" w:eastAsia="宋体" w:hint="default"/>
                <w:sz w:val="21"/>
                <w:szCs w:val="21"/>
              </w:rPr>
            </w:pPr>
            <w:r>
              <w:rPr>
                <w:rFonts w:ascii="宋体" w:hAnsi="宋体" w:cs="宋体" w:eastAsia="宋体" w:hint="default"/>
                <w:sz w:val="21"/>
                <w:szCs w:val="21"/>
              </w:rPr>
              <w:t>财务报告</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right="0"/>
              <w:jc w:val="center"/>
              <w:rPr>
                <w:rFonts w:ascii="宋体" w:hAnsi="宋体" w:cs="宋体" w:eastAsia="宋体" w:hint="default"/>
                <w:sz w:val="21"/>
                <w:szCs w:val="21"/>
              </w:rPr>
            </w:pPr>
            <w:r>
              <w:rPr>
                <w:rFonts w:ascii="宋体" w:hAnsi="宋体" w:cs="宋体" w:eastAsia="宋体" w:hint="default"/>
                <w:sz w:val="21"/>
                <w:szCs w:val="21"/>
              </w:rPr>
              <w:t>非财务报告</w:t>
            </w:r>
          </w:p>
        </w:tc>
      </w:tr>
      <w:tr>
        <w:trPr>
          <w:trHeight w:val="631" w:hRule="exact"/>
        </w:trPr>
        <w:tc>
          <w:tcPr>
            <w:tcW w:w="3178"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1" w:type="dxa"/>
            <w:vMerge w:val="restart"/>
            <w:tcBorders>
              <w:top w:val="single" w:sz="4" w:space="0" w:color="000000"/>
              <w:left w:val="single" w:sz="9" w:space="0" w:color="D2D2D2"/>
              <w:right w:val="single" w:sz="4" w:space="0" w:color="000000"/>
            </w:tcBorders>
          </w:tcPr>
          <w:p>
            <w:pPr>
              <w:pStyle w:val="TableParagraph"/>
              <w:spacing w:line="256" w:lineRule="auto" w:before="30"/>
              <w:ind w:left="23" w:right="17"/>
              <w:jc w:val="both"/>
              <w:rPr>
                <w:rFonts w:ascii="宋体" w:hAnsi="宋体" w:cs="宋体" w:eastAsia="宋体" w:hint="default"/>
                <w:sz w:val="21"/>
                <w:szCs w:val="21"/>
              </w:rPr>
            </w:pPr>
            <w:r>
              <w:rPr>
                <w:rFonts w:ascii="宋体" w:hAnsi="宋体" w:cs="宋体" w:eastAsia="宋体" w:hint="default"/>
                <w:sz w:val="21"/>
                <w:szCs w:val="21"/>
              </w:rPr>
              <w:t>详见</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日披露于巨潮</w:t>
            </w:r>
            <w:r>
              <w:rPr>
                <w:rFonts w:ascii="宋体" w:hAnsi="宋体" w:cs="宋体" w:eastAsia="宋体" w:hint="default"/>
                <w:w w:val="100"/>
                <w:sz w:val="21"/>
                <w:szCs w:val="21"/>
              </w:rPr>
              <w:t> </w:t>
            </w:r>
            <w:r>
              <w:rPr>
                <w:rFonts w:ascii="宋体" w:hAnsi="宋体" w:cs="宋体" w:eastAsia="宋体" w:hint="default"/>
                <w:spacing w:val="-3"/>
                <w:sz w:val="21"/>
                <w:szCs w:val="21"/>
              </w:rPr>
              <w:t>资讯网（</w:t>
            </w:r>
            <w:r>
              <w:rPr>
                <w:rFonts w:ascii="Times New Roman" w:hAnsi="Times New Roman" w:cs="Times New Roman" w:eastAsia="Times New Roman" w:hint="default"/>
                <w:color w:val="0000FF"/>
                <w:spacing w:val="-3"/>
                <w:sz w:val="21"/>
                <w:szCs w:val="21"/>
              </w:rPr>
            </w:r>
            <w:hyperlink r:id="rId11">
              <w:r>
                <w:rPr>
                  <w:rFonts w:ascii="Times New Roman" w:hAnsi="Times New Roman" w:cs="Times New Roman" w:eastAsia="Times New Roman" w:hint="default"/>
                  <w:color w:val="0000FF"/>
                  <w:spacing w:val="-3"/>
                  <w:sz w:val="21"/>
                  <w:szCs w:val="21"/>
                  <w:u w:val="single" w:color="0000FF"/>
                </w:rPr>
                <w:t>www.cninfo.com.cn</w:t>
              </w:r>
              <w:r>
                <w:rPr>
                  <w:rFonts w:ascii="Times New Roman" w:hAnsi="Times New Roman" w:cs="Times New Roman" w:eastAsia="Times New Roman" w:hint="default"/>
                  <w:color w:val="0000FF"/>
                  <w:spacing w:val="-3"/>
                  <w:sz w:val="21"/>
                  <w:szCs w:val="21"/>
                </w:rPr>
              </w:r>
            </w:hyperlink>
            <w:r>
              <w:rPr>
                <w:rFonts w:ascii="宋体" w:hAnsi="宋体" w:cs="宋体" w:eastAsia="宋体" w:hint="default"/>
                <w:spacing w:val="-3"/>
                <w:sz w:val="21"/>
                <w:szCs w:val="21"/>
              </w:rPr>
              <w:t>）上的</w:t>
            </w:r>
          </w:p>
          <w:p>
            <w:pPr>
              <w:pStyle w:val="TableParagraph"/>
              <w:spacing w:line="256" w:lineRule="auto" w:before="5"/>
              <w:ind w:left="23" w:right="17"/>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2015 </w:t>
            </w:r>
            <w:r>
              <w:rPr>
                <w:rFonts w:ascii="宋体" w:hAnsi="宋体" w:cs="宋体" w:eastAsia="宋体" w:hint="default"/>
                <w:spacing w:val="-8"/>
                <w:sz w:val="21"/>
                <w:szCs w:val="21"/>
              </w:rPr>
              <w:t>年度内部控制评价报告》中</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Times New Roman" w:hAnsi="Times New Roman" w:cs="Times New Roman" w:eastAsia="Times New Roman" w:hint="default"/>
                <w:spacing w:val="-9"/>
                <w:w w:val="100"/>
                <w:sz w:val="21"/>
                <w:szCs w:val="21"/>
              </w:rPr>
              <w:t>“</w:t>
            </w:r>
            <w:r>
              <w:rPr>
                <w:rFonts w:ascii="宋体" w:hAnsi="宋体" w:cs="宋体" w:eastAsia="宋体" w:hint="default"/>
                <w:spacing w:val="-9"/>
                <w:w w:val="100"/>
                <w:sz w:val="21"/>
                <w:szCs w:val="21"/>
              </w:rPr>
              <w:t>四、（二）内部控制评价工作依据</w:t>
            </w:r>
            <w:r>
              <w:rPr>
                <w:rFonts w:ascii="宋体" w:hAnsi="宋体" w:cs="宋体" w:eastAsia="宋体" w:hint="default"/>
                <w:spacing w:val="-97"/>
                <w:w w:val="100"/>
                <w:sz w:val="21"/>
                <w:szCs w:val="21"/>
              </w:rPr>
              <w:t> </w:t>
            </w:r>
            <w:r>
              <w:rPr>
                <w:rFonts w:ascii="宋体" w:hAnsi="宋体" w:cs="宋体" w:eastAsia="宋体" w:hint="default"/>
                <w:spacing w:val="-97"/>
                <w:w w:val="100"/>
                <w:sz w:val="21"/>
                <w:szCs w:val="21"/>
              </w:rPr>
            </w:r>
            <w:r>
              <w:rPr>
                <w:rFonts w:ascii="宋体" w:hAnsi="宋体" w:cs="宋体" w:eastAsia="宋体" w:hint="default"/>
                <w:sz w:val="21"/>
                <w:szCs w:val="21"/>
              </w:rPr>
              <w:t>及内部控制缺陷认定标准</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3190" w:type="dxa"/>
            <w:vMerge w:val="restart"/>
            <w:tcBorders>
              <w:top w:val="single" w:sz="4" w:space="0" w:color="000000"/>
              <w:left w:val="single" w:sz="4" w:space="0" w:color="000000"/>
              <w:right w:val="single" w:sz="4" w:space="0" w:color="000000"/>
            </w:tcBorders>
          </w:tcPr>
          <w:p>
            <w:pPr>
              <w:pStyle w:val="TableParagraph"/>
              <w:spacing w:line="256" w:lineRule="auto" w:before="30"/>
              <w:ind w:left="23" w:right="17"/>
              <w:jc w:val="both"/>
              <w:rPr>
                <w:rFonts w:ascii="宋体" w:hAnsi="宋体" w:cs="宋体" w:eastAsia="宋体" w:hint="default"/>
                <w:sz w:val="21"/>
                <w:szCs w:val="21"/>
              </w:rPr>
            </w:pPr>
            <w:r>
              <w:rPr>
                <w:rFonts w:ascii="宋体" w:hAnsi="宋体" w:cs="宋体" w:eastAsia="宋体" w:hint="default"/>
                <w:sz w:val="21"/>
                <w:szCs w:val="21"/>
              </w:rPr>
              <w:t>详见</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日披露于巨潮</w:t>
            </w:r>
            <w:r>
              <w:rPr>
                <w:rFonts w:ascii="宋体" w:hAnsi="宋体" w:cs="宋体" w:eastAsia="宋体" w:hint="default"/>
                <w:w w:val="100"/>
                <w:sz w:val="21"/>
                <w:szCs w:val="21"/>
              </w:rPr>
              <w:t> </w:t>
            </w:r>
            <w:r>
              <w:rPr>
                <w:rFonts w:ascii="宋体" w:hAnsi="宋体" w:cs="宋体" w:eastAsia="宋体" w:hint="default"/>
                <w:spacing w:val="-3"/>
                <w:sz w:val="21"/>
                <w:szCs w:val="21"/>
              </w:rPr>
              <w:t>资讯网（</w:t>
            </w:r>
            <w:r>
              <w:rPr>
                <w:rFonts w:ascii="Times New Roman" w:hAnsi="Times New Roman" w:cs="Times New Roman" w:eastAsia="Times New Roman" w:hint="default"/>
                <w:color w:val="0000FF"/>
                <w:spacing w:val="-3"/>
                <w:sz w:val="21"/>
                <w:szCs w:val="21"/>
              </w:rPr>
            </w:r>
            <w:hyperlink r:id="rId11">
              <w:r>
                <w:rPr>
                  <w:rFonts w:ascii="Times New Roman" w:hAnsi="Times New Roman" w:cs="Times New Roman" w:eastAsia="Times New Roman" w:hint="default"/>
                  <w:color w:val="0000FF"/>
                  <w:spacing w:val="-3"/>
                  <w:sz w:val="21"/>
                  <w:szCs w:val="21"/>
                  <w:u w:val="single" w:color="0000FF"/>
                </w:rPr>
                <w:t>www.cninfo.com.cn</w:t>
              </w:r>
              <w:r>
                <w:rPr>
                  <w:rFonts w:ascii="Times New Roman" w:hAnsi="Times New Roman" w:cs="Times New Roman" w:eastAsia="Times New Roman" w:hint="default"/>
                  <w:color w:val="0000FF"/>
                  <w:spacing w:val="-3"/>
                  <w:sz w:val="21"/>
                  <w:szCs w:val="21"/>
                </w:rPr>
              </w:r>
            </w:hyperlink>
            <w:r>
              <w:rPr>
                <w:rFonts w:ascii="宋体" w:hAnsi="宋体" w:cs="宋体" w:eastAsia="宋体" w:hint="default"/>
                <w:spacing w:val="-3"/>
                <w:sz w:val="21"/>
                <w:szCs w:val="21"/>
              </w:rPr>
              <w:t>）上的</w:t>
            </w:r>
          </w:p>
          <w:p>
            <w:pPr>
              <w:pStyle w:val="TableParagraph"/>
              <w:spacing w:line="256" w:lineRule="auto" w:before="5"/>
              <w:ind w:left="23" w:right="19"/>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8"/>
                <w:sz w:val="21"/>
                <w:szCs w:val="21"/>
              </w:rPr>
              <w:t> </w:t>
            </w:r>
            <w:r>
              <w:rPr>
                <w:rFonts w:ascii="宋体" w:hAnsi="宋体" w:cs="宋体" w:eastAsia="宋体" w:hint="default"/>
                <w:spacing w:val="-8"/>
                <w:sz w:val="21"/>
                <w:szCs w:val="21"/>
              </w:rPr>
              <w:t>年度内部控制评价报告》中</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Times New Roman" w:hAnsi="Times New Roman" w:cs="Times New Roman" w:eastAsia="Times New Roman" w:hint="default"/>
                <w:spacing w:val="-9"/>
                <w:w w:val="100"/>
                <w:sz w:val="21"/>
                <w:szCs w:val="21"/>
              </w:rPr>
              <w:t>“</w:t>
            </w:r>
            <w:r>
              <w:rPr>
                <w:rFonts w:ascii="宋体" w:hAnsi="宋体" w:cs="宋体" w:eastAsia="宋体" w:hint="default"/>
                <w:spacing w:val="-9"/>
                <w:w w:val="100"/>
                <w:sz w:val="21"/>
                <w:szCs w:val="21"/>
              </w:rPr>
              <w:t>四、（二）内部控制评价工作依据</w:t>
            </w:r>
            <w:r>
              <w:rPr>
                <w:rFonts w:ascii="宋体" w:hAnsi="宋体" w:cs="宋体" w:eastAsia="宋体" w:hint="default"/>
                <w:spacing w:val="-95"/>
                <w:w w:val="100"/>
                <w:sz w:val="21"/>
                <w:szCs w:val="21"/>
              </w:rPr>
              <w:t> </w:t>
            </w:r>
            <w:r>
              <w:rPr>
                <w:rFonts w:ascii="宋体" w:hAnsi="宋体" w:cs="宋体" w:eastAsia="宋体" w:hint="default"/>
                <w:spacing w:val="-95"/>
                <w:w w:val="100"/>
                <w:sz w:val="21"/>
                <w:szCs w:val="21"/>
              </w:rPr>
            </w:r>
            <w:r>
              <w:rPr>
                <w:rFonts w:ascii="宋体" w:hAnsi="宋体" w:cs="宋体" w:eastAsia="宋体" w:hint="default"/>
                <w:sz w:val="21"/>
                <w:szCs w:val="21"/>
              </w:rPr>
              <w:t>及内部控制缺陷认定标准</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91" w:hRule="exact"/>
        </w:trPr>
        <w:tc>
          <w:tcPr>
            <w:tcW w:w="31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定性标准</w:t>
            </w:r>
          </w:p>
        </w:tc>
        <w:tc>
          <w:tcPr>
            <w:tcW w:w="3191"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629" w:hRule="exact"/>
        </w:trPr>
        <w:tc>
          <w:tcPr>
            <w:tcW w:w="3178"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1"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629" w:hRule="exact"/>
        </w:trPr>
        <w:tc>
          <w:tcPr>
            <w:tcW w:w="3178"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1" w:type="dxa"/>
            <w:vMerge w:val="restart"/>
            <w:tcBorders>
              <w:top w:val="single" w:sz="4" w:space="0" w:color="000000"/>
              <w:left w:val="single" w:sz="9" w:space="0" w:color="D2D2D2"/>
              <w:right w:val="single" w:sz="4" w:space="0" w:color="000000"/>
            </w:tcBorders>
          </w:tcPr>
          <w:p>
            <w:pPr>
              <w:pStyle w:val="TableParagraph"/>
              <w:spacing w:line="256" w:lineRule="auto" w:before="28"/>
              <w:ind w:left="23" w:right="17"/>
              <w:jc w:val="both"/>
              <w:rPr>
                <w:rFonts w:ascii="宋体" w:hAnsi="宋体" w:cs="宋体" w:eastAsia="宋体" w:hint="default"/>
                <w:sz w:val="21"/>
                <w:szCs w:val="21"/>
              </w:rPr>
            </w:pPr>
            <w:r>
              <w:rPr>
                <w:rFonts w:ascii="宋体" w:hAnsi="宋体" w:cs="宋体" w:eastAsia="宋体" w:hint="default"/>
                <w:sz w:val="21"/>
                <w:szCs w:val="21"/>
              </w:rPr>
              <w:t>详见</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日披露于巨潮</w:t>
            </w:r>
            <w:r>
              <w:rPr>
                <w:rFonts w:ascii="宋体" w:hAnsi="宋体" w:cs="宋体" w:eastAsia="宋体" w:hint="default"/>
                <w:w w:val="100"/>
                <w:sz w:val="21"/>
                <w:szCs w:val="21"/>
              </w:rPr>
              <w:t> </w:t>
            </w:r>
            <w:r>
              <w:rPr>
                <w:rFonts w:ascii="宋体" w:hAnsi="宋体" w:cs="宋体" w:eastAsia="宋体" w:hint="default"/>
                <w:spacing w:val="-3"/>
                <w:sz w:val="21"/>
                <w:szCs w:val="21"/>
              </w:rPr>
              <w:t>资讯网（</w:t>
            </w:r>
            <w:r>
              <w:rPr>
                <w:rFonts w:ascii="Times New Roman" w:hAnsi="Times New Roman" w:cs="Times New Roman" w:eastAsia="Times New Roman" w:hint="default"/>
                <w:color w:val="0000FF"/>
                <w:spacing w:val="-3"/>
                <w:sz w:val="21"/>
                <w:szCs w:val="21"/>
              </w:rPr>
            </w:r>
            <w:hyperlink r:id="rId11">
              <w:r>
                <w:rPr>
                  <w:rFonts w:ascii="Times New Roman" w:hAnsi="Times New Roman" w:cs="Times New Roman" w:eastAsia="Times New Roman" w:hint="default"/>
                  <w:color w:val="0000FF"/>
                  <w:spacing w:val="-3"/>
                  <w:sz w:val="21"/>
                  <w:szCs w:val="21"/>
                  <w:u w:val="single" w:color="0000FF"/>
                </w:rPr>
                <w:t>www.cninfo.com.cn</w:t>
              </w:r>
              <w:r>
                <w:rPr>
                  <w:rFonts w:ascii="Times New Roman" w:hAnsi="Times New Roman" w:cs="Times New Roman" w:eastAsia="Times New Roman" w:hint="default"/>
                  <w:color w:val="0000FF"/>
                  <w:spacing w:val="-3"/>
                  <w:sz w:val="21"/>
                  <w:szCs w:val="21"/>
                </w:rPr>
              </w:r>
            </w:hyperlink>
            <w:r>
              <w:rPr>
                <w:rFonts w:ascii="宋体" w:hAnsi="宋体" w:cs="宋体" w:eastAsia="宋体" w:hint="default"/>
                <w:spacing w:val="-3"/>
                <w:sz w:val="21"/>
                <w:szCs w:val="21"/>
              </w:rPr>
              <w:t>）上的</w:t>
            </w:r>
          </w:p>
          <w:p>
            <w:pPr>
              <w:pStyle w:val="TableParagraph"/>
              <w:spacing w:line="256" w:lineRule="auto" w:before="5"/>
              <w:ind w:left="23" w:right="17"/>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2015 </w:t>
            </w:r>
            <w:r>
              <w:rPr>
                <w:rFonts w:ascii="宋体" w:hAnsi="宋体" w:cs="宋体" w:eastAsia="宋体" w:hint="default"/>
                <w:spacing w:val="-8"/>
                <w:sz w:val="21"/>
                <w:szCs w:val="21"/>
              </w:rPr>
              <w:t>年度内部控制评价报告》中</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Times New Roman" w:hAnsi="Times New Roman" w:cs="Times New Roman" w:eastAsia="Times New Roman" w:hint="default"/>
                <w:spacing w:val="-9"/>
                <w:w w:val="100"/>
                <w:sz w:val="21"/>
                <w:szCs w:val="21"/>
              </w:rPr>
              <w:t>“</w:t>
            </w:r>
            <w:r>
              <w:rPr>
                <w:rFonts w:ascii="宋体" w:hAnsi="宋体" w:cs="宋体" w:eastAsia="宋体" w:hint="default"/>
                <w:spacing w:val="-9"/>
                <w:w w:val="100"/>
                <w:sz w:val="21"/>
                <w:szCs w:val="21"/>
              </w:rPr>
              <w:t>四、（二）内部控制评价工作依据</w:t>
            </w:r>
            <w:r>
              <w:rPr>
                <w:rFonts w:ascii="宋体" w:hAnsi="宋体" w:cs="宋体" w:eastAsia="宋体" w:hint="default"/>
                <w:spacing w:val="-97"/>
                <w:w w:val="100"/>
                <w:sz w:val="21"/>
                <w:szCs w:val="21"/>
              </w:rPr>
              <w:t> </w:t>
            </w:r>
            <w:r>
              <w:rPr>
                <w:rFonts w:ascii="宋体" w:hAnsi="宋体" w:cs="宋体" w:eastAsia="宋体" w:hint="default"/>
                <w:spacing w:val="-97"/>
                <w:w w:val="100"/>
                <w:sz w:val="21"/>
                <w:szCs w:val="21"/>
              </w:rPr>
            </w:r>
            <w:r>
              <w:rPr>
                <w:rFonts w:ascii="宋体" w:hAnsi="宋体" w:cs="宋体" w:eastAsia="宋体" w:hint="default"/>
                <w:sz w:val="21"/>
                <w:szCs w:val="21"/>
              </w:rPr>
              <w:t>及内部控制缺陷认定标准</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3190" w:type="dxa"/>
            <w:vMerge w:val="restart"/>
            <w:tcBorders>
              <w:top w:val="single" w:sz="4" w:space="0" w:color="000000"/>
              <w:left w:val="single" w:sz="4" w:space="0" w:color="000000"/>
              <w:right w:val="single" w:sz="4" w:space="0" w:color="000000"/>
            </w:tcBorders>
          </w:tcPr>
          <w:p>
            <w:pPr>
              <w:pStyle w:val="TableParagraph"/>
              <w:spacing w:line="256" w:lineRule="auto" w:before="28"/>
              <w:ind w:left="23" w:right="17"/>
              <w:jc w:val="both"/>
              <w:rPr>
                <w:rFonts w:ascii="宋体" w:hAnsi="宋体" w:cs="宋体" w:eastAsia="宋体" w:hint="default"/>
                <w:sz w:val="21"/>
                <w:szCs w:val="21"/>
              </w:rPr>
            </w:pPr>
            <w:r>
              <w:rPr>
                <w:rFonts w:ascii="宋体" w:hAnsi="宋体" w:cs="宋体" w:eastAsia="宋体" w:hint="default"/>
                <w:sz w:val="21"/>
                <w:szCs w:val="21"/>
              </w:rPr>
              <w:t>详见</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日披露于巨潮</w:t>
            </w:r>
            <w:r>
              <w:rPr>
                <w:rFonts w:ascii="宋体" w:hAnsi="宋体" w:cs="宋体" w:eastAsia="宋体" w:hint="default"/>
                <w:w w:val="100"/>
                <w:sz w:val="21"/>
                <w:szCs w:val="21"/>
              </w:rPr>
              <w:t> </w:t>
            </w:r>
            <w:r>
              <w:rPr>
                <w:rFonts w:ascii="宋体" w:hAnsi="宋体" w:cs="宋体" w:eastAsia="宋体" w:hint="default"/>
                <w:spacing w:val="-3"/>
                <w:sz w:val="21"/>
                <w:szCs w:val="21"/>
              </w:rPr>
              <w:t>资讯网（</w:t>
            </w:r>
            <w:r>
              <w:rPr>
                <w:rFonts w:ascii="Times New Roman" w:hAnsi="Times New Roman" w:cs="Times New Roman" w:eastAsia="Times New Roman" w:hint="default"/>
                <w:color w:val="0000FF"/>
                <w:spacing w:val="-3"/>
                <w:sz w:val="21"/>
                <w:szCs w:val="21"/>
              </w:rPr>
            </w:r>
            <w:hyperlink r:id="rId11">
              <w:r>
                <w:rPr>
                  <w:rFonts w:ascii="Times New Roman" w:hAnsi="Times New Roman" w:cs="Times New Roman" w:eastAsia="Times New Roman" w:hint="default"/>
                  <w:color w:val="0000FF"/>
                  <w:spacing w:val="-3"/>
                  <w:sz w:val="21"/>
                  <w:szCs w:val="21"/>
                  <w:u w:val="single" w:color="0000FF"/>
                </w:rPr>
                <w:t>www.cninfo.com.cn</w:t>
              </w:r>
              <w:r>
                <w:rPr>
                  <w:rFonts w:ascii="Times New Roman" w:hAnsi="Times New Roman" w:cs="Times New Roman" w:eastAsia="Times New Roman" w:hint="default"/>
                  <w:color w:val="0000FF"/>
                  <w:spacing w:val="-3"/>
                  <w:sz w:val="21"/>
                  <w:szCs w:val="21"/>
                </w:rPr>
              </w:r>
            </w:hyperlink>
            <w:r>
              <w:rPr>
                <w:rFonts w:ascii="宋体" w:hAnsi="宋体" w:cs="宋体" w:eastAsia="宋体" w:hint="default"/>
                <w:spacing w:val="-3"/>
                <w:sz w:val="21"/>
                <w:szCs w:val="21"/>
              </w:rPr>
              <w:t>）上的</w:t>
            </w:r>
          </w:p>
          <w:p>
            <w:pPr>
              <w:pStyle w:val="TableParagraph"/>
              <w:spacing w:line="256" w:lineRule="auto" w:before="5"/>
              <w:ind w:left="23" w:right="19"/>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8"/>
                <w:sz w:val="21"/>
                <w:szCs w:val="21"/>
              </w:rPr>
              <w:t> </w:t>
            </w:r>
            <w:r>
              <w:rPr>
                <w:rFonts w:ascii="宋体" w:hAnsi="宋体" w:cs="宋体" w:eastAsia="宋体" w:hint="default"/>
                <w:spacing w:val="-8"/>
                <w:sz w:val="21"/>
                <w:szCs w:val="21"/>
              </w:rPr>
              <w:t>年度内部控制评价报告》中</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Times New Roman" w:hAnsi="Times New Roman" w:cs="Times New Roman" w:eastAsia="Times New Roman" w:hint="default"/>
                <w:spacing w:val="-9"/>
                <w:w w:val="100"/>
                <w:sz w:val="21"/>
                <w:szCs w:val="21"/>
              </w:rPr>
              <w:t>“</w:t>
            </w:r>
            <w:r>
              <w:rPr>
                <w:rFonts w:ascii="宋体" w:hAnsi="宋体" w:cs="宋体" w:eastAsia="宋体" w:hint="default"/>
                <w:spacing w:val="-9"/>
                <w:w w:val="100"/>
                <w:sz w:val="21"/>
                <w:szCs w:val="21"/>
              </w:rPr>
              <w:t>四、（二）内部控制评价工作依据</w:t>
            </w:r>
            <w:r>
              <w:rPr>
                <w:rFonts w:ascii="宋体" w:hAnsi="宋体" w:cs="宋体" w:eastAsia="宋体" w:hint="default"/>
                <w:spacing w:val="-95"/>
                <w:w w:val="100"/>
                <w:sz w:val="21"/>
                <w:szCs w:val="21"/>
              </w:rPr>
              <w:t> </w:t>
            </w:r>
            <w:r>
              <w:rPr>
                <w:rFonts w:ascii="宋体" w:hAnsi="宋体" w:cs="宋体" w:eastAsia="宋体" w:hint="default"/>
                <w:spacing w:val="-95"/>
                <w:w w:val="100"/>
                <w:sz w:val="21"/>
                <w:szCs w:val="21"/>
              </w:rPr>
            </w:r>
            <w:r>
              <w:rPr>
                <w:rFonts w:ascii="宋体" w:hAnsi="宋体" w:cs="宋体" w:eastAsia="宋体" w:hint="default"/>
                <w:sz w:val="21"/>
                <w:szCs w:val="21"/>
              </w:rPr>
              <w:t>及内部控制缺陷认定标准</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91" w:hRule="exact"/>
        </w:trPr>
        <w:tc>
          <w:tcPr>
            <w:tcW w:w="31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定量标准</w:t>
            </w:r>
          </w:p>
        </w:tc>
        <w:tc>
          <w:tcPr>
            <w:tcW w:w="3191"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629" w:hRule="exact"/>
        </w:trPr>
        <w:tc>
          <w:tcPr>
            <w:tcW w:w="3178"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1"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3"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财务报告重大缺陷数量（个）</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77"/>
              <w:ind w:right="23"/>
              <w:jc w:val="right"/>
              <w:rPr>
                <w:rFonts w:ascii="Times New Roman" w:hAnsi="Times New Roman" w:cs="Times New Roman" w:eastAsia="Times New Roman" w:hint="default"/>
                <w:sz w:val="21"/>
                <w:szCs w:val="21"/>
              </w:rPr>
            </w:pPr>
            <w:r>
              <w:rPr>
                <w:rFonts w:ascii="Times New Roman"/>
                <w:w w:val="100"/>
                <w:sz w:val="21"/>
              </w:rPr>
              <w:t>0</w:t>
            </w:r>
          </w:p>
        </w:tc>
      </w:tr>
      <w:tr>
        <w:trPr>
          <w:trHeight w:val="401"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非财务报告重大缺陷数量（个）</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23"/>
              <w:jc w:val="right"/>
              <w:rPr>
                <w:rFonts w:ascii="Times New Roman" w:hAnsi="Times New Roman" w:cs="Times New Roman" w:eastAsia="Times New Roman" w:hint="default"/>
                <w:sz w:val="21"/>
                <w:szCs w:val="21"/>
              </w:rPr>
            </w:pPr>
            <w:r>
              <w:rPr>
                <w:rFonts w:ascii="Times New Roman"/>
                <w:w w:val="100"/>
                <w:sz w:val="21"/>
              </w:rPr>
              <w:t>0</w:t>
            </w:r>
          </w:p>
        </w:tc>
      </w:tr>
      <w:tr>
        <w:trPr>
          <w:trHeight w:val="403"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财务报告重要缺陷数量（个）</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77"/>
              <w:ind w:right="23"/>
              <w:jc w:val="right"/>
              <w:rPr>
                <w:rFonts w:ascii="Times New Roman" w:hAnsi="Times New Roman" w:cs="Times New Roman" w:eastAsia="Times New Roman" w:hint="default"/>
                <w:sz w:val="21"/>
                <w:szCs w:val="21"/>
              </w:rPr>
            </w:pPr>
            <w:r>
              <w:rPr>
                <w:rFonts w:ascii="Times New Roman"/>
                <w:w w:val="100"/>
                <w:sz w:val="21"/>
              </w:rPr>
              <w:t>0</w:t>
            </w:r>
          </w:p>
        </w:tc>
      </w:tr>
      <w:tr>
        <w:trPr>
          <w:trHeight w:val="404"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非财务报告重要缺陷数量（个）</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23"/>
              <w:jc w:val="right"/>
              <w:rPr>
                <w:rFonts w:ascii="Times New Roman" w:hAnsi="Times New Roman" w:cs="Times New Roman" w:eastAsia="Times New Roman" w:hint="default"/>
                <w:sz w:val="21"/>
                <w:szCs w:val="21"/>
              </w:rPr>
            </w:pPr>
            <w:r>
              <w:rPr>
                <w:rFonts w:ascii="Times New Roman"/>
                <w:w w:val="100"/>
                <w:sz w:val="21"/>
              </w:rPr>
              <w:t>0</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十、内部控制审计报告或鉴证报告</w:t>
      </w:r>
      <w:r>
        <w:rPr>
          <w:b w:val="0"/>
          <w:bCs w:val="0"/>
        </w:rPr>
      </w:r>
    </w:p>
    <w:p>
      <w:pPr>
        <w:spacing w:line="240" w:lineRule="auto" w:before="9"/>
        <w:rPr>
          <w:rFonts w:ascii="宋体" w:hAnsi="宋体" w:cs="宋体" w:eastAsia="宋体" w:hint="default"/>
          <w:b/>
          <w:bCs/>
          <w:sz w:val="24"/>
          <w:szCs w:val="24"/>
        </w:rPr>
      </w:pPr>
    </w:p>
    <w:p>
      <w:pPr>
        <w:pStyle w:val="BodyText"/>
        <w:spacing w:line="240" w:lineRule="auto"/>
        <w:ind w:right="0"/>
        <w:jc w:val="left"/>
      </w:pPr>
      <w:r>
        <w:rPr/>
        <w:t>内部控制鉴证报告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spacing w:line="240" w:lineRule="auto" w:before="36"/>
        <w:ind w:left="0" w:right="141"/>
        <w:jc w:val="right"/>
      </w:pPr>
      <w:r>
        <w:rPr/>
        <w:pict>
          <v:shape style="position:absolute;margin-left:56.459999pt;margin-top:-96.126312pt;width:479.2pt;height:156.9pt;mso-position-horizontal-relative:page;mso-position-vertical-relative:paragraph;z-index:22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20"/>
                    <w:gridCol w:w="6450"/>
                  </w:tblGrid>
                  <w:tr>
                    <w:trPr>
                      <w:trHeight w:val="401"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内部控制鉴证报告中的审议意见段</w:t>
                        </w:r>
                      </w:p>
                    </w:tc>
                  </w:tr>
                  <w:tr>
                    <w:trPr>
                      <w:trHeight w:val="715" w:hRule="exact"/>
                    </w:trPr>
                    <w:tc>
                      <w:tcPr>
                        <w:tcW w:w="95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2" w:right="77"/>
                          <w:jc w:val="left"/>
                          <w:rPr>
                            <w:rFonts w:ascii="宋体" w:hAnsi="宋体" w:cs="宋体" w:eastAsia="宋体" w:hint="default"/>
                            <w:sz w:val="21"/>
                            <w:szCs w:val="21"/>
                          </w:rPr>
                        </w:pPr>
                        <w:r>
                          <w:rPr>
                            <w:rFonts w:ascii="宋体" w:hAnsi="宋体" w:cs="宋体" w:eastAsia="宋体" w:hint="default"/>
                            <w:spacing w:val="-2"/>
                            <w:sz w:val="21"/>
                            <w:szCs w:val="21"/>
                          </w:rPr>
                          <w:t>立信会计师事务所（特殊普通合伙）认为，公司按照财政部等五部委颁发的《企业内部控制基本规范》</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及相关规定于</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日在所有重大方面保持了与财务报表相关的有效的内部控制。</w:t>
                        </w:r>
                      </w:p>
                    </w:tc>
                  </w:tr>
                  <w:tr>
                    <w:trPr>
                      <w:trHeight w:val="401" w:hRule="exact"/>
                    </w:trPr>
                    <w:tc>
                      <w:tcPr>
                        <w:tcW w:w="3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内控鉴证报告披露情况</w:t>
                        </w:r>
                      </w:p>
                    </w:tc>
                    <w:tc>
                      <w:tcPr>
                        <w:tcW w:w="6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披露</w:t>
                        </w:r>
                      </w:p>
                    </w:tc>
                  </w:tr>
                  <w:tr>
                    <w:trPr>
                      <w:trHeight w:val="404" w:hRule="exact"/>
                    </w:trPr>
                    <w:tc>
                      <w:tcPr>
                        <w:tcW w:w="3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2" w:right="0"/>
                          <w:jc w:val="left"/>
                          <w:rPr>
                            <w:rFonts w:ascii="宋体" w:hAnsi="宋体" w:cs="宋体" w:eastAsia="宋体" w:hint="default"/>
                            <w:sz w:val="21"/>
                            <w:szCs w:val="21"/>
                          </w:rPr>
                        </w:pPr>
                        <w:r>
                          <w:rPr>
                            <w:rFonts w:ascii="宋体" w:hAnsi="宋体" w:cs="宋体" w:eastAsia="宋体" w:hint="default"/>
                            <w:sz w:val="21"/>
                            <w:szCs w:val="21"/>
                          </w:rPr>
                          <w:t>内部控制鉴证报告全文披露日期</w:t>
                        </w:r>
                      </w:p>
                    </w:tc>
                    <w:tc>
                      <w:tcPr>
                        <w:tcW w:w="6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401" w:hRule="exact"/>
                    </w:trPr>
                    <w:tc>
                      <w:tcPr>
                        <w:tcW w:w="3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内部控制鉴证报告全文披露索引</w:t>
                        </w:r>
                      </w:p>
                    </w:tc>
                    <w:tc>
                      <w:tcPr>
                        <w:tcW w:w="6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w w:val="100"/>
                            <w:sz w:val="21"/>
                            <w:szCs w:val="21"/>
                          </w:rPr>
                          <w:t>详见</w:t>
                        </w:r>
                        <w:r>
                          <w:rPr>
                            <w:rFonts w:ascii="宋体" w:hAnsi="宋体" w:cs="宋体" w:eastAsia="宋体" w:hint="default"/>
                            <w:spacing w:val="-3"/>
                            <w:w w:val="100"/>
                            <w:sz w:val="21"/>
                            <w:szCs w:val="21"/>
                          </w:rPr>
                          <w:t>披</w:t>
                        </w:r>
                        <w:r>
                          <w:rPr>
                            <w:rFonts w:ascii="宋体" w:hAnsi="宋体" w:cs="宋体" w:eastAsia="宋体" w:hint="default"/>
                            <w:w w:val="100"/>
                            <w:sz w:val="21"/>
                            <w:szCs w:val="21"/>
                          </w:rPr>
                          <w:t>露</w:t>
                        </w:r>
                        <w:r>
                          <w:rPr>
                            <w:rFonts w:ascii="宋体" w:hAnsi="宋体" w:cs="宋体" w:eastAsia="宋体" w:hint="default"/>
                            <w:spacing w:val="-3"/>
                            <w:w w:val="100"/>
                            <w:sz w:val="21"/>
                            <w:szCs w:val="21"/>
                          </w:rPr>
                          <w:t>于</w:t>
                        </w:r>
                        <w:r>
                          <w:rPr>
                            <w:rFonts w:ascii="宋体" w:hAnsi="宋体" w:cs="宋体" w:eastAsia="宋体" w:hint="default"/>
                            <w:w w:val="100"/>
                            <w:sz w:val="21"/>
                            <w:szCs w:val="21"/>
                          </w:rPr>
                          <w:t>巨</w:t>
                        </w:r>
                        <w:r>
                          <w:rPr>
                            <w:rFonts w:ascii="宋体" w:hAnsi="宋体" w:cs="宋体" w:eastAsia="宋体" w:hint="default"/>
                            <w:spacing w:val="-3"/>
                            <w:w w:val="100"/>
                            <w:sz w:val="21"/>
                            <w:szCs w:val="21"/>
                          </w:rPr>
                          <w:t>潮</w:t>
                        </w:r>
                        <w:r>
                          <w:rPr>
                            <w:rFonts w:ascii="宋体" w:hAnsi="宋体" w:cs="宋体" w:eastAsia="宋体" w:hint="default"/>
                            <w:w w:val="100"/>
                            <w:sz w:val="21"/>
                            <w:szCs w:val="21"/>
                          </w:rPr>
                          <w:t>资</w:t>
                        </w:r>
                        <w:r>
                          <w:rPr>
                            <w:rFonts w:ascii="宋体" w:hAnsi="宋体" w:cs="宋体" w:eastAsia="宋体" w:hint="default"/>
                            <w:spacing w:val="-3"/>
                            <w:w w:val="100"/>
                            <w:sz w:val="21"/>
                            <w:szCs w:val="21"/>
                          </w:rPr>
                          <w:t>讯</w:t>
                        </w:r>
                        <w:r>
                          <w:rPr>
                            <w:rFonts w:ascii="宋体" w:hAnsi="宋体" w:cs="宋体" w:eastAsia="宋体" w:hint="default"/>
                            <w:spacing w:val="-46"/>
                            <w:w w:val="100"/>
                            <w:sz w:val="21"/>
                            <w:szCs w:val="21"/>
                          </w:rPr>
                          <w:t>网</w:t>
                        </w:r>
                        <w:r>
                          <w:rPr>
                            <w:rFonts w:ascii="宋体" w:hAnsi="宋体" w:cs="宋体" w:eastAsia="宋体" w:hint="default"/>
                            <w:w w:val="100"/>
                            <w:sz w:val="21"/>
                            <w:szCs w:val="21"/>
                          </w:rPr>
                          <w:t>（</w:t>
                        </w:r>
                        <w:r>
                          <w:rPr>
                            <w:rFonts w:ascii="Times New Roman" w:hAnsi="Times New Roman" w:cs="Times New Roman" w:eastAsia="Times New Roman" w:hint="default"/>
                            <w:color w:val="0000FF"/>
                            <w:w w:val="100"/>
                            <w:sz w:val="21"/>
                            <w:szCs w:val="21"/>
                          </w:rPr>
                        </w:r>
                        <w:hyperlink r:id="rId11">
                          <w:r>
                            <w:rPr>
                              <w:rFonts w:ascii="Times New Roman" w:hAnsi="Times New Roman" w:cs="Times New Roman" w:eastAsia="Times New Roman" w:hint="default"/>
                              <w:color w:val="0000FF"/>
                              <w:spacing w:val="-4"/>
                              <w:w w:val="100"/>
                              <w:sz w:val="21"/>
                              <w:szCs w:val="21"/>
                              <w:u w:val="single" w:color="0000FF"/>
                            </w:rPr>
                            <w:t>w</w:t>
                          </w:r>
                          <w:r>
                            <w:rPr>
                              <w:rFonts w:ascii="Times New Roman" w:hAnsi="Times New Roman" w:cs="Times New Roman" w:eastAsia="Times New Roman" w:hint="default"/>
                              <w:color w:val="0000FF"/>
                              <w:spacing w:val="-2"/>
                              <w:w w:val="100"/>
                              <w:sz w:val="21"/>
                              <w:szCs w:val="21"/>
                              <w:u w:val="single" w:color="0000FF"/>
                            </w:rPr>
                            <w:t>w</w:t>
                          </w:r>
                          <w:r>
                            <w:rPr>
                              <w:rFonts w:ascii="Times New Roman" w:hAnsi="Times New Roman" w:cs="Times New Roman" w:eastAsia="Times New Roman" w:hint="default"/>
                              <w:color w:val="0000FF"/>
                              <w:spacing w:val="-16"/>
                              <w:w w:val="100"/>
                              <w:sz w:val="21"/>
                              <w:szCs w:val="21"/>
                              <w:u w:val="single" w:color="0000FF"/>
                            </w:rPr>
                            <w:t>w</w:t>
                          </w:r>
                          <w:r>
                            <w:rPr>
                              <w:rFonts w:ascii="Times New Roman" w:hAnsi="Times New Roman" w:cs="Times New Roman" w:eastAsia="Times New Roman" w:hint="default"/>
                              <w:color w:val="0000FF"/>
                              <w:w w:val="100"/>
                              <w:sz w:val="21"/>
                              <w:szCs w:val="21"/>
                              <w:u w:val="single" w:color="0000FF"/>
                            </w:rPr>
                            <w:t>.cn</w:t>
                          </w:r>
                          <w:r>
                            <w:rPr>
                              <w:rFonts w:ascii="Times New Roman" w:hAnsi="Times New Roman" w:cs="Times New Roman" w:eastAsia="Times New Roman" w:hint="default"/>
                              <w:color w:val="0000FF"/>
                              <w:spacing w:val="-2"/>
                              <w:w w:val="100"/>
                              <w:sz w:val="21"/>
                              <w:szCs w:val="21"/>
                              <w:u w:val="single" w:color="0000FF"/>
                            </w:rPr>
                            <w:t>i</w:t>
                          </w:r>
                          <w:r>
                            <w:rPr>
                              <w:rFonts w:ascii="Times New Roman" w:hAnsi="Times New Roman" w:cs="Times New Roman" w:eastAsia="Times New Roman" w:hint="default"/>
                              <w:color w:val="0000FF"/>
                              <w:w w:val="100"/>
                              <w:sz w:val="21"/>
                              <w:szCs w:val="21"/>
                              <w:u w:val="single" w:color="0000FF"/>
                            </w:rPr>
                            <w:t>n</w:t>
                          </w:r>
                          <w:r>
                            <w:rPr>
                              <w:rFonts w:ascii="Times New Roman" w:hAnsi="Times New Roman" w:cs="Times New Roman" w:eastAsia="Times New Roman" w:hint="default"/>
                              <w:color w:val="0000FF"/>
                              <w:spacing w:val="-1"/>
                              <w:w w:val="100"/>
                              <w:sz w:val="21"/>
                              <w:szCs w:val="21"/>
                              <w:u w:val="single" w:color="0000FF"/>
                            </w:rPr>
                            <w:t>f</w:t>
                          </w:r>
                          <w:r>
                            <w:rPr>
                              <w:rFonts w:ascii="Times New Roman" w:hAnsi="Times New Roman" w:cs="Times New Roman" w:eastAsia="Times New Roman" w:hint="default"/>
                              <w:color w:val="0000FF"/>
                              <w:w w:val="100"/>
                              <w:sz w:val="21"/>
                              <w:szCs w:val="21"/>
                              <w:u w:val="single" w:color="0000FF"/>
                            </w:rPr>
                            <w:t>o.co</w:t>
                          </w:r>
                          <w:r>
                            <w:rPr>
                              <w:rFonts w:ascii="Times New Roman" w:hAnsi="Times New Roman" w:cs="Times New Roman" w:eastAsia="Times New Roman" w:hint="default"/>
                              <w:color w:val="0000FF"/>
                              <w:spacing w:val="-4"/>
                              <w:w w:val="100"/>
                              <w:sz w:val="21"/>
                              <w:szCs w:val="21"/>
                              <w:u w:val="single" w:color="0000FF"/>
                            </w:rPr>
                            <w:t>m</w:t>
                          </w:r>
                          <w:r>
                            <w:rPr>
                              <w:rFonts w:ascii="Times New Roman" w:hAnsi="Times New Roman" w:cs="Times New Roman" w:eastAsia="Times New Roman" w:hint="default"/>
                              <w:color w:val="0000FF"/>
                              <w:w w:val="100"/>
                              <w:sz w:val="21"/>
                              <w:szCs w:val="21"/>
                              <w:u w:val="single" w:color="0000FF"/>
                            </w:rPr>
                            <w:t>.c</w:t>
                          </w:r>
                          <w:r>
                            <w:rPr>
                              <w:rFonts w:ascii="Times New Roman" w:hAnsi="Times New Roman" w:cs="Times New Roman" w:eastAsia="Times New Roman" w:hint="default"/>
                              <w:color w:val="0000FF"/>
                              <w:spacing w:val="-1"/>
                              <w:w w:val="100"/>
                              <w:sz w:val="21"/>
                              <w:szCs w:val="21"/>
                              <w:u w:val="single" w:color="0000FF"/>
                            </w:rPr>
                            <w:t>n</w:t>
                          </w:r>
                          <w:r>
                            <w:rPr>
                              <w:rFonts w:ascii="Times New Roman" w:hAnsi="Times New Roman" w:cs="Times New Roman" w:eastAsia="Times New Roman" w:hint="default"/>
                              <w:color w:val="0000FF"/>
                              <w:spacing w:val="-1"/>
                              <w:w w:val="100"/>
                              <w:sz w:val="21"/>
                              <w:szCs w:val="21"/>
                            </w:rPr>
                          </w:r>
                        </w:hyperlink>
                        <w:r>
                          <w:rPr>
                            <w:rFonts w:ascii="宋体" w:hAnsi="宋体" w:cs="宋体" w:eastAsia="宋体" w:hint="default"/>
                            <w:spacing w:val="-44"/>
                            <w:w w:val="100"/>
                            <w:sz w:val="21"/>
                            <w:szCs w:val="21"/>
                          </w:rPr>
                          <w:t>）</w:t>
                        </w:r>
                        <w:r>
                          <w:rPr>
                            <w:rFonts w:ascii="宋体" w:hAnsi="宋体" w:cs="宋体" w:eastAsia="宋体" w:hint="default"/>
                            <w:spacing w:val="-46"/>
                            <w:w w:val="100"/>
                            <w:sz w:val="21"/>
                            <w:szCs w:val="21"/>
                          </w:rPr>
                          <w:t>的</w:t>
                        </w:r>
                        <w:r>
                          <w:rPr>
                            <w:rFonts w:ascii="宋体" w:hAnsi="宋体" w:cs="宋体" w:eastAsia="宋体" w:hint="default"/>
                            <w:spacing w:val="-3"/>
                            <w:w w:val="100"/>
                            <w:sz w:val="21"/>
                            <w:szCs w:val="21"/>
                          </w:rPr>
                          <w:t>《内</w:t>
                        </w:r>
                        <w:r>
                          <w:rPr>
                            <w:rFonts w:ascii="宋体" w:hAnsi="宋体" w:cs="宋体" w:eastAsia="宋体" w:hint="default"/>
                            <w:w w:val="100"/>
                            <w:sz w:val="21"/>
                            <w:szCs w:val="21"/>
                          </w:rPr>
                          <w:t>部控</w:t>
                        </w:r>
                        <w:r>
                          <w:rPr>
                            <w:rFonts w:ascii="宋体" w:hAnsi="宋体" w:cs="宋体" w:eastAsia="宋体" w:hint="default"/>
                            <w:spacing w:val="-3"/>
                            <w:w w:val="100"/>
                            <w:sz w:val="21"/>
                            <w:szCs w:val="21"/>
                          </w:rPr>
                          <w:t>制</w:t>
                        </w:r>
                        <w:r>
                          <w:rPr>
                            <w:rFonts w:ascii="宋体" w:hAnsi="宋体" w:cs="宋体" w:eastAsia="宋体" w:hint="default"/>
                            <w:w w:val="100"/>
                            <w:sz w:val="21"/>
                            <w:szCs w:val="21"/>
                          </w:rPr>
                          <w:t>鉴</w:t>
                        </w:r>
                        <w:r>
                          <w:rPr>
                            <w:rFonts w:ascii="宋体" w:hAnsi="宋体" w:cs="宋体" w:eastAsia="宋体" w:hint="default"/>
                            <w:spacing w:val="-3"/>
                            <w:w w:val="100"/>
                            <w:sz w:val="21"/>
                            <w:szCs w:val="21"/>
                          </w:rPr>
                          <w:t>证</w:t>
                        </w:r>
                        <w:r>
                          <w:rPr>
                            <w:rFonts w:ascii="宋体" w:hAnsi="宋体" w:cs="宋体" w:eastAsia="宋体" w:hint="default"/>
                            <w:w w:val="100"/>
                            <w:sz w:val="21"/>
                            <w:szCs w:val="21"/>
                          </w:rPr>
                          <w:t>报</w:t>
                        </w:r>
                        <w:r>
                          <w:rPr>
                            <w:rFonts w:ascii="宋体" w:hAnsi="宋体" w:cs="宋体" w:eastAsia="宋体" w:hint="default"/>
                            <w:spacing w:val="-3"/>
                            <w:w w:val="100"/>
                            <w:sz w:val="21"/>
                            <w:szCs w:val="21"/>
                          </w:rPr>
                          <w:t>告</w:t>
                        </w:r>
                        <w:r>
                          <w:rPr>
                            <w:rFonts w:ascii="宋体" w:hAnsi="宋体" w:cs="宋体" w:eastAsia="宋体" w:hint="default"/>
                            <w:spacing w:val="-106"/>
                            <w:w w:val="100"/>
                            <w:sz w:val="21"/>
                            <w:szCs w:val="21"/>
                          </w:rPr>
                          <w:t>》</w:t>
                        </w:r>
                        <w:r>
                          <w:rPr>
                            <w:rFonts w:ascii="宋体" w:hAnsi="宋体" w:cs="宋体" w:eastAsia="宋体" w:hint="default"/>
                            <w:w w:val="100"/>
                            <w:sz w:val="21"/>
                            <w:szCs w:val="21"/>
                          </w:rPr>
                        </w:r>
                      </w:p>
                    </w:tc>
                  </w:tr>
                  <w:tr>
                    <w:trPr>
                      <w:trHeight w:val="403" w:hRule="exact"/>
                    </w:trPr>
                    <w:tc>
                      <w:tcPr>
                        <w:tcW w:w="3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2" w:right="0"/>
                          <w:jc w:val="left"/>
                          <w:rPr>
                            <w:rFonts w:ascii="宋体" w:hAnsi="宋体" w:cs="宋体" w:eastAsia="宋体" w:hint="default"/>
                            <w:sz w:val="21"/>
                            <w:szCs w:val="21"/>
                          </w:rPr>
                        </w:pPr>
                        <w:r>
                          <w:rPr>
                            <w:rFonts w:ascii="宋体" w:hAnsi="宋体" w:cs="宋体" w:eastAsia="宋体" w:hint="default"/>
                            <w:sz w:val="21"/>
                            <w:szCs w:val="21"/>
                          </w:rPr>
                          <w:t>内控鉴证报告意见类型</w:t>
                        </w:r>
                      </w:p>
                    </w:tc>
                    <w:tc>
                      <w:tcPr>
                        <w:tcW w:w="6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宋体" w:hAnsi="宋体" w:cs="宋体" w:eastAsia="宋体" w:hint="default"/>
                            <w:sz w:val="21"/>
                            <w:szCs w:val="21"/>
                          </w:rPr>
                          <w:t>标准无保留意见</w:t>
                        </w:r>
                      </w:p>
                    </w:tc>
                  </w:tr>
                  <w:tr>
                    <w:trPr>
                      <w:trHeight w:val="403" w:hRule="exact"/>
                    </w:trPr>
                    <w:tc>
                      <w:tcPr>
                        <w:tcW w:w="3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非财务报告是否存在重大缺陷</w:t>
                        </w:r>
                      </w:p>
                    </w:tc>
                    <w:tc>
                      <w:tcPr>
                        <w:tcW w:w="6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bl>
                <w:p>
                  <w:pPr/>
                </w:p>
              </w:txbxContent>
            </v:textbox>
            <w10:wrap type="none"/>
          </v:shape>
        </w:pict>
      </w:r>
      <w:r>
        <w:rPr>
          <w:w w:val="100"/>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pStyle w:val="BodyText"/>
        <w:tabs>
          <w:tab w:pos="8768" w:val="left" w:leader="none"/>
        </w:tabs>
        <w:spacing w:line="290" w:lineRule="auto" w:before="36"/>
        <w:ind w:right="196"/>
        <w:jc w:val="left"/>
      </w:pPr>
      <w:r>
        <w:rPr>
          <w:spacing w:val="-2"/>
        </w:rPr>
        <w:t>会计师事务所是否出具非标准意见的内部控制鉴证报告</w:t>
        <w:tab/>
      </w: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否</w:t>
      </w:r>
      <w:r>
        <w:rPr>
          <w:w w:val="100"/>
        </w:rPr>
        <w:t> </w:t>
      </w:r>
      <w:r>
        <w:rPr>
          <w:spacing w:val="-2"/>
        </w:rPr>
        <w:t>会计师事务所出具的内部控制鉴证报告与董事会的自我评价报告意见是否一致</w:t>
        <w:tab/>
      </w: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否</w:t>
      </w:r>
    </w:p>
    <w:p>
      <w:pPr>
        <w:spacing w:after="0" w:line="290" w:lineRule="auto"/>
        <w:jc w:val="left"/>
        <w:sectPr>
          <w:pgSz w:w="11910" w:h="16840"/>
          <w:pgMar w:header="877"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1822" w:right="1821"/>
        <w:jc w:val="center"/>
        <w:rPr>
          <w:b w:val="0"/>
          <w:bCs w:val="0"/>
        </w:rPr>
      </w:pPr>
      <w:bookmarkStart w:name="_bookmark8" w:id="9"/>
      <w:bookmarkEnd w:id="9"/>
      <w:r>
        <w:rPr>
          <w:b w:val="0"/>
          <w:bCs w:val="0"/>
        </w:rPr>
      </w:r>
      <w:r>
        <w:rPr/>
        <w:t>第十节</w:t>
      </w:r>
      <w:r>
        <w:rPr>
          <w:spacing w:val="-2"/>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标准无保留审计意见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立信会计师事务所（特殊普通合伙）</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信会师报字</w:t>
            </w:r>
            <w:r>
              <w:rPr>
                <w:rFonts w:ascii="Times New Roman" w:hAnsi="Times New Roman" w:cs="Times New Roman" w:eastAsia="Times New Roman" w:hint="default"/>
                <w:sz w:val="21"/>
                <w:szCs w:val="21"/>
              </w:rPr>
              <w:t>[2016]</w:t>
            </w:r>
            <w:r>
              <w:rPr>
                <w:rFonts w:ascii="宋体" w:hAnsi="宋体" w:cs="宋体" w:eastAsia="宋体" w:hint="default"/>
                <w:sz w:val="21"/>
                <w:szCs w:val="21"/>
              </w:rPr>
              <w:t>第</w:t>
            </w:r>
            <w:r>
              <w:rPr>
                <w:rFonts w:ascii="宋体" w:hAnsi="宋体" w:cs="宋体" w:eastAsia="宋体" w:hint="default"/>
                <w:spacing w:val="-49"/>
                <w:sz w:val="21"/>
                <w:szCs w:val="21"/>
              </w:rPr>
              <w:t> </w:t>
            </w:r>
            <w:r>
              <w:rPr>
                <w:rFonts w:ascii="Times New Roman" w:hAnsi="Times New Roman" w:cs="Times New Roman" w:eastAsia="Times New Roman" w:hint="default"/>
                <w:spacing w:val="-3"/>
                <w:sz w:val="21"/>
                <w:szCs w:val="21"/>
              </w:rPr>
              <w:t>113085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号</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2" w:right="0"/>
              <w:jc w:val="left"/>
              <w:rPr>
                <w:rFonts w:ascii="宋体" w:hAnsi="宋体" w:cs="宋体" w:eastAsia="宋体" w:hint="default"/>
                <w:sz w:val="21"/>
                <w:szCs w:val="21"/>
              </w:rPr>
            </w:pPr>
            <w:r>
              <w:rPr>
                <w:rFonts w:ascii="宋体" w:hAnsi="宋体" w:cs="宋体" w:eastAsia="宋体" w:hint="default"/>
                <w:sz w:val="21"/>
                <w:szCs w:val="21"/>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3" w:right="0"/>
              <w:jc w:val="left"/>
              <w:rPr>
                <w:rFonts w:ascii="宋体" w:hAnsi="宋体" w:cs="宋体" w:eastAsia="宋体" w:hint="default"/>
                <w:sz w:val="21"/>
                <w:szCs w:val="21"/>
              </w:rPr>
            </w:pPr>
            <w:r>
              <w:rPr>
                <w:rFonts w:ascii="宋体" w:hAnsi="宋体" w:cs="宋体" w:eastAsia="宋体" w:hint="default"/>
                <w:sz w:val="21"/>
                <w:szCs w:val="21"/>
              </w:rPr>
              <w:t>杨志平、廖倩文</w:t>
            </w:r>
          </w:p>
        </w:tc>
      </w:tr>
    </w:tbl>
    <w:p>
      <w:pPr>
        <w:spacing w:line="240" w:lineRule="auto" w:before="11"/>
        <w:rPr>
          <w:rFonts w:ascii="宋体" w:hAnsi="宋体" w:cs="宋体" w:eastAsia="宋体" w:hint="default"/>
          <w:b/>
          <w:bCs/>
          <w:sz w:val="24"/>
          <w:szCs w:val="24"/>
        </w:rPr>
      </w:pPr>
    </w:p>
    <w:p>
      <w:pPr>
        <w:pStyle w:val="Heading2"/>
        <w:spacing w:line="240" w:lineRule="auto" w:before="26"/>
        <w:ind w:left="0" w:right="0"/>
        <w:jc w:val="center"/>
        <w:rPr>
          <w:b w:val="0"/>
          <w:bCs w:val="0"/>
        </w:rPr>
      </w:pPr>
      <w:r>
        <w:rPr/>
        <w:t>审计报告正文</w:t>
      </w:r>
      <w:r>
        <w:rPr>
          <w:b w:val="0"/>
          <w:bCs w:val="0"/>
        </w:rPr>
      </w:r>
    </w:p>
    <w:p>
      <w:pPr>
        <w:spacing w:line="240" w:lineRule="auto" w:before="1"/>
        <w:rPr>
          <w:rFonts w:ascii="宋体" w:hAnsi="宋体" w:cs="宋体" w:eastAsia="宋体" w:hint="default"/>
          <w:b/>
          <w:bCs/>
          <w:sz w:val="29"/>
          <w:szCs w:val="29"/>
        </w:rPr>
      </w:pPr>
    </w:p>
    <w:p>
      <w:pPr>
        <w:pStyle w:val="Heading4"/>
        <w:spacing w:line="240" w:lineRule="auto" w:before="36"/>
        <w:ind w:right="0"/>
        <w:jc w:val="left"/>
        <w:rPr>
          <w:b w:val="0"/>
          <w:bCs w:val="0"/>
        </w:rPr>
      </w:pPr>
      <w:r>
        <w:rPr/>
        <w:t>广东华声电器股份有限公司全体股东：</w:t>
      </w:r>
      <w:r>
        <w:rPr>
          <w:b w:val="0"/>
          <w:bCs w:val="0"/>
        </w:rPr>
      </w:r>
    </w:p>
    <w:p>
      <w:pPr>
        <w:spacing w:line="240" w:lineRule="auto" w:before="9"/>
        <w:rPr>
          <w:rFonts w:ascii="宋体" w:hAnsi="宋体" w:cs="宋体" w:eastAsia="宋体" w:hint="default"/>
          <w:b/>
          <w:bCs/>
          <w:sz w:val="26"/>
          <w:szCs w:val="26"/>
        </w:rPr>
      </w:pPr>
    </w:p>
    <w:p>
      <w:pPr>
        <w:pStyle w:val="BodyText"/>
        <w:spacing w:line="256" w:lineRule="auto"/>
        <w:ind w:right="148" w:firstLine="420"/>
        <w:jc w:val="both"/>
      </w:pPr>
      <w:r>
        <w:rPr>
          <w:spacing w:val="-2"/>
        </w:rPr>
        <w:t>我们审计了后附的广东华声电器股份有限公司（以下简称贵公司）财务报表，包括</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w:t>
      </w:r>
      <w:r>
        <w:rPr>
          <w:spacing w:val="-3"/>
          <w:w w:val="100"/>
        </w:rPr>
        <w:t> </w:t>
      </w:r>
      <w:r>
        <w:rPr>
          <w:spacing w:val="-2"/>
        </w:rPr>
        <w:t>合并及公司资产负债表，</w:t>
      </w:r>
      <w:r>
        <w:rPr>
          <w:rFonts w:ascii="Times New Roman" w:hAnsi="Times New Roman" w:cs="Times New Roman" w:eastAsia="Times New Roman" w:hint="default"/>
          <w:spacing w:val="-2"/>
        </w:rPr>
        <w:t>2015</w:t>
      </w:r>
      <w:r>
        <w:rPr>
          <w:spacing w:val="-2"/>
        </w:rPr>
        <w:t>年度的合并及公司利润表、合并及公司现金流量表、合并及公司所有者权益</w:t>
      </w:r>
      <w:r>
        <w:rPr>
          <w:spacing w:val="-41"/>
        </w:rPr>
        <w:t> </w:t>
      </w:r>
      <w:r>
        <w:rPr>
          <w:spacing w:val="-41"/>
        </w:rPr>
      </w:r>
      <w:r>
        <w:rPr/>
        <w:t>变动表以及财务报表附注。</w:t>
      </w:r>
    </w:p>
    <w:p>
      <w:pPr>
        <w:pStyle w:val="BodyText"/>
        <w:spacing w:line="273" w:lineRule="auto" w:before="22"/>
        <w:ind w:left="573" w:right="0"/>
        <w:jc w:val="left"/>
      </w:pPr>
      <w:r>
        <w:rPr/>
        <w:t>一、管理层对财务报表的责任</w:t>
      </w:r>
      <w:r>
        <w:rPr>
          <w:w w:val="100"/>
        </w:rPr>
        <w:t> </w:t>
      </w:r>
      <w:r>
        <w:rPr>
          <w:spacing w:val="-2"/>
        </w:rPr>
        <w:t>编制和公允列报财务报表是贵公司管理层的责任。这种责任包括：（</w:t>
      </w:r>
      <w:r>
        <w:rPr>
          <w:rFonts w:ascii="Times New Roman" w:hAnsi="Times New Roman" w:cs="Times New Roman" w:eastAsia="Times New Roman" w:hint="default"/>
          <w:spacing w:val="-2"/>
        </w:rPr>
        <w:t>1</w:t>
      </w:r>
      <w:r>
        <w:rPr>
          <w:spacing w:val="-2"/>
        </w:rPr>
        <w:t>）按照企业会计准则的规定编</w:t>
      </w:r>
    </w:p>
    <w:p>
      <w:pPr>
        <w:pStyle w:val="BodyText"/>
        <w:spacing w:line="256" w:lineRule="auto"/>
        <w:ind w:right="0"/>
        <w:jc w:val="left"/>
      </w:pPr>
      <w:r>
        <w:rPr>
          <w:spacing w:val="-2"/>
        </w:rPr>
        <w:t>制财务报表，并使其实现公允反映；（</w:t>
      </w:r>
      <w:r>
        <w:rPr>
          <w:rFonts w:ascii="Times New Roman" w:hAnsi="Times New Roman" w:cs="Times New Roman" w:eastAsia="Times New Roman" w:hint="default"/>
          <w:spacing w:val="-2"/>
        </w:rPr>
        <w:t>2</w:t>
      </w:r>
      <w:r>
        <w:rPr>
          <w:spacing w:val="-2"/>
        </w:rPr>
        <w:t>）设计、执行和维护必要的内部控制，以使财务报表不存在由于</w:t>
      </w:r>
      <w:r>
        <w:rPr>
          <w:spacing w:val="-22"/>
        </w:rPr>
        <w:t> </w:t>
      </w:r>
      <w:r>
        <w:rPr>
          <w:spacing w:val="-22"/>
        </w:rPr>
      </w:r>
      <w:r>
        <w:rPr/>
        <w:t>舞弊或错误导致的重大错报。</w:t>
      </w:r>
    </w:p>
    <w:p>
      <w:pPr>
        <w:pStyle w:val="BodyText"/>
        <w:spacing w:line="273" w:lineRule="auto" w:before="22"/>
        <w:ind w:left="573" w:right="0"/>
        <w:jc w:val="left"/>
      </w:pPr>
      <w:r>
        <w:rPr/>
        <w:t>二、注册会计师的责任</w:t>
      </w:r>
      <w:r>
        <w:rPr>
          <w:w w:val="100"/>
        </w:rPr>
        <w:t> </w:t>
      </w:r>
      <w:r>
        <w:rPr>
          <w:spacing w:val="-2"/>
        </w:rPr>
        <w:t>我们的责任是在执行审计工作的基础上对财务报表发表审计意见。我们按照中国注册会计师审计准则</w:t>
      </w:r>
    </w:p>
    <w:p>
      <w:pPr>
        <w:pStyle w:val="BodyText"/>
        <w:spacing w:line="273" w:lineRule="auto" w:before="7"/>
        <w:ind w:right="0"/>
        <w:jc w:val="left"/>
      </w:pPr>
      <w:r>
        <w:rPr>
          <w:spacing w:val="-2"/>
        </w:rPr>
        <w:t>的规定执行了审计工作。中国注册会计师审计准则要求我们遵守中国注册会计师职业道德守则，计划和执</w:t>
      </w:r>
      <w:r>
        <w:rPr>
          <w:spacing w:val="-42"/>
        </w:rPr>
        <w:t> </w:t>
      </w:r>
      <w:r>
        <w:rPr>
          <w:spacing w:val="-42"/>
        </w:rPr>
      </w:r>
      <w:r>
        <w:rPr/>
        <w:t>行审计工作以对财务报表是否不存在重大错报获取合理保证。</w:t>
      </w:r>
    </w:p>
    <w:p>
      <w:pPr>
        <w:pStyle w:val="BodyText"/>
        <w:spacing w:line="273" w:lineRule="auto" w:before="7"/>
        <w:ind w:right="146" w:firstLine="420"/>
        <w:jc w:val="both"/>
      </w:pPr>
      <w:r>
        <w:rPr>
          <w:spacing w:val="-2"/>
        </w:rPr>
        <w:t>审计工作涉及实施审计程序，以获取有关财务报表金额和披露的审计证据。选择的审计程序取决于注</w:t>
      </w:r>
      <w:r>
        <w:rPr>
          <w:w w:val="100"/>
        </w:rPr>
        <w:t> </w:t>
      </w:r>
      <w:r>
        <w:rPr>
          <w:spacing w:val="-2"/>
        </w:rPr>
        <w:t>册会计师的判断，包括对由于舞弊或错误导致的财务报表重大错报风险的评估。在进行风险评估时，注册</w:t>
      </w:r>
      <w:r>
        <w:rPr>
          <w:spacing w:val="-43"/>
        </w:rPr>
        <w:t> </w:t>
      </w:r>
      <w:r>
        <w:rPr>
          <w:spacing w:val="-43"/>
        </w:rPr>
      </w:r>
      <w:r>
        <w:rPr>
          <w:spacing w:val="-2"/>
        </w:rPr>
        <w:t>会计师考虑与财务报表编制和公允列报相关的内部控制，以设计恰当的审计程序，但目的并非对内部控制</w:t>
      </w:r>
      <w:r>
        <w:rPr>
          <w:spacing w:val="-42"/>
        </w:rPr>
        <w:t> </w:t>
      </w:r>
      <w:r>
        <w:rPr>
          <w:spacing w:val="-42"/>
        </w:rPr>
      </w:r>
      <w:r>
        <w:rPr>
          <w:spacing w:val="-2"/>
        </w:rPr>
        <w:t>的有效性发表意见。审计工作还包括评价管理层选用会计政策的恰当性和作出会计估计的合理性，以及评</w:t>
      </w:r>
      <w:r>
        <w:rPr>
          <w:spacing w:val="-42"/>
        </w:rPr>
        <w:t> </w:t>
      </w:r>
      <w:r>
        <w:rPr>
          <w:spacing w:val="-42"/>
        </w:rPr>
      </w:r>
      <w:r>
        <w:rPr/>
        <w:t>价财务报表的总体列报。</w:t>
      </w:r>
    </w:p>
    <w:p>
      <w:pPr>
        <w:pStyle w:val="BodyText"/>
        <w:spacing w:line="273" w:lineRule="auto" w:before="7"/>
        <w:ind w:left="573" w:right="1634"/>
        <w:jc w:val="left"/>
      </w:pPr>
      <w:r>
        <w:rPr>
          <w:spacing w:val="-2"/>
        </w:rPr>
        <w:t>我们相信，我们获取的审计证据是充分、适当的，为发表审计意见提供了基础。</w:t>
      </w:r>
      <w:r>
        <w:rPr>
          <w:spacing w:val="-38"/>
        </w:rPr>
        <w:t> </w:t>
      </w:r>
      <w:r>
        <w:rPr>
          <w:spacing w:val="-38"/>
        </w:rPr>
      </w:r>
      <w:r>
        <w:rPr/>
        <w:t>三、审计意见</w:t>
      </w:r>
    </w:p>
    <w:p>
      <w:pPr>
        <w:pStyle w:val="BodyText"/>
        <w:spacing w:line="240" w:lineRule="auto" w:before="7"/>
        <w:ind w:left="573" w:right="0"/>
        <w:jc w:val="left"/>
      </w:pPr>
      <w:r>
        <w:rPr/>
        <w:t>我们认为，贵公司财务报表在所有重大方面按照企业会计准则的规定编制，公允反映了贵公司</w:t>
      </w:r>
      <w:r>
        <w:rPr>
          <w:rFonts w:ascii="Times New Roman" w:hAnsi="Times New Roman" w:cs="Times New Roman" w:eastAsia="Times New Roman" w:hint="default"/>
        </w:rPr>
        <w:t>2015</w:t>
      </w:r>
      <w:r>
        <w:rPr/>
        <w:t>年</w:t>
      </w:r>
    </w:p>
    <w:p>
      <w:pPr>
        <w:pStyle w:val="BodyText"/>
        <w:spacing w:line="240" w:lineRule="auto" w:before="21"/>
        <w:ind w:right="0"/>
        <w:jc w:val="left"/>
      </w:pP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日的合并及公司财务状况以及</w:t>
      </w:r>
      <w:r>
        <w:rPr>
          <w:rFonts w:ascii="Times New Roman" w:hAnsi="Times New Roman" w:cs="Times New Roman" w:eastAsia="Times New Roman" w:hint="default"/>
        </w:rPr>
        <w:t>2015</w:t>
      </w:r>
      <w:r>
        <w:rPr/>
        <w:t>年度的合并及公司经营成果和现金流量。</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7"/>
          <w:szCs w:val="27"/>
        </w:rPr>
      </w:pPr>
    </w:p>
    <w:p>
      <w:pPr>
        <w:pStyle w:val="BodyText"/>
        <w:tabs>
          <w:tab w:pos="6034" w:val="left" w:leader="none"/>
        </w:tabs>
        <w:spacing w:line="240" w:lineRule="auto"/>
        <w:ind w:left="784" w:right="0"/>
        <w:jc w:val="left"/>
      </w:pPr>
      <w:r>
        <w:rPr>
          <w:spacing w:val="-2"/>
        </w:rPr>
        <w:t>立信会计师事务所</w:t>
        <w:tab/>
        <w:t>中国注册会计师：杨志平</w:t>
      </w:r>
    </w:p>
    <w:p>
      <w:pPr>
        <w:pStyle w:val="BodyText"/>
        <w:tabs>
          <w:tab w:pos="5964" w:val="left" w:leader="none"/>
        </w:tabs>
        <w:spacing w:line="544" w:lineRule="auto" w:before="37"/>
        <w:ind w:left="993" w:right="1634" w:hanging="315"/>
        <w:jc w:val="left"/>
      </w:pPr>
      <w:r>
        <w:rPr>
          <w:spacing w:val="-2"/>
        </w:rPr>
        <w:t>（特殊普通合伙）</w:t>
        <w:tab/>
        <w:t>中国注册会计师：廖倩文</w:t>
      </w:r>
      <w:r>
        <w:rPr>
          <w:spacing w:val="-85"/>
        </w:rPr>
        <w:t> </w:t>
      </w:r>
      <w:r>
        <w:rPr>
          <w:spacing w:val="-85"/>
        </w:rPr>
      </w:r>
      <w:r>
        <w:rPr>
          <w:spacing w:val="-1"/>
        </w:rPr>
        <w:t>中国</w:t>
      </w:r>
      <w:r>
        <w:rPr>
          <w:rFonts w:ascii="Times New Roman" w:hAnsi="Times New Roman" w:cs="Times New Roman" w:eastAsia="Times New Roman" w:hint="default"/>
          <w:spacing w:val="-1"/>
        </w:rPr>
        <w:t>•</w:t>
      </w:r>
      <w:r>
        <w:rPr>
          <w:spacing w:val="-1"/>
        </w:rPr>
        <w:t>上海</w:t>
        <w:tab/>
      </w:r>
      <w:r>
        <w:rPr>
          <w:spacing w:val="-2"/>
        </w:rPr>
        <w:t>二〇一六年四月二十一日</w:t>
      </w:r>
    </w:p>
    <w:p>
      <w:pPr>
        <w:spacing w:after="0" w:line="544" w:lineRule="auto"/>
        <w:jc w:val="left"/>
        <w:sectPr>
          <w:pgSz w:w="11910" w:h="16840"/>
          <w:pgMar w:header="877" w:footer="979" w:top="1060" w:bottom="1160" w:left="980" w:right="98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p>
      <w:pPr>
        <w:spacing w:line="511" w:lineRule="auto" w:before="26"/>
        <w:ind w:left="152" w:right="5216" w:firstLine="0"/>
        <w:jc w:val="left"/>
        <w:rPr>
          <w:rFonts w:ascii="宋体" w:hAnsi="宋体" w:cs="宋体" w:eastAsia="宋体" w:hint="default"/>
          <w:sz w:val="21"/>
          <w:szCs w:val="21"/>
        </w:rPr>
      </w:pPr>
      <w:r>
        <w:rPr>
          <w:rFonts w:ascii="宋体" w:hAnsi="宋体" w:cs="宋体" w:eastAsia="宋体" w:hint="default"/>
          <w:b/>
          <w:bCs/>
          <w:sz w:val="24"/>
          <w:szCs w:val="24"/>
        </w:rPr>
        <w:t>二、财务报表</w:t>
      </w:r>
      <w:r>
        <w:rPr>
          <w:rFonts w:ascii="宋体" w:hAnsi="宋体" w:cs="宋体" w:eastAsia="宋体" w:hint="default"/>
          <w:b/>
          <w:bCs/>
          <w:w w:val="99"/>
          <w:sz w:val="24"/>
          <w:szCs w:val="24"/>
        </w:rPr>
        <w:t> </w:t>
      </w:r>
      <w:r>
        <w:rPr>
          <w:rFonts w:ascii="宋体" w:hAnsi="宋体" w:cs="宋体" w:eastAsia="宋体" w:hint="default"/>
          <w:spacing w:val="-2"/>
          <w:sz w:val="21"/>
          <w:szCs w:val="21"/>
        </w:rPr>
        <w:t>财务附注中报表的单位为：人民币元</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、合并资产负债表</w:t>
      </w:r>
      <w:r>
        <w:rPr>
          <w:rFonts w:ascii="宋体" w:hAnsi="宋体" w:cs="宋体" w:eastAsia="宋体" w:hint="default"/>
          <w:sz w:val="21"/>
          <w:szCs w:val="21"/>
        </w:rPr>
      </w:r>
    </w:p>
    <w:p>
      <w:pPr>
        <w:pStyle w:val="BodyText"/>
        <w:spacing w:line="240" w:lineRule="auto" w:before="61"/>
        <w:ind w:right="0"/>
        <w:jc w:val="left"/>
      </w:pPr>
      <w:r>
        <w:rPr/>
        <w:t>编制单位：广东华声电器股份有限公司</w:t>
      </w:r>
    </w:p>
    <w:p>
      <w:pPr>
        <w:pStyle w:val="BodyText"/>
        <w:spacing w:line="240" w:lineRule="auto" w:before="78"/>
        <w:ind w:left="0" w:right="239"/>
        <w:jc w:val="right"/>
      </w:pPr>
      <w:r>
        <w:rPr>
          <w:spacing w:val="-1"/>
        </w:rPr>
        <w:t>单位：元</w:t>
      </w:r>
    </w:p>
    <w:p>
      <w:pPr>
        <w:spacing w:line="240" w:lineRule="auto" w:before="11"/>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5933"/>
        <w:gridCol w:w="1819"/>
        <w:gridCol w:w="1807"/>
      </w:tblGrid>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90"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8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79" w:right="0"/>
              <w:jc w:val="left"/>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81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0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8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64,125,510.44</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93,892,442.54</w:t>
            </w: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1819"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1819"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以公允价值计量且其变动计入当期损益的金融资产</w:t>
            </w:r>
          </w:p>
        </w:tc>
        <w:tc>
          <w:tcPr>
            <w:tcW w:w="1819"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1819"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8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190,430,774.17</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288,888,119.30</w:t>
            </w: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8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298,181,657.77</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6"/>
              <w:jc w:val="right"/>
              <w:rPr>
                <w:rFonts w:ascii="Times New Roman" w:hAnsi="Times New Roman" w:cs="Times New Roman" w:eastAsia="Times New Roman" w:hint="default"/>
                <w:sz w:val="21"/>
                <w:szCs w:val="21"/>
              </w:rPr>
            </w:pPr>
            <w:r>
              <w:rPr>
                <w:rFonts w:ascii="Times New Roman"/>
                <w:spacing w:val="-2"/>
                <w:sz w:val="21"/>
              </w:rPr>
              <w:t>357,542,111.51</w:t>
            </w: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8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8,104,244.02</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2"/>
                <w:sz w:val="21"/>
              </w:rPr>
              <w:t>11,602,677.09</w:t>
            </w: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1819"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1819"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1819"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819"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819"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8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2"/>
                <w:sz w:val="21"/>
              </w:rPr>
              <w:t>1,811,234.58</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975,243.37</w:t>
            </w: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1819"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pacing w:val="-3"/>
                <w:sz w:val="21"/>
                <w:szCs w:val="21"/>
              </w:rPr>
              <w:t>存货</w:t>
            </w:r>
            <w:r>
              <w:rPr>
                <w:rFonts w:ascii="宋体" w:hAnsi="宋体" w:cs="宋体" w:eastAsia="宋体" w:hint="default"/>
                <w:sz w:val="21"/>
                <w:szCs w:val="21"/>
              </w:rPr>
            </w:r>
          </w:p>
        </w:tc>
        <w:tc>
          <w:tcPr>
            <w:tcW w:w="18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122,513,629.38</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226,982,702.27</w:t>
            </w: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划分为持有待售的资产</w:t>
            </w:r>
          </w:p>
        </w:tc>
        <w:tc>
          <w:tcPr>
            <w:tcW w:w="1819"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1819"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8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4,149,817.19</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12,957,389.72</w:t>
            </w: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8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689,316,867.55</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992,840,685.80</w:t>
            </w: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81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0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发放贷款及垫款</w:t>
            </w:r>
          </w:p>
        </w:tc>
        <w:tc>
          <w:tcPr>
            <w:tcW w:w="1819"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819"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819"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819"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5933"/>
        <w:gridCol w:w="1819"/>
        <w:gridCol w:w="1807"/>
      </w:tblGrid>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819"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819"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8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301,566,266.83</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308,736,521.98</w:t>
            </w: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8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9,327,951.85</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12,773,667.35</w:t>
            </w: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819"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1819"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819"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819"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8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35,808,012.88</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36,821,747.72</w:t>
            </w:r>
          </w:p>
        </w:tc>
      </w:tr>
      <w:tr>
        <w:trPr>
          <w:trHeight w:val="403"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819"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pacing w:val="-3"/>
                <w:sz w:val="21"/>
                <w:szCs w:val="21"/>
              </w:rPr>
              <w:t>商誉</w:t>
            </w:r>
            <w:r>
              <w:rPr>
                <w:rFonts w:ascii="宋体" w:hAnsi="宋体" w:cs="宋体" w:eastAsia="宋体" w:hint="default"/>
                <w:sz w:val="21"/>
                <w:szCs w:val="21"/>
              </w:rPr>
            </w:r>
          </w:p>
        </w:tc>
        <w:tc>
          <w:tcPr>
            <w:tcW w:w="1819"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8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5,831,321.82</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2,764,609.57</w:t>
            </w: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8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941,098.95</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664,239.97</w:t>
            </w: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8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2,090,012.25</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3,733,705.68</w:t>
            </w: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8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355,564,664.58</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365,494,492.27</w:t>
            </w: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8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1,044,881,532.13</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1,358,335,178.07</w:t>
            </w: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81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0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8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30,000,000.00</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122,500,000.00</w:t>
            </w: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1819"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1819"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1819"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以公允价值计量且其变动计入当期损益的金融负债</w:t>
            </w:r>
          </w:p>
        </w:tc>
        <w:tc>
          <w:tcPr>
            <w:tcW w:w="1819"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1819"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8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116,873,274.27</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194,645,116.97</w:t>
            </w: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8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79,435,487.56</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128,309,490.73</w:t>
            </w: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8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2,352,802.35</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1,577,339.55</w:t>
            </w:r>
          </w:p>
        </w:tc>
      </w:tr>
      <w:tr>
        <w:trPr>
          <w:trHeight w:val="403"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1819"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1819"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8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2"/>
                <w:sz w:val="21"/>
              </w:rPr>
              <w:t>11,338,035.82</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16,647,488.72</w:t>
            </w: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8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16,464,221.95</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2"/>
                <w:sz w:val="21"/>
              </w:rPr>
              <w:t>12,113,406.12</w:t>
            </w: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8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40,437.00</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226,183.33</w:t>
            </w: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819"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8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7,578,406.88</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5,222,258.00</w:t>
            </w: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1819"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5933"/>
        <w:gridCol w:w="1819"/>
        <w:gridCol w:w="1807"/>
      </w:tblGrid>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1819"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1819"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1819"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划分为持有待售的负债</w:t>
            </w:r>
          </w:p>
        </w:tc>
        <w:tc>
          <w:tcPr>
            <w:tcW w:w="1819"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1819"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25,000,000.00</w:t>
            </w: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819"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8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264,082,665.83</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506,241,283.42</w:t>
            </w: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81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0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819"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25,000,000.00</w:t>
            </w:r>
          </w:p>
        </w:tc>
      </w:tr>
      <w:tr>
        <w:trPr>
          <w:trHeight w:val="403"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819"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43"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1819"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74"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1819"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819"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1819"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1819"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819"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8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1,670,000.00</w:t>
            </w: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8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658,968.56</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669,197.01</w:t>
            </w: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819"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8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2,328,968.56</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25,669,197.01</w:t>
            </w: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8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266,411,634.39</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531,910,480.43</w:t>
            </w: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宋体" w:hAnsi="宋体" w:cs="宋体" w:eastAsia="宋体" w:hint="default"/>
                <w:sz w:val="21"/>
                <w:szCs w:val="21"/>
              </w:rPr>
              <w:t>所有者权益：</w:t>
            </w:r>
          </w:p>
        </w:tc>
        <w:tc>
          <w:tcPr>
            <w:tcW w:w="181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0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pacing w:val="-3"/>
                <w:sz w:val="21"/>
                <w:szCs w:val="21"/>
              </w:rPr>
              <w:t>股本</w:t>
            </w:r>
            <w:r>
              <w:rPr>
                <w:rFonts w:ascii="宋体" w:hAnsi="宋体" w:cs="宋体" w:eastAsia="宋体" w:hint="default"/>
                <w:sz w:val="21"/>
                <w:szCs w:val="21"/>
              </w:rPr>
            </w:r>
          </w:p>
        </w:tc>
        <w:tc>
          <w:tcPr>
            <w:tcW w:w="18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200,000,000.00</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200,000,000.00</w:t>
            </w: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1819"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43"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1819"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74"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1819"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8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429,089,779.67</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429,089,779.67</w:t>
            </w: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819"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1819"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819"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8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32,819,438.83</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32,210,413.29</w:t>
            </w: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1819"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8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110,678,933.94</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165,124,504.68</w:t>
            </w: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宋体" w:hAnsi="宋体" w:cs="宋体" w:eastAsia="宋体" w:hint="default"/>
                <w:sz w:val="21"/>
                <w:szCs w:val="21"/>
              </w:rPr>
              <w:t>归属于母公司所有者权益合计</w:t>
            </w:r>
          </w:p>
        </w:tc>
        <w:tc>
          <w:tcPr>
            <w:tcW w:w="18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772,588,152.44</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826,424,697.64</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944"/>
        <w:gridCol w:w="1819"/>
        <w:gridCol w:w="1807"/>
      </w:tblGrid>
      <w:tr>
        <w:trPr>
          <w:trHeight w:val="402" w:hRule="exact"/>
        </w:trPr>
        <w:tc>
          <w:tcPr>
            <w:tcW w:w="5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5"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8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5,881,745.30</w:t>
            </w: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2"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18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778,469,897.74</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826,424,697.64</w:t>
            </w:r>
          </w:p>
        </w:tc>
      </w:tr>
      <w:tr>
        <w:trPr>
          <w:trHeight w:val="402" w:hRule="exact"/>
        </w:trPr>
        <w:tc>
          <w:tcPr>
            <w:tcW w:w="5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18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1,044,881,532.13</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1,358,335,178.07</w:t>
            </w:r>
          </w:p>
        </w:tc>
      </w:tr>
    </w:tbl>
    <w:p>
      <w:pPr>
        <w:spacing w:line="240" w:lineRule="auto" w:before="11"/>
        <w:rPr>
          <w:rFonts w:ascii="Times New Roman" w:hAnsi="Times New Roman" w:cs="Times New Roman" w:eastAsia="Times New Roman" w:hint="default"/>
          <w:sz w:val="21"/>
          <w:szCs w:val="21"/>
        </w:rPr>
      </w:pPr>
    </w:p>
    <w:p>
      <w:pPr>
        <w:pStyle w:val="BodyText"/>
        <w:tabs>
          <w:tab w:pos="3360" w:val="left" w:leader="none"/>
          <w:tab w:pos="7456" w:val="left" w:leader="none"/>
        </w:tabs>
        <w:spacing w:line="240" w:lineRule="auto" w:before="36"/>
        <w:ind w:left="0" w:right="232"/>
        <w:jc w:val="right"/>
      </w:pPr>
      <w:r>
        <w:rPr>
          <w:spacing w:val="-2"/>
        </w:rPr>
        <w:t>法定代表人：杜力</w:t>
        <w:tab/>
        <w:t>主管会计工作负责人：赵岑</w:t>
        <w:tab/>
        <w:t>会计机构负责人：林森</w:t>
      </w:r>
    </w:p>
    <w:p>
      <w:pPr>
        <w:spacing w:line="240" w:lineRule="auto" w:before="8"/>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left="0" w:right="148"/>
        <w:jc w:val="right"/>
      </w:pPr>
      <w:r>
        <w:rPr>
          <w:spacing w:val="-1"/>
        </w:rPr>
        <w:t>单位：元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5933"/>
        <w:gridCol w:w="1819"/>
        <w:gridCol w:w="1807"/>
      </w:tblGrid>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90"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8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79" w:right="0"/>
              <w:jc w:val="left"/>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3"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81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0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8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47,990,675.16</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64,479,087.15</w:t>
            </w: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以公允价值计量且其变动计入当期损益的金融资产</w:t>
            </w:r>
          </w:p>
        </w:tc>
        <w:tc>
          <w:tcPr>
            <w:tcW w:w="1819"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1819"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8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158,976,986.93</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273,400,180.75</w:t>
            </w: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8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193,504,674.44</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355,166,756.11</w:t>
            </w: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8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2"/>
                <w:sz w:val="21"/>
              </w:rPr>
              <w:t>6,399,119.87</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10,944,883.42</w:t>
            </w: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819"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819"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8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2"/>
                <w:sz w:val="21"/>
              </w:rPr>
              <w:t>46,915,511.25</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360,539.80</w:t>
            </w: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pacing w:val="-3"/>
                <w:sz w:val="21"/>
                <w:szCs w:val="21"/>
              </w:rPr>
              <w:t>存货</w:t>
            </w:r>
            <w:r>
              <w:rPr>
                <w:rFonts w:ascii="宋体" w:hAnsi="宋体" w:cs="宋体" w:eastAsia="宋体" w:hint="default"/>
                <w:sz w:val="21"/>
                <w:szCs w:val="21"/>
              </w:rPr>
            </w:r>
          </w:p>
        </w:tc>
        <w:tc>
          <w:tcPr>
            <w:tcW w:w="18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77,339,238.01</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172,595,132.47</w:t>
            </w: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划分为持有待售的资产</w:t>
            </w:r>
          </w:p>
        </w:tc>
        <w:tc>
          <w:tcPr>
            <w:tcW w:w="1819"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1819"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8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3,597,930.72</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12,957,389.72</w:t>
            </w: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8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534,724,136.38</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889,903,969.42</w:t>
            </w: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81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0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819"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819"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819"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8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141,112,700.00</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129,012,700.00</w:t>
            </w: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8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16,044,334.73</w:t>
            </w: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8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194,864,856.10</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218,174,952.86</w:t>
            </w: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8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3,327,823.65</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2"/>
                <w:sz w:val="21"/>
              </w:rPr>
              <w:t>11,699,000.68</w:t>
            </w: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819"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1819"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819"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5933"/>
        <w:gridCol w:w="1819"/>
        <w:gridCol w:w="1807"/>
      </w:tblGrid>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819"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8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8,182,550.95</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8,548,900.55</w:t>
            </w: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819"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pacing w:val="-3"/>
                <w:sz w:val="21"/>
                <w:szCs w:val="21"/>
              </w:rPr>
              <w:t>商誉</w:t>
            </w:r>
            <w:r>
              <w:rPr>
                <w:rFonts w:ascii="宋体" w:hAnsi="宋体" w:cs="宋体" w:eastAsia="宋体" w:hint="default"/>
                <w:sz w:val="21"/>
                <w:szCs w:val="21"/>
              </w:rPr>
            </w:r>
          </w:p>
        </w:tc>
        <w:tc>
          <w:tcPr>
            <w:tcW w:w="1819"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8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2"/>
                <w:sz w:val="21"/>
              </w:rPr>
              <w:t>5,119,763.05</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2,365,847.28</w:t>
            </w: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8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788,975.38</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560,535.97</w:t>
            </w: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8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67,288.60</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3,512,191.15</w:t>
            </w: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8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369,508,292.46</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373,874,128.49</w:t>
            </w: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8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904,232,428.84</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1,263,778,097.91</w:t>
            </w:r>
          </w:p>
        </w:tc>
      </w:tr>
      <w:tr>
        <w:trPr>
          <w:trHeight w:val="403"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81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0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819"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102,500,000.00</w:t>
            </w: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以公允价值计量且其变动计入当期损益的金融负债</w:t>
            </w:r>
          </w:p>
        </w:tc>
        <w:tc>
          <w:tcPr>
            <w:tcW w:w="1819"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1819"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8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116,873,274.27</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161,144,346.46</w:t>
            </w: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8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56,472,268.74</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172,045,948.61</w:t>
            </w: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8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1,553,874.50</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1,489,124.58</w:t>
            </w: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8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4,680,577.41</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12,322,708.77</w:t>
            </w: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8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4,321,451.08</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3,872,185.72</w:t>
            </w: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819"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226,183.33</w:t>
            </w: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819"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8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7,280,790.29</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4,934,171.20</w:t>
            </w: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划分为持有待售的负债</w:t>
            </w:r>
          </w:p>
        </w:tc>
        <w:tc>
          <w:tcPr>
            <w:tcW w:w="1819"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1819"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20,000,000.00</w:t>
            </w: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819"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8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191,182,236.29</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478,534,668.67</w:t>
            </w: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81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0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819"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819"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43"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1819"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74"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1819"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819"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1819"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1819"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819"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5933"/>
        <w:gridCol w:w="1819"/>
        <w:gridCol w:w="1807"/>
      </w:tblGrid>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8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1,670,000.00</w:t>
            </w: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8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377,045.95</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330,538.02</w:t>
            </w: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819"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8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2,047,045.95</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330,538.02</w:t>
            </w: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8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193,229,282.24</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478,865,206.69</w:t>
            </w: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宋体" w:hAnsi="宋体" w:cs="宋体" w:eastAsia="宋体" w:hint="default"/>
                <w:sz w:val="21"/>
                <w:szCs w:val="21"/>
              </w:rPr>
              <w:t>所有者权益：</w:t>
            </w:r>
          </w:p>
        </w:tc>
        <w:tc>
          <w:tcPr>
            <w:tcW w:w="181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0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pacing w:val="-3"/>
                <w:sz w:val="21"/>
                <w:szCs w:val="21"/>
              </w:rPr>
              <w:t>股本</w:t>
            </w:r>
            <w:r>
              <w:rPr>
                <w:rFonts w:ascii="宋体" w:hAnsi="宋体" w:cs="宋体" w:eastAsia="宋体" w:hint="default"/>
                <w:sz w:val="21"/>
                <w:szCs w:val="21"/>
              </w:rPr>
            </w:r>
          </w:p>
        </w:tc>
        <w:tc>
          <w:tcPr>
            <w:tcW w:w="18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200,000,000.00</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200,000,000.00</w:t>
            </w: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1819"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43"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1819"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74"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1819"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8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427,808,758.31</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427,808,758.31</w:t>
            </w: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819"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1819"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819"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8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32,819,438.83</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32,210,413.29</w:t>
            </w: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8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50,374,949.46</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124,893,719.62</w:t>
            </w: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18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711,003,146.60</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784,912,891.22</w:t>
            </w: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18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904,232,428.84</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1,263,778,097.91</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0"/>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left="0" w:right="254"/>
        <w:jc w:val="right"/>
      </w:pPr>
      <w:r>
        <w:rPr>
          <w:spacing w:val="-1"/>
        </w:rPr>
        <w:t>单位：元</w:t>
      </w:r>
    </w:p>
    <w:p>
      <w:pPr>
        <w:spacing w:line="240" w:lineRule="auto" w:before="11"/>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5933"/>
        <w:gridCol w:w="1816"/>
        <w:gridCol w:w="1807"/>
      </w:tblGrid>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38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8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374"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18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1,049,493,193.33</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04" w:right="0"/>
              <w:jc w:val="left"/>
              <w:rPr>
                <w:rFonts w:ascii="Times New Roman" w:hAnsi="Times New Roman" w:cs="Times New Roman" w:eastAsia="Times New Roman" w:hint="default"/>
                <w:sz w:val="21"/>
                <w:szCs w:val="21"/>
              </w:rPr>
            </w:pPr>
            <w:r>
              <w:rPr>
                <w:rFonts w:ascii="Times New Roman"/>
                <w:sz w:val="21"/>
              </w:rPr>
              <w:t>1,497,070,161.20</w:t>
            </w: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18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1,049,493,193.33</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04" w:right="0"/>
              <w:jc w:val="left"/>
              <w:rPr>
                <w:rFonts w:ascii="Times New Roman" w:hAnsi="Times New Roman" w:cs="Times New Roman" w:eastAsia="Times New Roman" w:hint="default"/>
                <w:sz w:val="21"/>
                <w:szCs w:val="21"/>
              </w:rPr>
            </w:pPr>
            <w:r>
              <w:rPr>
                <w:rFonts w:ascii="Times New Roman"/>
                <w:sz w:val="21"/>
              </w:rPr>
              <w:t>1,497,070,161.20</w:t>
            </w: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63"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1816"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063"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1816"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063"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1816"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18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1,023,176,847.88</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04" w:right="0"/>
              <w:jc w:val="left"/>
              <w:rPr>
                <w:rFonts w:ascii="Times New Roman" w:hAnsi="Times New Roman" w:cs="Times New Roman" w:eastAsia="Times New Roman" w:hint="default"/>
                <w:sz w:val="21"/>
                <w:szCs w:val="21"/>
              </w:rPr>
            </w:pPr>
            <w:r>
              <w:rPr>
                <w:rFonts w:ascii="Times New Roman"/>
                <w:sz w:val="21"/>
              </w:rPr>
              <w:t>1,386,120,840.56</w:t>
            </w: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18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906,896,335.09</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04" w:right="0"/>
              <w:jc w:val="left"/>
              <w:rPr>
                <w:rFonts w:ascii="Times New Roman" w:hAnsi="Times New Roman" w:cs="Times New Roman" w:eastAsia="Times New Roman" w:hint="default"/>
                <w:sz w:val="21"/>
                <w:szCs w:val="21"/>
              </w:rPr>
            </w:pPr>
            <w:r>
              <w:rPr>
                <w:rFonts w:ascii="Times New Roman"/>
                <w:sz w:val="21"/>
              </w:rPr>
              <w:t>1,259,313,643.96</w:t>
            </w: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063"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1816"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63" w:right="0"/>
              <w:jc w:val="lef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1816"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063"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1816"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63"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1816"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063" w:right="0"/>
              <w:jc w:val="left"/>
              <w:rPr>
                <w:rFonts w:ascii="宋体" w:hAnsi="宋体" w:cs="宋体" w:eastAsia="宋体" w:hint="default"/>
                <w:sz w:val="21"/>
                <w:szCs w:val="21"/>
              </w:rPr>
            </w:pPr>
            <w:r>
              <w:rPr>
                <w:rFonts w:ascii="宋体" w:hAnsi="宋体" w:cs="宋体" w:eastAsia="宋体" w:hint="default"/>
                <w:sz w:val="21"/>
                <w:szCs w:val="21"/>
              </w:rPr>
              <w:t>提取保险合同准备金净额</w:t>
            </w:r>
          </w:p>
        </w:tc>
        <w:tc>
          <w:tcPr>
            <w:tcW w:w="1816"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944"/>
        <w:gridCol w:w="1816"/>
        <w:gridCol w:w="1807"/>
      </w:tblGrid>
      <w:tr>
        <w:trPr>
          <w:trHeight w:val="402" w:hRule="exact"/>
        </w:trPr>
        <w:tc>
          <w:tcPr>
            <w:tcW w:w="5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74"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1816"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074"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1816"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74"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8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6,052,400.05</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6,494,701.60</w:t>
            </w:r>
          </w:p>
        </w:tc>
      </w:tr>
      <w:tr>
        <w:trPr>
          <w:trHeight w:val="402" w:hRule="exact"/>
        </w:trPr>
        <w:tc>
          <w:tcPr>
            <w:tcW w:w="5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074"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8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25,361,276.40</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30,135,967.91</w:t>
            </w:r>
          </w:p>
        </w:tc>
      </w:tr>
      <w:tr>
        <w:trPr>
          <w:trHeight w:val="402" w:hRule="exact"/>
        </w:trPr>
        <w:tc>
          <w:tcPr>
            <w:tcW w:w="5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74"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8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60,792,140.43</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53,982,103.98</w:t>
            </w:r>
          </w:p>
        </w:tc>
      </w:tr>
      <w:tr>
        <w:trPr>
          <w:trHeight w:val="402" w:hRule="exact"/>
        </w:trPr>
        <w:tc>
          <w:tcPr>
            <w:tcW w:w="5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074"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8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21,285,621.15</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32,749,780.32</w:t>
            </w:r>
          </w:p>
        </w:tc>
      </w:tr>
      <w:tr>
        <w:trPr>
          <w:trHeight w:val="402" w:hRule="exact"/>
        </w:trPr>
        <w:tc>
          <w:tcPr>
            <w:tcW w:w="5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74"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8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2,789,074.76</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3,444,642.79</w:t>
            </w:r>
          </w:p>
        </w:tc>
      </w:tr>
      <w:tr>
        <w:trPr>
          <w:trHeight w:val="402" w:hRule="exact"/>
        </w:trPr>
        <w:tc>
          <w:tcPr>
            <w:tcW w:w="5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45" w:right="0"/>
              <w:jc w:val="left"/>
              <w:rPr>
                <w:rFonts w:ascii="宋体" w:hAnsi="宋体" w:cs="宋体" w:eastAsia="宋体" w:hint="default"/>
                <w:sz w:val="21"/>
                <w:szCs w:val="21"/>
              </w:rPr>
            </w:pPr>
            <w:r>
              <w:rPr>
                <w:rFonts w:ascii="宋体" w:hAnsi="宋体" w:cs="宋体" w:eastAsia="宋体" w:hint="default"/>
                <w:sz w:val="21"/>
                <w:szCs w:val="21"/>
              </w:rPr>
              <w:t>加：公允价值变动收益（损失以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816"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65" w:right="0"/>
              <w:jc w:val="left"/>
              <w:rPr>
                <w:rFonts w:ascii="宋体" w:hAnsi="宋体" w:cs="宋体" w:eastAsia="宋体" w:hint="default"/>
                <w:sz w:val="21"/>
                <w:szCs w:val="21"/>
              </w:rPr>
            </w:pPr>
            <w:r>
              <w:rPr>
                <w:rFonts w:ascii="宋体" w:hAnsi="宋体" w:cs="宋体" w:eastAsia="宋体" w:hint="default"/>
                <w:sz w:val="21"/>
                <w:szCs w:val="21"/>
              </w:rPr>
              <w:t>投资收益（损失以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816"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865" w:right="0"/>
              <w:jc w:val="left"/>
              <w:rPr>
                <w:rFonts w:ascii="宋体" w:hAnsi="宋体" w:cs="宋体" w:eastAsia="宋体" w:hint="default"/>
                <w:sz w:val="21"/>
                <w:szCs w:val="21"/>
              </w:rPr>
            </w:pPr>
            <w:r>
              <w:rPr>
                <w:rFonts w:ascii="宋体" w:hAnsi="宋体" w:cs="宋体" w:eastAsia="宋体" w:hint="default"/>
                <w:sz w:val="21"/>
                <w:szCs w:val="21"/>
              </w:rPr>
              <w:t>其中：对联营企业和合营企业的投资收益</w:t>
            </w:r>
          </w:p>
        </w:tc>
        <w:tc>
          <w:tcPr>
            <w:tcW w:w="1816"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65" w:right="0"/>
              <w:jc w:val="left"/>
              <w:rPr>
                <w:rFonts w:ascii="宋体" w:hAnsi="宋体" w:cs="宋体" w:eastAsia="宋体" w:hint="default"/>
                <w:sz w:val="21"/>
                <w:szCs w:val="21"/>
              </w:rPr>
            </w:pPr>
            <w:r>
              <w:rPr>
                <w:rFonts w:ascii="宋体" w:hAnsi="宋体" w:cs="宋体" w:eastAsia="宋体" w:hint="default"/>
                <w:sz w:val="21"/>
                <w:szCs w:val="21"/>
              </w:rPr>
              <w:t>汇兑收益（损失以</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816"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2" w:right="0"/>
              <w:jc w:val="left"/>
              <w:rPr>
                <w:rFonts w:ascii="宋体" w:hAnsi="宋体" w:cs="宋体" w:eastAsia="宋体" w:hint="default"/>
                <w:sz w:val="21"/>
                <w:szCs w:val="21"/>
              </w:rPr>
            </w:pPr>
            <w:r>
              <w:rPr>
                <w:rFonts w:ascii="宋体" w:hAnsi="宋体" w:cs="宋体" w:eastAsia="宋体" w:hint="default"/>
                <w:sz w:val="21"/>
                <w:szCs w:val="21"/>
              </w:rPr>
              <w:t>三、营业利润（亏损以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8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26,316,345.45</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110,949,320.64</w:t>
            </w:r>
          </w:p>
        </w:tc>
      </w:tr>
      <w:tr>
        <w:trPr>
          <w:trHeight w:val="402" w:hRule="exact"/>
        </w:trPr>
        <w:tc>
          <w:tcPr>
            <w:tcW w:w="5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5"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8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6,902,376.82</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2,023,853.98</w:t>
            </w:r>
          </w:p>
        </w:tc>
      </w:tr>
      <w:tr>
        <w:trPr>
          <w:trHeight w:val="402" w:hRule="exact"/>
        </w:trPr>
        <w:tc>
          <w:tcPr>
            <w:tcW w:w="5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865" w:right="0"/>
              <w:jc w:val="left"/>
              <w:rPr>
                <w:rFonts w:ascii="宋体" w:hAnsi="宋体" w:cs="宋体" w:eastAsia="宋体" w:hint="default"/>
                <w:sz w:val="21"/>
                <w:szCs w:val="21"/>
              </w:rPr>
            </w:pPr>
            <w:r>
              <w:rPr>
                <w:rFonts w:ascii="宋体" w:hAnsi="宋体" w:cs="宋体" w:eastAsia="宋体" w:hint="default"/>
                <w:sz w:val="21"/>
                <w:szCs w:val="21"/>
              </w:rPr>
              <w:t>其中：非流动资产处置利得</w:t>
            </w:r>
          </w:p>
        </w:tc>
        <w:tc>
          <w:tcPr>
            <w:tcW w:w="18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34,077.90</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103,021.43</w:t>
            </w:r>
          </w:p>
        </w:tc>
      </w:tr>
      <w:tr>
        <w:trPr>
          <w:trHeight w:val="402" w:hRule="exact"/>
        </w:trPr>
        <w:tc>
          <w:tcPr>
            <w:tcW w:w="5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5"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8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2"/>
                <w:sz w:val="21"/>
              </w:rPr>
              <w:t>1,623,114.76</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2,998,579.46</w:t>
            </w:r>
          </w:p>
        </w:tc>
      </w:tr>
      <w:tr>
        <w:trPr>
          <w:trHeight w:val="402" w:hRule="exact"/>
        </w:trPr>
        <w:tc>
          <w:tcPr>
            <w:tcW w:w="5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865"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18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1,120,005.14</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2,898,993.43</w:t>
            </w:r>
          </w:p>
        </w:tc>
      </w:tr>
      <w:tr>
        <w:trPr>
          <w:trHeight w:val="402" w:hRule="exact"/>
        </w:trPr>
        <w:tc>
          <w:tcPr>
            <w:tcW w:w="5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四、利润总额（亏损总额以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8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31,595,607.51</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109,974,595.16</w:t>
            </w:r>
          </w:p>
        </w:tc>
      </w:tr>
      <w:tr>
        <w:trPr>
          <w:trHeight w:val="402" w:hRule="exact"/>
        </w:trPr>
        <w:tc>
          <w:tcPr>
            <w:tcW w:w="5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45"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8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5,550,407.41</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2"/>
                <w:sz w:val="21"/>
              </w:rPr>
              <w:t>16,615,429.11</w:t>
            </w:r>
          </w:p>
        </w:tc>
      </w:tr>
      <w:tr>
        <w:trPr>
          <w:trHeight w:val="402" w:hRule="exact"/>
        </w:trPr>
        <w:tc>
          <w:tcPr>
            <w:tcW w:w="5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五、净利润（净亏损以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8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26,045,200.10</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93,359,166.05</w:t>
            </w:r>
          </w:p>
        </w:tc>
      </w:tr>
      <w:tr>
        <w:trPr>
          <w:trHeight w:val="402" w:hRule="exact"/>
        </w:trPr>
        <w:tc>
          <w:tcPr>
            <w:tcW w:w="5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45" w:right="0"/>
              <w:jc w:val="left"/>
              <w:rPr>
                <w:rFonts w:ascii="宋体" w:hAnsi="宋体" w:cs="宋体" w:eastAsia="宋体" w:hint="default"/>
                <w:sz w:val="21"/>
                <w:szCs w:val="21"/>
              </w:rPr>
            </w:pPr>
            <w:r>
              <w:rPr>
                <w:rFonts w:ascii="宋体" w:hAnsi="宋体" w:cs="宋体" w:eastAsia="宋体" w:hint="default"/>
                <w:sz w:val="21"/>
                <w:szCs w:val="21"/>
              </w:rPr>
              <w:t>归属于母公司所有者的净利润</w:t>
            </w:r>
          </w:p>
        </w:tc>
        <w:tc>
          <w:tcPr>
            <w:tcW w:w="18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26,163,454.80</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93,359,166.05</w:t>
            </w:r>
          </w:p>
        </w:tc>
      </w:tr>
      <w:tr>
        <w:trPr>
          <w:trHeight w:val="402" w:hRule="exact"/>
        </w:trPr>
        <w:tc>
          <w:tcPr>
            <w:tcW w:w="5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5"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18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2"/>
                <w:sz w:val="21"/>
              </w:rPr>
              <w:t>-118,254.70</w:t>
            </w: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2" w:right="0"/>
              <w:jc w:val="left"/>
              <w:rPr>
                <w:rFonts w:ascii="宋体" w:hAnsi="宋体" w:cs="宋体" w:eastAsia="宋体" w:hint="default"/>
                <w:sz w:val="21"/>
                <w:szCs w:val="21"/>
              </w:rPr>
            </w:pPr>
            <w:r>
              <w:rPr>
                <w:rFonts w:ascii="宋体" w:hAnsi="宋体" w:cs="宋体" w:eastAsia="宋体" w:hint="default"/>
                <w:sz w:val="21"/>
                <w:szCs w:val="21"/>
              </w:rPr>
              <w:t>六、其他综合收益的税后净额</w:t>
            </w:r>
          </w:p>
        </w:tc>
        <w:tc>
          <w:tcPr>
            <w:tcW w:w="1816"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34" w:right="0"/>
              <w:jc w:val="left"/>
              <w:rPr>
                <w:rFonts w:ascii="宋体" w:hAnsi="宋体" w:cs="宋体" w:eastAsia="宋体" w:hint="default"/>
                <w:sz w:val="21"/>
                <w:szCs w:val="21"/>
              </w:rPr>
            </w:pPr>
            <w:r>
              <w:rPr>
                <w:rFonts w:ascii="宋体" w:hAnsi="宋体" w:cs="宋体" w:eastAsia="宋体" w:hint="default"/>
                <w:sz w:val="21"/>
                <w:szCs w:val="21"/>
              </w:rPr>
              <w:t>归属母公司所有者的其他综合收益的税后净额</w:t>
            </w:r>
          </w:p>
        </w:tc>
        <w:tc>
          <w:tcPr>
            <w:tcW w:w="1816"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45" w:right="0"/>
              <w:jc w:val="left"/>
              <w:rPr>
                <w:rFonts w:ascii="宋体" w:hAnsi="宋体" w:cs="宋体" w:eastAsia="宋体" w:hint="default"/>
                <w:sz w:val="21"/>
                <w:szCs w:val="21"/>
              </w:rPr>
            </w:pPr>
            <w:r>
              <w:rPr>
                <w:rFonts w:ascii="宋体" w:hAnsi="宋体" w:cs="宋体" w:eastAsia="宋体" w:hint="default"/>
                <w:sz w:val="21"/>
                <w:szCs w:val="21"/>
              </w:rPr>
              <w:t>（一）以后不能重分类进损益的其他综合收益</w:t>
            </w:r>
          </w:p>
        </w:tc>
        <w:tc>
          <w:tcPr>
            <w:tcW w:w="1816"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7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重新计量设定受益计划净负债或净资产的变动</w:t>
            </w:r>
          </w:p>
        </w:tc>
        <w:tc>
          <w:tcPr>
            <w:tcW w:w="1816"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5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9"/>
              <w:ind w:left="22" w:right="76" w:firstLine="1051"/>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权益法下在被投资单位不能重分类进损益的其他综</w:t>
            </w:r>
            <w:r>
              <w:rPr>
                <w:rFonts w:ascii="宋体" w:hAnsi="宋体" w:cs="宋体" w:eastAsia="宋体" w:hint="default"/>
                <w:w w:val="100"/>
                <w:sz w:val="21"/>
                <w:szCs w:val="21"/>
              </w:rPr>
              <w:t> </w:t>
            </w:r>
            <w:r>
              <w:rPr>
                <w:rFonts w:ascii="宋体" w:hAnsi="宋体" w:cs="宋体" w:eastAsia="宋体" w:hint="default"/>
                <w:sz w:val="21"/>
                <w:szCs w:val="21"/>
              </w:rPr>
              <w:t>合收益中享有的份额</w:t>
            </w:r>
          </w:p>
        </w:tc>
        <w:tc>
          <w:tcPr>
            <w:tcW w:w="1816"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5" w:right="0"/>
              <w:jc w:val="left"/>
              <w:rPr>
                <w:rFonts w:ascii="宋体" w:hAnsi="宋体" w:cs="宋体" w:eastAsia="宋体" w:hint="default"/>
                <w:sz w:val="21"/>
                <w:szCs w:val="21"/>
              </w:rPr>
            </w:pPr>
            <w:r>
              <w:rPr>
                <w:rFonts w:ascii="宋体" w:hAnsi="宋体" w:cs="宋体" w:eastAsia="宋体" w:hint="default"/>
                <w:sz w:val="21"/>
                <w:szCs w:val="21"/>
              </w:rPr>
              <w:t>（二）以后将重分类进损益的其他综合收益</w:t>
            </w:r>
          </w:p>
        </w:tc>
        <w:tc>
          <w:tcPr>
            <w:tcW w:w="1816"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5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9"/>
              <w:ind w:left="22" w:right="76" w:firstLine="1051"/>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权益法下在被投资单位以后将重分类进损益的其他</w:t>
            </w:r>
            <w:r>
              <w:rPr>
                <w:rFonts w:ascii="宋体" w:hAnsi="宋体" w:cs="宋体" w:eastAsia="宋体" w:hint="default"/>
                <w:w w:val="100"/>
                <w:sz w:val="21"/>
                <w:szCs w:val="21"/>
              </w:rPr>
              <w:t> </w:t>
            </w:r>
            <w:r>
              <w:rPr>
                <w:rFonts w:ascii="宋体" w:hAnsi="宋体" w:cs="宋体" w:eastAsia="宋体" w:hint="default"/>
                <w:sz w:val="21"/>
                <w:szCs w:val="21"/>
              </w:rPr>
              <w:t>综合收益中享有的份额</w:t>
            </w:r>
          </w:p>
        </w:tc>
        <w:tc>
          <w:tcPr>
            <w:tcW w:w="1816"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7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可供出售金融资产公允价值变动损益</w:t>
            </w:r>
          </w:p>
        </w:tc>
        <w:tc>
          <w:tcPr>
            <w:tcW w:w="1816"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07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持有至到期投资重分类为可供出售金融资产损益</w:t>
            </w:r>
          </w:p>
        </w:tc>
        <w:tc>
          <w:tcPr>
            <w:tcW w:w="1816"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7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现金流量套期损益的有效部分</w:t>
            </w:r>
          </w:p>
        </w:tc>
        <w:tc>
          <w:tcPr>
            <w:tcW w:w="1816"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07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外币财务报表折算差额</w:t>
            </w:r>
          </w:p>
        </w:tc>
        <w:tc>
          <w:tcPr>
            <w:tcW w:w="1816"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7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其他</w:t>
            </w:r>
          </w:p>
        </w:tc>
        <w:tc>
          <w:tcPr>
            <w:tcW w:w="1816"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5933"/>
        <w:gridCol w:w="1816"/>
        <w:gridCol w:w="1807"/>
      </w:tblGrid>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3" w:right="0"/>
              <w:jc w:val="left"/>
              <w:rPr>
                <w:rFonts w:ascii="宋体" w:hAnsi="宋体" w:cs="宋体" w:eastAsia="宋体" w:hint="default"/>
                <w:sz w:val="21"/>
                <w:szCs w:val="21"/>
              </w:rPr>
            </w:pPr>
            <w:r>
              <w:rPr>
                <w:rFonts w:ascii="宋体" w:hAnsi="宋体" w:cs="宋体" w:eastAsia="宋体" w:hint="default"/>
                <w:sz w:val="21"/>
                <w:szCs w:val="21"/>
              </w:rPr>
              <w:t>归属于少数股东的其他综合收益的税后净额</w:t>
            </w:r>
          </w:p>
        </w:tc>
        <w:tc>
          <w:tcPr>
            <w:tcW w:w="1816"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18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26,045,200.10</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93,359,166.05</w:t>
            </w: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归属于母公司所有者的综合收益总额</w:t>
            </w:r>
          </w:p>
        </w:tc>
        <w:tc>
          <w:tcPr>
            <w:tcW w:w="18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26,163,454.80</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93,359,166.05</w:t>
            </w: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归属于少数股东的综合收益总额</w:t>
            </w:r>
          </w:p>
        </w:tc>
        <w:tc>
          <w:tcPr>
            <w:tcW w:w="18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2"/>
                <w:sz w:val="21"/>
              </w:rPr>
              <w:t>-118,254.70</w:t>
            </w: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八、每股收益：</w:t>
            </w:r>
          </w:p>
        </w:tc>
        <w:tc>
          <w:tcPr>
            <w:tcW w:w="18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0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（一）基本每股收益</w:t>
            </w:r>
          </w:p>
        </w:tc>
        <w:tc>
          <w:tcPr>
            <w:tcW w:w="18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z w:val="21"/>
              </w:rPr>
              <w:t>0.1308</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z w:val="21"/>
              </w:rPr>
              <w:t>0.4668</w:t>
            </w: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（二）稀释每股收益</w:t>
            </w:r>
          </w:p>
        </w:tc>
        <w:tc>
          <w:tcPr>
            <w:tcW w:w="18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0.1308</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0.4668</w:t>
            </w:r>
          </w:p>
        </w:tc>
      </w:tr>
    </w:tbl>
    <w:p>
      <w:pPr>
        <w:spacing w:line="240" w:lineRule="auto" w:before="11"/>
        <w:rPr>
          <w:rFonts w:ascii="Times New Roman" w:hAnsi="Times New Roman" w:cs="Times New Roman" w:eastAsia="Times New Roman" w:hint="default"/>
          <w:sz w:val="21"/>
          <w:szCs w:val="21"/>
        </w:rPr>
      </w:pPr>
    </w:p>
    <w:p>
      <w:pPr>
        <w:pStyle w:val="BodyText"/>
        <w:tabs>
          <w:tab w:pos="3360" w:val="left" w:leader="none"/>
          <w:tab w:pos="7456" w:val="left" w:leader="none"/>
        </w:tabs>
        <w:spacing w:line="240" w:lineRule="auto" w:before="36"/>
        <w:ind w:left="0" w:right="232"/>
        <w:jc w:val="right"/>
      </w:pPr>
      <w:r>
        <w:rPr>
          <w:spacing w:val="-2"/>
        </w:rPr>
        <w:t>法定代表人：杜力</w:t>
        <w:tab/>
        <w:t>主管会计工作负责人：赵岑</w:t>
        <w:tab/>
        <w:t>会计机构负责人：林森</w:t>
      </w:r>
    </w:p>
    <w:p>
      <w:pPr>
        <w:spacing w:line="240" w:lineRule="auto" w:before="8"/>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left="0" w:right="254"/>
        <w:jc w:val="right"/>
      </w:pPr>
      <w:r>
        <w:rPr>
          <w:spacing w:val="-1"/>
        </w:rPr>
        <w:t>单位：元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5933"/>
        <w:gridCol w:w="1819"/>
        <w:gridCol w:w="1807"/>
      </w:tblGrid>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85"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8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74"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18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826,155,747.09</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1,498,265,977.02</w:t>
            </w: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18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744,347,922.64</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1,327,176,729.79</w:t>
            </w: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854"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8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3,418,863.82</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4,577,013.24</w:t>
            </w: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54"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8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18,358,417.14</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21,547,067.20</w:t>
            </w: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854"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8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40,172,869.70</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35,346,482.44</w:t>
            </w: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54"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8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14,916,933.96</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24,793,486.62</w:t>
            </w: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854"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8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2,395,326.65</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3,444,642.79</w:t>
            </w: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加：公允价值变动收益（损失以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819"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854" w:right="0"/>
              <w:jc w:val="left"/>
              <w:rPr>
                <w:rFonts w:ascii="宋体" w:hAnsi="宋体" w:cs="宋体" w:eastAsia="宋体" w:hint="default"/>
                <w:sz w:val="21"/>
                <w:szCs w:val="21"/>
              </w:rPr>
            </w:pPr>
            <w:r>
              <w:rPr>
                <w:rFonts w:ascii="宋体" w:hAnsi="宋体" w:cs="宋体" w:eastAsia="宋体" w:hint="default"/>
                <w:sz w:val="21"/>
                <w:szCs w:val="21"/>
              </w:rPr>
              <w:t>投资收益（损失以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819"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30,000,000.00</w:t>
            </w: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54" w:right="0"/>
              <w:jc w:val="left"/>
              <w:rPr>
                <w:rFonts w:ascii="宋体" w:hAnsi="宋体" w:cs="宋体" w:eastAsia="宋体" w:hint="default"/>
                <w:sz w:val="21"/>
                <w:szCs w:val="21"/>
              </w:rPr>
            </w:pPr>
            <w:r>
              <w:rPr>
                <w:rFonts w:ascii="宋体" w:hAnsi="宋体" w:cs="宋体" w:eastAsia="宋体" w:hint="default"/>
                <w:sz w:val="21"/>
                <w:szCs w:val="21"/>
              </w:rPr>
              <w:t>其中：对联营企业和合营企业的投资收益</w:t>
            </w:r>
          </w:p>
        </w:tc>
        <w:tc>
          <w:tcPr>
            <w:tcW w:w="1819"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宋体" w:hAnsi="宋体" w:cs="宋体" w:eastAsia="宋体" w:hint="default"/>
                <w:sz w:val="21"/>
                <w:szCs w:val="21"/>
              </w:rPr>
              <w:t>二、营业利润（亏损以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8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2,545,413.18</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6"/>
              <w:jc w:val="right"/>
              <w:rPr>
                <w:rFonts w:ascii="Times New Roman" w:hAnsi="Times New Roman" w:cs="Times New Roman" w:eastAsia="Times New Roman" w:hint="default"/>
                <w:sz w:val="21"/>
                <w:szCs w:val="21"/>
              </w:rPr>
            </w:pPr>
            <w:r>
              <w:rPr>
                <w:rFonts w:ascii="Times New Roman"/>
                <w:spacing w:val="-2"/>
                <w:sz w:val="21"/>
              </w:rPr>
              <w:t>111,380,554.94</w:t>
            </w: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8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6,144,327.38</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1,930,783.98</w:t>
            </w: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854" w:right="0"/>
              <w:jc w:val="left"/>
              <w:rPr>
                <w:rFonts w:ascii="宋体" w:hAnsi="宋体" w:cs="宋体" w:eastAsia="宋体" w:hint="default"/>
                <w:sz w:val="21"/>
                <w:szCs w:val="21"/>
              </w:rPr>
            </w:pPr>
            <w:r>
              <w:rPr>
                <w:rFonts w:ascii="宋体" w:hAnsi="宋体" w:cs="宋体" w:eastAsia="宋体" w:hint="default"/>
                <w:sz w:val="21"/>
                <w:szCs w:val="21"/>
              </w:rPr>
              <w:t>其中：非流动资产处置利得</w:t>
            </w:r>
          </w:p>
        </w:tc>
        <w:tc>
          <w:tcPr>
            <w:tcW w:w="18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34,077.90</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103,021.43</w:t>
            </w:r>
          </w:p>
        </w:tc>
      </w:tr>
      <w:tr>
        <w:trPr>
          <w:trHeight w:val="403"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8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1,078,154.51</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2,921,780.82</w:t>
            </w: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854"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18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638,242.54</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2,872,194.79</w:t>
            </w: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三、利润总额（亏损总额以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8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2"/>
                <w:sz w:val="21"/>
              </w:rPr>
              <w:t>7,611,586.05</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110,389,558.10</w:t>
            </w: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8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1,521,330.67</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12,154,880.76</w:t>
            </w: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四、净利润（净亏损以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8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6,090,255.38</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98,234,677.34</w:t>
            </w: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宋体" w:hAnsi="宋体" w:cs="宋体" w:eastAsia="宋体" w:hint="default"/>
                <w:sz w:val="21"/>
                <w:szCs w:val="21"/>
              </w:rPr>
              <w:t>五、其他综合收益的税后净额</w:t>
            </w:r>
          </w:p>
        </w:tc>
        <w:tc>
          <w:tcPr>
            <w:tcW w:w="1819"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（一）以后不能重分类进损益的其他综合收益</w:t>
            </w:r>
          </w:p>
        </w:tc>
        <w:tc>
          <w:tcPr>
            <w:tcW w:w="1819"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1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06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重新计量设定受益计划净负债或净资产的变动</w:t>
            </w:r>
          </w:p>
        </w:tc>
        <w:tc>
          <w:tcPr>
            <w:tcW w:w="1819"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383"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left="106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权益法下在被投资单位不能重分类进损益的其他综</w:t>
            </w:r>
          </w:p>
        </w:tc>
        <w:tc>
          <w:tcPr>
            <w:tcW w:w="1819"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5933"/>
        <w:gridCol w:w="1819"/>
        <w:gridCol w:w="1807"/>
      </w:tblGrid>
      <w:tr>
        <w:trPr>
          <w:trHeight w:val="363"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合收益中享有的份额</w:t>
            </w:r>
          </w:p>
        </w:tc>
        <w:tc>
          <w:tcPr>
            <w:tcW w:w="1819"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（二）以后将重分类进损益的其他综合收益</w:t>
            </w:r>
          </w:p>
        </w:tc>
        <w:tc>
          <w:tcPr>
            <w:tcW w:w="1819"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12" w:right="76" w:firstLine="1051"/>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权益法下在被投资单位以后将重分类进损益的其他</w:t>
            </w:r>
            <w:r>
              <w:rPr>
                <w:rFonts w:ascii="宋体" w:hAnsi="宋体" w:cs="宋体" w:eastAsia="宋体" w:hint="default"/>
                <w:w w:val="100"/>
                <w:sz w:val="21"/>
                <w:szCs w:val="21"/>
              </w:rPr>
              <w:t> </w:t>
            </w:r>
            <w:r>
              <w:rPr>
                <w:rFonts w:ascii="宋体" w:hAnsi="宋体" w:cs="宋体" w:eastAsia="宋体" w:hint="default"/>
                <w:sz w:val="21"/>
                <w:szCs w:val="21"/>
              </w:rPr>
              <w:t>综合收益中享有的份额</w:t>
            </w:r>
          </w:p>
        </w:tc>
        <w:tc>
          <w:tcPr>
            <w:tcW w:w="1819"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6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可供出售金融资产公允价值变动损益</w:t>
            </w:r>
          </w:p>
        </w:tc>
        <w:tc>
          <w:tcPr>
            <w:tcW w:w="1819"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6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持有至到期投资重分类为可供出售金融资产损益</w:t>
            </w:r>
          </w:p>
        </w:tc>
        <w:tc>
          <w:tcPr>
            <w:tcW w:w="1819"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6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现金流量套期损益的有效部分</w:t>
            </w:r>
          </w:p>
        </w:tc>
        <w:tc>
          <w:tcPr>
            <w:tcW w:w="1819"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6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外币财务报表折算差额</w:t>
            </w:r>
          </w:p>
        </w:tc>
        <w:tc>
          <w:tcPr>
            <w:tcW w:w="1819"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6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其他</w:t>
            </w:r>
          </w:p>
        </w:tc>
        <w:tc>
          <w:tcPr>
            <w:tcW w:w="1819"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宋体" w:hAnsi="宋体" w:cs="宋体" w:eastAsia="宋体" w:hint="default"/>
                <w:sz w:val="21"/>
                <w:szCs w:val="21"/>
              </w:rPr>
              <w:t>六、综合收益总额</w:t>
            </w:r>
          </w:p>
        </w:tc>
        <w:tc>
          <w:tcPr>
            <w:tcW w:w="18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6,090,255.38</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98,234,677.34</w:t>
            </w:r>
          </w:p>
        </w:tc>
      </w:tr>
      <w:tr>
        <w:trPr>
          <w:trHeight w:val="401"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七、每股收益：</w:t>
            </w:r>
          </w:p>
        </w:tc>
        <w:tc>
          <w:tcPr>
            <w:tcW w:w="181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0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（一）基本每股收益</w:t>
            </w:r>
          </w:p>
        </w:tc>
        <w:tc>
          <w:tcPr>
            <w:tcW w:w="18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0.0305</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0.4912</w:t>
            </w:r>
          </w:p>
        </w:tc>
      </w:tr>
      <w:tr>
        <w:trPr>
          <w:trHeight w:val="401"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（二）稀释每股收益</w:t>
            </w:r>
          </w:p>
        </w:tc>
        <w:tc>
          <w:tcPr>
            <w:tcW w:w="18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0.0305</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0.4912</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left="0" w:right="254"/>
        <w:jc w:val="right"/>
      </w:pPr>
      <w:r>
        <w:rPr>
          <w:spacing w:val="-1"/>
        </w:rPr>
        <w:t>单位：元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5933"/>
        <w:gridCol w:w="1819"/>
        <w:gridCol w:w="1807"/>
      </w:tblGrid>
      <w:tr>
        <w:trPr>
          <w:trHeight w:val="401"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85"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8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74"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3"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一、经营活动产生的现金流量：</w:t>
            </w:r>
          </w:p>
        </w:tc>
        <w:tc>
          <w:tcPr>
            <w:tcW w:w="181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0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18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1,210,669,353.34</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1,722,633,268.77</w:t>
            </w:r>
          </w:p>
        </w:tc>
      </w:tr>
      <w:tr>
        <w:trPr>
          <w:trHeight w:val="403"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334"/>
              <w:jc w:val="right"/>
              <w:rPr>
                <w:rFonts w:ascii="宋体" w:hAnsi="宋体" w:cs="宋体" w:eastAsia="宋体" w:hint="default"/>
                <w:sz w:val="21"/>
                <w:szCs w:val="21"/>
              </w:rPr>
            </w:pPr>
            <w:r>
              <w:rPr>
                <w:rFonts w:ascii="宋体" w:hAnsi="宋体" w:cs="宋体" w:eastAsia="宋体" w:hint="default"/>
                <w:spacing w:val="-2"/>
                <w:sz w:val="21"/>
                <w:szCs w:val="21"/>
              </w:rPr>
              <w:t>客户存款和同业存放款项净增加额</w:t>
            </w:r>
          </w:p>
        </w:tc>
        <w:tc>
          <w:tcPr>
            <w:tcW w:w="1819"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p>
        </w:tc>
        <w:tc>
          <w:tcPr>
            <w:tcW w:w="1819"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334"/>
              <w:jc w:val="right"/>
              <w:rPr>
                <w:rFonts w:ascii="宋体" w:hAnsi="宋体" w:cs="宋体" w:eastAsia="宋体" w:hint="default"/>
                <w:sz w:val="21"/>
                <w:szCs w:val="21"/>
              </w:rPr>
            </w:pPr>
            <w:r>
              <w:rPr>
                <w:rFonts w:ascii="宋体" w:hAnsi="宋体" w:cs="宋体" w:eastAsia="宋体" w:hint="default"/>
                <w:spacing w:val="-2"/>
                <w:sz w:val="21"/>
                <w:szCs w:val="21"/>
              </w:rPr>
              <w:t>向其他金融机构拆入资金净增加额</w:t>
            </w:r>
          </w:p>
        </w:tc>
        <w:tc>
          <w:tcPr>
            <w:tcW w:w="1819"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收到原保险合同保费取得的现金</w:t>
            </w:r>
          </w:p>
        </w:tc>
        <w:tc>
          <w:tcPr>
            <w:tcW w:w="1819"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收到再保险业务现金净额</w:t>
            </w:r>
          </w:p>
        </w:tc>
        <w:tc>
          <w:tcPr>
            <w:tcW w:w="1819"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保户储金及投资款净增加额</w:t>
            </w:r>
          </w:p>
        </w:tc>
        <w:tc>
          <w:tcPr>
            <w:tcW w:w="1819"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pacing w:val="-2"/>
                <w:sz w:val="21"/>
                <w:szCs w:val="21"/>
              </w:rPr>
              <w:t>处置以公允价值计量且其变动计入当期损益的金融资产净增</w:t>
            </w:r>
          </w:p>
          <w:p>
            <w:pPr>
              <w:pStyle w:val="TableParagraph"/>
              <w:spacing w:line="240" w:lineRule="auto" w:before="37"/>
              <w:ind w:left="12" w:right="0"/>
              <w:jc w:val="left"/>
              <w:rPr>
                <w:rFonts w:ascii="宋体" w:hAnsi="宋体" w:cs="宋体" w:eastAsia="宋体" w:hint="default"/>
                <w:sz w:val="21"/>
                <w:szCs w:val="21"/>
              </w:rPr>
            </w:pPr>
            <w:r>
              <w:rPr>
                <w:rFonts w:ascii="宋体" w:hAnsi="宋体" w:cs="宋体" w:eastAsia="宋体" w:hint="default"/>
                <w:sz w:val="21"/>
                <w:szCs w:val="21"/>
              </w:rPr>
              <w:t>加额</w:t>
            </w:r>
          </w:p>
        </w:tc>
        <w:tc>
          <w:tcPr>
            <w:tcW w:w="1819"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收取利息、手续费及佣金的现金</w:t>
            </w:r>
          </w:p>
        </w:tc>
        <w:tc>
          <w:tcPr>
            <w:tcW w:w="1819"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1819"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p>
        </w:tc>
        <w:tc>
          <w:tcPr>
            <w:tcW w:w="1819"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8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3,766,827.37</w:t>
            </w: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18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2"/>
                <w:sz w:val="21"/>
              </w:rPr>
              <w:t>11,222,596.49</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8,807,085.30</w:t>
            </w:r>
          </w:p>
        </w:tc>
      </w:tr>
      <w:tr>
        <w:trPr>
          <w:trHeight w:val="403"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18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1,225,658,777.20</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1,731,440,354.07</w:t>
            </w:r>
          </w:p>
        </w:tc>
      </w:tr>
      <w:tr>
        <w:trPr>
          <w:trHeight w:val="401"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18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752,266,646.32</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1,386,037,382.72</w:t>
            </w:r>
          </w:p>
        </w:tc>
      </w:tr>
      <w:tr>
        <w:trPr>
          <w:trHeight w:val="403"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p>
        </w:tc>
        <w:tc>
          <w:tcPr>
            <w:tcW w:w="1819"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5933"/>
        <w:gridCol w:w="1819"/>
        <w:gridCol w:w="1807"/>
      </w:tblGrid>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存放中央银行和同业款项净增加额</w:t>
            </w:r>
          </w:p>
        </w:tc>
        <w:tc>
          <w:tcPr>
            <w:tcW w:w="1819"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支付原保险合同赔付款项的现金</w:t>
            </w:r>
          </w:p>
        </w:tc>
        <w:tc>
          <w:tcPr>
            <w:tcW w:w="1819"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支付利息、手续费及佣金的现金</w:t>
            </w:r>
          </w:p>
        </w:tc>
        <w:tc>
          <w:tcPr>
            <w:tcW w:w="1819"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1819"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支付给职工以及为职工支付的现金</w:t>
            </w:r>
          </w:p>
        </w:tc>
        <w:tc>
          <w:tcPr>
            <w:tcW w:w="18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103,395,305.80</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122,705,209.42</w:t>
            </w: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8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61,323,953.37</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77,964,241.80</w:t>
            </w: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18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41,944,420.24</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17,354,918.49</w:t>
            </w: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18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958,930,325.73</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1,604,061,752.43</w:t>
            </w: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8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266,728,451.47</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127,378,601.64</w:t>
            </w:r>
          </w:p>
        </w:tc>
      </w:tr>
      <w:tr>
        <w:trPr>
          <w:trHeight w:val="403"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二、投资活动产生的现金流量：</w:t>
            </w:r>
          </w:p>
        </w:tc>
        <w:tc>
          <w:tcPr>
            <w:tcW w:w="181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0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819"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1819"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处置固定资产、无形资产和其他长期资产收回的现金净额</w:t>
            </w:r>
          </w:p>
        </w:tc>
        <w:tc>
          <w:tcPr>
            <w:tcW w:w="18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105,161.98</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104,409.00</w:t>
            </w: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处置子公司及其他营业单位收到的现金净额</w:t>
            </w:r>
          </w:p>
        </w:tc>
        <w:tc>
          <w:tcPr>
            <w:tcW w:w="1819"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1819"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18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105,161.98</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104,409.00</w:t>
            </w: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购建固定资产、无形资产和其他长期资产支付的现金</w:t>
            </w:r>
          </w:p>
        </w:tc>
        <w:tc>
          <w:tcPr>
            <w:tcW w:w="18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25,878,390.48</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47,820,672.43</w:t>
            </w: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819"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1819"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取得子公司及其他营业单位支付的现金净额</w:t>
            </w:r>
          </w:p>
        </w:tc>
        <w:tc>
          <w:tcPr>
            <w:tcW w:w="1819"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1819"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18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25,878,390.48</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47,820,672.43</w:t>
            </w: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8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-25,773,228.50</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-47,716,263.43</w:t>
            </w: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宋体" w:hAnsi="宋体" w:cs="宋体" w:eastAsia="宋体" w:hint="default"/>
                <w:sz w:val="21"/>
                <w:szCs w:val="21"/>
              </w:rPr>
              <w:t>三、筹资活动产生的现金流量：</w:t>
            </w:r>
          </w:p>
        </w:tc>
        <w:tc>
          <w:tcPr>
            <w:tcW w:w="181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0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8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6,000,000.00</w:t>
            </w: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其中：子公司吸收少数股东投资收到的现金</w:t>
            </w:r>
          </w:p>
        </w:tc>
        <w:tc>
          <w:tcPr>
            <w:tcW w:w="18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6,000,000.00</w:t>
            </w: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8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219,802,933.47</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402,500,000.00</w:t>
            </w: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1819"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1819"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18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225,802,933.47</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402,500,000.00</w:t>
            </w: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18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362,302,933.47</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475,000,000.00</w:t>
            </w: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分配股利、利润或偿付利息支付的现金</w:t>
            </w:r>
          </w:p>
        </w:tc>
        <w:tc>
          <w:tcPr>
            <w:tcW w:w="18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103,232,193.54</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72,656,475.54</w:t>
            </w: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其中：子公司支付给少数股东的股利、利润</w:t>
            </w:r>
          </w:p>
        </w:tc>
        <w:tc>
          <w:tcPr>
            <w:tcW w:w="1819"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1819"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944"/>
        <w:gridCol w:w="1819"/>
        <w:gridCol w:w="1807"/>
      </w:tblGrid>
      <w:tr>
        <w:trPr>
          <w:trHeight w:val="402" w:hRule="exact"/>
        </w:trPr>
        <w:tc>
          <w:tcPr>
            <w:tcW w:w="5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18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465,535,127.01</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547,656,475.54</w:t>
            </w:r>
          </w:p>
        </w:tc>
      </w:tr>
      <w:tr>
        <w:trPr>
          <w:trHeight w:val="402" w:hRule="exact"/>
        </w:trPr>
        <w:tc>
          <w:tcPr>
            <w:tcW w:w="5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2"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8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-239,732,193.54</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-145,156,475.54</w:t>
            </w:r>
          </w:p>
        </w:tc>
      </w:tr>
      <w:tr>
        <w:trPr>
          <w:trHeight w:val="402" w:hRule="exact"/>
        </w:trPr>
        <w:tc>
          <w:tcPr>
            <w:tcW w:w="5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四、汇率变动对现金及现金等价物的影响</w:t>
            </w:r>
          </w:p>
        </w:tc>
        <w:tc>
          <w:tcPr>
            <w:tcW w:w="18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199,926.70</w:t>
            </w: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2" w:right="0"/>
              <w:jc w:val="left"/>
              <w:rPr>
                <w:rFonts w:ascii="宋体" w:hAnsi="宋体" w:cs="宋体" w:eastAsia="宋体" w:hint="default"/>
                <w:sz w:val="21"/>
                <w:szCs w:val="21"/>
              </w:rPr>
            </w:pPr>
            <w:r>
              <w:rPr>
                <w:rFonts w:ascii="宋体" w:hAnsi="宋体" w:cs="宋体" w:eastAsia="宋体" w:hint="default"/>
                <w:sz w:val="21"/>
                <w:szCs w:val="21"/>
              </w:rPr>
              <w:t>五、现金及现金等价物净增加额</w:t>
            </w:r>
          </w:p>
        </w:tc>
        <w:tc>
          <w:tcPr>
            <w:tcW w:w="18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1,422,956.13</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-65,494,137.33</w:t>
            </w:r>
          </w:p>
        </w:tc>
      </w:tr>
      <w:tr>
        <w:trPr>
          <w:trHeight w:val="402" w:hRule="exact"/>
        </w:trPr>
        <w:tc>
          <w:tcPr>
            <w:tcW w:w="5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5"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18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39,326,922.02</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104,821,059.35</w:t>
            </w:r>
          </w:p>
        </w:tc>
      </w:tr>
      <w:tr>
        <w:trPr>
          <w:trHeight w:val="402" w:hRule="exact"/>
        </w:trPr>
        <w:tc>
          <w:tcPr>
            <w:tcW w:w="5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2" w:right="0"/>
              <w:jc w:val="left"/>
              <w:rPr>
                <w:rFonts w:ascii="宋体" w:hAnsi="宋体" w:cs="宋体" w:eastAsia="宋体" w:hint="default"/>
                <w:sz w:val="21"/>
                <w:szCs w:val="21"/>
              </w:rPr>
            </w:pPr>
            <w:r>
              <w:rPr>
                <w:rFonts w:ascii="宋体" w:hAnsi="宋体" w:cs="宋体" w:eastAsia="宋体" w:hint="default"/>
                <w:sz w:val="21"/>
                <w:szCs w:val="21"/>
              </w:rPr>
              <w:t>六、期末现金及现金等价物余额</w:t>
            </w:r>
          </w:p>
        </w:tc>
        <w:tc>
          <w:tcPr>
            <w:tcW w:w="18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40,749,878.15</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39,326,922.02</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0"/>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left="0" w:right="254"/>
        <w:jc w:val="right"/>
      </w:pPr>
      <w:r>
        <w:rPr>
          <w:spacing w:val="-1"/>
        </w:rPr>
        <w:t>单位：元</w:t>
      </w:r>
    </w:p>
    <w:p>
      <w:pPr>
        <w:spacing w:line="240" w:lineRule="auto" w:before="11"/>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5928"/>
        <w:gridCol w:w="1823"/>
        <w:gridCol w:w="1807"/>
      </w:tblGrid>
      <w:tr>
        <w:trPr>
          <w:trHeight w:val="403" w:hRule="exact"/>
        </w:trPr>
        <w:tc>
          <w:tcPr>
            <w:tcW w:w="5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6"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39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8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374"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2" w:hRule="exact"/>
        </w:trPr>
        <w:tc>
          <w:tcPr>
            <w:tcW w:w="5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一、经营活动产生的现金流量：</w:t>
            </w:r>
          </w:p>
        </w:tc>
        <w:tc>
          <w:tcPr>
            <w:tcW w:w="18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0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18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1,134,719,342.30</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1,580,690,189.92</w:t>
            </w:r>
          </w:p>
        </w:tc>
      </w:tr>
      <w:tr>
        <w:trPr>
          <w:trHeight w:val="402" w:hRule="exact"/>
        </w:trPr>
        <w:tc>
          <w:tcPr>
            <w:tcW w:w="5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8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3,766,827.37</w:t>
            </w: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18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13,096,936.28</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5,745,442.56</w:t>
            </w:r>
          </w:p>
        </w:tc>
      </w:tr>
      <w:tr>
        <w:trPr>
          <w:trHeight w:val="402" w:hRule="exact"/>
        </w:trPr>
        <w:tc>
          <w:tcPr>
            <w:tcW w:w="5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18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1,151,583,105.95</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1,586,435,632.48</w:t>
            </w:r>
          </w:p>
        </w:tc>
      </w:tr>
      <w:tr>
        <w:trPr>
          <w:trHeight w:val="402" w:hRule="exact"/>
        </w:trPr>
        <w:tc>
          <w:tcPr>
            <w:tcW w:w="5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18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751,039,084.67</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1,345,491,174.81</w:t>
            </w:r>
          </w:p>
        </w:tc>
      </w:tr>
      <w:tr>
        <w:trPr>
          <w:trHeight w:val="402" w:hRule="exact"/>
        </w:trPr>
        <w:tc>
          <w:tcPr>
            <w:tcW w:w="5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支付给职工以及为职工支付的现金</w:t>
            </w:r>
          </w:p>
        </w:tc>
        <w:tc>
          <w:tcPr>
            <w:tcW w:w="18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43,954,786.18</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80,807,862.24</w:t>
            </w:r>
          </w:p>
        </w:tc>
      </w:tr>
      <w:tr>
        <w:trPr>
          <w:trHeight w:val="402" w:hRule="exact"/>
        </w:trPr>
        <w:tc>
          <w:tcPr>
            <w:tcW w:w="5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8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35,025,709.14</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59,912,674.82</w:t>
            </w:r>
          </w:p>
        </w:tc>
      </w:tr>
      <w:tr>
        <w:trPr>
          <w:trHeight w:val="402" w:hRule="exact"/>
        </w:trPr>
        <w:tc>
          <w:tcPr>
            <w:tcW w:w="5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18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76,099,454.49</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15,257,961.81</w:t>
            </w:r>
          </w:p>
        </w:tc>
      </w:tr>
      <w:tr>
        <w:trPr>
          <w:trHeight w:val="402" w:hRule="exact"/>
        </w:trPr>
        <w:tc>
          <w:tcPr>
            <w:tcW w:w="5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18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906,119,034.48</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1,501,469,673.68</w:t>
            </w:r>
          </w:p>
        </w:tc>
      </w:tr>
      <w:tr>
        <w:trPr>
          <w:trHeight w:val="402" w:hRule="exact"/>
        </w:trPr>
        <w:tc>
          <w:tcPr>
            <w:tcW w:w="5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8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245,464,071.47</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84,965,958.80</w:t>
            </w:r>
          </w:p>
        </w:tc>
      </w:tr>
      <w:tr>
        <w:trPr>
          <w:trHeight w:val="402" w:hRule="exact"/>
        </w:trPr>
        <w:tc>
          <w:tcPr>
            <w:tcW w:w="5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宋体" w:hAnsi="宋体" w:cs="宋体" w:eastAsia="宋体" w:hint="default"/>
                <w:sz w:val="21"/>
                <w:szCs w:val="21"/>
              </w:rPr>
              <w:t>二、投资活动产生的现金流量：</w:t>
            </w:r>
          </w:p>
        </w:tc>
        <w:tc>
          <w:tcPr>
            <w:tcW w:w="18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0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823"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1823"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30,000,000.00</w:t>
            </w:r>
          </w:p>
        </w:tc>
      </w:tr>
      <w:tr>
        <w:trPr>
          <w:trHeight w:val="402" w:hRule="exact"/>
        </w:trPr>
        <w:tc>
          <w:tcPr>
            <w:tcW w:w="5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处置固定资产、无形资产和其他长期资产收回的现金净额</w:t>
            </w:r>
          </w:p>
        </w:tc>
        <w:tc>
          <w:tcPr>
            <w:tcW w:w="18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10,469,386.96</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104,084.00</w:t>
            </w:r>
          </w:p>
        </w:tc>
      </w:tr>
      <w:tr>
        <w:trPr>
          <w:trHeight w:val="402" w:hRule="exact"/>
        </w:trPr>
        <w:tc>
          <w:tcPr>
            <w:tcW w:w="5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处置子公司及其他营业单位收到的现金净额</w:t>
            </w:r>
          </w:p>
        </w:tc>
        <w:tc>
          <w:tcPr>
            <w:tcW w:w="1823"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1823"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18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10,469,386.96</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30,104,084.00</w:t>
            </w:r>
          </w:p>
        </w:tc>
      </w:tr>
      <w:tr>
        <w:trPr>
          <w:trHeight w:val="402" w:hRule="exact"/>
        </w:trPr>
        <w:tc>
          <w:tcPr>
            <w:tcW w:w="5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购建固定资产、无形资产和其他长期资产支付的现金</w:t>
            </w:r>
          </w:p>
        </w:tc>
        <w:tc>
          <w:tcPr>
            <w:tcW w:w="18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19,699,972.19</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39,419,456.35</w:t>
            </w:r>
          </w:p>
        </w:tc>
      </w:tr>
      <w:tr>
        <w:trPr>
          <w:trHeight w:val="402" w:hRule="exact"/>
        </w:trPr>
        <w:tc>
          <w:tcPr>
            <w:tcW w:w="5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823"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10,000,000.00</w:t>
            </w:r>
          </w:p>
        </w:tc>
      </w:tr>
      <w:tr>
        <w:trPr>
          <w:trHeight w:val="402" w:hRule="exact"/>
        </w:trPr>
        <w:tc>
          <w:tcPr>
            <w:tcW w:w="5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取得子公司及其他营业单位支付的现金净额</w:t>
            </w:r>
          </w:p>
        </w:tc>
        <w:tc>
          <w:tcPr>
            <w:tcW w:w="18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12,100,000.00</w:t>
            </w: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1823"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18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31,799,972.19</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49,419,456.35</w:t>
            </w:r>
          </w:p>
        </w:tc>
      </w:tr>
      <w:tr>
        <w:trPr>
          <w:trHeight w:val="402" w:hRule="exact"/>
        </w:trPr>
        <w:tc>
          <w:tcPr>
            <w:tcW w:w="5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8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-21,330,585.23</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-19,315,372.35</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5933"/>
        <w:gridCol w:w="1819"/>
        <w:gridCol w:w="1807"/>
      </w:tblGrid>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三、筹资活动产生的现金流量：</w:t>
            </w:r>
          </w:p>
        </w:tc>
        <w:tc>
          <w:tcPr>
            <w:tcW w:w="181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0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819"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8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139,802,933.47</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332,500,000.00</w:t>
            </w: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1819"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1819"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18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139,802,933.47</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332,500,000.00</w:t>
            </w: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18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262,302,933.47</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410,000,000.00</w:t>
            </w: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分配股利、利润或偿付利息支付的现金</w:t>
            </w:r>
          </w:p>
        </w:tc>
        <w:tc>
          <w:tcPr>
            <w:tcW w:w="18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96,728,469.43</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68,909,206.12</w:t>
            </w: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1819"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18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359,031,402.90</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478,909,206.12</w:t>
            </w: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8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-219,228,469.43</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-146,409,206.12</w:t>
            </w: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宋体" w:hAnsi="宋体" w:cs="宋体" w:eastAsia="宋体" w:hint="default"/>
                <w:sz w:val="21"/>
                <w:szCs w:val="21"/>
              </w:rPr>
              <w:t>四、汇率变动对现金及现金等价物的影响</w:t>
            </w:r>
          </w:p>
        </w:tc>
        <w:tc>
          <w:tcPr>
            <w:tcW w:w="18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200,192.08</w:t>
            </w: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五、现金及现金等价物净增加额</w:t>
            </w:r>
          </w:p>
        </w:tc>
        <w:tc>
          <w:tcPr>
            <w:tcW w:w="18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5,105,208.89</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-80,758,619.67</w:t>
            </w: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18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19,509,833.98</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100,268,453.65</w:t>
            </w: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六、期末现金及现金等价物余额</w:t>
            </w:r>
          </w:p>
        </w:tc>
        <w:tc>
          <w:tcPr>
            <w:tcW w:w="18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24,615,042.87</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19,509,833.98</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79" w:top="1060" w:bottom="1160" w:left="980" w:right="980"/>
        </w:sectPr>
      </w:pPr>
    </w:p>
    <w:p>
      <w:pPr>
        <w:spacing w:line="240" w:lineRule="auto" w:before="2"/>
        <w:rPr>
          <w:rFonts w:ascii="Times New Roman" w:hAnsi="Times New Roman" w:cs="Times New Roman" w:eastAsia="Times New Roman" w:hint="default"/>
          <w:sz w:val="3"/>
          <w:szCs w:val="3"/>
        </w:rPr>
      </w:pPr>
    </w:p>
    <w:p>
      <w:pPr>
        <w:spacing w:line="20" w:lineRule="exact"/>
        <w:ind w:left="10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Times New Roman" w:hAnsi="Times New Roman" w:cs="Times New Roman" w:eastAsia="Times New Roman" w:hint="default"/>
          <w:sz w:val="2"/>
          <w:szCs w:val="2"/>
        </w:rPr>
      </w:r>
    </w:p>
    <w:p>
      <w:pPr>
        <w:pStyle w:val="Heading4"/>
        <w:spacing w:line="240" w:lineRule="auto"/>
        <w:ind w:left="140" w:right="0"/>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left="140" w:right="0"/>
        <w:jc w:val="left"/>
      </w:pPr>
      <w:r>
        <w:rPr/>
        <w:t>本期金额</w:t>
      </w:r>
    </w:p>
    <w:p>
      <w:pPr>
        <w:pStyle w:val="BodyText"/>
        <w:spacing w:line="240" w:lineRule="auto" w:before="78"/>
        <w:ind w:left="0" w:right="333"/>
        <w:jc w:val="right"/>
      </w:pPr>
      <w:r>
        <w:rPr>
          <w:spacing w:val="-1"/>
        </w:rPr>
        <w:t>单位：元</w:t>
      </w:r>
    </w:p>
    <w:p>
      <w:pPr>
        <w:spacing w:line="240" w:lineRule="auto" w:before="11"/>
        <w:rPr>
          <w:rFonts w:ascii="宋体" w:hAnsi="宋体" w:cs="宋体" w:eastAsia="宋体" w:hint="default"/>
          <w:sz w:val="6"/>
          <w:szCs w:val="6"/>
        </w:rPr>
      </w:pPr>
    </w:p>
    <w:tbl>
      <w:tblPr>
        <w:tblW w:w="0" w:type="auto"/>
        <w:jc w:val="left"/>
        <w:tblInd w:w="147" w:type="dxa"/>
        <w:tblLayout w:type="fixed"/>
        <w:tblCellMar>
          <w:top w:w="0" w:type="dxa"/>
          <w:left w:w="0" w:type="dxa"/>
          <w:bottom w:w="0" w:type="dxa"/>
          <w:right w:w="0" w:type="dxa"/>
        </w:tblCellMar>
        <w:tblLook w:val="01E0"/>
      </w:tblPr>
      <w:tblGrid>
        <w:gridCol w:w="2244"/>
        <w:gridCol w:w="1430"/>
        <w:gridCol w:w="567"/>
        <w:gridCol w:w="566"/>
        <w:gridCol w:w="283"/>
        <w:gridCol w:w="1418"/>
        <w:gridCol w:w="566"/>
        <w:gridCol w:w="569"/>
        <w:gridCol w:w="566"/>
        <w:gridCol w:w="1277"/>
        <w:gridCol w:w="566"/>
        <w:gridCol w:w="1417"/>
        <w:gridCol w:w="1277"/>
        <w:gridCol w:w="1416"/>
      </w:tblGrid>
      <w:tr>
        <w:trPr>
          <w:trHeight w:val="402" w:hRule="exact"/>
        </w:trPr>
        <w:tc>
          <w:tcPr>
            <w:tcW w:w="2244" w:type="dxa"/>
            <w:vMerge w:val="restart"/>
            <w:tcBorders>
              <w:top w:val="single" w:sz="4" w:space="0" w:color="000000"/>
              <w:left w:val="single" w:sz="4" w:space="0" w:color="000000"/>
              <w:right w:val="single" w:sz="4" w:space="0" w:color="000000"/>
            </w:tcBorders>
            <w:shd w:val="clear" w:color="auto" w:fill="D2D2D2"/>
          </w:tcPr>
          <w:p>
            <w:pPr/>
          </w:p>
        </w:tc>
        <w:tc>
          <w:tcPr>
            <w:tcW w:w="11920"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4" w:right="0"/>
              <w:jc w:val="center"/>
              <w:rPr>
                <w:rFonts w:ascii="宋体" w:hAnsi="宋体" w:cs="宋体" w:eastAsia="宋体" w:hint="default"/>
                <w:sz w:val="21"/>
                <w:szCs w:val="21"/>
              </w:rPr>
            </w:pPr>
            <w:r>
              <w:rPr>
                <w:rFonts w:ascii="宋体" w:hAnsi="宋体" w:cs="宋体" w:eastAsia="宋体" w:hint="default"/>
                <w:sz w:val="21"/>
                <w:szCs w:val="21"/>
              </w:rPr>
              <w:t>本期</w:t>
            </w:r>
          </w:p>
        </w:tc>
      </w:tr>
      <w:tr>
        <w:trPr>
          <w:trHeight w:val="424" w:hRule="exact"/>
        </w:trPr>
        <w:tc>
          <w:tcPr>
            <w:tcW w:w="2244" w:type="dxa"/>
            <w:vMerge/>
            <w:tcBorders>
              <w:left w:val="single" w:sz="4" w:space="0" w:color="000000"/>
              <w:bottom w:val="nil" w:sz="6" w:space="0" w:color="auto"/>
              <w:right w:val="single" w:sz="4" w:space="0" w:color="000000"/>
            </w:tcBorders>
            <w:shd w:val="clear" w:color="auto" w:fill="D2D2D2"/>
          </w:tcPr>
          <w:p>
            <w:pPr/>
          </w:p>
        </w:tc>
        <w:tc>
          <w:tcPr>
            <w:tcW w:w="9227"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4" w:right="0"/>
              <w:jc w:val="center"/>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1277"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84" w:hRule="exact"/>
        </w:trPr>
        <w:tc>
          <w:tcPr>
            <w:tcW w:w="2244" w:type="dxa"/>
            <w:vMerge w:val="restart"/>
            <w:tcBorders>
              <w:top w:val="nil" w:sz="6" w:space="0" w:color="auto"/>
              <w:left w:val="single" w:sz="4" w:space="0" w:color="000000"/>
              <w:right w:val="single" w:sz="4" w:space="0" w:color="000000"/>
            </w:tcBorders>
            <w:shd w:val="clear" w:color="auto" w:fill="D2D2D2"/>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30" w:type="dxa"/>
            <w:vMerge w:val="restart"/>
            <w:tcBorders>
              <w:top w:val="single" w:sz="4" w:space="0" w:color="000000"/>
              <w:left w:val="single" w:sz="4" w:space="0" w:color="000000"/>
              <w:right w:val="single" w:sz="4" w:space="0" w:color="000000"/>
            </w:tcBorders>
            <w:shd w:val="clear" w:color="auto" w:fill="D2D2D2"/>
          </w:tcPr>
          <w:p>
            <w:pPr/>
          </w:p>
        </w:tc>
        <w:tc>
          <w:tcPr>
            <w:tcW w:w="141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left="72"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1418" w:type="dxa"/>
            <w:vMerge w:val="restart"/>
            <w:tcBorders>
              <w:top w:val="single" w:sz="4" w:space="0" w:color="000000"/>
              <w:left w:val="single" w:sz="4" w:space="0" w:color="000000"/>
              <w:right w:val="single" w:sz="4" w:space="0" w:color="000000"/>
            </w:tcBorders>
            <w:shd w:val="clear" w:color="auto" w:fill="D2D2D2"/>
          </w:tcPr>
          <w:p>
            <w:pP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51"/>
              <w:ind w:left="69" w:right="62"/>
              <w:jc w:val="both"/>
              <w:rPr>
                <w:rFonts w:ascii="宋体" w:hAnsi="宋体" w:cs="宋体" w:eastAsia="宋体" w:hint="default"/>
                <w:sz w:val="21"/>
                <w:szCs w:val="21"/>
              </w:rPr>
            </w:pPr>
            <w:r>
              <w:rPr>
                <w:rFonts w:ascii="宋体" w:hAnsi="宋体" w:cs="宋体" w:eastAsia="宋体" w:hint="default"/>
                <w:sz w:val="21"/>
                <w:szCs w:val="21"/>
              </w:rPr>
              <w:t>减：</w:t>
            </w:r>
            <w:r>
              <w:rPr>
                <w:rFonts w:ascii="宋体" w:hAnsi="宋体" w:cs="宋体" w:eastAsia="宋体" w:hint="default"/>
                <w:spacing w:val="-103"/>
                <w:sz w:val="21"/>
                <w:szCs w:val="21"/>
              </w:rPr>
              <w:t> </w:t>
            </w:r>
            <w:r>
              <w:rPr>
                <w:rFonts w:ascii="宋体" w:hAnsi="宋体" w:cs="宋体" w:eastAsia="宋体" w:hint="default"/>
                <w:sz w:val="21"/>
                <w:szCs w:val="21"/>
              </w:rPr>
              <w:t>库存</w:t>
            </w:r>
            <w:r>
              <w:rPr>
                <w:rFonts w:ascii="宋体" w:hAnsi="宋体" w:cs="宋体" w:eastAsia="宋体" w:hint="default"/>
                <w:spacing w:val="-103"/>
                <w:sz w:val="21"/>
                <w:szCs w:val="21"/>
              </w:rPr>
              <w:t> </w:t>
            </w:r>
            <w:r>
              <w:rPr>
                <w:rFonts w:ascii="宋体" w:hAnsi="宋体" w:cs="宋体" w:eastAsia="宋体" w:hint="default"/>
                <w:sz w:val="21"/>
                <w:szCs w:val="21"/>
              </w:rPr>
              <w:t>股</w:t>
            </w:r>
          </w:p>
        </w:tc>
        <w:tc>
          <w:tcPr>
            <w:tcW w:w="569"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51"/>
              <w:ind w:left="69" w:right="65"/>
              <w:jc w:val="both"/>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综合</w:t>
            </w:r>
            <w:r>
              <w:rPr>
                <w:rFonts w:ascii="宋体" w:hAnsi="宋体" w:cs="宋体" w:eastAsia="宋体" w:hint="default"/>
                <w:spacing w:val="-103"/>
                <w:sz w:val="21"/>
                <w:szCs w:val="21"/>
              </w:rPr>
              <w:t> </w:t>
            </w:r>
            <w:r>
              <w:rPr>
                <w:rFonts w:ascii="宋体" w:hAnsi="宋体" w:cs="宋体" w:eastAsia="宋体" w:hint="default"/>
                <w:sz w:val="21"/>
                <w:szCs w:val="21"/>
              </w:rPr>
              <w:t>收益</w:t>
            </w:r>
          </w:p>
        </w:tc>
        <w:tc>
          <w:tcPr>
            <w:tcW w:w="566"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7" w:type="dxa"/>
            <w:vMerge w:val="restart"/>
            <w:tcBorders>
              <w:top w:val="single" w:sz="4" w:space="0" w:color="000000"/>
              <w:left w:val="single" w:sz="4" w:space="0" w:color="000000"/>
              <w:right w:val="single" w:sz="4" w:space="0" w:color="000000"/>
            </w:tcBorders>
            <w:shd w:val="clear" w:color="auto" w:fill="D2D2D2"/>
          </w:tcPr>
          <w:p>
            <w:pP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51"/>
              <w:ind w:left="67" w:right="65"/>
              <w:jc w:val="both"/>
              <w:rPr>
                <w:rFonts w:ascii="宋体" w:hAnsi="宋体" w:cs="宋体" w:eastAsia="宋体" w:hint="default"/>
                <w:sz w:val="21"/>
                <w:szCs w:val="21"/>
              </w:rPr>
            </w:pPr>
            <w:r>
              <w:rPr>
                <w:rFonts w:ascii="宋体" w:hAnsi="宋体" w:cs="宋体" w:eastAsia="宋体" w:hint="default"/>
                <w:sz w:val="21"/>
                <w:szCs w:val="21"/>
              </w:rPr>
              <w:t>一般</w:t>
            </w:r>
            <w:r>
              <w:rPr>
                <w:rFonts w:ascii="宋体" w:hAnsi="宋体" w:cs="宋体" w:eastAsia="宋体" w:hint="default"/>
                <w:spacing w:val="-103"/>
                <w:sz w:val="21"/>
                <w:szCs w:val="21"/>
              </w:rPr>
              <w:t> </w:t>
            </w:r>
            <w:r>
              <w:rPr>
                <w:rFonts w:ascii="宋体" w:hAnsi="宋体" w:cs="宋体" w:eastAsia="宋体" w:hint="default"/>
                <w:sz w:val="21"/>
                <w:szCs w:val="21"/>
              </w:rPr>
              <w:t>风险</w:t>
            </w:r>
            <w:r>
              <w:rPr>
                <w:rFonts w:ascii="宋体" w:hAnsi="宋体" w:cs="宋体" w:eastAsia="宋体" w:hint="default"/>
                <w:spacing w:val="-103"/>
                <w:sz w:val="21"/>
                <w:szCs w:val="21"/>
              </w:rPr>
              <w:t> </w:t>
            </w:r>
            <w:r>
              <w:rPr>
                <w:rFonts w:ascii="宋体" w:hAnsi="宋体" w:cs="宋体" w:eastAsia="宋体" w:hint="default"/>
                <w:sz w:val="21"/>
                <w:szCs w:val="21"/>
              </w:rPr>
              <w:t>准备</w:t>
            </w:r>
          </w:p>
        </w:tc>
        <w:tc>
          <w:tcPr>
            <w:tcW w:w="1417" w:type="dxa"/>
            <w:vMerge w:val="restart"/>
            <w:tcBorders>
              <w:top w:val="single" w:sz="4" w:space="0" w:color="000000"/>
              <w:left w:val="single" w:sz="4" w:space="0" w:color="000000"/>
              <w:right w:val="single" w:sz="4" w:space="0" w:color="000000"/>
            </w:tcBorders>
            <w:shd w:val="clear" w:color="auto" w:fill="D2D2D2"/>
          </w:tcPr>
          <w:p>
            <w:pPr/>
          </w:p>
        </w:tc>
        <w:tc>
          <w:tcPr>
            <w:tcW w:w="1277" w:type="dxa"/>
            <w:vMerge w:val="restart"/>
            <w:tcBorders>
              <w:top w:val="nil" w:sz="6" w:space="0" w:color="auto"/>
              <w:left w:val="single" w:sz="4" w:space="0" w:color="000000"/>
              <w:right w:val="single" w:sz="4" w:space="0" w:color="000000"/>
            </w:tcBorders>
            <w:shd w:val="clear" w:color="auto" w:fill="D2D2D2"/>
          </w:tcPr>
          <w:p>
            <w:pPr>
              <w:pStyle w:val="TableParagraph"/>
              <w:spacing w:line="271" w:lineRule="auto" w:before="12"/>
              <w:ind w:left="528" w:right="103" w:hanging="420"/>
              <w:jc w:val="left"/>
              <w:rPr>
                <w:rFonts w:ascii="宋体" w:hAnsi="宋体" w:cs="宋体" w:eastAsia="宋体" w:hint="default"/>
                <w:sz w:val="21"/>
                <w:szCs w:val="21"/>
              </w:rPr>
            </w:pPr>
            <w:r>
              <w:rPr>
                <w:rFonts w:ascii="宋体" w:hAnsi="宋体" w:cs="宋体" w:eastAsia="宋体" w:hint="default"/>
                <w:sz w:val="21"/>
                <w:szCs w:val="21"/>
              </w:rPr>
              <w:t>少数股东权</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益</w:t>
            </w:r>
          </w:p>
        </w:tc>
        <w:tc>
          <w:tcPr>
            <w:tcW w:w="1416" w:type="dxa"/>
            <w:vMerge w:val="restart"/>
            <w:tcBorders>
              <w:top w:val="nil" w:sz="6" w:space="0" w:color="auto"/>
              <w:left w:val="single" w:sz="4" w:space="0" w:color="000000"/>
              <w:right w:val="single" w:sz="4" w:space="0" w:color="000000"/>
            </w:tcBorders>
            <w:shd w:val="clear" w:color="auto" w:fill="D2D2D2"/>
          </w:tcPr>
          <w:p>
            <w:pPr>
              <w:pStyle w:val="TableParagraph"/>
              <w:spacing w:line="271" w:lineRule="auto" w:before="12"/>
              <w:ind w:left="595" w:right="70" w:hanging="524"/>
              <w:jc w:val="left"/>
              <w:rPr>
                <w:rFonts w:ascii="宋体" w:hAnsi="宋体" w:cs="宋体" w:eastAsia="宋体" w:hint="default"/>
                <w:sz w:val="21"/>
                <w:szCs w:val="21"/>
              </w:rPr>
            </w:pPr>
            <w:r>
              <w:rPr>
                <w:rFonts w:ascii="宋体" w:hAnsi="宋体" w:cs="宋体" w:eastAsia="宋体" w:hint="default"/>
                <w:sz w:val="21"/>
                <w:szCs w:val="21"/>
              </w:rPr>
              <w:t>所有者权益合</w:t>
            </w:r>
            <w:r>
              <w:rPr>
                <w:rFonts w:ascii="宋体" w:hAnsi="宋体" w:cs="宋体" w:eastAsia="宋体" w:hint="default"/>
                <w:w w:val="100"/>
                <w:sz w:val="21"/>
                <w:szCs w:val="21"/>
              </w:rPr>
              <w:t> </w:t>
            </w:r>
            <w:r>
              <w:rPr>
                <w:rFonts w:ascii="宋体" w:hAnsi="宋体" w:cs="宋体" w:eastAsia="宋体" w:hint="default"/>
                <w:sz w:val="21"/>
                <w:szCs w:val="21"/>
              </w:rPr>
              <w:t>计</w:t>
            </w:r>
          </w:p>
        </w:tc>
      </w:tr>
      <w:tr>
        <w:trPr>
          <w:trHeight w:val="154" w:hRule="exact"/>
        </w:trPr>
        <w:tc>
          <w:tcPr>
            <w:tcW w:w="2244" w:type="dxa"/>
            <w:vMerge/>
            <w:tcBorders>
              <w:left w:val="single" w:sz="4" w:space="0" w:color="000000"/>
              <w:bottom w:val="nil" w:sz="6" w:space="0" w:color="auto"/>
              <w:right w:val="single" w:sz="4" w:space="0" w:color="000000"/>
            </w:tcBorders>
            <w:shd w:val="clear" w:color="auto" w:fill="D2D2D2"/>
          </w:tcPr>
          <w:p>
            <w:pPr/>
          </w:p>
        </w:tc>
        <w:tc>
          <w:tcPr>
            <w:tcW w:w="1430" w:type="dxa"/>
            <w:vMerge/>
            <w:tcBorders>
              <w:left w:val="single" w:sz="4" w:space="0" w:color="000000"/>
              <w:bottom w:val="nil" w:sz="6" w:space="0" w:color="auto"/>
              <w:right w:val="single" w:sz="4" w:space="0" w:color="000000"/>
            </w:tcBorders>
            <w:shd w:val="clear" w:color="auto" w:fill="D2D2D2"/>
          </w:tcPr>
          <w:p>
            <w:pPr/>
          </w:p>
        </w:tc>
        <w:tc>
          <w:tcPr>
            <w:tcW w:w="1417" w:type="dxa"/>
            <w:gridSpan w:val="3"/>
            <w:vMerge/>
            <w:tcBorders>
              <w:left w:val="single" w:sz="4" w:space="0" w:color="000000"/>
              <w:bottom w:val="single" w:sz="4" w:space="0" w:color="000000"/>
              <w:right w:val="single" w:sz="4" w:space="0" w:color="000000"/>
            </w:tcBorders>
            <w:shd w:val="clear" w:color="auto" w:fill="D2D2D2"/>
          </w:tcPr>
          <w:p>
            <w:pPr/>
          </w:p>
        </w:tc>
        <w:tc>
          <w:tcPr>
            <w:tcW w:w="1418"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569" w:type="dxa"/>
            <w:vMerge/>
            <w:tcBorders>
              <w:left w:val="single" w:sz="4" w:space="0" w:color="000000"/>
              <w:right w:val="single" w:sz="4" w:space="0" w:color="000000"/>
            </w:tcBorders>
            <w:shd w:val="clear" w:color="auto" w:fill="D2D2D2"/>
          </w:tcPr>
          <w:p>
            <w:pPr/>
          </w:p>
        </w:tc>
        <w:tc>
          <w:tcPr>
            <w:tcW w:w="566"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9"/>
              <w:ind w:left="67" w:right="65"/>
              <w:jc w:val="left"/>
              <w:rPr>
                <w:rFonts w:ascii="宋体" w:hAnsi="宋体" w:cs="宋体" w:eastAsia="宋体" w:hint="default"/>
                <w:sz w:val="21"/>
                <w:szCs w:val="21"/>
              </w:rPr>
            </w:pPr>
            <w:r>
              <w:rPr>
                <w:rFonts w:ascii="宋体" w:hAnsi="宋体" w:cs="宋体" w:eastAsia="宋体" w:hint="default"/>
                <w:sz w:val="21"/>
                <w:szCs w:val="21"/>
              </w:rPr>
              <w:t>专项</w:t>
            </w:r>
            <w:r>
              <w:rPr>
                <w:rFonts w:ascii="宋体" w:hAnsi="宋体" w:cs="宋体" w:eastAsia="宋体" w:hint="default"/>
                <w:spacing w:val="-103"/>
                <w:sz w:val="21"/>
                <w:szCs w:val="21"/>
              </w:rPr>
              <w:t> </w:t>
            </w:r>
            <w:r>
              <w:rPr>
                <w:rFonts w:ascii="宋体" w:hAnsi="宋体" w:cs="宋体" w:eastAsia="宋体" w:hint="default"/>
                <w:sz w:val="21"/>
                <w:szCs w:val="21"/>
              </w:rPr>
              <w:t>储备</w:t>
            </w:r>
          </w:p>
        </w:tc>
        <w:tc>
          <w:tcPr>
            <w:tcW w:w="1277"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bottom w:val="nil" w:sz="6" w:space="0" w:color="auto"/>
              <w:right w:val="single" w:sz="4" w:space="0" w:color="000000"/>
            </w:tcBorders>
            <w:shd w:val="clear" w:color="auto" w:fill="D2D2D2"/>
          </w:tcPr>
          <w:p>
            <w:pPr/>
          </w:p>
        </w:tc>
        <w:tc>
          <w:tcPr>
            <w:tcW w:w="1277" w:type="dxa"/>
            <w:vMerge/>
            <w:tcBorders>
              <w:left w:val="single" w:sz="4" w:space="0" w:color="000000"/>
              <w:right w:val="single" w:sz="4" w:space="0" w:color="000000"/>
            </w:tcBorders>
            <w:shd w:val="clear" w:color="auto" w:fill="D2D2D2"/>
          </w:tcPr>
          <w:p>
            <w:pPr/>
          </w:p>
        </w:tc>
        <w:tc>
          <w:tcPr>
            <w:tcW w:w="1416" w:type="dxa"/>
            <w:vMerge/>
            <w:tcBorders>
              <w:left w:val="single" w:sz="4" w:space="0" w:color="000000"/>
              <w:right w:val="single" w:sz="4" w:space="0" w:color="000000"/>
            </w:tcBorders>
            <w:shd w:val="clear" w:color="auto" w:fill="D2D2D2"/>
          </w:tcPr>
          <w:p>
            <w:pPr/>
          </w:p>
        </w:tc>
      </w:tr>
      <w:tr>
        <w:trPr>
          <w:trHeight w:val="372" w:hRule="exact"/>
        </w:trPr>
        <w:tc>
          <w:tcPr>
            <w:tcW w:w="2244" w:type="dxa"/>
            <w:vMerge w:val="restart"/>
            <w:tcBorders>
              <w:top w:val="nil" w:sz="6" w:space="0" w:color="auto"/>
              <w:left w:val="single" w:sz="4" w:space="0" w:color="000000"/>
              <w:right w:val="single" w:sz="4" w:space="0" w:color="000000"/>
            </w:tcBorders>
            <w:shd w:val="clear" w:color="auto" w:fill="D2D2D2"/>
          </w:tcPr>
          <w:p>
            <w:pPr/>
          </w:p>
        </w:tc>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31"/>
              <w:ind w:left="14" w:right="0"/>
              <w:jc w:val="center"/>
              <w:rPr>
                <w:rFonts w:ascii="宋体" w:hAnsi="宋体" w:cs="宋体" w:eastAsia="宋体" w:hint="default"/>
                <w:sz w:val="21"/>
                <w:szCs w:val="21"/>
              </w:rPr>
            </w:pPr>
            <w:r>
              <w:rPr>
                <w:rFonts w:ascii="宋体" w:hAnsi="宋体" w:cs="宋体" w:eastAsia="宋体" w:hint="default"/>
                <w:sz w:val="21"/>
                <w:szCs w:val="21"/>
              </w:rPr>
              <w:t>股本</w:t>
            </w:r>
          </w:p>
        </w:tc>
        <w:tc>
          <w:tcPr>
            <w:tcW w:w="567"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71"/>
              <w:ind w:left="170" w:right="65" w:hanging="104"/>
              <w:jc w:val="left"/>
              <w:rPr>
                <w:rFonts w:ascii="宋体" w:hAnsi="宋体" w:cs="宋体" w:eastAsia="宋体" w:hint="default"/>
                <w:sz w:val="21"/>
                <w:szCs w:val="21"/>
              </w:rPr>
            </w:pPr>
            <w:r>
              <w:rPr>
                <w:rFonts w:ascii="宋体" w:hAnsi="宋体" w:cs="宋体" w:eastAsia="宋体" w:hint="default"/>
                <w:sz w:val="21"/>
                <w:szCs w:val="21"/>
              </w:rPr>
              <w:t>优先</w:t>
            </w:r>
            <w:r>
              <w:rPr>
                <w:rFonts w:ascii="宋体" w:hAnsi="宋体" w:cs="宋体" w:eastAsia="宋体" w:hint="default"/>
                <w:spacing w:val="-103"/>
                <w:sz w:val="21"/>
                <w:szCs w:val="21"/>
              </w:rPr>
              <w:t> </w:t>
            </w:r>
            <w:r>
              <w:rPr>
                <w:rFonts w:ascii="宋体" w:hAnsi="宋体" w:cs="宋体" w:eastAsia="宋体" w:hint="default"/>
                <w:sz w:val="21"/>
                <w:szCs w:val="21"/>
              </w:rPr>
              <w:t>股</w:t>
            </w: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71"/>
              <w:ind w:left="172" w:right="62" w:hanging="104"/>
              <w:jc w:val="left"/>
              <w:rPr>
                <w:rFonts w:ascii="宋体" w:hAnsi="宋体" w:cs="宋体" w:eastAsia="宋体" w:hint="default"/>
                <w:sz w:val="21"/>
                <w:szCs w:val="21"/>
              </w:rPr>
            </w:pPr>
            <w:r>
              <w:rPr>
                <w:rFonts w:ascii="宋体" w:hAnsi="宋体" w:cs="宋体" w:eastAsia="宋体" w:hint="default"/>
                <w:sz w:val="21"/>
                <w:szCs w:val="21"/>
              </w:rPr>
              <w:t>永续</w:t>
            </w:r>
            <w:r>
              <w:rPr>
                <w:rFonts w:ascii="宋体" w:hAnsi="宋体" w:cs="宋体" w:eastAsia="宋体" w:hint="default"/>
                <w:spacing w:val="-103"/>
                <w:sz w:val="21"/>
                <w:szCs w:val="21"/>
              </w:rPr>
              <w:t> </w:t>
            </w:r>
            <w:r>
              <w:rPr>
                <w:rFonts w:ascii="宋体" w:hAnsi="宋体" w:cs="宋体" w:eastAsia="宋体" w:hint="default"/>
                <w:sz w:val="21"/>
                <w:szCs w:val="21"/>
              </w:rPr>
              <w:t>债</w:t>
            </w:r>
          </w:p>
        </w:tc>
        <w:tc>
          <w:tcPr>
            <w:tcW w:w="283"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71"/>
              <w:ind w:left="31" w:right="29"/>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p>
        </w:tc>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31"/>
              <w:ind w:left="4" w:right="0"/>
              <w:jc w:val="center"/>
              <w:rPr>
                <w:rFonts w:ascii="宋体" w:hAnsi="宋体" w:cs="宋体" w:eastAsia="宋体" w:hint="default"/>
                <w:sz w:val="21"/>
                <w:szCs w:val="21"/>
              </w:rPr>
            </w:pPr>
            <w:r>
              <w:rPr>
                <w:rFonts w:ascii="宋体" w:hAnsi="宋体" w:cs="宋体" w:eastAsia="宋体" w:hint="default"/>
                <w:sz w:val="21"/>
                <w:szCs w:val="21"/>
              </w:rPr>
              <w:t>资本公积</w:t>
            </w:r>
          </w:p>
        </w:tc>
        <w:tc>
          <w:tcPr>
            <w:tcW w:w="566" w:type="dxa"/>
            <w:vMerge/>
            <w:tcBorders>
              <w:left w:val="single" w:sz="4" w:space="0" w:color="000000"/>
              <w:right w:val="single" w:sz="4" w:space="0" w:color="000000"/>
            </w:tcBorders>
            <w:shd w:val="clear" w:color="auto" w:fill="D2D2D2"/>
          </w:tcPr>
          <w:p>
            <w:pPr/>
          </w:p>
        </w:tc>
        <w:tc>
          <w:tcPr>
            <w:tcW w:w="569"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9"/>
              <w:ind w:left="213"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566"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9"/>
              <w:ind w:right="0"/>
              <w:jc w:val="center"/>
              <w:rPr>
                <w:rFonts w:ascii="宋体" w:hAnsi="宋体" w:cs="宋体" w:eastAsia="宋体" w:hint="default"/>
                <w:sz w:val="21"/>
                <w:szCs w:val="21"/>
              </w:rPr>
            </w:pPr>
            <w:r>
              <w:rPr>
                <w:rFonts w:ascii="宋体" w:hAnsi="宋体" w:cs="宋体" w:eastAsia="宋体" w:hint="default"/>
                <w:sz w:val="21"/>
                <w:szCs w:val="21"/>
              </w:rPr>
              <w:t>未分配利润</w:t>
            </w:r>
          </w:p>
        </w:tc>
        <w:tc>
          <w:tcPr>
            <w:tcW w:w="1277" w:type="dxa"/>
            <w:vMerge/>
            <w:tcBorders>
              <w:left w:val="single" w:sz="4" w:space="0" w:color="000000"/>
              <w:bottom w:val="nil" w:sz="6" w:space="0" w:color="auto"/>
              <w:right w:val="single" w:sz="4" w:space="0" w:color="000000"/>
            </w:tcBorders>
            <w:shd w:val="clear" w:color="auto" w:fill="D2D2D2"/>
          </w:tcPr>
          <w:p>
            <w:pPr/>
          </w:p>
        </w:tc>
        <w:tc>
          <w:tcPr>
            <w:tcW w:w="1416" w:type="dxa"/>
            <w:vMerge/>
            <w:tcBorders>
              <w:left w:val="single" w:sz="4" w:space="0" w:color="000000"/>
              <w:bottom w:val="nil" w:sz="6" w:space="0" w:color="auto"/>
              <w:right w:val="single" w:sz="4" w:space="0" w:color="000000"/>
            </w:tcBorders>
            <w:shd w:val="clear" w:color="auto" w:fill="D2D2D2"/>
          </w:tcPr>
          <w:p>
            <w:pPr/>
          </w:p>
        </w:tc>
      </w:tr>
      <w:tr>
        <w:trPr>
          <w:trHeight w:val="162" w:hRule="exact"/>
        </w:trPr>
        <w:tc>
          <w:tcPr>
            <w:tcW w:w="2244" w:type="dxa"/>
            <w:vMerge/>
            <w:tcBorders>
              <w:left w:val="single" w:sz="4" w:space="0" w:color="000000"/>
              <w:right w:val="single" w:sz="4" w:space="0" w:color="000000"/>
            </w:tcBorders>
            <w:shd w:val="clear" w:color="auto" w:fill="D2D2D2"/>
          </w:tcPr>
          <w:p>
            <w:pPr/>
          </w:p>
        </w:tc>
        <w:tc>
          <w:tcPr>
            <w:tcW w:w="1430" w:type="dxa"/>
            <w:vMerge w:val="restart"/>
            <w:tcBorders>
              <w:top w:val="nil" w:sz="6" w:space="0" w:color="auto"/>
              <w:left w:val="single" w:sz="4" w:space="0" w:color="000000"/>
              <w:right w:val="single" w:sz="4" w:space="0" w:color="000000"/>
            </w:tcBorders>
            <w:shd w:val="clear" w:color="auto" w:fill="D2D2D2"/>
          </w:tcPr>
          <w:p>
            <w:pPr/>
          </w:p>
        </w:tc>
        <w:tc>
          <w:tcPr>
            <w:tcW w:w="567"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283" w:type="dxa"/>
            <w:vMerge/>
            <w:tcBorders>
              <w:left w:val="single" w:sz="4" w:space="0" w:color="000000"/>
              <w:right w:val="single" w:sz="4" w:space="0" w:color="000000"/>
            </w:tcBorders>
            <w:shd w:val="clear" w:color="auto" w:fill="D2D2D2"/>
          </w:tcPr>
          <w:p>
            <w:pPr/>
          </w:p>
        </w:tc>
        <w:tc>
          <w:tcPr>
            <w:tcW w:w="1418" w:type="dxa"/>
            <w:vMerge w:val="restart"/>
            <w:tcBorders>
              <w:top w:val="nil" w:sz="6" w:space="0" w:color="auto"/>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569" w:type="dxa"/>
            <w:vMerge/>
            <w:tcBorders>
              <w:left w:val="single" w:sz="4" w:space="0" w:color="000000"/>
              <w:right w:val="single" w:sz="4" w:space="0" w:color="000000"/>
            </w:tcBorders>
            <w:shd w:val="clear" w:color="auto" w:fill="D2D2D2"/>
          </w:tcPr>
          <w:p>
            <w:pPr/>
          </w:p>
        </w:tc>
        <w:tc>
          <w:tcPr>
            <w:tcW w:w="566" w:type="dxa"/>
            <w:vMerge/>
            <w:tcBorders>
              <w:left w:val="single" w:sz="4" w:space="0" w:color="000000"/>
              <w:bottom w:val="nil" w:sz="6" w:space="0" w:color="auto"/>
              <w:right w:val="single" w:sz="4" w:space="0" w:color="000000"/>
            </w:tcBorders>
            <w:shd w:val="clear" w:color="auto" w:fill="D2D2D2"/>
          </w:tcPr>
          <w:p>
            <w:pPr/>
          </w:p>
        </w:tc>
        <w:tc>
          <w:tcPr>
            <w:tcW w:w="1277" w:type="dxa"/>
            <w:vMerge w:val="restart"/>
            <w:tcBorders>
              <w:top w:val="nil" w:sz="6" w:space="0" w:color="auto"/>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1417" w:type="dxa"/>
            <w:vMerge w:val="restart"/>
            <w:tcBorders>
              <w:top w:val="nil" w:sz="6" w:space="0" w:color="auto"/>
              <w:left w:val="single" w:sz="4" w:space="0" w:color="000000"/>
              <w:right w:val="single" w:sz="4" w:space="0" w:color="000000"/>
            </w:tcBorders>
            <w:shd w:val="clear" w:color="auto" w:fill="D2D2D2"/>
          </w:tcPr>
          <w:p>
            <w:pPr/>
          </w:p>
        </w:tc>
        <w:tc>
          <w:tcPr>
            <w:tcW w:w="1277" w:type="dxa"/>
            <w:vMerge w:val="restart"/>
            <w:tcBorders>
              <w:top w:val="nil" w:sz="6" w:space="0" w:color="auto"/>
              <w:left w:val="single" w:sz="4" w:space="0" w:color="000000"/>
              <w:right w:val="single" w:sz="4" w:space="0" w:color="000000"/>
            </w:tcBorders>
            <w:shd w:val="clear" w:color="auto" w:fill="D2D2D2"/>
          </w:tcPr>
          <w:p>
            <w:pPr/>
          </w:p>
        </w:tc>
        <w:tc>
          <w:tcPr>
            <w:tcW w:w="1416" w:type="dxa"/>
            <w:vMerge w:val="restart"/>
            <w:tcBorders>
              <w:top w:val="nil" w:sz="6" w:space="0" w:color="auto"/>
              <w:left w:val="single" w:sz="4" w:space="0" w:color="000000"/>
              <w:right w:val="single" w:sz="4" w:space="0" w:color="000000"/>
            </w:tcBorders>
            <w:shd w:val="clear" w:color="auto" w:fill="D2D2D2"/>
          </w:tcPr>
          <w:p>
            <w:pPr/>
          </w:p>
        </w:tc>
      </w:tr>
      <w:tr>
        <w:trPr>
          <w:trHeight w:val="204" w:hRule="exact"/>
        </w:trPr>
        <w:tc>
          <w:tcPr>
            <w:tcW w:w="2244" w:type="dxa"/>
            <w:vMerge/>
            <w:tcBorders>
              <w:left w:val="single" w:sz="4" w:space="0" w:color="000000"/>
              <w:bottom w:val="single" w:sz="4" w:space="0" w:color="000000"/>
              <w:right w:val="single" w:sz="4" w:space="0" w:color="000000"/>
            </w:tcBorders>
            <w:shd w:val="clear" w:color="auto" w:fill="D2D2D2"/>
          </w:tcPr>
          <w:p>
            <w:pPr/>
          </w:p>
        </w:tc>
        <w:tc>
          <w:tcPr>
            <w:tcW w:w="1430" w:type="dxa"/>
            <w:vMerge/>
            <w:tcBorders>
              <w:left w:val="single" w:sz="4" w:space="0" w:color="000000"/>
              <w:bottom w:val="single" w:sz="4" w:space="0" w:color="000000"/>
              <w:right w:val="single" w:sz="4" w:space="0" w:color="000000"/>
            </w:tcBorders>
            <w:shd w:val="clear" w:color="auto" w:fill="D2D2D2"/>
          </w:tcPr>
          <w:p>
            <w:pPr/>
          </w:p>
        </w:tc>
        <w:tc>
          <w:tcPr>
            <w:tcW w:w="567"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283" w:type="dxa"/>
            <w:vMerge/>
            <w:tcBorders>
              <w:left w:val="single" w:sz="4" w:space="0" w:color="000000"/>
              <w:bottom w:val="single" w:sz="4" w:space="0" w:color="000000"/>
              <w:right w:val="single" w:sz="4" w:space="0" w:color="000000"/>
            </w:tcBorders>
            <w:shd w:val="clear" w:color="auto" w:fill="D2D2D2"/>
          </w:tcPr>
          <w:p>
            <w:pPr/>
          </w:p>
        </w:tc>
        <w:tc>
          <w:tcPr>
            <w:tcW w:w="1418"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569" w:type="dxa"/>
            <w:vMerge/>
            <w:tcBorders>
              <w:left w:val="single" w:sz="4" w:space="0" w:color="000000"/>
              <w:bottom w:val="single" w:sz="4" w:space="0" w:color="000000"/>
              <w:right w:val="single" w:sz="4" w:space="0" w:color="000000"/>
            </w:tcBorders>
            <w:shd w:val="clear" w:color="auto" w:fill="D2D2D2"/>
          </w:tcPr>
          <w:p>
            <w:pPr/>
          </w:p>
        </w:tc>
        <w:tc>
          <w:tcPr>
            <w:tcW w:w="566"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1417"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14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2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1" w:right="0"/>
              <w:jc w:val="left"/>
              <w:rPr>
                <w:rFonts w:ascii="宋体" w:hAnsi="宋体" w:cs="宋体" w:eastAsia="宋体" w:hint="default"/>
                <w:sz w:val="21"/>
                <w:szCs w:val="21"/>
              </w:rPr>
            </w:pPr>
            <w:r>
              <w:rPr>
                <w:rFonts w:ascii="宋体" w:hAnsi="宋体" w:cs="宋体" w:eastAsia="宋体" w:hint="default"/>
                <w:sz w:val="21"/>
                <w:szCs w:val="21"/>
              </w:rPr>
              <w:t>一、上年期末余额</w:t>
            </w:r>
          </w:p>
        </w:tc>
        <w:tc>
          <w:tcPr>
            <w:tcW w:w="14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7"/>
              <w:ind w:left="55" w:right="0"/>
              <w:jc w:val="center"/>
              <w:rPr>
                <w:rFonts w:ascii="Times New Roman" w:hAnsi="Times New Roman" w:cs="Times New Roman" w:eastAsia="Times New Roman" w:hint="default"/>
                <w:sz w:val="21"/>
                <w:szCs w:val="21"/>
              </w:rPr>
            </w:pPr>
            <w:r>
              <w:rPr>
                <w:rFonts w:ascii="Times New Roman"/>
                <w:sz w:val="21"/>
              </w:rPr>
              <w:t>200,000,000.00</w:t>
            </w: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55" w:right="0"/>
              <w:jc w:val="center"/>
              <w:rPr>
                <w:rFonts w:ascii="Times New Roman" w:hAnsi="Times New Roman" w:cs="Times New Roman" w:eastAsia="Times New Roman" w:hint="default"/>
                <w:sz w:val="21"/>
                <w:szCs w:val="21"/>
              </w:rPr>
            </w:pPr>
            <w:r>
              <w:rPr>
                <w:rFonts w:ascii="Times New Roman"/>
                <w:sz w:val="21"/>
              </w:rPr>
              <w:t>429,089,779.67</w:t>
            </w:r>
          </w:p>
        </w:tc>
        <w:tc>
          <w:tcPr>
            <w:tcW w:w="566" w:type="dxa"/>
            <w:tcBorders>
              <w:top w:val="single" w:sz="21" w:space="0" w:color="D2D2D2"/>
              <w:left w:val="single" w:sz="4" w:space="0" w:color="000000"/>
              <w:bottom w:val="single" w:sz="4" w:space="0" w:color="000000"/>
              <w:right w:val="single" w:sz="4" w:space="0" w:color="000000"/>
            </w:tcBorders>
          </w:tcPr>
          <w:p>
            <w:pPr/>
          </w:p>
        </w:tc>
        <w:tc>
          <w:tcPr>
            <w:tcW w:w="569" w:type="dxa"/>
            <w:tcBorders>
              <w:top w:val="single" w:sz="21" w:space="0" w:color="D2D2D2"/>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32,210,413.29</w:t>
            </w:r>
          </w:p>
        </w:tc>
        <w:tc>
          <w:tcPr>
            <w:tcW w:w="566" w:type="dxa"/>
            <w:tcBorders>
              <w:top w:val="single" w:sz="21" w:space="0" w:color="D2D2D2"/>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7" w:right="0"/>
              <w:jc w:val="center"/>
              <w:rPr>
                <w:rFonts w:ascii="Times New Roman" w:hAnsi="Times New Roman" w:cs="Times New Roman" w:eastAsia="Times New Roman" w:hint="default"/>
                <w:sz w:val="21"/>
                <w:szCs w:val="21"/>
              </w:rPr>
            </w:pPr>
            <w:r>
              <w:rPr>
                <w:rFonts w:ascii="Times New Roman"/>
                <w:sz w:val="21"/>
              </w:rPr>
              <w:t>165,124,504.68</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7" w:right="0"/>
              <w:jc w:val="center"/>
              <w:rPr>
                <w:rFonts w:ascii="Times New Roman" w:hAnsi="Times New Roman" w:cs="Times New Roman" w:eastAsia="Times New Roman" w:hint="default"/>
                <w:sz w:val="21"/>
                <w:szCs w:val="21"/>
              </w:rPr>
            </w:pPr>
            <w:r>
              <w:rPr>
                <w:rFonts w:ascii="Times New Roman"/>
                <w:sz w:val="21"/>
              </w:rPr>
              <w:t>826,424,697.64</w:t>
            </w:r>
          </w:p>
        </w:tc>
      </w:tr>
      <w:tr>
        <w:trPr>
          <w:trHeight w:val="401" w:hRule="exact"/>
        </w:trPr>
        <w:tc>
          <w:tcPr>
            <w:tcW w:w="22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17"/>
              <w:jc w:val="right"/>
              <w:rPr>
                <w:rFonts w:ascii="宋体" w:hAnsi="宋体" w:cs="宋体" w:eastAsia="宋体" w:hint="default"/>
                <w:sz w:val="21"/>
                <w:szCs w:val="21"/>
              </w:rPr>
            </w:pPr>
            <w:r>
              <w:rPr>
                <w:rFonts w:ascii="宋体" w:hAnsi="宋体" w:cs="宋体" w:eastAsia="宋体" w:hint="default"/>
                <w:spacing w:val="-2"/>
                <w:sz w:val="21"/>
                <w:szCs w:val="21"/>
              </w:rPr>
              <w:t>加：会计政策变更</w:t>
            </w:r>
          </w:p>
        </w:tc>
        <w:tc>
          <w:tcPr>
            <w:tcW w:w="1430" w:type="dxa"/>
            <w:tcBorders>
              <w:top w:val="single" w:sz="4" w:space="0" w:color="000000"/>
              <w:left w:val="single" w:sz="13" w:space="0" w:color="D2D2D2"/>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117"/>
              <w:jc w:val="right"/>
              <w:rPr>
                <w:rFonts w:ascii="宋体" w:hAnsi="宋体" w:cs="宋体" w:eastAsia="宋体" w:hint="default"/>
                <w:sz w:val="21"/>
                <w:szCs w:val="21"/>
              </w:rPr>
            </w:pPr>
            <w:r>
              <w:rPr>
                <w:rFonts w:ascii="宋体" w:hAnsi="宋体" w:cs="宋体" w:eastAsia="宋体" w:hint="default"/>
                <w:spacing w:val="-2"/>
                <w:sz w:val="21"/>
                <w:szCs w:val="21"/>
              </w:rPr>
              <w:t>前期差错更正</w:t>
            </w:r>
          </w:p>
        </w:tc>
        <w:tc>
          <w:tcPr>
            <w:tcW w:w="1430" w:type="dxa"/>
            <w:tcBorders>
              <w:top w:val="single" w:sz="4" w:space="0" w:color="000000"/>
              <w:left w:val="single" w:sz="13" w:space="0" w:color="D2D2D2"/>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2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54" w:right="0"/>
              <w:jc w:val="left"/>
              <w:rPr>
                <w:rFonts w:ascii="宋体" w:hAnsi="宋体" w:cs="宋体" w:eastAsia="宋体" w:hint="default"/>
                <w:sz w:val="21"/>
                <w:szCs w:val="21"/>
              </w:rPr>
            </w:pPr>
            <w:r>
              <w:rPr>
                <w:rFonts w:ascii="宋体" w:hAnsi="宋体" w:cs="宋体" w:eastAsia="宋体" w:hint="default"/>
                <w:sz w:val="21"/>
                <w:szCs w:val="21"/>
              </w:rPr>
              <w:t>同一控制下企</w:t>
            </w:r>
          </w:p>
          <w:p>
            <w:pPr>
              <w:pStyle w:val="TableParagraph"/>
              <w:spacing w:line="240" w:lineRule="auto" w:before="37"/>
              <w:ind w:left="11" w:right="0"/>
              <w:jc w:val="left"/>
              <w:rPr>
                <w:rFonts w:ascii="宋体" w:hAnsi="宋体" w:cs="宋体" w:eastAsia="宋体" w:hint="default"/>
                <w:sz w:val="21"/>
                <w:szCs w:val="21"/>
              </w:rPr>
            </w:pPr>
            <w:r>
              <w:rPr>
                <w:rFonts w:ascii="宋体" w:hAnsi="宋体" w:cs="宋体" w:eastAsia="宋体" w:hint="default"/>
                <w:sz w:val="21"/>
                <w:szCs w:val="21"/>
              </w:rPr>
              <w:t>业合并</w:t>
            </w:r>
          </w:p>
        </w:tc>
        <w:tc>
          <w:tcPr>
            <w:tcW w:w="1430" w:type="dxa"/>
            <w:tcBorders>
              <w:top w:val="single" w:sz="4" w:space="0" w:color="000000"/>
              <w:left w:val="single" w:sz="13" w:space="0" w:color="D2D2D2"/>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105"/>
              <w:jc w:val="center"/>
              <w:rPr>
                <w:rFonts w:ascii="宋体" w:hAnsi="宋体" w:cs="宋体" w:eastAsia="宋体" w:hint="default"/>
                <w:sz w:val="21"/>
                <w:szCs w:val="21"/>
              </w:rPr>
            </w:pPr>
            <w:r>
              <w:rPr>
                <w:rFonts w:ascii="宋体" w:hAnsi="宋体" w:cs="宋体" w:eastAsia="宋体" w:hint="default"/>
                <w:spacing w:val="-3"/>
                <w:sz w:val="21"/>
                <w:szCs w:val="21"/>
              </w:rPr>
              <w:t>其他</w:t>
            </w:r>
            <w:r>
              <w:rPr>
                <w:rFonts w:ascii="宋体" w:hAnsi="宋体" w:cs="宋体" w:eastAsia="宋体" w:hint="default"/>
                <w:sz w:val="21"/>
                <w:szCs w:val="21"/>
              </w:rPr>
            </w:r>
          </w:p>
        </w:tc>
        <w:tc>
          <w:tcPr>
            <w:tcW w:w="1430" w:type="dxa"/>
            <w:tcBorders>
              <w:top w:val="single" w:sz="4" w:space="0" w:color="000000"/>
              <w:left w:val="single" w:sz="13" w:space="0" w:color="D2D2D2"/>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二、本年期初余额</w:t>
            </w:r>
          </w:p>
        </w:tc>
        <w:tc>
          <w:tcPr>
            <w:tcW w:w="14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left="55" w:right="0"/>
              <w:jc w:val="center"/>
              <w:rPr>
                <w:rFonts w:ascii="Times New Roman" w:hAnsi="Times New Roman" w:cs="Times New Roman" w:eastAsia="Times New Roman" w:hint="default"/>
                <w:sz w:val="21"/>
                <w:szCs w:val="21"/>
              </w:rPr>
            </w:pPr>
            <w:r>
              <w:rPr>
                <w:rFonts w:ascii="Times New Roman"/>
                <w:sz w:val="21"/>
              </w:rPr>
              <w:t>200,000,000.00</w:t>
            </w: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5" w:right="0"/>
              <w:jc w:val="center"/>
              <w:rPr>
                <w:rFonts w:ascii="Times New Roman" w:hAnsi="Times New Roman" w:cs="Times New Roman" w:eastAsia="Times New Roman" w:hint="default"/>
                <w:sz w:val="21"/>
                <w:szCs w:val="21"/>
              </w:rPr>
            </w:pPr>
            <w:r>
              <w:rPr>
                <w:rFonts w:ascii="Times New Roman"/>
                <w:sz w:val="21"/>
              </w:rPr>
              <w:t>429,089,779.67</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32,210,413.29</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7" w:right="0"/>
              <w:jc w:val="center"/>
              <w:rPr>
                <w:rFonts w:ascii="Times New Roman" w:hAnsi="Times New Roman" w:cs="Times New Roman" w:eastAsia="Times New Roman" w:hint="default"/>
                <w:sz w:val="21"/>
                <w:szCs w:val="21"/>
              </w:rPr>
            </w:pPr>
            <w:r>
              <w:rPr>
                <w:rFonts w:ascii="Times New Roman"/>
                <w:sz w:val="21"/>
              </w:rPr>
              <w:t>165,124,504.68</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7" w:right="0"/>
              <w:jc w:val="center"/>
              <w:rPr>
                <w:rFonts w:ascii="Times New Roman" w:hAnsi="Times New Roman" w:cs="Times New Roman" w:eastAsia="Times New Roman" w:hint="default"/>
                <w:sz w:val="21"/>
                <w:szCs w:val="21"/>
              </w:rPr>
            </w:pPr>
            <w:r>
              <w:rPr>
                <w:rFonts w:ascii="Times New Roman"/>
                <w:sz w:val="21"/>
              </w:rPr>
              <w:t>826,424,697.64</w:t>
            </w:r>
          </w:p>
        </w:tc>
      </w:tr>
      <w:tr>
        <w:trPr>
          <w:trHeight w:val="715" w:hRule="exact"/>
        </w:trPr>
        <w:tc>
          <w:tcPr>
            <w:tcW w:w="22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1" w:right="0"/>
              <w:jc w:val="left"/>
              <w:rPr>
                <w:rFonts w:ascii="宋体" w:hAnsi="宋体" w:cs="宋体" w:eastAsia="宋体" w:hint="default"/>
                <w:sz w:val="21"/>
                <w:szCs w:val="21"/>
              </w:rPr>
            </w:pPr>
            <w:r>
              <w:rPr>
                <w:rFonts w:ascii="宋体" w:hAnsi="宋体" w:cs="宋体" w:eastAsia="宋体" w:hint="default"/>
                <w:sz w:val="21"/>
                <w:szCs w:val="21"/>
              </w:rPr>
              <w:t>三、本期增减变动金额</w:t>
            </w:r>
          </w:p>
          <w:p>
            <w:pPr>
              <w:pStyle w:val="TableParagraph"/>
              <w:spacing w:line="240" w:lineRule="auto" w:before="34"/>
              <w:ind w:left="11" w:right="0"/>
              <w:jc w:val="left"/>
              <w:rPr>
                <w:rFonts w:ascii="宋体" w:hAnsi="宋体" w:cs="宋体" w:eastAsia="宋体" w:hint="default"/>
                <w:sz w:val="21"/>
                <w:szCs w:val="21"/>
              </w:rPr>
            </w:pPr>
            <w:r>
              <w:rPr>
                <w:rFonts w:ascii="宋体" w:hAnsi="宋体" w:cs="宋体" w:eastAsia="宋体" w:hint="default"/>
                <w:sz w:val="21"/>
                <w:szCs w:val="21"/>
              </w:rPr>
              <w:t>（减少以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430" w:type="dxa"/>
            <w:tcBorders>
              <w:top w:val="single" w:sz="4" w:space="0" w:color="000000"/>
              <w:left w:val="single" w:sz="13" w:space="0" w:color="D2D2D2"/>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609,025.54</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83" w:right="0"/>
              <w:jc w:val="center"/>
              <w:rPr>
                <w:rFonts w:ascii="Times New Roman" w:hAnsi="Times New Roman" w:cs="Times New Roman" w:eastAsia="Times New Roman" w:hint="default"/>
                <w:sz w:val="21"/>
                <w:szCs w:val="21"/>
              </w:rPr>
            </w:pPr>
            <w:r>
              <w:rPr>
                <w:rFonts w:ascii="Times New Roman"/>
                <w:sz w:val="21"/>
              </w:rPr>
              <w:t>-54,445,570.74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20" w:right="0"/>
              <w:jc w:val="center"/>
              <w:rPr>
                <w:rFonts w:ascii="Times New Roman" w:hAnsi="Times New Roman" w:cs="Times New Roman" w:eastAsia="Times New Roman" w:hint="default"/>
                <w:sz w:val="21"/>
                <w:szCs w:val="21"/>
              </w:rPr>
            </w:pPr>
            <w:r>
              <w:rPr>
                <w:rFonts w:ascii="Times New Roman"/>
                <w:sz w:val="21"/>
              </w:rPr>
              <w:t>5,881,745.30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83" w:right="0"/>
              <w:jc w:val="center"/>
              <w:rPr>
                <w:rFonts w:ascii="Times New Roman" w:hAnsi="Times New Roman" w:cs="Times New Roman" w:eastAsia="Times New Roman" w:hint="default"/>
                <w:sz w:val="21"/>
                <w:szCs w:val="21"/>
              </w:rPr>
            </w:pPr>
            <w:r>
              <w:rPr>
                <w:rFonts w:ascii="Times New Roman"/>
                <w:sz w:val="21"/>
              </w:rPr>
              <w:t>-47,954,799.90</w:t>
            </w:r>
          </w:p>
        </w:tc>
      </w:tr>
      <w:tr>
        <w:trPr>
          <w:trHeight w:val="401" w:hRule="exact"/>
        </w:trPr>
        <w:tc>
          <w:tcPr>
            <w:tcW w:w="22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（一）综合收益总额</w:t>
            </w:r>
          </w:p>
        </w:tc>
        <w:tc>
          <w:tcPr>
            <w:tcW w:w="1430" w:type="dxa"/>
            <w:tcBorders>
              <w:top w:val="single" w:sz="4" w:space="0" w:color="000000"/>
              <w:left w:val="single" w:sz="13" w:space="0" w:color="D2D2D2"/>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53" w:right="0"/>
              <w:jc w:val="center"/>
              <w:rPr>
                <w:rFonts w:ascii="Times New Roman" w:hAnsi="Times New Roman" w:cs="Times New Roman" w:eastAsia="Times New Roman" w:hint="default"/>
                <w:sz w:val="21"/>
                <w:szCs w:val="21"/>
              </w:rPr>
            </w:pPr>
            <w:r>
              <w:rPr>
                <w:rFonts w:ascii="Times New Roman"/>
                <w:sz w:val="21"/>
              </w:rPr>
              <w:t>26,163,454.80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13" w:right="0"/>
              <w:jc w:val="center"/>
              <w:rPr>
                <w:rFonts w:ascii="Times New Roman" w:hAnsi="Times New Roman" w:cs="Times New Roman" w:eastAsia="Times New Roman" w:hint="default"/>
                <w:sz w:val="21"/>
                <w:szCs w:val="21"/>
              </w:rPr>
            </w:pPr>
            <w:r>
              <w:rPr>
                <w:rFonts w:ascii="Times New Roman"/>
                <w:sz w:val="21"/>
              </w:rPr>
              <w:t>-118,254.70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53" w:right="0"/>
              <w:jc w:val="center"/>
              <w:rPr>
                <w:rFonts w:ascii="Times New Roman" w:hAnsi="Times New Roman" w:cs="Times New Roman" w:eastAsia="Times New Roman" w:hint="default"/>
                <w:sz w:val="21"/>
                <w:szCs w:val="21"/>
              </w:rPr>
            </w:pPr>
            <w:r>
              <w:rPr>
                <w:rFonts w:ascii="Times New Roman"/>
                <w:sz w:val="21"/>
              </w:rPr>
              <w:t>26,045,200.10</w:t>
            </w:r>
          </w:p>
        </w:tc>
      </w:tr>
      <w:tr>
        <w:trPr>
          <w:trHeight w:val="716" w:hRule="exact"/>
        </w:trPr>
        <w:tc>
          <w:tcPr>
            <w:tcW w:w="22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1"/>
              <w:ind w:left="11" w:right="5"/>
              <w:jc w:val="left"/>
              <w:rPr>
                <w:rFonts w:ascii="宋体" w:hAnsi="宋体" w:cs="宋体" w:eastAsia="宋体" w:hint="default"/>
                <w:sz w:val="21"/>
                <w:szCs w:val="21"/>
              </w:rPr>
            </w:pPr>
            <w:r>
              <w:rPr>
                <w:rFonts w:ascii="宋体" w:hAnsi="宋体" w:cs="宋体" w:eastAsia="宋体" w:hint="default"/>
                <w:spacing w:val="-10"/>
                <w:w w:val="100"/>
                <w:sz w:val="21"/>
                <w:szCs w:val="21"/>
              </w:rPr>
              <w:t>（二）所有者投入和减少</w:t>
            </w:r>
            <w:r>
              <w:rPr>
                <w:rFonts w:ascii="宋体" w:hAnsi="宋体" w:cs="宋体" w:eastAsia="宋体" w:hint="default"/>
                <w:w w:val="100"/>
                <w:sz w:val="21"/>
                <w:szCs w:val="21"/>
              </w:rPr>
              <w:t> </w:t>
            </w:r>
            <w:r>
              <w:rPr>
                <w:rFonts w:ascii="宋体" w:hAnsi="宋体" w:cs="宋体" w:eastAsia="宋体" w:hint="default"/>
                <w:sz w:val="21"/>
                <w:szCs w:val="21"/>
              </w:rPr>
              <w:t>资本</w:t>
            </w:r>
          </w:p>
        </w:tc>
        <w:tc>
          <w:tcPr>
            <w:tcW w:w="1430" w:type="dxa"/>
            <w:tcBorders>
              <w:top w:val="single" w:sz="4" w:space="0" w:color="000000"/>
              <w:left w:val="single" w:sz="13" w:space="0" w:color="D2D2D2"/>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20" w:right="0"/>
              <w:jc w:val="center"/>
              <w:rPr>
                <w:rFonts w:ascii="Times New Roman" w:hAnsi="Times New Roman" w:cs="Times New Roman" w:eastAsia="Times New Roman" w:hint="default"/>
                <w:sz w:val="21"/>
                <w:szCs w:val="21"/>
              </w:rPr>
            </w:pPr>
            <w:r>
              <w:rPr>
                <w:rFonts w:ascii="Times New Roman"/>
                <w:sz w:val="21"/>
              </w:rPr>
              <w:t>6,000,000.00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58" w:right="0"/>
              <w:jc w:val="center"/>
              <w:rPr>
                <w:rFonts w:ascii="Times New Roman" w:hAnsi="Times New Roman" w:cs="Times New Roman" w:eastAsia="Times New Roman" w:hint="default"/>
                <w:sz w:val="21"/>
                <w:szCs w:val="21"/>
              </w:rPr>
            </w:pPr>
            <w:r>
              <w:rPr>
                <w:rFonts w:ascii="Times New Roman"/>
                <w:sz w:val="21"/>
              </w:rPr>
              <w:t>6,000,000.00</w:t>
            </w:r>
          </w:p>
        </w:tc>
      </w:tr>
      <w:tr>
        <w:trPr>
          <w:trHeight w:val="401" w:hRule="exact"/>
        </w:trPr>
        <w:tc>
          <w:tcPr>
            <w:tcW w:w="22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．股东投入的普通股</w:t>
            </w:r>
          </w:p>
        </w:tc>
        <w:tc>
          <w:tcPr>
            <w:tcW w:w="1430" w:type="dxa"/>
            <w:tcBorders>
              <w:top w:val="single" w:sz="4" w:space="0" w:color="000000"/>
              <w:left w:val="single" w:sz="13" w:space="0" w:color="D2D2D2"/>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20" w:right="0"/>
              <w:jc w:val="center"/>
              <w:rPr>
                <w:rFonts w:ascii="Times New Roman" w:hAnsi="Times New Roman" w:cs="Times New Roman" w:eastAsia="Times New Roman" w:hint="default"/>
                <w:sz w:val="21"/>
                <w:szCs w:val="21"/>
              </w:rPr>
            </w:pPr>
            <w:r>
              <w:rPr>
                <w:rFonts w:ascii="Times New Roman"/>
                <w:sz w:val="21"/>
              </w:rPr>
              <w:t>6,000,000.00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58" w:right="0"/>
              <w:jc w:val="center"/>
              <w:rPr>
                <w:rFonts w:ascii="Times New Roman" w:hAnsi="Times New Roman" w:cs="Times New Roman" w:eastAsia="Times New Roman" w:hint="default"/>
                <w:sz w:val="21"/>
                <w:szCs w:val="21"/>
              </w:rPr>
            </w:pPr>
            <w:r>
              <w:rPr>
                <w:rFonts w:ascii="Times New Roman"/>
                <w:sz w:val="21"/>
              </w:rPr>
              <w:t>6,000,000.00</w:t>
            </w:r>
          </w:p>
        </w:tc>
      </w:tr>
      <w:tr>
        <w:trPr>
          <w:trHeight w:val="715" w:hRule="exact"/>
        </w:trPr>
        <w:tc>
          <w:tcPr>
            <w:tcW w:w="22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4" w:lineRule="auto" w:before="30"/>
              <w:ind w:left="11" w:right="12"/>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．其他权益工具持有者</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投入资本</w:t>
            </w:r>
          </w:p>
        </w:tc>
        <w:tc>
          <w:tcPr>
            <w:tcW w:w="1430" w:type="dxa"/>
            <w:tcBorders>
              <w:top w:val="single" w:sz="4" w:space="0" w:color="000000"/>
              <w:left w:val="single" w:sz="13" w:space="0" w:color="D2D2D2"/>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．股份支付计入所有者</w:t>
            </w:r>
          </w:p>
        </w:tc>
        <w:tc>
          <w:tcPr>
            <w:tcW w:w="1430" w:type="dxa"/>
            <w:tcBorders>
              <w:top w:val="single" w:sz="4" w:space="0" w:color="000000"/>
              <w:left w:val="single" w:sz="13" w:space="0" w:color="D2D2D2"/>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16"/>
          <w:footerReference w:type="default" r:id="rId17"/>
          <w:pgSz w:w="16840" w:h="11910" w:orient="landscape"/>
          <w:pgMar w:header="867" w:footer="979" w:top="1060" w:bottom="1160" w:left="1300" w:right="1100"/>
          <w:pgNumType w:start="61"/>
        </w:sectPr>
      </w:pPr>
    </w:p>
    <w:p>
      <w:pPr>
        <w:spacing w:line="240" w:lineRule="auto" w:before="11"/>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2268"/>
        <w:gridCol w:w="1418"/>
        <w:gridCol w:w="567"/>
        <w:gridCol w:w="566"/>
        <w:gridCol w:w="283"/>
        <w:gridCol w:w="1418"/>
        <w:gridCol w:w="566"/>
        <w:gridCol w:w="569"/>
        <w:gridCol w:w="566"/>
        <w:gridCol w:w="1277"/>
        <w:gridCol w:w="566"/>
        <w:gridCol w:w="1417"/>
        <w:gridCol w:w="1277"/>
        <w:gridCol w:w="1416"/>
      </w:tblGrid>
      <w:tr>
        <w:trPr>
          <w:trHeight w:val="377" w:hRule="exact"/>
        </w:trPr>
        <w:tc>
          <w:tcPr>
            <w:tcW w:w="2268"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z w:val="21"/>
                <w:szCs w:val="21"/>
              </w:rPr>
              <w:t>权益的金额</w:t>
            </w:r>
          </w:p>
        </w:tc>
        <w:tc>
          <w:tcPr>
            <w:tcW w:w="1418" w:type="dxa"/>
            <w:tcBorders>
              <w:top w:val="single" w:sz="15" w:space="0" w:color="000000"/>
              <w:left w:val="single" w:sz="4" w:space="0" w:color="000000"/>
              <w:bottom w:val="single" w:sz="4" w:space="0" w:color="000000"/>
              <w:right w:val="single" w:sz="4" w:space="0" w:color="000000"/>
            </w:tcBorders>
          </w:tcPr>
          <w:p>
            <w:pPr/>
          </w:p>
        </w:tc>
        <w:tc>
          <w:tcPr>
            <w:tcW w:w="567" w:type="dxa"/>
            <w:tcBorders>
              <w:top w:val="single" w:sz="15" w:space="0" w:color="000000"/>
              <w:left w:val="single" w:sz="4" w:space="0" w:color="000000"/>
              <w:bottom w:val="single" w:sz="4" w:space="0" w:color="000000"/>
              <w:right w:val="single" w:sz="4" w:space="0" w:color="000000"/>
            </w:tcBorders>
          </w:tcPr>
          <w:p>
            <w:pPr/>
          </w:p>
        </w:tc>
        <w:tc>
          <w:tcPr>
            <w:tcW w:w="566" w:type="dxa"/>
            <w:tcBorders>
              <w:top w:val="single" w:sz="15" w:space="0" w:color="000000"/>
              <w:left w:val="single" w:sz="4" w:space="0" w:color="000000"/>
              <w:bottom w:val="single" w:sz="4" w:space="0" w:color="000000"/>
              <w:right w:val="single" w:sz="4" w:space="0" w:color="000000"/>
            </w:tcBorders>
          </w:tcPr>
          <w:p>
            <w:pPr/>
          </w:p>
        </w:tc>
        <w:tc>
          <w:tcPr>
            <w:tcW w:w="283" w:type="dxa"/>
            <w:tcBorders>
              <w:top w:val="single" w:sz="15" w:space="0" w:color="000000"/>
              <w:left w:val="single" w:sz="4" w:space="0" w:color="000000"/>
              <w:bottom w:val="single" w:sz="4" w:space="0" w:color="000000"/>
              <w:right w:val="single" w:sz="4" w:space="0" w:color="000000"/>
            </w:tcBorders>
          </w:tcPr>
          <w:p>
            <w:pPr/>
          </w:p>
        </w:tc>
        <w:tc>
          <w:tcPr>
            <w:tcW w:w="1418" w:type="dxa"/>
            <w:tcBorders>
              <w:top w:val="single" w:sz="15" w:space="0" w:color="000000"/>
              <w:left w:val="single" w:sz="4" w:space="0" w:color="000000"/>
              <w:bottom w:val="single" w:sz="4" w:space="0" w:color="000000"/>
              <w:right w:val="single" w:sz="4" w:space="0" w:color="000000"/>
            </w:tcBorders>
          </w:tcPr>
          <w:p>
            <w:pPr/>
          </w:p>
        </w:tc>
        <w:tc>
          <w:tcPr>
            <w:tcW w:w="566" w:type="dxa"/>
            <w:tcBorders>
              <w:top w:val="single" w:sz="15" w:space="0" w:color="000000"/>
              <w:left w:val="single" w:sz="4" w:space="0" w:color="000000"/>
              <w:bottom w:val="single" w:sz="4" w:space="0" w:color="000000"/>
              <w:right w:val="single" w:sz="4" w:space="0" w:color="000000"/>
            </w:tcBorders>
          </w:tcPr>
          <w:p>
            <w:pPr/>
          </w:p>
        </w:tc>
        <w:tc>
          <w:tcPr>
            <w:tcW w:w="569" w:type="dxa"/>
            <w:tcBorders>
              <w:top w:val="single" w:sz="15" w:space="0" w:color="000000"/>
              <w:left w:val="single" w:sz="4" w:space="0" w:color="000000"/>
              <w:bottom w:val="single" w:sz="4" w:space="0" w:color="000000"/>
              <w:right w:val="single" w:sz="4" w:space="0" w:color="000000"/>
            </w:tcBorders>
          </w:tcPr>
          <w:p>
            <w:pPr/>
          </w:p>
        </w:tc>
        <w:tc>
          <w:tcPr>
            <w:tcW w:w="566" w:type="dxa"/>
            <w:tcBorders>
              <w:top w:val="single" w:sz="15" w:space="0" w:color="000000"/>
              <w:left w:val="single" w:sz="4" w:space="0" w:color="000000"/>
              <w:bottom w:val="single" w:sz="4" w:space="0" w:color="000000"/>
              <w:right w:val="single" w:sz="4" w:space="0" w:color="000000"/>
            </w:tcBorders>
          </w:tcPr>
          <w:p>
            <w:pPr/>
          </w:p>
        </w:tc>
        <w:tc>
          <w:tcPr>
            <w:tcW w:w="1277" w:type="dxa"/>
            <w:tcBorders>
              <w:top w:val="single" w:sz="15" w:space="0" w:color="000000"/>
              <w:left w:val="single" w:sz="4" w:space="0" w:color="000000"/>
              <w:bottom w:val="single" w:sz="4" w:space="0" w:color="000000"/>
              <w:right w:val="single" w:sz="4" w:space="0" w:color="000000"/>
            </w:tcBorders>
          </w:tcPr>
          <w:p>
            <w:pPr/>
          </w:p>
        </w:tc>
        <w:tc>
          <w:tcPr>
            <w:tcW w:w="566" w:type="dxa"/>
            <w:tcBorders>
              <w:top w:val="single" w:sz="15" w:space="0" w:color="000000"/>
              <w:left w:val="single" w:sz="4" w:space="0" w:color="000000"/>
              <w:bottom w:val="single" w:sz="4" w:space="0" w:color="000000"/>
              <w:right w:val="single" w:sz="4" w:space="0" w:color="000000"/>
            </w:tcBorders>
          </w:tcPr>
          <w:p>
            <w:pPr/>
          </w:p>
        </w:tc>
        <w:tc>
          <w:tcPr>
            <w:tcW w:w="1417" w:type="dxa"/>
            <w:tcBorders>
              <w:top w:val="single" w:sz="15" w:space="0" w:color="000000"/>
              <w:left w:val="single" w:sz="4" w:space="0" w:color="000000"/>
              <w:bottom w:val="single" w:sz="4" w:space="0" w:color="000000"/>
              <w:right w:val="single" w:sz="4" w:space="0" w:color="000000"/>
            </w:tcBorders>
          </w:tcPr>
          <w:p>
            <w:pPr/>
          </w:p>
        </w:tc>
        <w:tc>
          <w:tcPr>
            <w:tcW w:w="1277" w:type="dxa"/>
            <w:tcBorders>
              <w:top w:val="single" w:sz="15" w:space="0" w:color="000000"/>
              <w:left w:val="single" w:sz="4" w:space="0" w:color="000000"/>
              <w:bottom w:val="single" w:sz="4" w:space="0" w:color="000000"/>
              <w:right w:val="single" w:sz="4" w:space="0" w:color="000000"/>
            </w:tcBorders>
          </w:tcPr>
          <w:p>
            <w:pPr/>
          </w:p>
        </w:tc>
        <w:tc>
          <w:tcPr>
            <w:tcW w:w="1416" w:type="dxa"/>
            <w:tcBorders>
              <w:top w:val="single" w:sz="15" w:space="0" w:color="000000"/>
              <w:left w:val="single" w:sz="4" w:space="0" w:color="000000"/>
              <w:bottom w:val="single" w:sz="4" w:space="0" w:color="000000"/>
              <w:right w:val="single" w:sz="4" w:space="0" w:color="000000"/>
            </w:tcBorders>
          </w:tcPr>
          <w:p>
            <w:pP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（三）利润分配</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609,025.54</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-80,609,025.54</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83" w:right="0"/>
              <w:jc w:val="center"/>
              <w:rPr>
                <w:rFonts w:ascii="Times New Roman" w:hAnsi="Times New Roman" w:cs="Times New Roman" w:eastAsia="Times New Roman" w:hint="default"/>
                <w:sz w:val="21"/>
                <w:szCs w:val="21"/>
              </w:rPr>
            </w:pPr>
            <w:r>
              <w:rPr>
                <w:rFonts w:ascii="Times New Roman"/>
                <w:sz w:val="21"/>
              </w:rPr>
              <w:t>-80,000,000.00</w:t>
            </w: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．提取盈余公积</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609,025.54</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-609,025.54</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．提取一般风险准备</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9" w:lineRule="auto" w:before="28"/>
              <w:ind w:left="23" w:right="24"/>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．对所有者（或股东）</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的分配</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-80,000,000.00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83" w:right="0"/>
              <w:jc w:val="center"/>
              <w:rPr>
                <w:rFonts w:ascii="Times New Roman" w:hAnsi="Times New Roman" w:cs="Times New Roman" w:eastAsia="Times New Roman" w:hint="default"/>
                <w:sz w:val="21"/>
                <w:szCs w:val="21"/>
              </w:rPr>
            </w:pPr>
            <w:r>
              <w:rPr>
                <w:rFonts w:ascii="Times New Roman"/>
                <w:sz w:val="21"/>
              </w:rPr>
              <w:t>-80,000,000.00</w:t>
            </w: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3" w:right="17"/>
              <w:jc w:val="left"/>
              <w:rPr>
                <w:rFonts w:ascii="宋体" w:hAnsi="宋体" w:cs="宋体" w:eastAsia="宋体" w:hint="default"/>
                <w:sz w:val="21"/>
                <w:szCs w:val="21"/>
              </w:rPr>
            </w:pPr>
            <w:r>
              <w:rPr>
                <w:rFonts w:ascii="宋体" w:hAnsi="宋体" w:cs="宋体" w:eastAsia="宋体" w:hint="default"/>
                <w:spacing w:val="-10"/>
                <w:w w:val="100"/>
                <w:sz w:val="21"/>
                <w:szCs w:val="21"/>
              </w:rPr>
              <w:t>（四）所有者权益内部结</w:t>
            </w:r>
            <w:r>
              <w:rPr>
                <w:rFonts w:ascii="宋体" w:hAnsi="宋体" w:cs="宋体" w:eastAsia="宋体" w:hint="default"/>
                <w:w w:val="100"/>
                <w:sz w:val="21"/>
                <w:szCs w:val="21"/>
              </w:rPr>
              <w:t> </w:t>
            </w:r>
            <w:r>
              <w:rPr>
                <w:rFonts w:ascii="宋体" w:hAnsi="宋体" w:cs="宋体" w:eastAsia="宋体" w:hint="default"/>
                <w:sz w:val="21"/>
                <w:szCs w:val="21"/>
              </w:rPr>
              <w:t>转</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23" w:right="17"/>
              <w:jc w:val="left"/>
              <w:rPr>
                <w:rFonts w:ascii="宋体" w:hAnsi="宋体" w:cs="宋体" w:eastAsia="宋体" w:hint="default"/>
                <w:sz w:val="21"/>
                <w:szCs w:val="21"/>
              </w:rPr>
            </w:pPr>
            <w:r>
              <w:rPr>
                <w:rFonts w:ascii="Times New Roman" w:hAnsi="Times New Roman" w:cs="Times New Roman" w:eastAsia="Times New Roman" w:hint="default"/>
                <w:spacing w:val="-18"/>
                <w:w w:val="100"/>
                <w:sz w:val="21"/>
                <w:szCs w:val="21"/>
              </w:rPr>
              <w:t>1</w:t>
            </w:r>
            <w:r>
              <w:rPr>
                <w:rFonts w:ascii="宋体" w:hAnsi="宋体" w:cs="宋体" w:eastAsia="宋体" w:hint="default"/>
                <w:spacing w:val="-18"/>
                <w:w w:val="100"/>
                <w:sz w:val="21"/>
                <w:szCs w:val="21"/>
              </w:rPr>
              <w:t>．资本公积转增资本（或</w:t>
            </w:r>
            <w:r>
              <w:rPr>
                <w:rFonts w:ascii="宋体" w:hAnsi="宋体" w:cs="宋体" w:eastAsia="宋体" w:hint="default"/>
                <w:w w:val="100"/>
                <w:sz w:val="21"/>
                <w:szCs w:val="21"/>
              </w:rPr>
              <w:t> </w:t>
            </w:r>
            <w:r>
              <w:rPr>
                <w:rFonts w:ascii="宋体" w:hAnsi="宋体" w:cs="宋体" w:eastAsia="宋体" w:hint="default"/>
                <w:sz w:val="21"/>
                <w:szCs w:val="21"/>
              </w:rPr>
              <w:t>股本）</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23" w:right="17"/>
              <w:jc w:val="left"/>
              <w:rPr>
                <w:rFonts w:ascii="宋体" w:hAnsi="宋体" w:cs="宋体" w:eastAsia="宋体" w:hint="default"/>
                <w:sz w:val="21"/>
                <w:szCs w:val="21"/>
              </w:rPr>
            </w:pPr>
            <w:r>
              <w:rPr>
                <w:rFonts w:ascii="Times New Roman" w:hAnsi="Times New Roman" w:cs="Times New Roman" w:eastAsia="Times New Roman" w:hint="default"/>
                <w:spacing w:val="-18"/>
                <w:w w:val="100"/>
                <w:sz w:val="21"/>
                <w:szCs w:val="21"/>
              </w:rPr>
              <w:t>2</w:t>
            </w:r>
            <w:r>
              <w:rPr>
                <w:rFonts w:ascii="宋体" w:hAnsi="宋体" w:cs="宋体" w:eastAsia="宋体" w:hint="default"/>
                <w:spacing w:val="-18"/>
                <w:w w:val="100"/>
                <w:sz w:val="21"/>
                <w:szCs w:val="21"/>
              </w:rPr>
              <w:t>．盈余公积转增资本（或</w:t>
            </w:r>
            <w:r>
              <w:rPr>
                <w:rFonts w:ascii="宋体" w:hAnsi="宋体" w:cs="宋体" w:eastAsia="宋体" w:hint="default"/>
                <w:w w:val="100"/>
                <w:sz w:val="21"/>
                <w:szCs w:val="21"/>
              </w:rPr>
              <w:t> </w:t>
            </w:r>
            <w:r>
              <w:rPr>
                <w:rFonts w:ascii="宋体" w:hAnsi="宋体" w:cs="宋体" w:eastAsia="宋体" w:hint="default"/>
                <w:sz w:val="21"/>
                <w:szCs w:val="21"/>
              </w:rPr>
              <w:t>股本）</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．盈余公积弥补亏损</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（五）专项储备</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．本期提取</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．本期使用</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3" w:right="0"/>
              <w:jc w:val="left"/>
              <w:rPr>
                <w:rFonts w:ascii="宋体" w:hAnsi="宋体" w:cs="宋体" w:eastAsia="宋体" w:hint="default"/>
                <w:sz w:val="21"/>
                <w:szCs w:val="21"/>
              </w:rPr>
            </w:pPr>
            <w:r>
              <w:rPr>
                <w:rFonts w:ascii="宋体" w:hAnsi="宋体" w:cs="宋体" w:eastAsia="宋体" w:hint="default"/>
                <w:sz w:val="21"/>
                <w:szCs w:val="21"/>
              </w:rPr>
              <w:t>（六）其他</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四、本期期末余额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74" w:right="0"/>
              <w:jc w:val="left"/>
              <w:rPr>
                <w:rFonts w:ascii="Times New Roman" w:hAnsi="Times New Roman" w:cs="Times New Roman" w:eastAsia="Times New Roman" w:hint="default"/>
                <w:sz w:val="21"/>
                <w:szCs w:val="21"/>
              </w:rPr>
            </w:pPr>
            <w:r>
              <w:rPr>
                <w:rFonts w:ascii="Times New Roman"/>
                <w:sz w:val="21"/>
              </w:rPr>
              <w:t>200,000,000.00</w:t>
            </w: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74" w:right="0"/>
              <w:jc w:val="left"/>
              <w:rPr>
                <w:rFonts w:ascii="Times New Roman" w:hAnsi="Times New Roman" w:cs="Times New Roman" w:eastAsia="Times New Roman" w:hint="default"/>
                <w:sz w:val="21"/>
                <w:szCs w:val="21"/>
              </w:rPr>
            </w:pPr>
            <w:r>
              <w:rPr>
                <w:rFonts w:ascii="Times New Roman"/>
                <w:sz w:val="21"/>
              </w:rPr>
              <w:t>429,089,779.67</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32,819,438.83</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110,678,933.94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41" w:right="0"/>
              <w:jc w:val="left"/>
              <w:rPr>
                <w:rFonts w:ascii="Times New Roman" w:hAnsi="Times New Roman" w:cs="Times New Roman" w:eastAsia="Times New Roman" w:hint="default"/>
                <w:sz w:val="21"/>
                <w:szCs w:val="21"/>
              </w:rPr>
            </w:pPr>
            <w:r>
              <w:rPr>
                <w:rFonts w:ascii="Times New Roman"/>
                <w:sz w:val="21"/>
              </w:rPr>
              <w:t>5,881,745.30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7" w:right="0"/>
              <w:jc w:val="center"/>
              <w:rPr>
                <w:rFonts w:ascii="Times New Roman" w:hAnsi="Times New Roman" w:cs="Times New Roman" w:eastAsia="Times New Roman" w:hint="default"/>
                <w:sz w:val="21"/>
                <w:szCs w:val="21"/>
              </w:rPr>
            </w:pPr>
            <w:r>
              <w:rPr>
                <w:rFonts w:ascii="Times New Roman"/>
                <w:sz w:val="21"/>
              </w:rPr>
              <w:t>778,469,897.74</w:t>
            </w:r>
          </w:p>
        </w:tc>
      </w:tr>
    </w:tbl>
    <w:p>
      <w:pPr>
        <w:pStyle w:val="BodyText"/>
        <w:spacing w:line="240" w:lineRule="auto" w:before="28"/>
        <w:ind w:left="120" w:right="0"/>
        <w:jc w:val="left"/>
      </w:pPr>
      <w:r>
        <w:rPr/>
        <w:t>上期金额</w:t>
      </w:r>
    </w:p>
    <w:p>
      <w:pPr>
        <w:pStyle w:val="BodyText"/>
        <w:spacing w:line="240" w:lineRule="auto" w:before="78"/>
        <w:ind w:left="0" w:right="333"/>
        <w:jc w:val="right"/>
      </w:pPr>
      <w:r>
        <w:rPr>
          <w:spacing w:val="-1"/>
        </w:rPr>
        <w:t>单位：元</w:t>
      </w:r>
    </w:p>
    <w:p>
      <w:pPr>
        <w:spacing w:line="240" w:lineRule="auto" w:before="11"/>
        <w:rPr>
          <w:rFonts w:ascii="宋体" w:hAnsi="宋体" w:cs="宋体" w:eastAsia="宋体" w:hint="default"/>
          <w:sz w:val="6"/>
          <w:szCs w:val="6"/>
        </w:rPr>
      </w:pPr>
    </w:p>
    <w:tbl>
      <w:tblPr>
        <w:tblW w:w="0" w:type="auto"/>
        <w:jc w:val="left"/>
        <w:tblInd w:w="115" w:type="dxa"/>
        <w:tblLayout w:type="fixed"/>
        <w:tblCellMar>
          <w:top w:w="0" w:type="dxa"/>
          <w:left w:w="0" w:type="dxa"/>
          <w:bottom w:w="0" w:type="dxa"/>
          <w:right w:w="0" w:type="dxa"/>
        </w:tblCellMar>
        <w:tblLook w:val="01E0"/>
      </w:tblPr>
      <w:tblGrid>
        <w:gridCol w:w="2268"/>
        <w:gridCol w:w="11908"/>
      </w:tblGrid>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 w:right="0"/>
              <w:jc w:val="center"/>
              <w:rPr>
                <w:rFonts w:ascii="宋体" w:hAnsi="宋体" w:cs="宋体" w:eastAsia="宋体" w:hint="default"/>
                <w:sz w:val="21"/>
                <w:szCs w:val="21"/>
              </w:rPr>
            </w:pPr>
            <w:r>
              <w:rPr>
                <w:rFonts w:ascii="宋体" w:hAnsi="宋体" w:cs="宋体" w:eastAsia="宋体" w:hint="default"/>
                <w:sz w:val="21"/>
                <w:szCs w:val="21"/>
              </w:rPr>
              <w:t>上期</w:t>
            </w:r>
          </w:p>
        </w:tc>
      </w:tr>
    </w:tbl>
    <w:p>
      <w:pPr>
        <w:spacing w:after="0" w:line="240" w:lineRule="auto"/>
        <w:jc w:val="center"/>
        <w:rPr>
          <w:rFonts w:ascii="宋体" w:hAnsi="宋体" w:cs="宋体" w:eastAsia="宋体" w:hint="default"/>
          <w:sz w:val="21"/>
          <w:szCs w:val="21"/>
        </w:rPr>
        <w:sectPr>
          <w:pgSz w:w="16840" w:h="11910" w:orient="landscape"/>
          <w:pgMar w:header="867" w:footer="979" w:top="1060" w:bottom="1160" w:left="1320" w:right="1100"/>
        </w:sectPr>
      </w:pPr>
    </w:p>
    <w:p>
      <w:pPr>
        <w:spacing w:line="240" w:lineRule="auto" w:before="4"/>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2244"/>
        <w:gridCol w:w="1430"/>
        <w:gridCol w:w="567"/>
        <w:gridCol w:w="566"/>
        <w:gridCol w:w="283"/>
        <w:gridCol w:w="1418"/>
        <w:gridCol w:w="566"/>
        <w:gridCol w:w="569"/>
        <w:gridCol w:w="566"/>
        <w:gridCol w:w="1277"/>
        <w:gridCol w:w="566"/>
        <w:gridCol w:w="1417"/>
        <w:gridCol w:w="1277"/>
        <w:gridCol w:w="1416"/>
      </w:tblGrid>
      <w:tr>
        <w:trPr>
          <w:trHeight w:val="417" w:hRule="exact"/>
        </w:trPr>
        <w:tc>
          <w:tcPr>
            <w:tcW w:w="2244" w:type="dxa"/>
            <w:vMerge w:val="restart"/>
            <w:tcBorders>
              <w:top w:val="single" w:sz="15" w:space="0" w:color="000000"/>
              <w:left w:val="single" w:sz="4" w:space="0" w:color="000000"/>
              <w:right w:val="single" w:sz="4" w:space="0" w:color="000000"/>
            </w:tcBorders>
            <w:shd w:val="clear" w:color="auto" w:fill="D2D2D2"/>
          </w:tcPr>
          <w:p>
            <w:pPr/>
          </w:p>
        </w:tc>
        <w:tc>
          <w:tcPr>
            <w:tcW w:w="9227" w:type="dxa"/>
            <w:gridSpan w:val="11"/>
            <w:tcBorders>
              <w:top w:val="single" w:sz="15"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30"/>
              <w:ind w:left="14" w:right="0"/>
              <w:jc w:val="center"/>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1277" w:type="dxa"/>
            <w:tcBorders>
              <w:top w:val="single" w:sz="15" w:space="0" w:color="000000"/>
              <w:left w:val="single" w:sz="4" w:space="0" w:color="000000"/>
              <w:bottom w:val="single" w:sz="4" w:space="0" w:color="FFFFFF"/>
              <w:right w:val="single" w:sz="4" w:space="0" w:color="000000"/>
            </w:tcBorders>
            <w:shd w:val="clear" w:color="auto" w:fill="D2D2D2"/>
          </w:tcPr>
          <w:p>
            <w:pPr/>
          </w:p>
        </w:tc>
        <w:tc>
          <w:tcPr>
            <w:tcW w:w="1416" w:type="dxa"/>
            <w:tcBorders>
              <w:top w:val="single" w:sz="15" w:space="0" w:color="000000"/>
              <w:left w:val="single" w:sz="4" w:space="0" w:color="000000"/>
              <w:bottom w:val="single" w:sz="4" w:space="0" w:color="FFFFFF"/>
              <w:right w:val="single" w:sz="4" w:space="0" w:color="000000"/>
            </w:tcBorders>
            <w:shd w:val="clear" w:color="auto" w:fill="D2D2D2"/>
          </w:tcPr>
          <w:p>
            <w:pPr/>
          </w:p>
        </w:tc>
      </w:tr>
      <w:tr>
        <w:trPr>
          <w:trHeight w:val="206" w:hRule="exact"/>
        </w:trPr>
        <w:tc>
          <w:tcPr>
            <w:tcW w:w="2244" w:type="dxa"/>
            <w:vMerge/>
            <w:tcBorders>
              <w:left w:val="single" w:sz="4" w:space="0" w:color="000000"/>
              <w:right w:val="single" w:sz="4" w:space="0" w:color="000000"/>
            </w:tcBorders>
            <w:shd w:val="clear" w:color="auto" w:fill="D2D2D2"/>
          </w:tcPr>
          <w:p>
            <w:pPr/>
          </w:p>
        </w:tc>
        <w:tc>
          <w:tcPr>
            <w:tcW w:w="1430" w:type="dxa"/>
            <w:vMerge w:val="restart"/>
            <w:tcBorders>
              <w:top w:val="single" w:sz="4" w:space="0" w:color="FFFFFF"/>
              <w:left w:val="single" w:sz="4" w:space="0" w:color="000000"/>
              <w:right w:val="single" w:sz="4" w:space="0" w:color="000000"/>
            </w:tcBorders>
            <w:shd w:val="clear" w:color="auto" w:fill="D2D2D2"/>
          </w:tcPr>
          <w:p>
            <w:pPr/>
          </w:p>
        </w:tc>
        <w:tc>
          <w:tcPr>
            <w:tcW w:w="1417" w:type="dxa"/>
            <w:gridSpan w:val="3"/>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28"/>
              <w:ind w:left="72"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1418" w:type="dxa"/>
            <w:vMerge w:val="restart"/>
            <w:tcBorders>
              <w:top w:val="single" w:sz="4" w:space="0" w:color="FFFFFF"/>
              <w:left w:val="single" w:sz="4" w:space="0" w:color="000000"/>
              <w:right w:val="single" w:sz="4" w:space="0" w:color="000000"/>
            </w:tcBorders>
            <w:shd w:val="clear" w:color="auto" w:fill="D2D2D2"/>
          </w:tcPr>
          <w:p>
            <w:pPr/>
          </w:p>
        </w:tc>
        <w:tc>
          <w:tcPr>
            <w:tcW w:w="566" w:type="dxa"/>
            <w:vMerge w:val="restart"/>
            <w:tcBorders>
              <w:top w:val="single" w:sz="4" w:space="0" w:color="FFFFFF"/>
              <w:left w:val="single" w:sz="4" w:space="0" w:color="000000"/>
              <w:right w:val="single" w:sz="4" w:space="0" w:color="000000"/>
            </w:tcBorders>
            <w:shd w:val="clear" w:color="auto" w:fill="D2D2D2"/>
          </w:tcPr>
          <w:p>
            <w:pPr>
              <w:pStyle w:val="TableParagraph"/>
              <w:spacing w:line="273" w:lineRule="auto" w:before="74"/>
              <w:ind w:left="69" w:right="62"/>
              <w:jc w:val="both"/>
              <w:rPr>
                <w:rFonts w:ascii="宋体" w:hAnsi="宋体" w:cs="宋体" w:eastAsia="宋体" w:hint="default"/>
                <w:sz w:val="21"/>
                <w:szCs w:val="21"/>
              </w:rPr>
            </w:pPr>
            <w:r>
              <w:rPr>
                <w:rFonts w:ascii="宋体" w:hAnsi="宋体" w:cs="宋体" w:eastAsia="宋体" w:hint="default"/>
                <w:sz w:val="21"/>
                <w:szCs w:val="21"/>
              </w:rPr>
              <w:t>减：</w:t>
            </w:r>
            <w:r>
              <w:rPr>
                <w:rFonts w:ascii="宋体" w:hAnsi="宋体" w:cs="宋体" w:eastAsia="宋体" w:hint="default"/>
                <w:spacing w:val="-103"/>
                <w:sz w:val="21"/>
                <w:szCs w:val="21"/>
              </w:rPr>
              <w:t> </w:t>
            </w:r>
            <w:r>
              <w:rPr>
                <w:rFonts w:ascii="宋体" w:hAnsi="宋体" w:cs="宋体" w:eastAsia="宋体" w:hint="default"/>
                <w:sz w:val="21"/>
                <w:szCs w:val="21"/>
              </w:rPr>
              <w:t>库存</w:t>
            </w:r>
            <w:r>
              <w:rPr>
                <w:rFonts w:ascii="宋体" w:hAnsi="宋体" w:cs="宋体" w:eastAsia="宋体" w:hint="default"/>
                <w:spacing w:val="-103"/>
                <w:sz w:val="21"/>
                <w:szCs w:val="21"/>
              </w:rPr>
              <w:t> </w:t>
            </w:r>
            <w:r>
              <w:rPr>
                <w:rFonts w:ascii="宋体" w:hAnsi="宋体" w:cs="宋体" w:eastAsia="宋体" w:hint="default"/>
                <w:sz w:val="21"/>
                <w:szCs w:val="21"/>
              </w:rPr>
              <w:t>股</w:t>
            </w:r>
          </w:p>
        </w:tc>
        <w:tc>
          <w:tcPr>
            <w:tcW w:w="569" w:type="dxa"/>
            <w:vMerge w:val="restart"/>
            <w:tcBorders>
              <w:top w:val="single" w:sz="4" w:space="0" w:color="FFFFFF"/>
              <w:left w:val="single" w:sz="4" w:space="0" w:color="000000"/>
              <w:right w:val="single" w:sz="4" w:space="0" w:color="000000"/>
            </w:tcBorders>
            <w:shd w:val="clear" w:color="auto" w:fill="D2D2D2"/>
          </w:tcPr>
          <w:p>
            <w:pPr>
              <w:pStyle w:val="TableParagraph"/>
              <w:spacing w:line="273" w:lineRule="auto" w:before="74"/>
              <w:ind w:left="69" w:right="65"/>
              <w:jc w:val="both"/>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综合</w:t>
            </w:r>
            <w:r>
              <w:rPr>
                <w:rFonts w:ascii="宋体" w:hAnsi="宋体" w:cs="宋体" w:eastAsia="宋体" w:hint="default"/>
                <w:spacing w:val="-103"/>
                <w:sz w:val="21"/>
                <w:szCs w:val="21"/>
              </w:rPr>
              <w:t> </w:t>
            </w:r>
            <w:r>
              <w:rPr>
                <w:rFonts w:ascii="宋体" w:hAnsi="宋体" w:cs="宋体" w:eastAsia="宋体" w:hint="default"/>
                <w:sz w:val="21"/>
                <w:szCs w:val="21"/>
              </w:rPr>
              <w:t>收益</w:t>
            </w:r>
          </w:p>
        </w:tc>
        <w:tc>
          <w:tcPr>
            <w:tcW w:w="566" w:type="dxa"/>
            <w:tcBorders>
              <w:top w:val="single" w:sz="4" w:space="0" w:color="FFFFFF"/>
              <w:left w:val="single" w:sz="4" w:space="0" w:color="000000"/>
              <w:bottom w:val="nil" w:sz="6" w:space="0" w:color="auto"/>
              <w:right w:val="single" w:sz="4" w:space="0" w:color="000000"/>
            </w:tcBorders>
            <w:shd w:val="clear" w:color="auto" w:fill="D2D2D2"/>
          </w:tcPr>
          <w:p>
            <w:pPr/>
          </w:p>
        </w:tc>
        <w:tc>
          <w:tcPr>
            <w:tcW w:w="1277" w:type="dxa"/>
            <w:vMerge w:val="restart"/>
            <w:tcBorders>
              <w:top w:val="single" w:sz="4" w:space="0" w:color="FFFFFF"/>
              <w:left w:val="single" w:sz="4" w:space="0" w:color="000000"/>
              <w:right w:val="single" w:sz="4" w:space="0" w:color="000000"/>
            </w:tcBorders>
            <w:shd w:val="clear" w:color="auto" w:fill="D2D2D2"/>
          </w:tcPr>
          <w:p>
            <w:pPr/>
          </w:p>
        </w:tc>
        <w:tc>
          <w:tcPr>
            <w:tcW w:w="566" w:type="dxa"/>
            <w:vMerge w:val="restart"/>
            <w:tcBorders>
              <w:top w:val="single" w:sz="4" w:space="0" w:color="FFFFFF"/>
              <w:left w:val="single" w:sz="4" w:space="0" w:color="000000"/>
              <w:right w:val="single" w:sz="4" w:space="0" w:color="000000"/>
            </w:tcBorders>
            <w:shd w:val="clear" w:color="auto" w:fill="D2D2D2"/>
          </w:tcPr>
          <w:p>
            <w:pPr>
              <w:pStyle w:val="TableParagraph"/>
              <w:spacing w:line="273" w:lineRule="auto" w:before="74"/>
              <w:ind w:left="67" w:right="65"/>
              <w:jc w:val="both"/>
              <w:rPr>
                <w:rFonts w:ascii="宋体" w:hAnsi="宋体" w:cs="宋体" w:eastAsia="宋体" w:hint="default"/>
                <w:sz w:val="21"/>
                <w:szCs w:val="21"/>
              </w:rPr>
            </w:pPr>
            <w:r>
              <w:rPr>
                <w:rFonts w:ascii="宋体" w:hAnsi="宋体" w:cs="宋体" w:eastAsia="宋体" w:hint="default"/>
                <w:sz w:val="21"/>
                <w:szCs w:val="21"/>
              </w:rPr>
              <w:t>一般</w:t>
            </w:r>
            <w:r>
              <w:rPr>
                <w:rFonts w:ascii="宋体" w:hAnsi="宋体" w:cs="宋体" w:eastAsia="宋体" w:hint="default"/>
                <w:spacing w:val="-103"/>
                <w:sz w:val="21"/>
                <w:szCs w:val="21"/>
              </w:rPr>
              <w:t> </w:t>
            </w:r>
            <w:r>
              <w:rPr>
                <w:rFonts w:ascii="宋体" w:hAnsi="宋体" w:cs="宋体" w:eastAsia="宋体" w:hint="default"/>
                <w:sz w:val="21"/>
                <w:szCs w:val="21"/>
              </w:rPr>
              <w:t>风险</w:t>
            </w:r>
            <w:r>
              <w:rPr>
                <w:rFonts w:ascii="宋体" w:hAnsi="宋体" w:cs="宋体" w:eastAsia="宋体" w:hint="default"/>
                <w:spacing w:val="-103"/>
                <w:sz w:val="21"/>
                <w:szCs w:val="21"/>
              </w:rPr>
              <w:t> </w:t>
            </w:r>
            <w:r>
              <w:rPr>
                <w:rFonts w:ascii="宋体" w:hAnsi="宋体" w:cs="宋体" w:eastAsia="宋体" w:hint="default"/>
                <w:sz w:val="21"/>
                <w:szCs w:val="21"/>
              </w:rPr>
              <w:t>准备</w:t>
            </w:r>
          </w:p>
        </w:tc>
        <w:tc>
          <w:tcPr>
            <w:tcW w:w="1417" w:type="dxa"/>
            <w:vMerge w:val="restart"/>
            <w:tcBorders>
              <w:top w:val="single" w:sz="4" w:space="0" w:color="FFFFFF"/>
              <w:left w:val="single" w:sz="4" w:space="0" w:color="000000"/>
              <w:right w:val="single" w:sz="4" w:space="0" w:color="000000"/>
            </w:tcBorders>
            <w:shd w:val="clear" w:color="auto" w:fill="D2D2D2"/>
          </w:tcPr>
          <w:p>
            <w:pPr/>
          </w:p>
        </w:tc>
        <w:tc>
          <w:tcPr>
            <w:tcW w:w="1277" w:type="dxa"/>
            <w:vMerge w:val="restart"/>
            <w:tcBorders>
              <w:top w:val="single" w:sz="4" w:space="0" w:color="FFFFFF"/>
              <w:left w:val="single" w:sz="4" w:space="0" w:color="000000"/>
              <w:right w:val="single" w:sz="4" w:space="0" w:color="000000"/>
            </w:tcBorders>
            <w:shd w:val="clear" w:color="auto" w:fill="D2D2D2"/>
          </w:tcPr>
          <w:p>
            <w:pPr>
              <w:pStyle w:val="TableParagraph"/>
              <w:spacing w:line="273" w:lineRule="auto" w:before="28"/>
              <w:ind w:left="528" w:right="103" w:hanging="420"/>
              <w:jc w:val="left"/>
              <w:rPr>
                <w:rFonts w:ascii="宋体" w:hAnsi="宋体" w:cs="宋体" w:eastAsia="宋体" w:hint="default"/>
                <w:sz w:val="21"/>
                <w:szCs w:val="21"/>
              </w:rPr>
            </w:pPr>
            <w:r>
              <w:rPr>
                <w:rFonts w:ascii="宋体" w:hAnsi="宋体" w:cs="宋体" w:eastAsia="宋体" w:hint="default"/>
                <w:sz w:val="21"/>
                <w:szCs w:val="21"/>
              </w:rPr>
              <w:t>少数股东权</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益</w:t>
            </w:r>
          </w:p>
        </w:tc>
        <w:tc>
          <w:tcPr>
            <w:tcW w:w="1416" w:type="dxa"/>
            <w:vMerge w:val="restart"/>
            <w:tcBorders>
              <w:top w:val="single" w:sz="4" w:space="0" w:color="FFFFFF"/>
              <w:left w:val="single" w:sz="4" w:space="0" w:color="000000"/>
              <w:right w:val="single" w:sz="4" w:space="0" w:color="000000"/>
            </w:tcBorders>
            <w:shd w:val="clear" w:color="auto" w:fill="D2D2D2"/>
          </w:tcPr>
          <w:p>
            <w:pPr>
              <w:pStyle w:val="TableParagraph"/>
              <w:spacing w:line="273" w:lineRule="auto" w:before="28"/>
              <w:ind w:left="595" w:right="70" w:hanging="524"/>
              <w:jc w:val="left"/>
              <w:rPr>
                <w:rFonts w:ascii="宋体" w:hAnsi="宋体" w:cs="宋体" w:eastAsia="宋体" w:hint="default"/>
                <w:sz w:val="21"/>
                <w:szCs w:val="21"/>
              </w:rPr>
            </w:pPr>
            <w:r>
              <w:rPr>
                <w:rFonts w:ascii="宋体" w:hAnsi="宋体" w:cs="宋体" w:eastAsia="宋体" w:hint="default"/>
                <w:sz w:val="21"/>
                <w:szCs w:val="21"/>
              </w:rPr>
              <w:t>所有者权益合</w:t>
            </w:r>
            <w:r>
              <w:rPr>
                <w:rFonts w:ascii="宋体" w:hAnsi="宋体" w:cs="宋体" w:eastAsia="宋体" w:hint="default"/>
                <w:w w:val="100"/>
                <w:sz w:val="21"/>
                <w:szCs w:val="21"/>
              </w:rPr>
              <w:t> </w:t>
            </w:r>
            <w:r>
              <w:rPr>
                <w:rFonts w:ascii="宋体" w:hAnsi="宋体" w:cs="宋体" w:eastAsia="宋体" w:hint="default"/>
                <w:sz w:val="21"/>
                <w:szCs w:val="21"/>
              </w:rPr>
              <w:t>计</w:t>
            </w:r>
          </w:p>
        </w:tc>
      </w:tr>
      <w:tr>
        <w:trPr>
          <w:trHeight w:val="167" w:hRule="exact"/>
        </w:trPr>
        <w:tc>
          <w:tcPr>
            <w:tcW w:w="2244" w:type="dxa"/>
            <w:vMerge/>
            <w:tcBorders>
              <w:left w:val="single" w:sz="4" w:space="0" w:color="000000"/>
              <w:right w:val="single" w:sz="4" w:space="0" w:color="000000"/>
            </w:tcBorders>
            <w:shd w:val="clear" w:color="auto" w:fill="D2D2D2"/>
          </w:tcPr>
          <w:p>
            <w:pPr/>
          </w:p>
        </w:tc>
        <w:tc>
          <w:tcPr>
            <w:tcW w:w="1430" w:type="dxa"/>
            <w:vMerge/>
            <w:tcBorders>
              <w:left w:val="single" w:sz="4" w:space="0" w:color="000000"/>
              <w:bottom w:val="nil" w:sz="6" w:space="0" w:color="auto"/>
              <w:right w:val="single" w:sz="4" w:space="0" w:color="000000"/>
            </w:tcBorders>
            <w:shd w:val="clear" w:color="auto" w:fill="D2D2D2"/>
          </w:tcPr>
          <w:p>
            <w:pPr/>
          </w:p>
        </w:tc>
        <w:tc>
          <w:tcPr>
            <w:tcW w:w="1417" w:type="dxa"/>
            <w:gridSpan w:val="3"/>
            <w:vMerge/>
            <w:tcBorders>
              <w:left w:val="single" w:sz="4" w:space="0" w:color="000000"/>
              <w:bottom w:val="single" w:sz="4" w:space="0" w:color="000000"/>
              <w:right w:val="single" w:sz="4" w:space="0" w:color="000000"/>
            </w:tcBorders>
            <w:shd w:val="clear" w:color="auto" w:fill="D2D2D2"/>
          </w:tcPr>
          <w:p>
            <w:pPr/>
          </w:p>
        </w:tc>
        <w:tc>
          <w:tcPr>
            <w:tcW w:w="1418"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569" w:type="dxa"/>
            <w:vMerge/>
            <w:tcBorders>
              <w:left w:val="single" w:sz="4" w:space="0" w:color="000000"/>
              <w:right w:val="single" w:sz="4" w:space="0" w:color="000000"/>
            </w:tcBorders>
            <w:shd w:val="clear" w:color="auto" w:fill="D2D2D2"/>
          </w:tcPr>
          <w:p>
            <w:pPr/>
          </w:p>
        </w:tc>
        <w:tc>
          <w:tcPr>
            <w:tcW w:w="566"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8"/>
              <w:ind w:left="67" w:right="65"/>
              <w:jc w:val="left"/>
              <w:rPr>
                <w:rFonts w:ascii="宋体" w:hAnsi="宋体" w:cs="宋体" w:eastAsia="宋体" w:hint="default"/>
                <w:sz w:val="21"/>
                <w:szCs w:val="21"/>
              </w:rPr>
            </w:pPr>
            <w:r>
              <w:rPr>
                <w:rFonts w:ascii="宋体" w:hAnsi="宋体" w:cs="宋体" w:eastAsia="宋体" w:hint="default"/>
                <w:sz w:val="21"/>
                <w:szCs w:val="21"/>
              </w:rPr>
              <w:t>专项</w:t>
            </w:r>
            <w:r>
              <w:rPr>
                <w:rFonts w:ascii="宋体" w:hAnsi="宋体" w:cs="宋体" w:eastAsia="宋体" w:hint="default"/>
                <w:spacing w:val="-103"/>
                <w:sz w:val="21"/>
                <w:szCs w:val="21"/>
              </w:rPr>
              <w:t> </w:t>
            </w:r>
            <w:r>
              <w:rPr>
                <w:rFonts w:ascii="宋体" w:hAnsi="宋体" w:cs="宋体" w:eastAsia="宋体" w:hint="default"/>
                <w:sz w:val="21"/>
                <w:szCs w:val="21"/>
              </w:rPr>
              <w:t>储备</w:t>
            </w:r>
          </w:p>
        </w:tc>
        <w:tc>
          <w:tcPr>
            <w:tcW w:w="1277"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bottom w:val="nil" w:sz="6" w:space="0" w:color="auto"/>
              <w:right w:val="single" w:sz="4" w:space="0" w:color="000000"/>
            </w:tcBorders>
            <w:shd w:val="clear" w:color="auto" w:fill="D2D2D2"/>
          </w:tcPr>
          <w:p>
            <w:pPr/>
          </w:p>
        </w:tc>
        <w:tc>
          <w:tcPr>
            <w:tcW w:w="1277" w:type="dxa"/>
            <w:vMerge/>
            <w:tcBorders>
              <w:left w:val="single" w:sz="4" w:space="0" w:color="000000"/>
              <w:right w:val="single" w:sz="4" w:space="0" w:color="000000"/>
            </w:tcBorders>
            <w:shd w:val="clear" w:color="auto" w:fill="D2D2D2"/>
          </w:tcPr>
          <w:p>
            <w:pPr/>
          </w:p>
        </w:tc>
        <w:tc>
          <w:tcPr>
            <w:tcW w:w="1416" w:type="dxa"/>
            <w:vMerge/>
            <w:tcBorders>
              <w:left w:val="single" w:sz="4" w:space="0" w:color="000000"/>
              <w:right w:val="single" w:sz="4" w:space="0" w:color="000000"/>
            </w:tcBorders>
            <w:shd w:val="clear" w:color="auto" w:fill="D2D2D2"/>
          </w:tcPr>
          <w:p>
            <w:pPr/>
          </w:p>
        </w:tc>
      </w:tr>
      <w:tr>
        <w:trPr>
          <w:trHeight w:val="363" w:hRule="exact"/>
        </w:trPr>
        <w:tc>
          <w:tcPr>
            <w:tcW w:w="2244" w:type="dxa"/>
            <w:vMerge/>
            <w:tcBorders>
              <w:left w:val="single" w:sz="4" w:space="0" w:color="000000"/>
              <w:right w:val="single" w:sz="4" w:space="0" w:color="000000"/>
            </w:tcBorders>
            <w:shd w:val="clear" w:color="auto" w:fill="D2D2D2"/>
          </w:tcPr>
          <w:p>
            <w:pPr/>
          </w:p>
        </w:tc>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7"/>
              <w:ind w:left="14" w:right="0"/>
              <w:jc w:val="center"/>
              <w:rPr>
                <w:rFonts w:ascii="宋体" w:hAnsi="宋体" w:cs="宋体" w:eastAsia="宋体" w:hint="default"/>
                <w:sz w:val="21"/>
                <w:szCs w:val="21"/>
              </w:rPr>
            </w:pPr>
            <w:r>
              <w:rPr>
                <w:rFonts w:ascii="宋体" w:hAnsi="宋体" w:cs="宋体" w:eastAsia="宋体" w:hint="default"/>
                <w:sz w:val="21"/>
                <w:szCs w:val="21"/>
              </w:rPr>
              <w:t>股本</w:t>
            </w:r>
          </w:p>
        </w:tc>
        <w:tc>
          <w:tcPr>
            <w:tcW w:w="567" w:type="dxa"/>
            <w:vMerge w:val="restart"/>
            <w:tcBorders>
              <w:top w:val="single" w:sz="4" w:space="0" w:color="000000"/>
              <w:left w:val="single" w:sz="4" w:space="0" w:color="000000"/>
              <w:right w:val="single" w:sz="4" w:space="0" w:color="000000"/>
            </w:tcBorders>
            <w:shd w:val="clear" w:color="auto" w:fill="D2D2D2"/>
          </w:tcPr>
          <w:p>
            <w:pPr>
              <w:pStyle w:val="TableParagraph"/>
              <w:spacing w:line="271" w:lineRule="auto" w:before="58"/>
              <w:ind w:left="170" w:right="65" w:hanging="104"/>
              <w:jc w:val="left"/>
              <w:rPr>
                <w:rFonts w:ascii="宋体" w:hAnsi="宋体" w:cs="宋体" w:eastAsia="宋体" w:hint="default"/>
                <w:sz w:val="21"/>
                <w:szCs w:val="21"/>
              </w:rPr>
            </w:pPr>
            <w:r>
              <w:rPr>
                <w:rFonts w:ascii="宋体" w:hAnsi="宋体" w:cs="宋体" w:eastAsia="宋体" w:hint="default"/>
                <w:sz w:val="21"/>
                <w:szCs w:val="21"/>
              </w:rPr>
              <w:t>优先</w:t>
            </w:r>
            <w:r>
              <w:rPr>
                <w:rFonts w:ascii="宋体" w:hAnsi="宋体" w:cs="宋体" w:eastAsia="宋体" w:hint="default"/>
                <w:spacing w:val="-103"/>
                <w:sz w:val="21"/>
                <w:szCs w:val="21"/>
              </w:rPr>
              <w:t> </w:t>
            </w:r>
            <w:r>
              <w:rPr>
                <w:rFonts w:ascii="宋体" w:hAnsi="宋体" w:cs="宋体" w:eastAsia="宋体" w:hint="default"/>
                <w:sz w:val="21"/>
                <w:szCs w:val="21"/>
              </w:rPr>
              <w:t>股</w:t>
            </w: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271" w:lineRule="auto" w:before="58"/>
              <w:ind w:left="172" w:right="62" w:hanging="104"/>
              <w:jc w:val="left"/>
              <w:rPr>
                <w:rFonts w:ascii="宋体" w:hAnsi="宋体" w:cs="宋体" w:eastAsia="宋体" w:hint="default"/>
                <w:sz w:val="21"/>
                <w:szCs w:val="21"/>
              </w:rPr>
            </w:pPr>
            <w:r>
              <w:rPr>
                <w:rFonts w:ascii="宋体" w:hAnsi="宋体" w:cs="宋体" w:eastAsia="宋体" w:hint="default"/>
                <w:sz w:val="21"/>
                <w:szCs w:val="21"/>
              </w:rPr>
              <w:t>永续</w:t>
            </w:r>
            <w:r>
              <w:rPr>
                <w:rFonts w:ascii="宋体" w:hAnsi="宋体" w:cs="宋体" w:eastAsia="宋体" w:hint="default"/>
                <w:spacing w:val="-103"/>
                <w:sz w:val="21"/>
                <w:szCs w:val="21"/>
              </w:rPr>
              <w:t> </w:t>
            </w:r>
            <w:r>
              <w:rPr>
                <w:rFonts w:ascii="宋体" w:hAnsi="宋体" w:cs="宋体" w:eastAsia="宋体" w:hint="default"/>
                <w:sz w:val="21"/>
                <w:szCs w:val="21"/>
              </w:rPr>
              <w:t>债</w:t>
            </w:r>
          </w:p>
        </w:tc>
        <w:tc>
          <w:tcPr>
            <w:tcW w:w="283" w:type="dxa"/>
            <w:vMerge w:val="restart"/>
            <w:tcBorders>
              <w:top w:val="single" w:sz="4" w:space="0" w:color="000000"/>
              <w:left w:val="single" w:sz="4" w:space="0" w:color="000000"/>
              <w:right w:val="single" w:sz="4" w:space="0" w:color="000000"/>
            </w:tcBorders>
            <w:shd w:val="clear" w:color="auto" w:fill="D2D2D2"/>
          </w:tcPr>
          <w:p>
            <w:pPr>
              <w:pStyle w:val="TableParagraph"/>
              <w:spacing w:line="271" w:lineRule="auto" w:before="58"/>
              <w:ind w:left="31" w:right="29"/>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p>
        </w:tc>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7"/>
              <w:ind w:left="4" w:right="0"/>
              <w:jc w:val="center"/>
              <w:rPr>
                <w:rFonts w:ascii="宋体" w:hAnsi="宋体" w:cs="宋体" w:eastAsia="宋体" w:hint="default"/>
                <w:sz w:val="21"/>
                <w:szCs w:val="21"/>
              </w:rPr>
            </w:pPr>
            <w:r>
              <w:rPr>
                <w:rFonts w:ascii="宋体" w:hAnsi="宋体" w:cs="宋体" w:eastAsia="宋体" w:hint="default"/>
                <w:sz w:val="21"/>
                <w:szCs w:val="21"/>
              </w:rPr>
              <w:t>资本公积</w:t>
            </w:r>
          </w:p>
        </w:tc>
        <w:tc>
          <w:tcPr>
            <w:tcW w:w="566" w:type="dxa"/>
            <w:vMerge/>
            <w:tcBorders>
              <w:left w:val="single" w:sz="4" w:space="0" w:color="000000"/>
              <w:right w:val="single" w:sz="4" w:space="0" w:color="000000"/>
            </w:tcBorders>
            <w:shd w:val="clear" w:color="auto" w:fill="D2D2D2"/>
          </w:tcPr>
          <w:p>
            <w:pPr/>
          </w:p>
        </w:tc>
        <w:tc>
          <w:tcPr>
            <w:tcW w:w="569"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3"/>
              <w:ind w:left="213"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566"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3"/>
              <w:ind w:right="0"/>
              <w:jc w:val="center"/>
              <w:rPr>
                <w:rFonts w:ascii="宋体" w:hAnsi="宋体" w:cs="宋体" w:eastAsia="宋体" w:hint="default"/>
                <w:sz w:val="21"/>
                <w:szCs w:val="21"/>
              </w:rPr>
            </w:pPr>
            <w:r>
              <w:rPr>
                <w:rFonts w:ascii="宋体" w:hAnsi="宋体" w:cs="宋体" w:eastAsia="宋体" w:hint="default"/>
                <w:sz w:val="21"/>
                <w:szCs w:val="21"/>
              </w:rPr>
              <w:t>未分配利润</w:t>
            </w:r>
          </w:p>
        </w:tc>
        <w:tc>
          <w:tcPr>
            <w:tcW w:w="1277" w:type="dxa"/>
            <w:vMerge/>
            <w:tcBorders>
              <w:left w:val="single" w:sz="4" w:space="0" w:color="000000"/>
              <w:bottom w:val="nil" w:sz="6" w:space="0" w:color="auto"/>
              <w:right w:val="single" w:sz="4" w:space="0" w:color="000000"/>
            </w:tcBorders>
            <w:shd w:val="clear" w:color="auto" w:fill="D2D2D2"/>
          </w:tcPr>
          <w:p>
            <w:pPr/>
          </w:p>
        </w:tc>
        <w:tc>
          <w:tcPr>
            <w:tcW w:w="1416" w:type="dxa"/>
            <w:vMerge/>
            <w:tcBorders>
              <w:left w:val="single" w:sz="4" w:space="0" w:color="000000"/>
              <w:bottom w:val="nil" w:sz="6" w:space="0" w:color="auto"/>
              <w:right w:val="single" w:sz="4" w:space="0" w:color="000000"/>
            </w:tcBorders>
            <w:shd w:val="clear" w:color="auto" w:fill="D2D2D2"/>
          </w:tcPr>
          <w:p>
            <w:pPr/>
          </w:p>
        </w:tc>
      </w:tr>
      <w:tr>
        <w:trPr>
          <w:trHeight w:val="162" w:hRule="exact"/>
        </w:trPr>
        <w:tc>
          <w:tcPr>
            <w:tcW w:w="2244" w:type="dxa"/>
            <w:vMerge/>
            <w:tcBorders>
              <w:left w:val="single" w:sz="4" w:space="0" w:color="000000"/>
              <w:right w:val="single" w:sz="4" w:space="0" w:color="000000"/>
            </w:tcBorders>
            <w:shd w:val="clear" w:color="auto" w:fill="D2D2D2"/>
          </w:tcPr>
          <w:p>
            <w:pPr/>
          </w:p>
        </w:tc>
        <w:tc>
          <w:tcPr>
            <w:tcW w:w="1430" w:type="dxa"/>
            <w:vMerge w:val="restart"/>
            <w:tcBorders>
              <w:top w:val="nil" w:sz="6" w:space="0" w:color="auto"/>
              <w:left w:val="single" w:sz="4" w:space="0" w:color="000000"/>
              <w:right w:val="single" w:sz="4" w:space="0" w:color="000000"/>
            </w:tcBorders>
            <w:shd w:val="clear" w:color="auto" w:fill="D2D2D2"/>
          </w:tcPr>
          <w:p>
            <w:pPr/>
          </w:p>
        </w:tc>
        <w:tc>
          <w:tcPr>
            <w:tcW w:w="567"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283" w:type="dxa"/>
            <w:vMerge/>
            <w:tcBorders>
              <w:left w:val="single" w:sz="4" w:space="0" w:color="000000"/>
              <w:right w:val="single" w:sz="4" w:space="0" w:color="000000"/>
            </w:tcBorders>
            <w:shd w:val="clear" w:color="auto" w:fill="D2D2D2"/>
          </w:tcPr>
          <w:p>
            <w:pPr/>
          </w:p>
        </w:tc>
        <w:tc>
          <w:tcPr>
            <w:tcW w:w="1418" w:type="dxa"/>
            <w:vMerge w:val="restart"/>
            <w:tcBorders>
              <w:top w:val="nil" w:sz="6" w:space="0" w:color="auto"/>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569" w:type="dxa"/>
            <w:vMerge/>
            <w:tcBorders>
              <w:left w:val="single" w:sz="4" w:space="0" w:color="000000"/>
              <w:right w:val="single" w:sz="4" w:space="0" w:color="000000"/>
            </w:tcBorders>
            <w:shd w:val="clear" w:color="auto" w:fill="D2D2D2"/>
          </w:tcPr>
          <w:p>
            <w:pPr/>
          </w:p>
        </w:tc>
        <w:tc>
          <w:tcPr>
            <w:tcW w:w="566" w:type="dxa"/>
            <w:vMerge/>
            <w:tcBorders>
              <w:left w:val="single" w:sz="4" w:space="0" w:color="000000"/>
              <w:bottom w:val="nil" w:sz="6" w:space="0" w:color="auto"/>
              <w:right w:val="single" w:sz="4" w:space="0" w:color="000000"/>
            </w:tcBorders>
            <w:shd w:val="clear" w:color="auto" w:fill="D2D2D2"/>
          </w:tcPr>
          <w:p>
            <w:pPr/>
          </w:p>
        </w:tc>
        <w:tc>
          <w:tcPr>
            <w:tcW w:w="1277" w:type="dxa"/>
            <w:vMerge w:val="restart"/>
            <w:tcBorders>
              <w:top w:val="nil" w:sz="6" w:space="0" w:color="auto"/>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1417" w:type="dxa"/>
            <w:vMerge w:val="restart"/>
            <w:tcBorders>
              <w:top w:val="nil" w:sz="6" w:space="0" w:color="auto"/>
              <w:left w:val="single" w:sz="4" w:space="0" w:color="000000"/>
              <w:right w:val="single" w:sz="4" w:space="0" w:color="000000"/>
            </w:tcBorders>
            <w:shd w:val="clear" w:color="auto" w:fill="D2D2D2"/>
          </w:tcPr>
          <w:p>
            <w:pPr/>
          </w:p>
        </w:tc>
        <w:tc>
          <w:tcPr>
            <w:tcW w:w="1277" w:type="dxa"/>
            <w:vMerge w:val="restart"/>
            <w:tcBorders>
              <w:top w:val="nil" w:sz="6" w:space="0" w:color="auto"/>
              <w:left w:val="single" w:sz="4" w:space="0" w:color="000000"/>
              <w:right w:val="single" w:sz="4" w:space="0" w:color="000000"/>
            </w:tcBorders>
            <w:shd w:val="clear" w:color="auto" w:fill="D2D2D2"/>
          </w:tcPr>
          <w:p>
            <w:pPr/>
          </w:p>
        </w:tc>
        <w:tc>
          <w:tcPr>
            <w:tcW w:w="1416" w:type="dxa"/>
            <w:vMerge w:val="restart"/>
            <w:tcBorders>
              <w:top w:val="nil" w:sz="6" w:space="0" w:color="auto"/>
              <w:left w:val="single" w:sz="4" w:space="0" w:color="000000"/>
              <w:right w:val="single" w:sz="4" w:space="0" w:color="000000"/>
            </w:tcBorders>
            <w:shd w:val="clear" w:color="auto" w:fill="D2D2D2"/>
          </w:tcPr>
          <w:p>
            <w:pPr/>
          </w:p>
        </w:tc>
      </w:tr>
      <w:tr>
        <w:trPr>
          <w:trHeight w:val="206" w:hRule="exact"/>
        </w:trPr>
        <w:tc>
          <w:tcPr>
            <w:tcW w:w="2244" w:type="dxa"/>
            <w:vMerge/>
            <w:tcBorders>
              <w:left w:val="single" w:sz="4" w:space="0" w:color="000000"/>
              <w:bottom w:val="single" w:sz="4" w:space="0" w:color="000000"/>
              <w:right w:val="single" w:sz="4" w:space="0" w:color="000000"/>
            </w:tcBorders>
            <w:shd w:val="clear" w:color="auto" w:fill="D2D2D2"/>
          </w:tcPr>
          <w:p>
            <w:pPr/>
          </w:p>
        </w:tc>
        <w:tc>
          <w:tcPr>
            <w:tcW w:w="1430" w:type="dxa"/>
            <w:vMerge/>
            <w:tcBorders>
              <w:left w:val="single" w:sz="4" w:space="0" w:color="000000"/>
              <w:bottom w:val="single" w:sz="4" w:space="0" w:color="000000"/>
              <w:right w:val="single" w:sz="4" w:space="0" w:color="000000"/>
            </w:tcBorders>
            <w:shd w:val="clear" w:color="auto" w:fill="D2D2D2"/>
          </w:tcPr>
          <w:p>
            <w:pPr/>
          </w:p>
        </w:tc>
        <w:tc>
          <w:tcPr>
            <w:tcW w:w="567"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283" w:type="dxa"/>
            <w:vMerge/>
            <w:tcBorders>
              <w:left w:val="single" w:sz="4" w:space="0" w:color="000000"/>
              <w:bottom w:val="single" w:sz="4" w:space="0" w:color="000000"/>
              <w:right w:val="single" w:sz="4" w:space="0" w:color="000000"/>
            </w:tcBorders>
            <w:shd w:val="clear" w:color="auto" w:fill="D2D2D2"/>
          </w:tcPr>
          <w:p>
            <w:pPr/>
          </w:p>
        </w:tc>
        <w:tc>
          <w:tcPr>
            <w:tcW w:w="1418"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569" w:type="dxa"/>
            <w:vMerge/>
            <w:tcBorders>
              <w:left w:val="single" w:sz="4" w:space="0" w:color="000000"/>
              <w:bottom w:val="single" w:sz="4" w:space="0" w:color="000000"/>
              <w:right w:val="single" w:sz="4" w:space="0" w:color="000000"/>
            </w:tcBorders>
            <w:shd w:val="clear" w:color="auto" w:fill="D2D2D2"/>
          </w:tcPr>
          <w:p>
            <w:pPr/>
          </w:p>
        </w:tc>
        <w:tc>
          <w:tcPr>
            <w:tcW w:w="566"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1417"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14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2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一、上年期末余额</w:t>
            </w:r>
          </w:p>
        </w:tc>
        <w:tc>
          <w:tcPr>
            <w:tcW w:w="14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left="55" w:right="0"/>
              <w:jc w:val="center"/>
              <w:rPr>
                <w:rFonts w:ascii="Times New Roman" w:hAnsi="Times New Roman" w:cs="Times New Roman" w:eastAsia="Times New Roman" w:hint="default"/>
                <w:sz w:val="21"/>
                <w:szCs w:val="21"/>
              </w:rPr>
            </w:pPr>
            <w:r>
              <w:rPr>
                <w:rFonts w:ascii="Times New Roman"/>
                <w:sz w:val="21"/>
              </w:rPr>
              <w:t>200,000,000.00</w:t>
            </w: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5" w:right="0"/>
              <w:jc w:val="center"/>
              <w:rPr>
                <w:rFonts w:ascii="Times New Roman" w:hAnsi="Times New Roman" w:cs="Times New Roman" w:eastAsia="Times New Roman" w:hint="default"/>
                <w:sz w:val="21"/>
                <w:szCs w:val="21"/>
              </w:rPr>
            </w:pPr>
            <w:r>
              <w:rPr>
                <w:rFonts w:ascii="Times New Roman"/>
                <w:sz w:val="21"/>
              </w:rPr>
              <w:t>429,089,779.67</w:t>
            </w:r>
          </w:p>
        </w:tc>
        <w:tc>
          <w:tcPr>
            <w:tcW w:w="566" w:type="dxa"/>
            <w:tcBorders>
              <w:top w:val="single" w:sz="18" w:space="0" w:color="D2D2D2"/>
              <w:left w:val="single" w:sz="4" w:space="0" w:color="000000"/>
              <w:bottom w:val="single" w:sz="4" w:space="0" w:color="000000"/>
              <w:right w:val="single" w:sz="4" w:space="0" w:color="000000"/>
            </w:tcBorders>
          </w:tcPr>
          <w:p>
            <w:pPr/>
          </w:p>
        </w:tc>
        <w:tc>
          <w:tcPr>
            <w:tcW w:w="569" w:type="dxa"/>
            <w:tcBorders>
              <w:top w:val="single" w:sz="18" w:space="0" w:color="D2D2D2"/>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22,386,945.56</w:t>
            </w:r>
          </w:p>
        </w:tc>
        <w:tc>
          <w:tcPr>
            <w:tcW w:w="566" w:type="dxa"/>
            <w:tcBorders>
              <w:top w:val="single" w:sz="18" w:space="0" w:color="D2D2D2"/>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7" w:right="0"/>
              <w:jc w:val="center"/>
              <w:rPr>
                <w:rFonts w:ascii="Times New Roman" w:hAnsi="Times New Roman" w:cs="Times New Roman" w:eastAsia="Times New Roman" w:hint="default"/>
                <w:sz w:val="21"/>
                <w:szCs w:val="21"/>
              </w:rPr>
            </w:pPr>
            <w:r>
              <w:rPr>
                <w:rFonts w:ascii="Times New Roman"/>
                <w:sz w:val="21"/>
              </w:rPr>
              <w:t>141,588,806.36</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7" w:right="0"/>
              <w:jc w:val="center"/>
              <w:rPr>
                <w:rFonts w:ascii="Times New Roman" w:hAnsi="Times New Roman" w:cs="Times New Roman" w:eastAsia="Times New Roman" w:hint="default"/>
                <w:sz w:val="21"/>
                <w:szCs w:val="21"/>
              </w:rPr>
            </w:pPr>
            <w:r>
              <w:rPr>
                <w:rFonts w:ascii="Times New Roman"/>
                <w:sz w:val="21"/>
              </w:rPr>
              <w:t>793,065,531.59</w:t>
            </w:r>
          </w:p>
        </w:tc>
      </w:tr>
      <w:tr>
        <w:trPr>
          <w:trHeight w:val="403" w:hRule="exact"/>
        </w:trPr>
        <w:tc>
          <w:tcPr>
            <w:tcW w:w="22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117"/>
              <w:jc w:val="right"/>
              <w:rPr>
                <w:rFonts w:ascii="宋体" w:hAnsi="宋体" w:cs="宋体" w:eastAsia="宋体" w:hint="default"/>
                <w:sz w:val="21"/>
                <w:szCs w:val="21"/>
              </w:rPr>
            </w:pPr>
            <w:r>
              <w:rPr>
                <w:rFonts w:ascii="宋体" w:hAnsi="宋体" w:cs="宋体" w:eastAsia="宋体" w:hint="default"/>
                <w:spacing w:val="-2"/>
                <w:sz w:val="21"/>
                <w:szCs w:val="21"/>
              </w:rPr>
              <w:t>加：会计政策变更</w:t>
            </w:r>
          </w:p>
        </w:tc>
        <w:tc>
          <w:tcPr>
            <w:tcW w:w="1430" w:type="dxa"/>
            <w:tcBorders>
              <w:top w:val="single" w:sz="4" w:space="0" w:color="000000"/>
              <w:left w:val="single" w:sz="13" w:space="0" w:color="D2D2D2"/>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right="117"/>
              <w:jc w:val="right"/>
              <w:rPr>
                <w:rFonts w:ascii="宋体" w:hAnsi="宋体" w:cs="宋体" w:eastAsia="宋体" w:hint="default"/>
                <w:sz w:val="21"/>
                <w:szCs w:val="21"/>
              </w:rPr>
            </w:pPr>
            <w:r>
              <w:rPr>
                <w:rFonts w:ascii="宋体" w:hAnsi="宋体" w:cs="宋体" w:eastAsia="宋体" w:hint="default"/>
                <w:spacing w:val="-2"/>
                <w:sz w:val="21"/>
                <w:szCs w:val="21"/>
              </w:rPr>
              <w:t>前期差错更正</w:t>
            </w:r>
          </w:p>
        </w:tc>
        <w:tc>
          <w:tcPr>
            <w:tcW w:w="1430" w:type="dxa"/>
            <w:tcBorders>
              <w:top w:val="single" w:sz="4" w:space="0" w:color="000000"/>
              <w:left w:val="single" w:sz="13" w:space="0" w:color="D2D2D2"/>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2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854" w:right="0"/>
              <w:jc w:val="left"/>
              <w:rPr>
                <w:rFonts w:ascii="宋体" w:hAnsi="宋体" w:cs="宋体" w:eastAsia="宋体" w:hint="default"/>
                <w:sz w:val="21"/>
                <w:szCs w:val="21"/>
              </w:rPr>
            </w:pPr>
            <w:r>
              <w:rPr>
                <w:rFonts w:ascii="宋体" w:hAnsi="宋体" w:cs="宋体" w:eastAsia="宋体" w:hint="default"/>
                <w:sz w:val="21"/>
                <w:szCs w:val="21"/>
              </w:rPr>
              <w:t>同一控制下企</w:t>
            </w:r>
          </w:p>
          <w:p>
            <w:pPr>
              <w:pStyle w:val="TableParagraph"/>
              <w:spacing w:line="240" w:lineRule="auto" w:before="34"/>
              <w:ind w:left="11" w:right="0"/>
              <w:jc w:val="left"/>
              <w:rPr>
                <w:rFonts w:ascii="宋体" w:hAnsi="宋体" w:cs="宋体" w:eastAsia="宋体" w:hint="default"/>
                <w:sz w:val="21"/>
                <w:szCs w:val="21"/>
              </w:rPr>
            </w:pPr>
            <w:r>
              <w:rPr>
                <w:rFonts w:ascii="宋体" w:hAnsi="宋体" w:cs="宋体" w:eastAsia="宋体" w:hint="default"/>
                <w:sz w:val="21"/>
                <w:szCs w:val="21"/>
              </w:rPr>
              <w:t>业合并</w:t>
            </w:r>
          </w:p>
        </w:tc>
        <w:tc>
          <w:tcPr>
            <w:tcW w:w="1430" w:type="dxa"/>
            <w:tcBorders>
              <w:top w:val="single" w:sz="4" w:space="0" w:color="000000"/>
              <w:left w:val="single" w:sz="13" w:space="0" w:color="D2D2D2"/>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05"/>
              <w:jc w:val="center"/>
              <w:rPr>
                <w:rFonts w:ascii="宋体" w:hAnsi="宋体" w:cs="宋体" w:eastAsia="宋体" w:hint="default"/>
                <w:sz w:val="21"/>
                <w:szCs w:val="21"/>
              </w:rPr>
            </w:pPr>
            <w:r>
              <w:rPr>
                <w:rFonts w:ascii="宋体" w:hAnsi="宋体" w:cs="宋体" w:eastAsia="宋体" w:hint="default"/>
                <w:spacing w:val="-3"/>
                <w:sz w:val="21"/>
                <w:szCs w:val="21"/>
              </w:rPr>
              <w:t>其他</w:t>
            </w:r>
            <w:r>
              <w:rPr>
                <w:rFonts w:ascii="宋体" w:hAnsi="宋体" w:cs="宋体" w:eastAsia="宋体" w:hint="default"/>
                <w:sz w:val="21"/>
                <w:szCs w:val="21"/>
              </w:rPr>
            </w:r>
          </w:p>
        </w:tc>
        <w:tc>
          <w:tcPr>
            <w:tcW w:w="1430" w:type="dxa"/>
            <w:tcBorders>
              <w:top w:val="single" w:sz="4" w:space="0" w:color="000000"/>
              <w:left w:val="single" w:sz="13" w:space="0" w:color="D2D2D2"/>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1" w:right="0"/>
              <w:jc w:val="left"/>
              <w:rPr>
                <w:rFonts w:ascii="宋体" w:hAnsi="宋体" w:cs="宋体" w:eastAsia="宋体" w:hint="default"/>
                <w:sz w:val="21"/>
                <w:szCs w:val="21"/>
              </w:rPr>
            </w:pPr>
            <w:r>
              <w:rPr>
                <w:rFonts w:ascii="宋体" w:hAnsi="宋体" w:cs="宋体" w:eastAsia="宋体" w:hint="default"/>
                <w:sz w:val="21"/>
                <w:szCs w:val="21"/>
              </w:rPr>
              <w:t>二、本年期初余额</w:t>
            </w:r>
          </w:p>
        </w:tc>
        <w:tc>
          <w:tcPr>
            <w:tcW w:w="14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7"/>
              <w:ind w:left="55" w:right="0"/>
              <w:jc w:val="center"/>
              <w:rPr>
                <w:rFonts w:ascii="Times New Roman" w:hAnsi="Times New Roman" w:cs="Times New Roman" w:eastAsia="Times New Roman" w:hint="default"/>
                <w:sz w:val="21"/>
                <w:szCs w:val="21"/>
              </w:rPr>
            </w:pPr>
            <w:r>
              <w:rPr>
                <w:rFonts w:ascii="Times New Roman"/>
                <w:sz w:val="21"/>
              </w:rPr>
              <w:t>200,000,000.00</w:t>
            </w: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55" w:right="0"/>
              <w:jc w:val="center"/>
              <w:rPr>
                <w:rFonts w:ascii="Times New Roman" w:hAnsi="Times New Roman" w:cs="Times New Roman" w:eastAsia="Times New Roman" w:hint="default"/>
                <w:sz w:val="21"/>
                <w:szCs w:val="21"/>
              </w:rPr>
            </w:pPr>
            <w:r>
              <w:rPr>
                <w:rFonts w:ascii="Times New Roman"/>
                <w:sz w:val="21"/>
              </w:rPr>
              <w:t>429,089,779.67</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22,386,945.56</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7" w:right="0"/>
              <w:jc w:val="center"/>
              <w:rPr>
                <w:rFonts w:ascii="Times New Roman" w:hAnsi="Times New Roman" w:cs="Times New Roman" w:eastAsia="Times New Roman" w:hint="default"/>
                <w:sz w:val="21"/>
                <w:szCs w:val="21"/>
              </w:rPr>
            </w:pPr>
            <w:r>
              <w:rPr>
                <w:rFonts w:ascii="Times New Roman"/>
                <w:sz w:val="21"/>
              </w:rPr>
              <w:t>141,588,806.36</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7" w:right="0"/>
              <w:jc w:val="center"/>
              <w:rPr>
                <w:rFonts w:ascii="Times New Roman" w:hAnsi="Times New Roman" w:cs="Times New Roman" w:eastAsia="Times New Roman" w:hint="default"/>
                <w:sz w:val="21"/>
                <w:szCs w:val="21"/>
              </w:rPr>
            </w:pPr>
            <w:r>
              <w:rPr>
                <w:rFonts w:ascii="Times New Roman"/>
                <w:sz w:val="21"/>
              </w:rPr>
              <w:t>793,065,531.59</w:t>
            </w:r>
          </w:p>
        </w:tc>
      </w:tr>
      <w:tr>
        <w:trPr>
          <w:trHeight w:val="713" w:hRule="exact"/>
        </w:trPr>
        <w:tc>
          <w:tcPr>
            <w:tcW w:w="22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三、本期增减变动金额</w:t>
            </w:r>
          </w:p>
          <w:p>
            <w:pPr>
              <w:pStyle w:val="TableParagraph"/>
              <w:spacing w:line="240" w:lineRule="auto" w:before="37"/>
              <w:ind w:left="11" w:right="0"/>
              <w:jc w:val="left"/>
              <w:rPr>
                <w:rFonts w:ascii="宋体" w:hAnsi="宋体" w:cs="宋体" w:eastAsia="宋体" w:hint="default"/>
                <w:sz w:val="21"/>
                <w:szCs w:val="21"/>
              </w:rPr>
            </w:pPr>
            <w:r>
              <w:rPr>
                <w:rFonts w:ascii="宋体" w:hAnsi="宋体" w:cs="宋体" w:eastAsia="宋体" w:hint="default"/>
                <w:sz w:val="21"/>
                <w:szCs w:val="21"/>
              </w:rPr>
              <w:t>（减少以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430" w:type="dxa"/>
            <w:tcBorders>
              <w:top w:val="single" w:sz="4" w:space="0" w:color="000000"/>
              <w:left w:val="single" w:sz="13" w:space="0" w:color="D2D2D2"/>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9,823,467.73</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53" w:right="0"/>
              <w:jc w:val="center"/>
              <w:rPr>
                <w:rFonts w:ascii="Times New Roman" w:hAnsi="Times New Roman" w:cs="Times New Roman" w:eastAsia="Times New Roman" w:hint="default"/>
                <w:sz w:val="21"/>
                <w:szCs w:val="21"/>
              </w:rPr>
            </w:pPr>
            <w:r>
              <w:rPr>
                <w:rFonts w:ascii="Times New Roman"/>
                <w:sz w:val="21"/>
              </w:rPr>
              <w:t>23,535,698.32</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53" w:right="0"/>
              <w:jc w:val="center"/>
              <w:rPr>
                <w:rFonts w:ascii="Times New Roman" w:hAnsi="Times New Roman" w:cs="Times New Roman" w:eastAsia="Times New Roman" w:hint="default"/>
                <w:sz w:val="21"/>
                <w:szCs w:val="21"/>
              </w:rPr>
            </w:pPr>
            <w:r>
              <w:rPr>
                <w:rFonts w:ascii="Times New Roman"/>
                <w:sz w:val="21"/>
              </w:rPr>
              <w:t>33,359,166.05</w:t>
            </w:r>
          </w:p>
        </w:tc>
      </w:tr>
      <w:tr>
        <w:trPr>
          <w:trHeight w:val="403" w:hRule="exact"/>
        </w:trPr>
        <w:tc>
          <w:tcPr>
            <w:tcW w:w="22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1" w:right="0"/>
              <w:jc w:val="left"/>
              <w:rPr>
                <w:rFonts w:ascii="宋体" w:hAnsi="宋体" w:cs="宋体" w:eastAsia="宋体" w:hint="default"/>
                <w:sz w:val="21"/>
                <w:szCs w:val="21"/>
              </w:rPr>
            </w:pPr>
            <w:r>
              <w:rPr>
                <w:rFonts w:ascii="宋体" w:hAnsi="宋体" w:cs="宋体" w:eastAsia="宋体" w:hint="default"/>
                <w:sz w:val="21"/>
                <w:szCs w:val="21"/>
              </w:rPr>
              <w:t>（一）综合收益总额</w:t>
            </w:r>
          </w:p>
        </w:tc>
        <w:tc>
          <w:tcPr>
            <w:tcW w:w="1430" w:type="dxa"/>
            <w:tcBorders>
              <w:top w:val="single" w:sz="4" w:space="0" w:color="000000"/>
              <w:left w:val="single" w:sz="13" w:space="0" w:color="D2D2D2"/>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53" w:right="0"/>
              <w:jc w:val="center"/>
              <w:rPr>
                <w:rFonts w:ascii="Times New Roman" w:hAnsi="Times New Roman" w:cs="Times New Roman" w:eastAsia="Times New Roman" w:hint="default"/>
                <w:sz w:val="21"/>
                <w:szCs w:val="21"/>
              </w:rPr>
            </w:pPr>
            <w:r>
              <w:rPr>
                <w:rFonts w:ascii="Times New Roman"/>
                <w:sz w:val="21"/>
              </w:rPr>
              <w:t>93,359,166.05</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53" w:right="0"/>
              <w:jc w:val="center"/>
              <w:rPr>
                <w:rFonts w:ascii="Times New Roman" w:hAnsi="Times New Roman" w:cs="Times New Roman" w:eastAsia="Times New Roman" w:hint="default"/>
                <w:sz w:val="21"/>
                <w:szCs w:val="21"/>
              </w:rPr>
            </w:pPr>
            <w:r>
              <w:rPr>
                <w:rFonts w:ascii="Times New Roman"/>
                <w:sz w:val="21"/>
              </w:rPr>
              <w:t>93,359,166.05</w:t>
            </w:r>
          </w:p>
        </w:tc>
      </w:tr>
      <w:tr>
        <w:trPr>
          <w:trHeight w:val="713" w:hRule="exact"/>
        </w:trPr>
        <w:tc>
          <w:tcPr>
            <w:tcW w:w="22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1" w:right="5"/>
              <w:jc w:val="left"/>
              <w:rPr>
                <w:rFonts w:ascii="宋体" w:hAnsi="宋体" w:cs="宋体" w:eastAsia="宋体" w:hint="default"/>
                <w:sz w:val="21"/>
                <w:szCs w:val="21"/>
              </w:rPr>
            </w:pPr>
            <w:r>
              <w:rPr>
                <w:rFonts w:ascii="宋体" w:hAnsi="宋体" w:cs="宋体" w:eastAsia="宋体" w:hint="default"/>
                <w:spacing w:val="-10"/>
                <w:w w:val="100"/>
                <w:sz w:val="21"/>
                <w:szCs w:val="21"/>
              </w:rPr>
              <w:t>（二）所有者投入和减少</w:t>
            </w:r>
            <w:r>
              <w:rPr>
                <w:rFonts w:ascii="宋体" w:hAnsi="宋体" w:cs="宋体" w:eastAsia="宋体" w:hint="default"/>
                <w:w w:val="100"/>
                <w:sz w:val="21"/>
                <w:szCs w:val="21"/>
              </w:rPr>
              <w:t> </w:t>
            </w:r>
            <w:r>
              <w:rPr>
                <w:rFonts w:ascii="宋体" w:hAnsi="宋体" w:cs="宋体" w:eastAsia="宋体" w:hint="default"/>
                <w:sz w:val="21"/>
                <w:szCs w:val="21"/>
              </w:rPr>
              <w:t>资本</w:t>
            </w:r>
          </w:p>
        </w:tc>
        <w:tc>
          <w:tcPr>
            <w:tcW w:w="1430" w:type="dxa"/>
            <w:tcBorders>
              <w:top w:val="single" w:sz="4" w:space="0" w:color="000000"/>
              <w:left w:val="single" w:sz="13" w:space="0" w:color="D2D2D2"/>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．股东投入的普通股</w:t>
            </w:r>
          </w:p>
        </w:tc>
        <w:tc>
          <w:tcPr>
            <w:tcW w:w="1430" w:type="dxa"/>
            <w:tcBorders>
              <w:top w:val="single" w:sz="4" w:space="0" w:color="000000"/>
              <w:left w:val="single" w:sz="13" w:space="0" w:color="D2D2D2"/>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2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11" w:right="12"/>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．其他权益工具持有者</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投入资本</w:t>
            </w:r>
          </w:p>
        </w:tc>
        <w:tc>
          <w:tcPr>
            <w:tcW w:w="1430" w:type="dxa"/>
            <w:tcBorders>
              <w:top w:val="single" w:sz="4" w:space="0" w:color="000000"/>
              <w:left w:val="single" w:sz="13" w:space="0" w:color="D2D2D2"/>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2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31"/>
              <w:ind w:left="11" w:right="12"/>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．股份支付计入所有者</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权益的金额</w:t>
            </w:r>
          </w:p>
        </w:tc>
        <w:tc>
          <w:tcPr>
            <w:tcW w:w="1430" w:type="dxa"/>
            <w:tcBorders>
              <w:top w:val="single" w:sz="4" w:space="0" w:color="000000"/>
              <w:left w:val="single" w:sz="13" w:space="0" w:color="D2D2D2"/>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430" w:type="dxa"/>
            <w:tcBorders>
              <w:top w:val="single" w:sz="4" w:space="0" w:color="000000"/>
              <w:left w:val="single" w:sz="13" w:space="0" w:color="D2D2D2"/>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1" w:right="0"/>
              <w:jc w:val="left"/>
              <w:rPr>
                <w:rFonts w:ascii="宋体" w:hAnsi="宋体" w:cs="宋体" w:eastAsia="宋体" w:hint="default"/>
                <w:sz w:val="21"/>
                <w:szCs w:val="21"/>
              </w:rPr>
            </w:pPr>
            <w:r>
              <w:rPr>
                <w:rFonts w:ascii="宋体" w:hAnsi="宋体" w:cs="宋体" w:eastAsia="宋体" w:hint="default"/>
                <w:sz w:val="21"/>
                <w:szCs w:val="21"/>
              </w:rPr>
              <w:t>（三）利润分配</w:t>
            </w:r>
          </w:p>
        </w:tc>
        <w:tc>
          <w:tcPr>
            <w:tcW w:w="1430" w:type="dxa"/>
            <w:tcBorders>
              <w:top w:val="single" w:sz="4" w:space="0" w:color="000000"/>
              <w:left w:val="single" w:sz="13" w:space="0" w:color="D2D2D2"/>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9,823,467.73</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83" w:right="0"/>
              <w:jc w:val="center"/>
              <w:rPr>
                <w:rFonts w:ascii="Times New Roman" w:hAnsi="Times New Roman" w:cs="Times New Roman" w:eastAsia="Times New Roman" w:hint="default"/>
                <w:sz w:val="21"/>
                <w:szCs w:val="21"/>
              </w:rPr>
            </w:pPr>
            <w:r>
              <w:rPr>
                <w:rFonts w:ascii="Times New Roman"/>
                <w:sz w:val="21"/>
              </w:rPr>
              <w:t>-69,823,467.73</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83" w:right="0"/>
              <w:jc w:val="center"/>
              <w:rPr>
                <w:rFonts w:ascii="Times New Roman" w:hAnsi="Times New Roman" w:cs="Times New Roman" w:eastAsia="Times New Roman" w:hint="default"/>
                <w:sz w:val="21"/>
                <w:szCs w:val="21"/>
              </w:rPr>
            </w:pPr>
            <w:r>
              <w:rPr>
                <w:rFonts w:ascii="Times New Roman"/>
                <w:sz w:val="21"/>
              </w:rPr>
              <w:t>-60,000,000.00</w:t>
            </w:r>
          </w:p>
        </w:tc>
      </w:tr>
      <w:tr>
        <w:trPr>
          <w:trHeight w:val="401" w:hRule="exact"/>
        </w:trPr>
        <w:tc>
          <w:tcPr>
            <w:tcW w:w="22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．提取盈余公积</w:t>
            </w:r>
          </w:p>
        </w:tc>
        <w:tc>
          <w:tcPr>
            <w:tcW w:w="1430" w:type="dxa"/>
            <w:tcBorders>
              <w:top w:val="single" w:sz="4" w:space="0" w:color="000000"/>
              <w:left w:val="single" w:sz="13" w:space="0" w:color="D2D2D2"/>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9,823,467.73</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86" w:right="0"/>
              <w:jc w:val="center"/>
              <w:rPr>
                <w:rFonts w:ascii="Times New Roman" w:hAnsi="Times New Roman" w:cs="Times New Roman" w:eastAsia="Times New Roman" w:hint="default"/>
                <w:sz w:val="21"/>
                <w:szCs w:val="21"/>
              </w:rPr>
            </w:pPr>
            <w:r>
              <w:rPr>
                <w:rFonts w:ascii="Times New Roman"/>
                <w:sz w:val="21"/>
              </w:rPr>
              <w:t>-9,823,467.73</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．提取一般风险准备</w:t>
            </w:r>
          </w:p>
        </w:tc>
        <w:tc>
          <w:tcPr>
            <w:tcW w:w="1430" w:type="dxa"/>
            <w:tcBorders>
              <w:top w:val="single" w:sz="4" w:space="0" w:color="000000"/>
              <w:left w:val="single" w:sz="13" w:space="0" w:color="D2D2D2"/>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79" w:top="1060" w:bottom="1160" w:left="1340" w:right="1100"/>
        </w:sectPr>
      </w:pPr>
    </w:p>
    <w:p>
      <w:pPr>
        <w:spacing w:line="240" w:lineRule="auto" w:before="2"/>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2268"/>
        <w:gridCol w:w="1418"/>
        <w:gridCol w:w="567"/>
        <w:gridCol w:w="566"/>
        <w:gridCol w:w="283"/>
        <w:gridCol w:w="1418"/>
        <w:gridCol w:w="566"/>
        <w:gridCol w:w="569"/>
        <w:gridCol w:w="566"/>
        <w:gridCol w:w="1277"/>
        <w:gridCol w:w="566"/>
        <w:gridCol w:w="1417"/>
        <w:gridCol w:w="1277"/>
        <w:gridCol w:w="1416"/>
      </w:tblGrid>
      <w:tr>
        <w:trPr>
          <w:trHeight w:val="730" w:hRule="exact"/>
        </w:trPr>
        <w:tc>
          <w:tcPr>
            <w:tcW w:w="2268"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31"/>
              <w:ind w:left="23" w:right="24"/>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．对所有者（或股东）</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的分配</w:t>
            </w:r>
          </w:p>
        </w:tc>
        <w:tc>
          <w:tcPr>
            <w:tcW w:w="1418" w:type="dxa"/>
            <w:tcBorders>
              <w:top w:val="single" w:sz="15" w:space="0" w:color="000000"/>
              <w:left w:val="single" w:sz="4" w:space="0" w:color="000000"/>
              <w:bottom w:val="single" w:sz="4" w:space="0" w:color="000000"/>
              <w:right w:val="single" w:sz="4" w:space="0" w:color="000000"/>
            </w:tcBorders>
          </w:tcPr>
          <w:p>
            <w:pPr/>
          </w:p>
        </w:tc>
        <w:tc>
          <w:tcPr>
            <w:tcW w:w="567" w:type="dxa"/>
            <w:tcBorders>
              <w:top w:val="single" w:sz="15" w:space="0" w:color="000000"/>
              <w:left w:val="single" w:sz="4" w:space="0" w:color="000000"/>
              <w:bottom w:val="single" w:sz="4" w:space="0" w:color="000000"/>
              <w:right w:val="single" w:sz="4" w:space="0" w:color="000000"/>
            </w:tcBorders>
          </w:tcPr>
          <w:p>
            <w:pPr/>
          </w:p>
        </w:tc>
        <w:tc>
          <w:tcPr>
            <w:tcW w:w="566" w:type="dxa"/>
            <w:tcBorders>
              <w:top w:val="single" w:sz="15" w:space="0" w:color="000000"/>
              <w:left w:val="single" w:sz="4" w:space="0" w:color="000000"/>
              <w:bottom w:val="single" w:sz="4" w:space="0" w:color="000000"/>
              <w:right w:val="single" w:sz="4" w:space="0" w:color="000000"/>
            </w:tcBorders>
          </w:tcPr>
          <w:p>
            <w:pPr/>
          </w:p>
        </w:tc>
        <w:tc>
          <w:tcPr>
            <w:tcW w:w="283" w:type="dxa"/>
            <w:tcBorders>
              <w:top w:val="single" w:sz="15" w:space="0" w:color="000000"/>
              <w:left w:val="single" w:sz="4" w:space="0" w:color="000000"/>
              <w:bottom w:val="single" w:sz="4" w:space="0" w:color="000000"/>
              <w:right w:val="single" w:sz="4" w:space="0" w:color="000000"/>
            </w:tcBorders>
          </w:tcPr>
          <w:p>
            <w:pPr/>
          </w:p>
        </w:tc>
        <w:tc>
          <w:tcPr>
            <w:tcW w:w="1418" w:type="dxa"/>
            <w:tcBorders>
              <w:top w:val="single" w:sz="15" w:space="0" w:color="000000"/>
              <w:left w:val="single" w:sz="4" w:space="0" w:color="000000"/>
              <w:bottom w:val="single" w:sz="4" w:space="0" w:color="000000"/>
              <w:right w:val="single" w:sz="4" w:space="0" w:color="000000"/>
            </w:tcBorders>
          </w:tcPr>
          <w:p>
            <w:pPr/>
          </w:p>
        </w:tc>
        <w:tc>
          <w:tcPr>
            <w:tcW w:w="566" w:type="dxa"/>
            <w:tcBorders>
              <w:top w:val="single" w:sz="15" w:space="0" w:color="000000"/>
              <w:left w:val="single" w:sz="4" w:space="0" w:color="000000"/>
              <w:bottom w:val="single" w:sz="4" w:space="0" w:color="000000"/>
              <w:right w:val="single" w:sz="4" w:space="0" w:color="000000"/>
            </w:tcBorders>
          </w:tcPr>
          <w:p>
            <w:pPr/>
          </w:p>
        </w:tc>
        <w:tc>
          <w:tcPr>
            <w:tcW w:w="569" w:type="dxa"/>
            <w:tcBorders>
              <w:top w:val="single" w:sz="15" w:space="0" w:color="000000"/>
              <w:left w:val="single" w:sz="4" w:space="0" w:color="000000"/>
              <w:bottom w:val="single" w:sz="4" w:space="0" w:color="000000"/>
              <w:right w:val="single" w:sz="4" w:space="0" w:color="000000"/>
            </w:tcBorders>
          </w:tcPr>
          <w:p>
            <w:pPr/>
          </w:p>
        </w:tc>
        <w:tc>
          <w:tcPr>
            <w:tcW w:w="566" w:type="dxa"/>
            <w:tcBorders>
              <w:top w:val="single" w:sz="15" w:space="0" w:color="000000"/>
              <w:left w:val="single" w:sz="4" w:space="0" w:color="000000"/>
              <w:bottom w:val="single" w:sz="4" w:space="0" w:color="000000"/>
              <w:right w:val="single" w:sz="4" w:space="0" w:color="000000"/>
            </w:tcBorders>
          </w:tcPr>
          <w:p>
            <w:pPr/>
          </w:p>
        </w:tc>
        <w:tc>
          <w:tcPr>
            <w:tcW w:w="1277" w:type="dxa"/>
            <w:tcBorders>
              <w:top w:val="single" w:sz="15" w:space="0" w:color="000000"/>
              <w:left w:val="single" w:sz="4" w:space="0" w:color="000000"/>
              <w:bottom w:val="single" w:sz="4" w:space="0" w:color="000000"/>
              <w:right w:val="single" w:sz="4" w:space="0" w:color="000000"/>
            </w:tcBorders>
          </w:tcPr>
          <w:p>
            <w:pPr/>
          </w:p>
        </w:tc>
        <w:tc>
          <w:tcPr>
            <w:tcW w:w="566" w:type="dxa"/>
            <w:tcBorders>
              <w:top w:val="single" w:sz="15" w:space="0" w:color="000000"/>
              <w:left w:val="single" w:sz="4" w:space="0" w:color="000000"/>
              <w:bottom w:val="single" w:sz="4" w:space="0" w:color="000000"/>
              <w:right w:val="single" w:sz="4" w:space="0" w:color="000000"/>
            </w:tcBorders>
          </w:tcPr>
          <w:p>
            <w:pPr/>
          </w:p>
        </w:tc>
        <w:tc>
          <w:tcPr>
            <w:tcW w:w="141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83" w:right="0"/>
              <w:jc w:val="center"/>
              <w:rPr>
                <w:rFonts w:ascii="Times New Roman" w:hAnsi="Times New Roman" w:cs="Times New Roman" w:eastAsia="Times New Roman" w:hint="default"/>
                <w:sz w:val="21"/>
                <w:szCs w:val="21"/>
              </w:rPr>
            </w:pPr>
            <w:r>
              <w:rPr>
                <w:rFonts w:ascii="Times New Roman"/>
                <w:sz w:val="21"/>
              </w:rPr>
              <w:t>-60,000,000.00</w:t>
            </w:r>
          </w:p>
        </w:tc>
        <w:tc>
          <w:tcPr>
            <w:tcW w:w="1277" w:type="dxa"/>
            <w:tcBorders>
              <w:top w:val="single" w:sz="15" w:space="0" w:color="000000"/>
              <w:left w:val="single" w:sz="4" w:space="0" w:color="000000"/>
              <w:bottom w:val="single" w:sz="4" w:space="0" w:color="000000"/>
              <w:right w:val="single" w:sz="4" w:space="0" w:color="000000"/>
            </w:tcBorders>
          </w:tcPr>
          <w:p>
            <w:pPr/>
          </w:p>
        </w:tc>
        <w:tc>
          <w:tcPr>
            <w:tcW w:w="141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83" w:right="0"/>
              <w:jc w:val="center"/>
              <w:rPr>
                <w:rFonts w:ascii="Times New Roman" w:hAnsi="Times New Roman" w:cs="Times New Roman" w:eastAsia="Times New Roman" w:hint="default"/>
                <w:sz w:val="21"/>
                <w:szCs w:val="21"/>
              </w:rPr>
            </w:pPr>
            <w:r>
              <w:rPr>
                <w:rFonts w:ascii="Times New Roman"/>
                <w:sz w:val="21"/>
              </w:rPr>
              <w:t>-60,000,000.00</w:t>
            </w: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23" w:right="17"/>
              <w:jc w:val="left"/>
              <w:rPr>
                <w:rFonts w:ascii="宋体" w:hAnsi="宋体" w:cs="宋体" w:eastAsia="宋体" w:hint="default"/>
                <w:sz w:val="21"/>
                <w:szCs w:val="21"/>
              </w:rPr>
            </w:pPr>
            <w:r>
              <w:rPr>
                <w:rFonts w:ascii="宋体" w:hAnsi="宋体" w:cs="宋体" w:eastAsia="宋体" w:hint="default"/>
                <w:spacing w:val="-10"/>
                <w:w w:val="100"/>
                <w:sz w:val="21"/>
                <w:szCs w:val="21"/>
              </w:rPr>
              <w:t>（四）所有者权益内部结</w:t>
            </w:r>
            <w:r>
              <w:rPr>
                <w:rFonts w:ascii="宋体" w:hAnsi="宋体" w:cs="宋体" w:eastAsia="宋体" w:hint="default"/>
                <w:w w:val="100"/>
                <w:sz w:val="21"/>
                <w:szCs w:val="21"/>
              </w:rPr>
              <w:t> </w:t>
            </w:r>
            <w:r>
              <w:rPr>
                <w:rFonts w:ascii="宋体" w:hAnsi="宋体" w:cs="宋体" w:eastAsia="宋体" w:hint="default"/>
                <w:sz w:val="21"/>
                <w:szCs w:val="21"/>
              </w:rPr>
              <w:t>转</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23" w:right="17"/>
              <w:jc w:val="left"/>
              <w:rPr>
                <w:rFonts w:ascii="宋体" w:hAnsi="宋体" w:cs="宋体" w:eastAsia="宋体" w:hint="default"/>
                <w:sz w:val="21"/>
                <w:szCs w:val="21"/>
              </w:rPr>
            </w:pPr>
            <w:r>
              <w:rPr>
                <w:rFonts w:ascii="Times New Roman" w:hAnsi="Times New Roman" w:cs="Times New Roman" w:eastAsia="Times New Roman" w:hint="default"/>
                <w:spacing w:val="-18"/>
                <w:w w:val="100"/>
                <w:sz w:val="21"/>
                <w:szCs w:val="21"/>
              </w:rPr>
              <w:t>1</w:t>
            </w:r>
            <w:r>
              <w:rPr>
                <w:rFonts w:ascii="宋体" w:hAnsi="宋体" w:cs="宋体" w:eastAsia="宋体" w:hint="default"/>
                <w:spacing w:val="-18"/>
                <w:w w:val="100"/>
                <w:sz w:val="21"/>
                <w:szCs w:val="21"/>
              </w:rPr>
              <w:t>．资本公积转增资本（或</w:t>
            </w:r>
            <w:r>
              <w:rPr>
                <w:rFonts w:ascii="宋体" w:hAnsi="宋体" w:cs="宋体" w:eastAsia="宋体" w:hint="default"/>
                <w:w w:val="100"/>
                <w:sz w:val="21"/>
                <w:szCs w:val="21"/>
              </w:rPr>
              <w:t> </w:t>
            </w:r>
            <w:r>
              <w:rPr>
                <w:rFonts w:ascii="宋体" w:hAnsi="宋体" w:cs="宋体" w:eastAsia="宋体" w:hint="default"/>
                <w:sz w:val="21"/>
                <w:szCs w:val="21"/>
              </w:rPr>
              <w:t>股本）</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30"/>
              <w:ind w:left="23" w:right="17"/>
              <w:jc w:val="left"/>
              <w:rPr>
                <w:rFonts w:ascii="宋体" w:hAnsi="宋体" w:cs="宋体" w:eastAsia="宋体" w:hint="default"/>
                <w:sz w:val="21"/>
                <w:szCs w:val="21"/>
              </w:rPr>
            </w:pPr>
            <w:r>
              <w:rPr>
                <w:rFonts w:ascii="Times New Roman" w:hAnsi="Times New Roman" w:cs="Times New Roman" w:eastAsia="Times New Roman" w:hint="default"/>
                <w:spacing w:val="-18"/>
                <w:w w:val="100"/>
                <w:sz w:val="21"/>
                <w:szCs w:val="21"/>
              </w:rPr>
              <w:t>2</w:t>
            </w:r>
            <w:r>
              <w:rPr>
                <w:rFonts w:ascii="宋体" w:hAnsi="宋体" w:cs="宋体" w:eastAsia="宋体" w:hint="default"/>
                <w:spacing w:val="-18"/>
                <w:w w:val="100"/>
                <w:sz w:val="21"/>
                <w:szCs w:val="21"/>
              </w:rPr>
              <w:t>．盈余公积转增资本（或</w:t>
            </w:r>
            <w:r>
              <w:rPr>
                <w:rFonts w:ascii="宋体" w:hAnsi="宋体" w:cs="宋体" w:eastAsia="宋体" w:hint="default"/>
                <w:w w:val="100"/>
                <w:sz w:val="21"/>
                <w:szCs w:val="21"/>
              </w:rPr>
              <w:t> </w:t>
            </w:r>
            <w:r>
              <w:rPr>
                <w:rFonts w:ascii="宋体" w:hAnsi="宋体" w:cs="宋体" w:eastAsia="宋体" w:hint="default"/>
                <w:sz w:val="21"/>
                <w:szCs w:val="21"/>
              </w:rPr>
              <w:t>股本）</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．盈余公积弥补亏损</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（五）专项储备</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．本期提取</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．本期使用</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3" w:right="0"/>
              <w:jc w:val="left"/>
              <w:rPr>
                <w:rFonts w:ascii="宋体" w:hAnsi="宋体" w:cs="宋体" w:eastAsia="宋体" w:hint="default"/>
                <w:sz w:val="21"/>
                <w:szCs w:val="21"/>
              </w:rPr>
            </w:pPr>
            <w:r>
              <w:rPr>
                <w:rFonts w:ascii="宋体" w:hAnsi="宋体" w:cs="宋体" w:eastAsia="宋体" w:hint="default"/>
                <w:sz w:val="21"/>
                <w:szCs w:val="21"/>
              </w:rPr>
              <w:t>（六）其他</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四、本期期末余额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74" w:right="0"/>
              <w:jc w:val="left"/>
              <w:rPr>
                <w:rFonts w:ascii="Times New Roman" w:hAnsi="Times New Roman" w:cs="Times New Roman" w:eastAsia="Times New Roman" w:hint="default"/>
                <w:sz w:val="21"/>
                <w:szCs w:val="21"/>
              </w:rPr>
            </w:pPr>
            <w:r>
              <w:rPr>
                <w:rFonts w:ascii="Times New Roman"/>
                <w:sz w:val="21"/>
              </w:rPr>
              <w:t>200,000,000.00</w:t>
            </w: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74" w:right="0"/>
              <w:jc w:val="left"/>
              <w:rPr>
                <w:rFonts w:ascii="Times New Roman" w:hAnsi="Times New Roman" w:cs="Times New Roman" w:eastAsia="Times New Roman" w:hint="default"/>
                <w:sz w:val="21"/>
                <w:szCs w:val="21"/>
              </w:rPr>
            </w:pPr>
            <w:r>
              <w:rPr>
                <w:rFonts w:ascii="Times New Roman"/>
                <w:sz w:val="21"/>
              </w:rPr>
              <w:t>429,089,779.67</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5" w:right="0"/>
              <w:jc w:val="left"/>
              <w:rPr>
                <w:rFonts w:ascii="Times New Roman" w:hAnsi="Times New Roman" w:cs="Times New Roman" w:eastAsia="Times New Roman" w:hint="default"/>
                <w:sz w:val="21"/>
                <w:szCs w:val="21"/>
              </w:rPr>
            </w:pPr>
            <w:r>
              <w:rPr>
                <w:rFonts w:ascii="Times New Roman"/>
                <w:sz w:val="21"/>
              </w:rPr>
              <w:t>32,210,413.29</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7" w:right="0"/>
              <w:jc w:val="center"/>
              <w:rPr>
                <w:rFonts w:ascii="Times New Roman" w:hAnsi="Times New Roman" w:cs="Times New Roman" w:eastAsia="Times New Roman" w:hint="default"/>
                <w:sz w:val="21"/>
                <w:szCs w:val="21"/>
              </w:rPr>
            </w:pPr>
            <w:r>
              <w:rPr>
                <w:rFonts w:ascii="Times New Roman"/>
                <w:sz w:val="21"/>
              </w:rPr>
              <w:t>165,124,504.68</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7" w:right="0"/>
              <w:jc w:val="center"/>
              <w:rPr>
                <w:rFonts w:ascii="Times New Roman" w:hAnsi="Times New Roman" w:cs="Times New Roman" w:eastAsia="Times New Roman" w:hint="default"/>
                <w:sz w:val="21"/>
                <w:szCs w:val="21"/>
              </w:rPr>
            </w:pPr>
            <w:r>
              <w:rPr>
                <w:rFonts w:ascii="Times New Roman"/>
                <w:sz w:val="21"/>
              </w:rPr>
              <w:t>826,424,697.64</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left="120"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36"/>
        <w:ind w:left="120" w:right="0"/>
        <w:jc w:val="left"/>
      </w:pPr>
      <w:r>
        <w:rPr/>
        <w:t>本期金额</w:t>
      </w:r>
    </w:p>
    <w:p>
      <w:pPr>
        <w:pStyle w:val="BodyText"/>
        <w:spacing w:line="240" w:lineRule="auto" w:before="78"/>
        <w:ind w:left="0" w:right="333"/>
        <w:jc w:val="right"/>
      </w:pPr>
      <w:r>
        <w:rPr>
          <w:spacing w:val="-1"/>
        </w:rPr>
        <w:t>单位：元</w:t>
      </w:r>
    </w:p>
    <w:p>
      <w:pPr>
        <w:spacing w:line="240" w:lineRule="auto" w:before="12"/>
        <w:rPr>
          <w:rFonts w:ascii="宋体" w:hAnsi="宋体" w:cs="宋体" w:eastAsia="宋体" w:hint="default"/>
          <w:sz w:val="6"/>
          <w:szCs w:val="6"/>
        </w:rPr>
      </w:pPr>
    </w:p>
    <w:tbl>
      <w:tblPr>
        <w:tblW w:w="0" w:type="auto"/>
        <w:jc w:val="left"/>
        <w:tblInd w:w="115" w:type="dxa"/>
        <w:tblLayout w:type="fixed"/>
        <w:tblCellMar>
          <w:top w:w="0" w:type="dxa"/>
          <w:left w:w="0" w:type="dxa"/>
          <w:bottom w:w="0" w:type="dxa"/>
          <w:right w:w="0" w:type="dxa"/>
        </w:tblCellMar>
        <w:tblLook w:val="01E0"/>
      </w:tblPr>
      <w:tblGrid>
        <w:gridCol w:w="2268"/>
        <w:gridCol w:w="1418"/>
        <w:gridCol w:w="567"/>
        <w:gridCol w:w="566"/>
        <w:gridCol w:w="569"/>
        <w:gridCol w:w="1699"/>
        <w:gridCol w:w="1136"/>
        <w:gridCol w:w="850"/>
        <w:gridCol w:w="994"/>
        <w:gridCol w:w="1275"/>
        <w:gridCol w:w="1418"/>
        <w:gridCol w:w="1419"/>
      </w:tblGrid>
      <w:tr>
        <w:trPr>
          <w:trHeight w:val="401" w:hRule="exact"/>
        </w:trPr>
        <w:tc>
          <w:tcPr>
            <w:tcW w:w="22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191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本期</w:t>
            </w:r>
          </w:p>
        </w:tc>
      </w:tr>
      <w:tr>
        <w:trPr>
          <w:trHeight w:val="403" w:hRule="exact"/>
        </w:trPr>
        <w:tc>
          <w:tcPr>
            <w:tcW w:w="2268" w:type="dxa"/>
            <w:vMerge/>
            <w:tcBorders>
              <w:left w:val="single" w:sz="4" w:space="0" w:color="000000"/>
              <w:right w:val="single" w:sz="4" w:space="0" w:color="000000"/>
            </w:tcBorders>
            <w:shd w:val="clear" w:color="auto" w:fill="D2D2D2"/>
          </w:tcPr>
          <w:p>
            <w:pPr/>
          </w:p>
        </w:tc>
        <w:tc>
          <w:tcPr>
            <w:tcW w:w="14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股本</w:t>
            </w:r>
          </w:p>
        </w:tc>
        <w:tc>
          <w:tcPr>
            <w:tcW w:w="17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14"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16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422"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1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73" w:lineRule="auto"/>
              <w:ind w:left="105" w:right="98"/>
              <w:jc w:val="left"/>
              <w:rPr>
                <w:rFonts w:ascii="宋体" w:hAnsi="宋体" w:cs="宋体" w:eastAsia="宋体" w:hint="default"/>
                <w:sz w:val="21"/>
                <w:szCs w:val="21"/>
              </w:rPr>
            </w:pPr>
            <w:r>
              <w:rPr>
                <w:rFonts w:ascii="宋体" w:hAnsi="宋体" w:cs="宋体" w:eastAsia="宋体" w:hint="default"/>
                <w:sz w:val="21"/>
                <w:szCs w:val="21"/>
              </w:rPr>
              <w:t>其他综</w:t>
            </w:r>
            <w:r>
              <w:rPr>
                <w:rFonts w:ascii="宋体" w:hAnsi="宋体" w:cs="宋体" w:eastAsia="宋体" w:hint="default"/>
                <w:spacing w:val="-102"/>
                <w:sz w:val="21"/>
                <w:szCs w:val="21"/>
              </w:rPr>
              <w:t> </w:t>
            </w:r>
            <w:r>
              <w:rPr>
                <w:rFonts w:ascii="宋体" w:hAnsi="宋体" w:cs="宋体" w:eastAsia="宋体" w:hint="default"/>
                <w:sz w:val="21"/>
                <w:szCs w:val="21"/>
              </w:rPr>
              <w:t>合收益</w:t>
            </w:r>
          </w:p>
        </w:tc>
        <w:tc>
          <w:tcPr>
            <w:tcW w:w="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72"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2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211"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4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80"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4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73" w:lineRule="auto"/>
              <w:ind w:left="595" w:right="72" w:hanging="524"/>
              <w:jc w:val="left"/>
              <w:rPr>
                <w:rFonts w:ascii="宋体" w:hAnsi="宋体" w:cs="宋体" w:eastAsia="宋体" w:hint="default"/>
                <w:sz w:val="21"/>
                <w:szCs w:val="21"/>
              </w:rPr>
            </w:pPr>
            <w:r>
              <w:rPr>
                <w:rFonts w:ascii="宋体" w:hAnsi="宋体" w:cs="宋体" w:eastAsia="宋体" w:hint="default"/>
                <w:sz w:val="21"/>
                <w:szCs w:val="21"/>
              </w:rPr>
              <w:t>所有者权益合</w:t>
            </w:r>
            <w:r>
              <w:rPr>
                <w:rFonts w:ascii="宋体" w:hAnsi="宋体" w:cs="宋体" w:eastAsia="宋体" w:hint="default"/>
                <w:w w:val="100"/>
                <w:sz w:val="21"/>
                <w:szCs w:val="21"/>
              </w:rPr>
              <w:t> </w:t>
            </w:r>
            <w:r>
              <w:rPr>
                <w:rFonts w:ascii="宋体" w:hAnsi="宋体" w:cs="宋体" w:eastAsia="宋体" w:hint="default"/>
                <w:sz w:val="21"/>
                <w:szCs w:val="21"/>
              </w:rPr>
              <w:t>计</w:t>
            </w:r>
          </w:p>
        </w:tc>
      </w:tr>
      <w:tr>
        <w:trPr>
          <w:trHeight w:val="713" w:hRule="exact"/>
        </w:trPr>
        <w:tc>
          <w:tcPr>
            <w:tcW w:w="2268" w:type="dxa"/>
            <w:vMerge/>
            <w:tcBorders>
              <w:left w:val="single" w:sz="4" w:space="0" w:color="000000"/>
              <w:bottom w:val="single" w:sz="4" w:space="0" w:color="000000"/>
              <w:right w:val="single" w:sz="4" w:space="0" w:color="000000"/>
            </w:tcBorders>
            <w:shd w:val="clear" w:color="auto" w:fill="D2D2D2"/>
          </w:tcPr>
          <w:p>
            <w:pPr/>
          </w:p>
        </w:tc>
        <w:tc>
          <w:tcPr>
            <w:tcW w:w="1418" w:type="dxa"/>
            <w:vMerge/>
            <w:tcBorders>
              <w:left w:val="single" w:sz="4" w:space="0" w:color="000000"/>
              <w:bottom w:val="single" w:sz="4" w:space="0" w:color="000000"/>
              <w:right w:val="single" w:sz="4" w:space="0" w:color="000000"/>
            </w:tcBorders>
            <w:shd w:val="clear" w:color="auto" w:fill="D2D2D2"/>
          </w:tcPr>
          <w:p>
            <w:pP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170" w:right="65" w:hanging="104"/>
              <w:jc w:val="left"/>
              <w:rPr>
                <w:rFonts w:ascii="宋体" w:hAnsi="宋体" w:cs="宋体" w:eastAsia="宋体" w:hint="default"/>
                <w:sz w:val="21"/>
                <w:szCs w:val="21"/>
              </w:rPr>
            </w:pPr>
            <w:r>
              <w:rPr>
                <w:rFonts w:ascii="宋体" w:hAnsi="宋体" w:cs="宋体" w:eastAsia="宋体" w:hint="default"/>
                <w:sz w:val="21"/>
                <w:szCs w:val="21"/>
              </w:rPr>
              <w:t>优先</w:t>
            </w:r>
            <w:r>
              <w:rPr>
                <w:rFonts w:ascii="宋体" w:hAnsi="宋体" w:cs="宋体" w:eastAsia="宋体" w:hint="default"/>
                <w:spacing w:val="-103"/>
                <w:sz w:val="21"/>
                <w:szCs w:val="21"/>
              </w:rPr>
              <w:t> </w:t>
            </w:r>
            <w:r>
              <w:rPr>
                <w:rFonts w:ascii="宋体" w:hAnsi="宋体" w:cs="宋体" w:eastAsia="宋体" w:hint="default"/>
                <w:sz w:val="21"/>
                <w:szCs w:val="21"/>
              </w:rPr>
              <w:t>股</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172" w:right="62" w:hanging="104"/>
              <w:jc w:val="left"/>
              <w:rPr>
                <w:rFonts w:ascii="宋体" w:hAnsi="宋体" w:cs="宋体" w:eastAsia="宋体" w:hint="default"/>
                <w:sz w:val="21"/>
                <w:szCs w:val="21"/>
              </w:rPr>
            </w:pPr>
            <w:r>
              <w:rPr>
                <w:rFonts w:ascii="宋体" w:hAnsi="宋体" w:cs="宋体" w:eastAsia="宋体" w:hint="default"/>
                <w:sz w:val="21"/>
                <w:szCs w:val="21"/>
              </w:rPr>
              <w:t>永续</w:t>
            </w:r>
            <w:r>
              <w:rPr>
                <w:rFonts w:ascii="宋体" w:hAnsi="宋体" w:cs="宋体" w:eastAsia="宋体" w:hint="default"/>
                <w:spacing w:val="-103"/>
                <w:sz w:val="21"/>
                <w:szCs w:val="21"/>
              </w:rPr>
              <w:t> </w:t>
            </w:r>
            <w:r>
              <w:rPr>
                <w:rFonts w:ascii="宋体" w:hAnsi="宋体" w:cs="宋体" w:eastAsia="宋体" w:hint="default"/>
                <w:sz w:val="21"/>
                <w:szCs w:val="21"/>
              </w:rPr>
              <w:t>债</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69"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99" w:type="dxa"/>
            <w:vMerge/>
            <w:tcBorders>
              <w:left w:val="single" w:sz="4" w:space="0" w:color="000000"/>
              <w:bottom w:val="single" w:sz="4" w:space="0" w:color="000000"/>
              <w:right w:val="single" w:sz="4" w:space="0" w:color="000000"/>
            </w:tcBorders>
            <w:shd w:val="clear" w:color="auto" w:fill="D2D2D2"/>
          </w:tcPr>
          <w:p>
            <w:pPr/>
          </w:p>
        </w:tc>
        <w:tc>
          <w:tcPr>
            <w:tcW w:w="1136"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c>
          <w:tcPr>
            <w:tcW w:w="1275" w:type="dxa"/>
            <w:vMerge/>
            <w:tcBorders>
              <w:left w:val="single" w:sz="4" w:space="0" w:color="000000"/>
              <w:bottom w:val="single" w:sz="4" w:space="0" w:color="000000"/>
              <w:right w:val="single" w:sz="4" w:space="0" w:color="000000"/>
            </w:tcBorders>
            <w:shd w:val="clear" w:color="auto" w:fill="D2D2D2"/>
          </w:tcPr>
          <w:p>
            <w:pPr/>
          </w:p>
        </w:tc>
        <w:tc>
          <w:tcPr>
            <w:tcW w:w="1418" w:type="dxa"/>
            <w:vMerge/>
            <w:tcBorders>
              <w:left w:val="single" w:sz="4" w:space="0" w:color="000000"/>
              <w:bottom w:val="single" w:sz="4" w:space="0" w:color="000000"/>
              <w:right w:val="single" w:sz="4" w:space="0" w:color="000000"/>
            </w:tcBorders>
            <w:shd w:val="clear" w:color="auto" w:fill="D2D2D2"/>
          </w:tcPr>
          <w:p>
            <w:pPr/>
          </w:p>
        </w:tc>
        <w:tc>
          <w:tcPr>
            <w:tcW w:w="1419"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6840" w:h="11910" w:orient="landscape"/>
          <w:pgMar w:header="867" w:footer="979" w:top="1060" w:bottom="1160" w:left="1320" w:right="1100"/>
        </w:sectPr>
      </w:pPr>
    </w:p>
    <w:p>
      <w:pPr>
        <w:spacing w:line="240" w:lineRule="auto" w:before="2"/>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2268"/>
        <w:gridCol w:w="1418"/>
        <w:gridCol w:w="567"/>
        <w:gridCol w:w="566"/>
        <w:gridCol w:w="569"/>
        <w:gridCol w:w="1699"/>
        <w:gridCol w:w="1136"/>
        <w:gridCol w:w="850"/>
        <w:gridCol w:w="994"/>
        <w:gridCol w:w="1275"/>
        <w:gridCol w:w="1418"/>
        <w:gridCol w:w="1416"/>
      </w:tblGrid>
      <w:tr>
        <w:trPr>
          <w:trHeight w:val="418" w:hRule="exact"/>
        </w:trPr>
        <w:tc>
          <w:tcPr>
            <w:tcW w:w="2268"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left="23" w:right="0"/>
              <w:jc w:val="left"/>
              <w:rPr>
                <w:rFonts w:ascii="宋体" w:hAnsi="宋体" w:cs="宋体" w:eastAsia="宋体" w:hint="default"/>
                <w:sz w:val="21"/>
                <w:szCs w:val="21"/>
              </w:rPr>
            </w:pPr>
            <w:r>
              <w:rPr>
                <w:rFonts w:ascii="宋体" w:hAnsi="宋体" w:cs="宋体" w:eastAsia="宋体" w:hint="default"/>
                <w:sz w:val="21"/>
                <w:szCs w:val="21"/>
              </w:rPr>
              <w:t>一、上年期末余额</w:t>
            </w:r>
          </w:p>
        </w:tc>
        <w:tc>
          <w:tcPr>
            <w:tcW w:w="141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78"/>
              <w:ind w:right="17"/>
              <w:jc w:val="right"/>
              <w:rPr>
                <w:rFonts w:ascii="Times New Roman" w:hAnsi="Times New Roman" w:cs="Times New Roman" w:eastAsia="Times New Roman" w:hint="default"/>
                <w:sz w:val="21"/>
                <w:szCs w:val="21"/>
              </w:rPr>
            </w:pPr>
            <w:r>
              <w:rPr>
                <w:rFonts w:ascii="Times New Roman"/>
                <w:spacing w:val="-1"/>
                <w:sz w:val="21"/>
              </w:rPr>
              <w:t>200,000,000.00</w:t>
            </w:r>
          </w:p>
        </w:tc>
        <w:tc>
          <w:tcPr>
            <w:tcW w:w="567" w:type="dxa"/>
            <w:tcBorders>
              <w:top w:val="single" w:sz="15" w:space="0" w:color="000000"/>
              <w:left w:val="single" w:sz="4" w:space="0" w:color="000000"/>
              <w:bottom w:val="single" w:sz="4" w:space="0" w:color="000000"/>
              <w:right w:val="single" w:sz="4" w:space="0" w:color="000000"/>
            </w:tcBorders>
          </w:tcPr>
          <w:p>
            <w:pPr/>
          </w:p>
        </w:tc>
        <w:tc>
          <w:tcPr>
            <w:tcW w:w="566" w:type="dxa"/>
            <w:tcBorders>
              <w:top w:val="single" w:sz="15" w:space="0" w:color="000000"/>
              <w:left w:val="single" w:sz="4" w:space="0" w:color="000000"/>
              <w:bottom w:val="single" w:sz="4" w:space="0" w:color="000000"/>
              <w:right w:val="single" w:sz="4" w:space="0" w:color="000000"/>
            </w:tcBorders>
          </w:tcPr>
          <w:p>
            <w:pPr/>
          </w:p>
        </w:tc>
        <w:tc>
          <w:tcPr>
            <w:tcW w:w="569" w:type="dxa"/>
            <w:tcBorders>
              <w:top w:val="single" w:sz="15" w:space="0" w:color="000000"/>
              <w:left w:val="single" w:sz="4" w:space="0" w:color="000000"/>
              <w:bottom w:val="single" w:sz="4" w:space="0" w:color="000000"/>
              <w:right w:val="single" w:sz="4" w:space="0" w:color="000000"/>
            </w:tcBorders>
          </w:tcPr>
          <w:p>
            <w:pPr/>
          </w:p>
        </w:tc>
        <w:tc>
          <w:tcPr>
            <w:tcW w:w="169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78"/>
              <w:ind w:right="19"/>
              <w:jc w:val="right"/>
              <w:rPr>
                <w:rFonts w:ascii="Times New Roman" w:hAnsi="Times New Roman" w:cs="Times New Roman" w:eastAsia="Times New Roman" w:hint="default"/>
                <w:sz w:val="21"/>
                <w:szCs w:val="21"/>
              </w:rPr>
            </w:pPr>
            <w:r>
              <w:rPr>
                <w:rFonts w:ascii="Times New Roman"/>
                <w:spacing w:val="-1"/>
                <w:sz w:val="21"/>
              </w:rPr>
              <w:t>427,808,758.31</w:t>
            </w:r>
          </w:p>
        </w:tc>
        <w:tc>
          <w:tcPr>
            <w:tcW w:w="1136" w:type="dxa"/>
            <w:tcBorders>
              <w:top w:val="single" w:sz="15" w:space="0" w:color="000000"/>
              <w:left w:val="single" w:sz="4" w:space="0" w:color="000000"/>
              <w:bottom w:val="single" w:sz="4" w:space="0" w:color="000000"/>
              <w:right w:val="single" w:sz="4" w:space="0" w:color="000000"/>
            </w:tcBorders>
          </w:tcPr>
          <w:p>
            <w:pPr/>
          </w:p>
        </w:tc>
        <w:tc>
          <w:tcPr>
            <w:tcW w:w="850" w:type="dxa"/>
            <w:tcBorders>
              <w:top w:val="single" w:sz="15" w:space="0" w:color="000000"/>
              <w:left w:val="single" w:sz="4" w:space="0" w:color="000000"/>
              <w:bottom w:val="single" w:sz="4" w:space="0" w:color="000000"/>
              <w:right w:val="single" w:sz="4" w:space="0" w:color="000000"/>
            </w:tcBorders>
          </w:tcPr>
          <w:p>
            <w:pPr/>
          </w:p>
        </w:tc>
        <w:tc>
          <w:tcPr>
            <w:tcW w:w="994" w:type="dxa"/>
            <w:tcBorders>
              <w:top w:val="single" w:sz="15" w:space="0" w:color="000000"/>
              <w:left w:val="single" w:sz="4" w:space="0" w:color="000000"/>
              <w:bottom w:val="single" w:sz="4" w:space="0" w:color="000000"/>
              <w:right w:val="single" w:sz="4" w:space="0" w:color="000000"/>
            </w:tcBorders>
          </w:tcPr>
          <w:p>
            <w:pPr/>
          </w:p>
        </w:tc>
        <w:tc>
          <w:tcPr>
            <w:tcW w:w="127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78"/>
              <w:ind w:right="20"/>
              <w:jc w:val="right"/>
              <w:rPr>
                <w:rFonts w:ascii="Times New Roman" w:hAnsi="Times New Roman" w:cs="Times New Roman" w:eastAsia="Times New Roman" w:hint="default"/>
                <w:sz w:val="21"/>
                <w:szCs w:val="21"/>
              </w:rPr>
            </w:pPr>
            <w:r>
              <w:rPr>
                <w:rFonts w:ascii="Times New Roman"/>
                <w:spacing w:val="-1"/>
                <w:sz w:val="21"/>
              </w:rPr>
              <w:t>32,210,413.29</w:t>
            </w:r>
          </w:p>
        </w:tc>
        <w:tc>
          <w:tcPr>
            <w:tcW w:w="141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78"/>
              <w:ind w:right="17"/>
              <w:jc w:val="right"/>
              <w:rPr>
                <w:rFonts w:ascii="Times New Roman" w:hAnsi="Times New Roman" w:cs="Times New Roman" w:eastAsia="Times New Roman" w:hint="default"/>
                <w:sz w:val="21"/>
                <w:szCs w:val="21"/>
              </w:rPr>
            </w:pPr>
            <w:r>
              <w:rPr>
                <w:rFonts w:ascii="Times New Roman"/>
                <w:spacing w:val="-1"/>
                <w:sz w:val="21"/>
              </w:rPr>
              <w:t>124,893,719.62</w:t>
            </w:r>
          </w:p>
        </w:tc>
        <w:tc>
          <w:tcPr>
            <w:tcW w:w="141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78"/>
              <w:ind w:right="19"/>
              <w:jc w:val="right"/>
              <w:rPr>
                <w:rFonts w:ascii="Times New Roman" w:hAnsi="Times New Roman" w:cs="Times New Roman" w:eastAsia="Times New Roman" w:hint="default"/>
                <w:sz w:val="21"/>
                <w:szCs w:val="21"/>
              </w:rPr>
            </w:pPr>
            <w:r>
              <w:rPr>
                <w:rFonts w:ascii="Times New Roman"/>
                <w:spacing w:val="-1"/>
                <w:sz w:val="21"/>
              </w:rPr>
              <w:t>784,912,891.22</w:t>
            </w: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29"/>
              <w:jc w:val="right"/>
              <w:rPr>
                <w:rFonts w:ascii="宋体" w:hAnsi="宋体" w:cs="宋体" w:eastAsia="宋体" w:hint="default"/>
                <w:sz w:val="21"/>
                <w:szCs w:val="21"/>
              </w:rPr>
            </w:pPr>
            <w:r>
              <w:rPr>
                <w:rFonts w:ascii="宋体" w:hAnsi="宋体" w:cs="宋体" w:eastAsia="宋体" w:hint="default"/>
                <w:spacing w:val="-2"/>
                <w:sz w:val="21"/>
                <w:szCs w:val="21"/>
              </w:rPr>
              <w:t>加：会计政策变更</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129"/>
              <w:jc w:val="right"/>
              <w:rPr>
                <w:rFonts w:ascii="宋体" w:hAnsi="宋体" w:cs="宋体" w:eastAsia="宋体" w:hint="default"/>
                <w:sz w:val="21"/>
                <w:szCs w:val="21"/>
              </w:rPr>
            </w:pPr>
            <w:r>
              <w:rPr>
                <w:rFonts w:ascii="宋体" w:hAnsi="宋体" w:cs="宋体" w:eastAsia="宋体" w:hint="default"/>
                <w:spacing w:val="-2"/>
                <w:sz w:val="21"/>
                <w:szCs w:val="21"/>
              </w:rPr>
              <w:t>前期差错更正</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05"/>
              <w:jc w:val="center"/>
              <w:rPr>
                <w:rFonts w:ascii="宋体" w:hAnsi="宋体" w:cs="宋体" w:eastAsia="宋体" w:hint="default"/>
                <w:sz w:val="21"/>
                <w:szCs w:val="21"/>
              </w:rPr>
            </w:pPr>
            <w:r>
              <w:rPr>
                <w:rFonts w:ascii="宋体" w:hAnsi="宋体" w:cs="宋体" w:eastAsia="宋体" w:hint="default"/>
                <w:spacing w:val="-3"/>
                <w:sz w:val="21"/>
                <w:szCs w:val="21"/>
              </w:rPr>
              <w:t>其他</w:t>
            </w:r>
            <w:r>
              <w:rPr>
                <w:rFonts w:ascii="宋体" w:hAnsi="宋体" w:cs="宋体" w:eastAsia="宋体" w:hint="default"/>
                <w:sz w:val="21"/>
                <w:szCs w:val="21"/>
              </w:rPr>
            </w:r>
          </w:p>
        </w:tc>
        <w:tc>
          <w:tcPr>
            <w:tcW w:w="141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3" w:right="0"/>
              <w:jc w:val="left"/>
              <w:rPr>
                <w:rFonts w:ascii="宋体" w:hAnsi="宋体" w:cs="宋体" w:eastAsia="宋体" w:hint="default"/>
                <w:sz w:val="21"/>
                <w:szCs w:val="21"/>
              </w:rPr>
            </w:pPr>
            <w:r>
              <w:rPr>
                <w:rFonts w:ascii="宋体" w:hAnsi="宋体" w:cs="宋体" w:eastAsia="宋体" w:hint="default"/>
                <w:sz w:val="21"/>
                <w:szCs w:val="21"/>
              </w:rPr>
              <w:t>二、本年期初余额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200,000,000.00</w:t>
            </w: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427,808,758.31</w:t>
            </w:r>
          </w:p>
        </w:tc>
        <w:tc>
          <w:tcPr>
            <w:tcW w:w="113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0"/>
              <w:jc w:val="right"/>
              <w:rPr>
                <w:rFonts w:ascii="Times New Roman" w:hAnsi="Times New Roman" w:cs="Times New Roman" w:eastAsia="Times New Roman" w:hint="default"/>
                <w:sz w:val="21"/>
                <w:szCs w:val="21"/>
              </w:rPr>
            </w:pPr>
            <w:r>
              <w:rPr>
                <w:rFonts w:ascii="Times New Roman"/>
                <w:spacing w:val="-1"/>
                <w:sz w:val="21"/>
              </w:rPr>
              <w:t>32,210,413.29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124,893,719.62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784,912,891.22</w:t>
            </w:r>
          </w:p>
        </w:tc>
      </w:tr>
      <w:tr>
        <w:trPr>
          <w:trHeight w:val="71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三、本期增减变动金额</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z w:val="21"/>
                <w:szCs w:val="21"/>
              </w:rPr>
              <w:t>（减少以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609,025.54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-74,518,770.16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-73,909,744.62</w:t>
            </w: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3" w:right="0"/>
              <w:jc w:val="left"/>
              <w:rPr>
                <w:rFonts w:ascii="宋体" w:hAnsi="宋体" w:cs="宋体" w:eastAsia="宋体" w:hint="default"/>
                <w:sz w:val="21"/>
                <w:szCs w:val="21"/>
              </w:rPr>
            </w:pPr>
            <w:r>
              <w:rPr>
                <w:rFonts w:ascii="宋体" w:hAnsi="宋体" w:cs="宋体" w:eastAsia="宋体" w:hint="default"/>
                <w:sz w:val="21"/>
                <w:szCs w:val="21"/>
              </w:rPr>
              <w:t>（一）综合收益总额</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6,090,255.38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6,090,255.38</w:t>
            </w:r>
          </w:p>
        </w:tc>
      </w:tr>
      <w:tr>
        <w:trPr>
          <w:trHeight w:val="71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3" w:right="17"/>
              <w:jc w:val="left"/>
              <w:rPr>
                <w:rFonts w:ascii="宋体" w:hAnsi="宋体" w:cs="宋体" w:eastAsia="宋体" w:hint="default"/>
                <w:sz w:val="21"/>
                <w:szCs w:val="21"/>
              </w:rPr>
            </w:pPr>
            <w:r>
              <w:rPr>
                <w:rFonts w:ascii="宋体" w:hAnsi="宋体" w:cs="宋体" w:eastAsia="宋体" w:hint="default"/>
                <w:spacing w:val="-10"/>
                <w:w w:val="100"/>
                <w:sz w:val="21"/>
                <w:szCs w:val="21"/>
              </w:rPr>
              <w:t>（二）所有者投入和减少</w:t>
            </w:r>
            <w:r>
              <w:rPr>
                <w:rFonts w:ascii="宋体" w:hAnsi="宋体" w:cs="宋体" w:eastAsia="宋体" w:hint="default"/>
                <w:w w:val="100"/>
                <w:sz w:val="21"/>
                <w:szCs w:val="21"/>
              </w:rPr>
              <w:t> </w:t>
            </w:r>
            <w:r>
              <w:rPr>
                <w:rFonts w:ascii="宋体" w:hAnsi="宋体" w:cs="宋体" w:eastAsia="宋体" w:hint="default"/>
                <w:sz w:val="21"/>
                <w:szCs w:val="21"/>
              </w:rPr>
              <w:t>资本</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．股东投入的普通股</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23" w:right="24"/>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．其他权益工具持有者</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投入资本</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30"/>
              <w:ind w:left="23" w:right="24"/>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．股份支付计入所有者</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权益的金额</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3" w:right="0"/>
              <w:jc w:val="left"/>
              <w:rPr>
                <w:rFonts w:ascii="宋体" w:hAnsi="宋体" w:cs="宋体" w:eastAsia="宋体" w:hint="default"/>
                <w:sz w:val="21"/>
                <w:szCs w:val="21"/>
              </w:rPr>
            </w:pPr>
            <w:r>
              <w:rPr>
                <w:rFonts w:ascii="宋体" w:hAnsi="宋体" w:cs="宋体" w:eastAsia="宋体" w:hint="default"/>
                <w:sz w:val="21"/>
                <w:szCs w:val="21"/>
              </w:rPr>
              <w:t>（三）利润分配</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0"/>
              <w:jc w:val="right"/>
              <w:rPr>
                <w:rFonts w:ascii="Times New Roman" w:hAnsi="Times New Roman" w:cs="Times New Roman" w:eastAsia="Times New Roman" w:hint="default"/>
                <w:sz w:val="21"/>
                <w:szCs w:val="21"/>
              </w:rPr>
            </w:pPr>
            <w:r>
              <w:rPr>
                <w:rFonts w:ascii="Times New Roman"/>
                <w:spacing w:val="-1"/>
                <w:sz w:val="21"/>
              </w:rPr>
              <w:t>609,025.54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-80,609,025.54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-80,000,000.00</w:t>
            </w: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．提取盈余公积</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609,025.54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-609,025.54</w:t>
            </w: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30"/>
              <w:ind w:left="23" w:right="24"/>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．对所有者（或股东）</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的分配</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-80,000,000.00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-80,000,000.00</w:t>
            </w: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23" w:right="17"/>
              <w:jc w:val="left"/>
              <w:rPr>
                <w:rFonts w:ascii="宋体" w:hAnsi="宋体" w:cs="宋体" w:eastAsia="宋体" w:hint="default"/>
                <w:sz w:val="21"/>
                <w:szCs w:val="21"/>
              </w:rPr>
            </w:pPr>
            <w:r>
              <w:rPr>
                <w:rFonts w:ascii="宋体" w:hAnsi="宋体" w:cs="宋体" w:eastAsia="宋体" w:hint="default"/>
                <w:spacing w:val="-10"/>
                <w:w w:val="100"/>
                <w:sz w:val="21"/>
                <w:szCs w:val="21"/>
              </w:rPr>
              <w:t>（四）所有者权益内部结</w:t>
            </w:r>
            <w:r>
              <w:rPr>
                <w:rFonts w:ascii="宋体" w:hAnsi="宋体" w:cs="宋体" w:eastAsia="宋体" w:hint="default"/>
                <w:w w:val="100"/>
                <w:sz w:val="21"/>
                <w:szCs w:val="21"/>
              </w:rPr>
              <w:t> </w:t>
            </w:r>
            <w:r>
              <w:rPr>
                <w:rFonts w:ascii="宋体" w:hAnsi="宋体" w:cs="宋体" w:eastAsia="宋体" w:hint="default"/>
                <w:sz w:val="21"/>
                <w:szCs w:val="21"/>
              </w:rPr>
              <w:t>转</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23" w:right="17"/>
              <w:jc w:val="left"/>
              <w:rPr>
                <w:rFonts w:ascii="宋体" w:hAnsi="宋体" w:cs="宋体" w:eastAsia="宋体" w:hint="default"/>
                <w:sz w:val="21"/>
                <w:szCs w:val="21"/>
              </w:rPr>
            </w:pPr>
            <w:r>
              <w:rPr>
                <w:rFonts w:ascii="Times New Roman" w:hAnsi="Times New Roman" w:cs="Times New Roman" w:eastAsia="Times New Roman" w:hint="default"/>
                <w:spacing w:val="-18"/>
                <w:w w:val="100"/>
                <w:sz w:val="21"/>
                <w:szCs w:val="21"/>
              </w:rPr>
              <w:t>1</w:t>
            </w:r>
            <w:r>
              <w:rPr>
                <w:rFonts w:ascii="宋体" w:hAnsi="宋体" w:cs="宋体" w:eastAsia="宋体" w:hint="default"/>
                <w:spacing w:val="-18"/>
                <w:w w:val="100"/>
                <w:sz w:val="21"/>
                <w:szCs w:val="21"/>
              </w:rPr>
              <w:t>．资本公积转增资本（或</w:t>
            </w:r>
            <w:r>
              <w:rPr>
                <w:rFonts w:ascii="宋体" w:hAnsi="宋体" w:cs="宋体" w:eastAsia="宋体" w:hint="default"/>
                <w:w w:val="100"/>
                <w:sz w:val="21"/>
                <w:szCs w:val="21"/>
              </w:rPr>
              <w:t> </w:t>
            </w:r>
            <w:r>
              <w:rPr>
                <w:rFonts w:ascii="宋体" w:hAnsi="宋体" w:cs="宋体" w:eastAsia="宋体" w:hint="default"/>
                <w:sz w:val="21"/>
                <w:szCs w:val="21"/>
              </w:rPr>
              <w:t>股本）</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79" w:top="1060" w:bottom="1160" w:left="1320" w:right="1100"/>
        </w:sectPr>
      </w:pPr>
    </w:p>
    <w:p>
      <w:pPr>
        <w:spacing w:line="240" w:lineRule="auto" w:before="2"/>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2268"/>
        <w:gridCol w:w="1418"/>
        <w:gridCol w:w="567"/>
        <w:gridCol w:w="566"/>
        <w:gridCol w:w="569"/>
        <w:gridCol w:w="1699"/>
        <w:gridCol w:w="1136"/>
        <w:gridCol w:w="850"/>
        <w:gridCol w:w="994"/>
        <w:gridCol w:w="1275"/>
        <w:gridCol w:w="1418"/>
        <w:gridCol w:w="1416"/>
      </w:tblGrid>
      <w:tr>
        <w:trPr>
          <w:trHeight w:val="730" w:hRule="exact"/>
        </w:trPr>
        <w:tc>
          <w:tcPr>
            <w:tcW w:w="2268"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31"/>
              <w:ind w:left="23" w:right="17"/>
              <w:jc w:val="left"/>
              <w:rPr>
                <w:rFonts w:ascii="宋体" w:hAnsi="宋体" w:cs="宋体" w:eastAsia="宋体" w:hint="default"/>
                <w:sz w:val="21"/>
                <w:szCs w:val="21"/>
              </w:rPr>
            </w:pPr>
            <w:r>
              <w:rPr>
                <w:rFonts w:ascii="Times New Roman" w:hAnsi="Times New Roman" w:cs="Times New Roman" w:eastAsia="Times New Roman" w:hint="default"/>
                <w:spacing w:val="-18"/>
                <w:w w:val="100"/>
                <w:sz w:val="21"/>
                <w:szCs w:val="21"/>
              </w:rPr>
              <w:t>2</w:t>
            </w:r>
            <w:r>
              <w:rPr>
                <w:rFonts w:ascii="宋体" w:hAnsi="宋体" w:cs="宋体" w:eastAsia="宋体" w:hint="default"/>
                <w:spacing w:val="-18"/>
                <w:w w:val="100"/>
                <w:sz w:val="21"/>
                <w:szCs w:val="21"/>
              </w:rPr>
              <w:t>．盈余公积转增资本（或</w:t>
            </w:r>
            <w:r>
              <w:rPr>
                <w:rFonts w:ascii="宋体" w:hAnsi="宋体" w:cs="宋体" w:eastAsia="宋体" w:hint="default"/>
                <w:w w:val="100"/>
                <w:sz w:val="21"/>
                <w:szCs w:val="21"/>
              </w:rPr>
              <w:t> </w:t>
            </w:r>
            <w:r>
              <w:rPr>
                <w:rFonts w:ascii="宋体" w:hAnsi="宋体" w:cs="宋体" w:eastAsia="宋体" w:hint="default"/>
                <w:sz w:val="21"/>
                <w:szCs w:val="21"/>
              </w:rPr>
              <w:t>股本）</w:t>
            </w:r>
          </w:p>
        </w:tc>
        <w:tc>
          <w:tcPr>
            <w:tcW w:w="1418" w:type="dxa"/>
            <w:tcBorders>
              <w:top w:val="single" w:sz="15" w:space="0" w:color="000000"/>
              <w:left w:val="single" w:sz="4" w:space="0" w:color="000000"/>
              <w:bottom w:val="single" w:sz="4" w:space="0" w:color="000000"/>
              <w:right w:val="single" w:sz="4" w:space="0" w:color="000000"/>
            </w:tcBorders>
          </w:tcPr>
          <w:p>
            <w:pPr/>
          </w:p>
        </w:tc>
        <w:tc>
          <w:tcPr>
            <w:tcW w:w="567" w:type="dxa"/>
            <w:tcBorders>
              <w:top w:val="single" w:sz="15" w:space="0" w:color="000000"/>
              <w:left w:val="single" w:sz="4" w:space="0" w:color="000000"/>
              <w:bottom w:val="single" w:sz="4" w:space="0" w:color="000000"/>
              <w:right w:val="single" w:sz="4" w:space="0" w:color="000000"/>
            </w:tcBorders>
          </w:tcPr>
          <w:p>
            <w:pPr/>
          </w:p>
        </w:tc>
        <w:tc>
          <w:tcPr>
            <w:tcW w:w="566" w:type="dxa"/>
            <w:tcBorders>
              <w:top w:val="single" w:sz="15" w:space="0" w:color="000000"/>
              <w:left w:val="single" w:sz="4" w:space="0" w:color="000000"/>
              <w:bottom w:val="single" w:sz="4" w:space="0" w:color="000000"/>
              <w:right w:val="single" w:sz="4" w:space="0" w:color="000000"/>
            </w:tcBorders>
          </w:tcPr>
          <w:p>
            <w:pPr/>
          </w:p>
        </w:tc>
        <w:tc>
          <w:tcPr>
            <w:tcW w:w="569" w:type="dxa"/>
            <w:tcBorders>
              <w:top w:val="single" w:sz="15" w:space="0" w:color="000000"/>
              <w:left w:val="single" w:sz="4" w:space="0" w:color="000000"/>
              <w:bottom w:val="single" w:sz="4" w:space="0" w:color="000000"/>
              <w:right w:val="single" w:sz="4" w:space="0" w:color="000000"/>
            </w:tcBorders>
          </w:tcPr>
          <w:p>
            <w:pPr/>
          </w:p>
        </w:tc>
        <w:tc>
          <w:tcPr>
            <w:tcW w:w="1699" w:type="dxa"/>
            <w:tcBorders>
              <w:top w:val="single" w:sz="15" w:space="0" w:color="000000"/>
              <w:left w:val="single" w:sz="4" w:space="0" w:color="000000"/>
              <w:bottom w:val="single" w:sz="4" w:space="0" w:color="000000"/>
              <w:right w:val="single" w:sz="4" w:space="0" w:color="000000"/>
            </w:tcBorders>
          </w:tcPr>
          <w:p>
            <w:pPr/>
          </w:p>
        </w:tc>
        <w:tc>
          <w:tcPr>
            <w:tcW w:w="1136" w:type="dxa"/>
            <w:tcBorders>
              <w:top w:val="single" w:sz="15" w:space="0" w:color="000000"/>
              <w:left w:val="single" w:sz="4" w:space="0" w:color="000000"/>
              <w:bottom w:val="single" w:sz="4" w:space="0" w:color="000000"/>
              <w:right w:val="single" w:sz="4" w:space="0" w:color="000000"/>
            </w:tcBorders>
          </w:tcPr>
          <w:p>
            <w:pPr/>
          </w:p>
        </w:tc>
        <w:tc>
          <w:tcPr>
            <w:tcW w:w="850" w:type="dxa"/>
            <w:tcBorders>
              <w:top w:val="single" w:sz="15" w:space="0" w:color="000000"/>
              <w:left w:val="single" w:sz="4" w:space="0" w:color="000000"/>
              <w:bottom w:val="single" w:sz="4" w:space="0" w:color="000000"/>
              <w:right w:val="single" w:sz="4" w:space="0" w:color="000000"/>
            </w:tcBorders>
          </w:tcPr>
          <w:p>
            <w:pPr/>
          </w:p>
        </w:tc>
        <w:tc>
          <w:tcPr>
            <w:tcW w:w="994" w:type="dxa"/>
            <w:tcBorders>
              <w:top w:val="single" w:sz="15" w:space="0" w:color="000000"/>
              <w:left w:val="single" w:sz="4" w:space="0" w:color="000000"/>
              <w:bottom w:val="single" w:sz="4" w:space="0" w:color="000000"/>
              <w:right w:val="single" w:sz="4" w:space="0" w:color="000000"/>
            </w:tcBorders>
          </w:tcPr>
          <w:p>
            <w:pPr/>
          </w:p>
        </w:tc>
        <w:tc>
          <w:tcPr>
            <w:tcW w:w="1275" w:type="dxa"/>
            <w:tcBorders>
              <w:top w:val="single" w:sz="15" w:space="0" w:color="000000"/>
              <w:left w:val="single" w:sz="4" w:space="0" w:color="000000"/>
              <w:bottom w:val="single" w:sz="4" w:space="0" w:color="000000"/>
              <w:right w:val="single" w:sz="4" w:space="0" w:color="000000"/>
            </w:tcBorders>
          </w:tcPr>
          <w:p>
            <w:pPr/>
          </w:p>
        </w:tc>
        <w:tc>
          <w:tcPr>
            <w:tcW w:w="1418" w:type="dxa"/>
            <w:tcBorders>
              <w:top w:val="single" w:sz="15" w:space="0" w:color="000000"/>
              <w:left w:val="single" w:sz="4" w:space="0" w:color="000000"/>
              <w:bottom w:val="single" w:sz="4" w:space="0" w:color="000000"/>
              <w:right w:val="single" w:sz="4" w:space="0" w:color="000000"/>
            </w:tcBorders>
          </w:tcPr>
          <w:p>
            <w:pPr/>
          </w:p>
        </w:tc>
        <w:tc>
          <w:tcPr>
            <w:tcW w:w="1416" w:type="dxa"/>
            <w:tcBorders>
              <w:top w:val="single" w:sz="15" w:space="0" w:color="000000"/>
              <w:left w:val="single" w:sz="4" w:space="0" w:color="000000"/>
              <w:bottom w:val="single" w:sz="4" w:space="0" w:color="000000"/>
              <w:right w:val="single" w:sz="4" w:space="0" w:color="000000"/>
            </w:tcBorders>
          </w:tcPr>
          <w:p>
            <w:pP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．盈余公积弥补亏损</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（五）专项储备</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．本期提取</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．本期使用</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3" w:right="0"/>
              <w:jc w:val="left"/>
              <w:rPr>
                <w:rFonts w:ascii="宋体" w:hAnsi="宋体" w:cs="宋体" w:eastAsia="宋体" w:hint="default"/>
                <w:sz w:val="21"/>
                <w:szCs w:val="21"/>
              </w:rPr>
            </w:pPr>
            <w:r>
              <w:rPr>
                <w:rFonts w:ascii="宋体" w:hAnsi="宋体" w:cs="宋体" w:eastAsia="宋体" w:hint="default"/>
                <w:sz w:val="21"/>
                <w:szCs w:val="21"/>
              </w:rPr>
              <w:t>（六）其他</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四、本期期末余额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74" w:right="0"/>
              <w:jc w:val="left"/>
              <w:rPr>
                <w:rFonts w:ascii="Times New Roman" w:hAnsi="Times New Roman" w:cs="Times New Roman" w:eastAsia="Times New Roman" w:hint="default"/>
                <w:sz w:val="21"/>
                <w:szCs w:val="21"/>
              </w:rPr>
            </w:pPr>
            <w:r>
              <w:rPr>
                <w:rFonts w:ascii="Times New Roman"/>
                <w:sz w:val="21"/>
              </w:rPr>
              <w:t>200,000,000.00</w:t>
            </w: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52" w:right="0"/>
              <w:jc w:val="left"/>
              <w:rPr>
                <w:rFonts w:ascii="Times New Roman" w:hAnsi="Times New Roman" w:cs="Times New Roman" w:eastAsia="Times New Roman" w:hint="default"/>
                <w:sz w:val="21"/>
                <w:szCs w:val="21"/>
              </w:rPr>
            </w:pPr>
            <w:r>
              <w:rPr>
                <w:rFonts w:ascii="Times New Roman"/>
                <w:sz w:val="21"/>
              </w:rPr>
              <w:t>427,808,758.31</w:t>
            </w:r>
          </w:p>
        </w:tc>
        <w:tc>
          <w:tcPr>
            <w:tcW w:w="113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3" w:right="0"/>
              <w:jc w:val="left"/>
              <w:rPr>
                <w:rFonts w:ascii="Times New Roman" w:hAnsi="Times New Roman" w:cs="Times New Roman" w:eastAsia="Times New Roman" w:hint="default"/>
                <w:sz w:val="21"/>
                <w:szCs w:val="21"/>
              </w:rPr>
            </w:pPr>
            <w:r>
              <w:rPr>
                <w:rFonts w:ascii="Times New Roman"/>
                <w:sz w:val="21"/>
              </w:rPr>
              <w:t>32,819,438.83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80" w:right="0"/>
              <w:jc w:val="left"/>
              <w:rPr>
                <w:rFonts w:ascii="Times New Roman" w:hAnsi="Times New Roman" w:cs="Times New Roman" w:eastAsia="Times New Roman" w:hint="default"/>
                <w:sz w:val="21"/>
                <w:szCs w:val="21"/>
              </w:rPr>
            </w:pPr>
            <w:r>
              <w:rPr>
                <w:rFonts w:ascii="Times New Roman"/>
                <w:sz w:val="21"/>
              </w:rPr>
              <w:t>50,374,949.46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76" w:right="0"/>
              <w:jc w:val="left"/>
              <w:rPr>
                <w:rFonts w:ascii="Times New Roman" w:hAnsi="Times New Roman" w:cs="Times New Roman" w:eastAsia="Times New Roman" w:hint="default"/>
                <w:sz w:val="21"/>
                <w:szCs w:val="21"/>
              </w:rPr>
            </w:pPr>
            <w:r>
              <w:rPr>
                <w:rFonts w:ascii="Times New Roman"/>
                <w:sz w:val="21"/>
              </w:rPr>
              <w:t>711,003,146.60</w:t>
            </w:r>
          </w:p>
        </w:tc>
      </w:tr>
    </w:tbl>
    <w:p>
      <w:pPr>
        <w:pStyle w:val="BodyText"/>
        <w:spacing w:line="240" w:lineRule="auto" w:before="28"/>
        <w:ind w:left="120" w:right="0"/>
        <w:jc w:val="left"/>
      </w:pPr>
      <w:r>
        <w:rPr/>
        <w:t>上期金额</w:t>
      </w:r>
    </w:p>
    <w:p>
      <w:pPr>
        <w:pStyle w:val="BodyText"/>
        <w:spacing w:line="240" w:lineRule="auto" w:before="75"/>
        <w:ind w:left="0" w:right="333"/>
        <w:jc w:val="right"/>
      </w:pPr>
      <w:r>
        <w:rPr>
          <w:spacing w:val="-1"/>
        </w:rPr>
        <w:t>单位：元</w:t>
      </w:r>
    </w:p>
    <w:p>
      <w:pPr>
        <w:spacing w:line="240" w:lineRule="auto" w:before="12"/>
        <w:rPr>
          <w:rFonts w:ascii="宋体" w:hAnsi="宋体" w:cs="宋体" w:eastAsia="宋体" w:hint="default"/>
          <w:sz w:val="6"/>
          <w:szCs w:val="6"/>
        </w:rPr>
      </w:pPr>
    </w:p>
    <w:tbl>
      <w:tblPr>
        <w:tblW w:w="0" w:type="auto"/>
        <w:jc w:val="left"/>
        <w:tblInd w:w="127" w:type="dxa"/>
        <w:tblLayout w:type="fixed"/>
        <w:tblCellMar>
          <w:top w:w="0" w:type="dxa"/>
          <w:left w:w="0" w:type="dxa"/>
          <w:bottom w:w="0" w:type="dxa"/>
          <w:right w:w="0" w:type="dxa"/>
        </w:tblCellMar>
        <w:tblLook w:val="01E0"/>
      </w:tblPr>
      <w:tblGrid>
        <w:gridCol w:w="2244"/>
        <w:gridCol w:w="1430"/>
        <w:gridCol w:w="567"/>
        <w:gridCol w:w="566"/>
        <w:gridCol w:w="569"/>
        <w:gridCol w:w="1699"/>
        <w:gridCol w:w="1136"/>
        <w:gridCol w:w="850"/>
        <w:gridCol w:w="994"/>
        <w:gridCol w:w="1275"/>
        <w:gridCol w:w="1418"/>
        <w:gridCol w:w="1416"/>
      </w:tblGrid>
      <w:tr>
        <w:trPr>
          <w:trHeight w:val="396" w:hRule="exact"/>
        </w:trPr>
        <w:tc>
          <w:tcPr>
            <w:tcW w:w="2244" w:type="dxa"/>
            <w:vMerge w:val="restart"/>
            <w:tcBorders>
              <w:top w:val="single" w:sz="4" w:space="0" w:color="000000"/>
              <w:left w:val="single" w:sz="4" w:space="0" w:color="000000"/>
              <w:right w:val="single" w:sz="4" w:space="0" w:color="000000"/>
            </w:tcBorders>
            <w:shd w:val="clear" w:color="auto" w:fill="D2D2D2"/>
          </w:tcPr>
          <w:p>
            <w:pPr/>
          </w:p>
        </w:tc>
        <w:tc>
          <w:tcPr>
            <w:tcW w:w="1192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4" w:right="0"/>
              <w:jc w:val="center"/>
              <w:rPr>
                <w:rFonts w:ascii="宋体" w:hAnsi="宋体" w:cs="宋体" w:eastAsia="宋体" w:hint="default"/>
                <w:sz w:val="21"/>
                <w:szCs w:val="21"/>
              </w:rPr>
            </w:pPr>
            <w:r>
              <w:rPr>
                <w:rFonts w:ascii="宋体" w:hAnsi="宋体" w:cs="宋体" w:eastAsia="宋体" w:hint="default"/>
                <w:sz w:val="21"/>
                <w:szCs w:val="21"/>
              </w:rPr>
              <w:t>上期</w:t>
            </w:r>
          </w:p>
        </w:tc>
      </w:tr>
      <w:tr>
        <w:trPr>
          <w:trHeight w:val="188" w:hRule="exact"/>
        </w:trPr>
        <w:tc>
          <w:tcPr>
            <w:tcW w:w="2244" w:type="dxa"/>
            <w:vMerge/>
            <w:tcBorders>
              <w:left w:val="single" w:sz="4" w:space="0" w:color="000000"/>
              <w:bottom w:val="nil" w:sz="6" w:space="0" w:color="auto"/>
              <w:right w:val="single" w:sz="4" w:space="0" w:color="000000"/>
            </w:tcBorders>
            <w:shd w:val="clear" w:color="auto" w:fill="D2D2D2"/>
          </w:tcPr>
          <w:p>
            <w:pPr/>
          </w:p>
        </w:tc>
        <w:tc>
          <w:tcPr>
            <w:tcW w:w="1430" w:type="dxa"/>
            <w:vMerge w:val="restart"/>
            <w:tcBorders>
              <w:top w:val="single" w:sz="4" w:space="0" w:color="000000"/>
              <w:left w:val="single" w:sz="4" w:space="0" w:color="000000"/>
              <w:right w:val="single" w:sz="4" w:space="0" w:color="000000"/>
            </w:tcBorders>
            <w:shd w:val="clear" w:color="auto" w:fill="D2D2D2"/>
          </w:tcPr>
          <w:p>
            <w:pPr/>
          </w:p>
        </w:tc>
        <w:tc>
          <w:tcPr>
            <w:tcW w:w="17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214"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1699" w:type="dxa"/>
            <w:vMerge w:val="restart"/>
            <w:tcBorders>
              <w:top w:val="single" w:sz="4" w:space="0" w:color="000000"/>
              <w:left w:val="single" w:sz="4" w:space="0" w:color="000000"/>
              <w:right w:val="single" w:sz="4" w:space="0" w:color="000000"/>
            </w:tcBorders>
            <w:shd w:val="clear" w:color="auto" w:fill="D2D2D2"/>
          </w:tcPr>
          <w:p>
            <w:pPr/>
          </w:p>
        </w:tc>
        <w:tc>
          <w:tcPr>
            <w:tcW w:w="1136" w:type="dxa"/>
            <w:vMerge w:val="restart"/>
            <w:tcBorders>
              <w:top w:val="single" w:sz="4" w:space="0" w:color="000000"/>
              <w:left w:val="single" w:sz="4" w:space="0" w:color="000000"/>
              <w:right w:val="single" w:sz="4" w:space="0" w:color="FFFFFF"/>
            </w:tcBorders>
            <w:shd w:val="clear" w:color="auto" w:fill="D2D2D2"/>
          </w:tcPr>
          <w:p>
            <w:pPr/>
          </w:p>
        </w:tc>
        <w:tc>
          <w:tcPr>
            <w:tcW w:w="850" w:type="dxa"/>
            <w:tcBorders>
              <w:top w:val="single" w:sz="4" w:space="0" w:color="000000"/>
              <w:left w:val="single" w:sz="4" w:space="0" w:color="FFFFFF"/>
              <w:bottom w:val="nil" w:sz="6" w:space="0" w:color="auto"/>
              <w:right w:val="single" w:sz="4" w:space="0" w:color="000000"/>
            </w:tcBorders>
            <w:shd w:val="clear" w:color="auto" w:fill="D2D2D2"/>
          </w:tcPr>
          <w:p>
            <w:pPr/>
          </w:p>
        </w:tc>
        <w:tc>
          <w:tcPr>
            <w:tcW w:w="994" w:type="dxa"/>
            <w:vMerge w:val="restart"/>
            <w:tcBorders>
              <w:top w:val="single" w:sz="4" w:space="0" w:color="000000"/>
              <w:left w:val="single" w:sz="4" w:space="0" w:color="000000"/>
              <w:right w:val="single" w:sz="4" w:space="0" w:color="000000"/>
            </w:tcBorders>
            <w:shd w:val="clear" w:color="auto" w:fill="D2D2D2"/>
          </w:tcPr>
          <w:p>
            <w:pPr/>
          </w:p>
        </w:tc>
        <w:tc>
          <w:tcPr>
            <w:tcW w:w="1275" w:type="dxa"/>
            <w:vMerge w:val="restart"/>
            <w:tcBorders>
              <w:top w:val="single" w:sz="4" w:space="0" w:color="000000"/>
              <w:left w:val="single" w:sz="4" w:space="0" w:color="000000"/>
              <w:right w:val="single" w:sz="4" w:space="0" w:color="000000"/>
            </w:tcBorders>
            <w:shd w:val="clear" w:color="auto" w:fill="D2D2D2"/>
          </w:tcPr>
          <w:p>
            <w:pPr/>
          </w:p>
        </w:tc>
        <w:tc>
          <w:tcPr>
            <w:tcW w:w="1418" w:type="dxa"/>
            <w:vMerge w:val="restart"/>
            <w:tcBorders>
              <w:top w:val="single" w:sz="4" w:space="0" w:color="000000"/>
              <w:left w:val="single" w:sz="4" w:space="0" w:color="000000"/>
              <w:right w:val="single" w:sz="4" w:space="0" w:color="FFFFFF"/>
            </w:tcBorders>
            <w:shd w:val="clear" w:color="auto" w:fill="D2D2D2"/>
          </w:tcPr>
          <w:p>
            <w:pPr/>
          </w:p>
        </w:tc>
        <w:tc>
          <w:tcPr>
            <w:tcW w:w="1416" w:type="dxa"/>
            <w:tcBorders>
              <w:top w:val="single" w:sz="4" w:space="0" w:color="000000"/>
              <w:left w:val="single" w:sz="4" w:space="0" w:color="FFFFFF"/>
              <w:bottom w:val="nil" w:sz="6" w:space="0" w:color="auto"/>
              <w:right w:val="single" w:sz="4" w:space="0" w:color="000000"/>
            </w:tcBorders>
            <w:shd w:val="clear" w:color="auto" w:fill="D2D2D2"/>
          </w:tcPr>
          <w:p>
            <w:pPr/>
          </w:p>
        </w:tc>
      </w:tr>
      <w:tr>
        <w:trPr>
          <w:trHeight w:val="177" w:hRule="exact"/>
        </w:trPr>
        <w:tc>
          <w:tcPr>
            <w:tcW w:w="22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30" w:type="dxa"/>
            <w:vMerge/>
            <w:tcBorders>
              <w:left w:val="single" w:sz="4" w:space="0" w:color="000000"/>
              <w:bottom w:val="single" w:sz="14" w:space="0" w:color="FFFFFF"/>
              <w:right w:val="single" w:sz="4" w:space="0" w:color="000000"/>
            </w:tcBorders>
            <w:shd w:val="clear" w:color="auto" w:fill="D2D2D2"/>
          </w:tcPr>
          <w:p>
            <w:pPr/>
          </w:p>
        </w:tc>
        <w:tc>
          <w:tcPr>
            <w:tcW w:w="1702" w:type="dxa"/>
            <w:gridSpan w:val="3"/>
            <w:vMerge/>
            <w:tcBorders>
              <w:left w:val="single" w:sz="4" w:space="0" w:color="000000"/>
              <w:bottom w:val="single" w:sz="14" w:space="0" w:color="FFFFFF"/>
              <w:right w:val="single" w:sz="4" w:space="0" w:color="000000"/>
            </w:tcBorders>
            <w:shd w:val="clear" w:color="auto" w:fill="D2D2D2"/>
          </w:tcPr>
          <w:p>
            <w:pPr/>
          </w:p>
        </w:tc>
        <w:tc>
          <w:tcPr>
            <w:tcW w:w="1699" w:type="dxa"/>
            <w:vMerge/>
            <w:tcBorders>
              <w:left w:val="single" w:sz="4" w:space="0" w:color="000000"/>
              <w:bottom w:val="single" w:sz="14" w:space="0" w:color="FFFFFF"/>
              <w:right w:val="single" w:sz="4" w:space="0" w:color="000000"/>
            </w:tcBorders>
            <w:shd w:val="clear" w:color="auto" w:fill="D2D2D2"/>
          </w:tcPr>
          <w:p>
            <w:pPr/>
          </w:p>
        </w:tc>
        <w:tc>
          <w:tcPr>
            <w:tcW w:w="1136" w:type="dxa"/>
            <w:vMerge/>
            <w:tcBorders>
              <w:left w:val="single" w:sz="4" w:space="0" w:color="000000"/>
              <w:bottom w:val="single" w:sz="14" w:space="0" w:color="FFFFFF"/>
              <w:right w:val="single" w:sz="4" w:space="0" w:color="FFFFFF"/>
            </w:tcBorders>
            <w:shd w:val="clear" w:color="auto" w:fill="D2D2D2"/>
          </w:tcPr>
          <w:p>
            <w:pPr/>
          </w:p>
        </w:tc>
        <w:tc>
          <w:tcPr>
            <w:tcW w:w="850" w:type="dxa"/>
            <w:vMerge w:val="restart"/>
            <w:tcBorders>
              <w:top w:val="nil" w:sz="6" w:space="0" w:color="auto"/>
              <w:left w:val="single" w:sz="4" w:space="0" w:color="FFFFFF"/>
              <w:right w:val="single" w:sz="4" w:space="0" w:color="000000"/>
            </w:tcBorders>
            <w:shd w:val="clear" w:color="auto" w:fill="D2D2D2"/>
          </w:tcPr>
          <w:p>
            <w:pPr>
              <w:pStyle w:val="TableParagraph"/>
              <w:spacing w:line="273" w:lineRule="auto" w:before="40"/>
              <w:ind w:left="105" w:right="98"/>
              <w:jc w:val="left"/>
              <w:rPr>
                <w:rFonts w:ascii="宋体" w:hAnsi="宋体" w:cs="宋体" w:eastAsia="宋体" w:hint="default"/>
                <w:sz w:val="21"/>
                <w:szCs w:val="21"/>
              </w:rPr>
            </w:pPr>
            <w:r>
              <w:rPr>
                <w:rFonts w:ascii="宋体" w:hAnsi="宋体" w:cs="宋体" w:eastAsia="宋体" w:hint="default"/>
                <w:sz w:val="21"/>
                <w:szCs w:val="21"/>
              </w:rPr>
              <w:t>其他综</w:t>
            </w:r>
            <w:r>
              <w:rPr>
                <w:rFonts w:ascii="宋体" w:hAnsi="宋体" w:cs="宋体" w:eastAsia="宋体" w:hint="default"/>
                <w:spacing w:val="-102"/>
                <w:sz w:val="21"/>
                <w:szCs w:val="21"/>
              </w:rPr>
              <w:t> </w:t>
            </w:r>
            <w:r>
              <w:rPr>
                <w:rFonts w:ascii="宋体" w:hAnsi="宋体" w:cs="宋体" w:eastAsia="宋体" w:hint="default"/>
                <w:sz w:val="21"/>
                <w:szCs w:val="21"/>
              </w:rPr>
              <w:t>合收益</w:t>
            </w:r>
          </w:p>
        </w:tc>
        <w:tc>
          <w:tcPr>
            <w:tcW w:w="994" w:type="dxa"/>
            <w:vMerge/>
            <w:tcBorders>
              <w:left w:val="single" w:sz="4" w:space="0" w:color="000000"/>
              <w:bottom w:val="nil" w:sz="6" w:space="0" w:color="auto"/>
              <w:right w:val="single" w:sz="4" w:space="0" w:color="000000"/>
            </w:tcBorders>
            <w:shd w:val="clear" w:color="auto" w:fill="D2D2D2"/>
          </w:tcPr>
          <w:p>
            <w:pPr/>
          </w:p>
        </w:tc>
        <w:tc>
          <w:tcPr>
            <w:tcW w:w="1275" w:type="dxa"/>
            <w:vMerge/>
            <w:tcBorders>
              <w:left w:val="single" w:sz="4" w:space="0" w:color="000000"/>
              <w:bottom w:val="nil" w:sz="6" w:space="0" w:color="auto"/>
              <w:right w:val="single" w:sz="4" w:space="0" w:color="000000"/>
            </w:tcBorders>
            <w:shd w:val="clear" w:color="auto" w:fill="D2D2D2"/>
          </w:tcPr>
          <w:p>
            <w:pPr/>
          </w:p>
        </w:tc>
        <w:tc>
          <w:tcPr>
            <w:tcW w:w="1418" w:type="dxa"/>
            <w:vMerge/>
            <w:tcBorders>
              <w:left w:val="single" w:sz="4" w:space="0" w:color="000000"/>
              <w:bottom w:val="nil" w:sz="6" w:space="0" w:color="auto"/>
              <w:right w:val="single" w:sz="4" w:space="0" w:color="FFFFFF"/>
            </w:tcBorders>
            <w:shd w:val="clear" w:color="auto" w:fill="D2D2D2"/>
          </w:tcPr>
          <w:p>
            <w:pPr/>
          </w:p>
        </w:tc>
        <w:tc>
          <w:tcPr>
            <w:tcW w:w="1416" w:type="dxa"/>
            <w:vMerge w:val="restart"/>
            <w:tcBorders>
              <w:top w:val="nil" w:sz="6" w:space="0" w:color="auto"/>
              <w:left w:val="single" w:sz="4" w:space="0" w:color="FFFFFF"/>
              <w:right w:val="single" w:sz="4" w:space="0" w:color="000000"/>
            </w:tcBorders>
            <w:shd w:val="clear" w:color="auto" w:fill="D2D2D2"/>
          </w:tcPr>
          <w:p>
            <w:pPr>
              <w:pStyle w:val="TableParagraph"/>
              <w:spacing w:line="273" w:lineRule="auto" w:before="40"/>
              <w:ind w:left="595" w:right="70" w:hanging="524"/>
              <w:jc w:val="left"/>
              <w:rPr>
                <w:rFonts w:ascii="宋体" w:hAnsi="宋体" w:cs="宋体" w:eastAsia="宋体" w:hint="default"/>
                <w:sz w:val="21"/>
                <w:szCs w:val="21"/>
              </w:rPr>
            </w:pPr>
            <w:r>
              <w:rPr>
                <w:rFonts w:ascii="宋体" w:hAnsi="宋体" w:cs="宋体" w:eastAsia="宋体" w:hint="default"/>
                <w:sz w:val="21"/>
                <w:szCs w:val="21"/>
              </w:rPr>
              <w:t>所有者权益合</w:t>
            </w:r>
            <w:r>
              <w:rPr>
                <w:rFonts w:ascii="宋体" w:hAnsi="宋体" w:cs="宋体" w:eastAsia="宋体" w:hint="default"/>
                <w:w w:val="100"/>
                <w:sz w:val="21"/>
                <w:szCs w:val="21"/>
              </w:rPr>
              <w:t> </w:t>
            </w:r>
            <w:r>
              <w:rPr>
                <w:rFonts w:ascii="宋体" w:hAnsi="宋体" w:cs="宋体" w:eastAsia="宋体" w:hint="default"/>
                <w:sz w:val="21"/>
                <w:szCs w:val="21"/>
              </w:rPr>
              <w:t>计</w:t>
            </w:r>
          </w:p>
        </w:tc>
      </w:tr>
      <w:tr>
        <w:trPr>
          <w:trHeight w:val="188" w:hRule="exact"/>
        </w:trPr>
        <w:tc>
          <w:tcPr>
            <w:tcW w:w="2244" w:type="dxa"/>
            <w:vMerge/>
            <w:tcBorders>
              <w:left w:val="single" w:sz="4" w:space="0" w:color="000000"/>
              <w:bottom w:val="nil" w:sz="6" w:space="0" w:color="auto"/>
              <w:right w:val="single" w:sz="4" w:space="0" w:color="000000"/>
            </w:tcBorders>
            <w:shd w:val="clear" w:color="auto" w:fill="D2D2D2"/>
          </w:tcPr>
          <w:p>
            <w:pPr/>
          </w:p>
        </w:tc>
        <w:tc>
          <w:tcPr>
            <w:tcW w:w="1430"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
              <w:ind w:left="14" w:right="0"/>
              <w:jc w:val="center"/>
              <w:rPr>
                <w:rFonts w:ascii="宋体" w:hAnsi="宋体" w:cs="宋体" w:eastAsia="宋体" w:hint="default"/>
                <w:sz w:val="21"/>
                <w:szCs w:val="21"/>
              </w:rPr>
            </w:pPr>
            <w:r>
              <w:rPr>
                <w:rFonts w:ascii="宋体" w:hAnsi="宋体" w:cs="宋体" w:eastAsia="宋体" w:hint="default"/>
                <w:sz w:val="21"/>
                <w:szCs w:val="21"/>
              </w:rPr>
              <w:t>股本</w:t>
            </w:r>
          </w:p>
        </w:tc>
        <w:tc>
          <w:tcPr>
            <w:tcW w:w="567" w:type="dxa"/>
            <w:vMerge w:val="restart"/>
            <w:tcBorders>
              <w:top w:val="single" w:sz="14" w:space="0" w:color="FFFFFF"/>
              <w:left w:val="single" w:sz="4" w:space="0" w:color="000000"/>
              <w:right w:val="single" w:sz="4" w:space="0" w:color="000000"/>
            </w:tcBorders>
            <w:shd w:val="clear" w:color="auto" w:fill="D2D2D2"/>
          </w:tcPr>
          <w:p>
            <w:pPr>
              <w:pStyle w:val="TableParagraph"/>
              <w:spacing w:line="271" w:lineRule="auto" w:before="47"/>
              <w:ind w:left="170" w:right="65" w:hanging="104"/>
              <w:jc w:val="left"/>
              <w:rPr>
                <w:rFonts w:ascii="宋体" w:hAnsi="宋体" w:cs="宋体" w:eastAsia="宋体" w:hint="default"/>
                <w:sz w:val="21"/>
                <w:szCs w:val="21"/>
              </w:rPr>
            </w:pPr>
            <w:r>
              <w:rPr>
                <w:rFonts w:ascii="宋体" w:hAnsi="宋体" w:cs="宋体" w:eastAsia="宋体" w:hint="default"/>
                <w:sz w:val="21"/>
                <w:szCs w:val="21"/>
              </w:rPr>
              <w:t>优先</w:t>
            </w:r>
            <w:r>
              <w:rPr>
                <w:rFonts w:ascii="宋体" w:hAnsi="宋体" w:cs="宋体" w:eastAsia="宋体" w:hint="default"/>
                <w:spacing w:val="-103"/>
                <w:sz w:val="21"/>
                <w:szCs w:val="21"/>
              </w:rPr>
              <w:t> </w:t>
            </w:r>
            <w:r>
              <w:rPr>
                <w:rFonts w:ascii="宋体" w:hAnsi="宋体" w:cs="宋体" w:eastAsia="宋体" w:hint="default"/>
                <w:sz w:val="21"/>
                <w:szCs w:val="21"/>
              </w:rPr>
              <w:t>股</w:t>
            </w:r>
          </w:p>
        </w:tc>
        <w:tc>
          <w:tcPr>
            <w:tcW w:w="566" w:type="dxa"/>
            <w:vMerge w:val="restart"/>
            <w:tcBorders>
              <w:top w:val="single" w:sz="14" w:space="0" w:color="FFFFFF"/>
              <w:left w:val="single" w:sz="4" w:space="0" w:color="000000"/>
              <w:right w:val="single" w:sz="4" w:space="0" w:color="000000"/>
            </w:tcBorders>
            <w:shd w:val="clear" w:color="auto" w:fill="D2D2D2"/>
          </w:tcPr>
          <w:p>
            <w:pPr>
              <w:pStyle w:val="TableParagraph"/>
              <w:spacing w:line="271" w:lineRule="auto" w:before="47"/>
              <w:ind w:left="172" w:right="62" w:hanging="104"/>
              <w:jc w:val="left"/>
              <w:rPr>
                <w:rFonts w:ascii="宋体" w:hAnsi="宋体" w:cs="宋体" w:eastAsia="宋体" w:hint="default"/>
                <w:sz w:val="21"/>
                <w:szCs w:val="21"/>
              </w:rPr>
            </w:pPr>
            <w:r>
              <w:rPr>
                <w:rFonts w:ascii="宋体" w:hAnsi="宋体" w:cs="宋体" w:eastAsia="宋体" w:hint="default"/>
                <w:sz w:val="21"/>
                <w:szCs w:val="21"/>
              </w:rPr>
              <w:t>永续</w:t>
            </w:r>
            <w:r>
              <w:rPr>
                <w:rFonts w:ascii="宋体" w:hAnsi="宋体" w:cs="宋体" w:eastAsia="宋体" w:hint="default"/>
                <w:spacing w:val="-103"/>
                <w:sz w:val="21"/>
                <w:szCs w:val="21"/>
              </w:rPr>
              <w:t> </w:t>
            </w:r>
            <w:r>
              <w:rPr>
                <w:rFonts w:ascii="宋体" w:hAnsi="宋体" w:cs="宋体" w:eastAsia="宋体" w:hint="default"/>
                <w:sz w:val="21"/>
                <w:szCs w:val="21"/>
              </w:rPr>
              <w:t>债</w:t>
            </w:r>
          </w:p>
        </w:tc>
        <w:tc>
          <w:tcPr>
            <w:tcW w:w="569" w:type="dxa"/>
            <w:tcBorders>
              <w:top w:val="single" w:sz="14" w:space="0" w:color="FFFFFF"/>
              <w:left w:val="single" w:sz="4" w:space="0" w:color="000000"/>
              <w:bottom w:val="nil" w:sz="6" w:space="0" w:color="auto"/>
              <w:right w:val="single" w:sz="4" w:space="0" w:color="000000"/>
            </w:tcBorders>
            <w:shd w:val="clear" w:color="auto" w:fill="D2D2D2"/>
          </w:tcPr>
          <w:p>
            <w:pPr/>
          </w:p>
        </w:tc>
        <w:tc>
          <w:tcPr>
            <w:tcW w:w="1699"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
              <w:ind w:left="422"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136" w:type="dxa"/>
            <w:vMerge w:val="restart"/>
            <w:tcBorders>
              <w:top w:val="single" w:sz="14" w:space="0" w:color="FFFFFF"/>
              <w:left w:val="single" w:sz="4" w:space="0" w:color="000000"/>
              <w:right w:val="single" w:sz="4" w:space="0" w:color="FFFFFF"/>
            </w:tcBorders>
            <w:shd w:val="clear" w:color="auto" w:fill="D2D2D2"/>
          </w:tcPr>
          <w:p>
            <w:pPr>
              <w:pStyle w:val="TableParagraph"/>
              <w:spacing w:line="240" w:lineRule="auto" w:before="1"/>
              <w:ind w:left="35"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850" w:type="dxa"/>
            <w:vMerge/>
            <w:tcBorders>
              <w:left w:val="single" w:sz="4" w:space="0" w:color="FFFFFF"/>
              <w:right w:val="single" w:sz="4" w:space="0" w:color="000000"/>
            </w:tcBorders>
            <w:shd w:val="clear" w:color="auto" w:fill="D2D2D2"/>
          </w:tcPr>
          <w:p>
            <w:pPr/>
          </w:p>
        </w:tc>
        <w:tc>
          <w:tcPr>
            <w:tcW w:w="9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9"/>
              <w:ind w:left="72"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2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9"/>
              <w:ind w:left="211"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418" w:type="dxa"/>
            <w:vMerge w:val="restart"/>
            <w:tcBorders>
              <w:top w:val="nil" w:sz="6" w:space="0" w:color="auto"/>
              <w:left w:val="single" w:sz="4" w:space="0" w:color="000000"/>
              <w:right w:val="single" w:sz="4" w:space="0" w:color="FFFFFF"/>
            </w:tcBorders>
            <w:shd w:val="clear" w:color="auto" w:fill="D2D2D2"/>
          </w:tcPr>
          <w:p>
            <w:pPr>
              <w:pStyle w:val="TableParagraph"/>
              <w:spacing w:line="240" w:lineRule="auto" w:before="19"/>
              <w:ind w:left="180"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416" w:type="dxa"/>
            <w:vMerge/>
            <w:tcBorders>
              <w:left w:val="single" w:sz="4" w:space="0" w:color="FFFFFF"/>
              <w:right w:val="single" w:sz="4" w:space="0" w:color="000000"/>
            </w:tcBorders>
            <w:shd w:val="clear" w:color="auto" w:fill="D2D2D2"/>
          </w:tcPr>
          <w:p>
            <w:pPr/>
          </w:p>
        </w:tc>
      </w:tr>
      <w:tr>
        <w:trPr>
          <w:trHeight w:val="194" w:hRule="exact"/>
        </w:trPr>
        <w:tc>
          <w:tcPr>
            <w:tcW w:w="2244" w:type="dxa"/>
            <w:vMerge w:val="restart"/>
            <w:tcBorders>
              <w:top w:val="nil" w:sz="6" w:space="0" w:color="auto"/>
              <w:left w:val="single" w:sz="4" w:space="0" w:color="000000"/>
              <w:right w:val="single" w:sz="4" w:space="0" w:color="000000"/>
            </w:tcBorders>
            <w:shd w:val="clear" w:color="auto" w:fill="D2D2D2"/>
          </w:tcPr>
          <w:p>
            <w:pPr/>
          </w:p>
        </w:tc>
        <w:tc>
          <w:tcPr>
            <w:tcW w:w="1430" w:type="dxa"/>
            <w:vMerge/>
            <w:tcBorders>
              <w:left w:val="single" w:sz="4" w:space="0" w:color="000000"/>
              <w:bottom w:val="nil" w:sz="6" w:space="0" w:color="auto"/>
              <w:right w:val="single" w:sz="4" w:space="0" w:color="000000"/>
            </w:tcBorders>
            <w:shd w:val="clear" w:color="auto" w:fill="D2D2D2"/>
          </w:tcPr>
          <w:p>
            <w:pPr/>
          </w:p>
        </w:tc>
        <w:tc>
          <w:tcPr>
            <w:tcW w:w="567"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569" w:type="dxa"/>
            <w:vMerge w:val="restart"/>
            <w:tcBorders>
              <w:top w:val="nil" w:sz="6" w:space="0" w:color="auto"/>
              <w:left w:val="single" w:sz="22" w:space="0" w:color="D2D2D2"/>
              <w:right w:val="single" w:sz="10" w:space="0" w:color="D2D2D2"/>
            </w:tcBorders>
          </w:tcPr>
          <w:p>
            <w:pPr>
              <w:pStyle w:val="TableParagraph"/>
              <w:tabs>
                <w:tab w:pos="512" w:val="left" w:leader="none"/>
              </w:tabs>
              <w:spacing w:line="240" w:lineRule="auto" w:before="33"/>
              <w:ind w:left="1"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spacing w:val="-8"/>
                <w:w w:val="100"/>
                <w:sz w:val="21"/>
                <w:szCs w:val="21"/>
                <w:shd w:fill="D2D2D2" w:color="auto" w:val="clear"/>
              </w:rPr>
              <w:t> </w:t>
            </w:r>
            <w:r>
              <w:rPr>
                <w:rFonts w:ascii="宋体" w:hAnsi="宋体" w:cs="宋体" w:eastAsia="宋体" w:hint="default"/>
                <w:sz w:val="21"/>
                <w:szCs w:val="21"/>
                <w:shd w:fill="D2D2D2" w:color="auto" w:val="clear"/>
              </w:rPr>
              <w:t>其他</w:t>
              <w:tab/>
            </w:r>
            <w:r>
              <w:rPr>
                <w:rFonts w:ascii="宋体" w:hAnsi="宋体" w:cs="宋体" w:eastAsia="宋体" w:hint="default"/>
                <w:sz w:val="21"/>
                <w:szCs w:val="21"/>
              </w:rPr>
            </w:r>
          </w:p>
        </w:tc>
        <w:tc>
          <w:tcPr>
            <w:tcW w:w="1699" w:type="dxa"/>
            <w:vMerge/>
            <w:tcBorders>
              <w:left w:val="single" w:sz="4" w:space="0" w:color="000000"/>
              <w:bottom w:val="nil" w:sz="6" w:space="0" w:color="auto"/>
              <w:right w:val="single" w:sz="4" w:space="0" w:color="000000"/>
            </w:tcBorders>
            <w:shd w:val="clear" w:color="auto" w:fill="D2D2D2"/>
          </w:tcPr>
          <w:p>
            <w:pPr/>
          </w:p>
        </w:tc>
        <w:tc>
          <w:tcPr>
            <w:tcW w:w="1136" w:type="dxa"/>
            <w:vMerge/>
            <w:tcBorders>
              <w:left w:val="single" w:sz="4" w:space="0" w:color="000000"/>
              <w:bottom w:val="nil" w:sz="6" w:space="0" w:color="auto"/>
              <w:right w:val="single" w:sz="4" w:space="0" w:color="FFFFFF"/>
            </w:tcBorders>
            <w:shd w:val="clear" w:color="auto" w:fill="D2D2D2"/>
          </w:tcPr>
          <w:p>
            <w:pPr/>
          </w:p>
        </w:tc>
        <w:tc>
          <w:tcPr>
            <w:tcW w:w="850" w:type="dxa"/>
            <w:vMerge/>
            <w:tcBorders>
              <w:left w:val="single" w:sz="4" w:space="0" w:color="FFFFFF"/>
              <w:right w:val="single" w:sz="4" w:space="0" w:color="000000"/>
            </w:tcBorders>
            <w:shd w:val="clear" w:color="auto" w:fill="D2D2D2"/>
          </w:tcPr>
          <w:p>
            <w:pPr/>
          </w:p>
        </w:tc>
        <w:tc>
          <w:tcPr>
            <w:tcW w:w="994" w:type="dxa"/>
            <w:vMerge/>
            <w:tcBorders>
              <w:left w:val="single" w:sz="4" w:space="0" w:color="000000"/>
              <w:bottom w:val="nil" w:sz="6" w:space="0" w:color="auto"/>
              <w:right w:val="single" w:sz="4" w:space="0" w:color="000000"/>
            </w:tcBorders>
            <w:shd w:val="clear" w:color="auto" w:fill="D2D2D2"/>
          </w:tcPr>
          <w:p>
            <w:pPr/>
          </w:p>
        </w:tc>
        <w:tc>
          <w:tcPr>
            <w:tcW w:w="1275" w:type="dxa"/>
            <w:vMerge/>
            <w:tcBorders>
              <w:left w:val="single" w:sz="4" w:space="0" w:color="000000"/>
              <w:bottom w:val="nil" w:sz="6" w:space="0" w:color="auto"/>
              <w:right w:val="single" w:sz="4" w:space="0" w:color="000000"/>
            </w:tcBorders>
            <w:shd w:val="clear" w:color="auto" w:fill="D2D2D2"/>
          </w:tcPr>
          <w:p>
            <w:pPr/>
          </w:p>
        </w:tc>
        <w:tc>
          <w:tcPr>
            <w:tcW w:w="1418" w:type="dxa"/>
            <w:vMerge/>
            <w:tcBorders>
              <w:left w:val="single" w:sz="4" w:space="0" w:color="000000"/>
              <w:bottom w:val="nil" w:sz="6" w:space="0" w:color="auto"/>
              <w:right w:val="single" w:sz="4" w:space="0" w:color="FFFFFF"/>
            </w:tcBorders>
            <w:shd w:val="clear" w:color="auto" w:fill="D2D2D2"/>
          </w:tcPr>
          <w:p>
            <w:pPr/>
          </w:p>
        </w:tc>
        <w:tc>
          <w:tcPr>
            <w:tcW w:w="1416" w:type="dxa"/>
            <w:vMerge/>
            <w:tcBorders>
              <w:left w:val="single" w:sz="4" w:space="0" w:color="FFFFFF"/>
              <w:right w:val="single" w:sz="4" w:space="0" w:color="000000"/>
            </w:tcBorders>
            <w:shd w:val="clear" w:color="auto" w:fill="D2D2D2"/>
          </w:tcPr>
          <w:p>
            <w:pPr/>
          </w:p>
        </w:tc>
      </w:tr>
      <w:tr>
        <w:trPr>
          <w:trHeight w:val="179" w:hRule="exact"/>
        </w:trPr>
        <w:tc>
          <w:tcPr>
            <w:tcW w:w="2244" w:type="dxa"/>
            <w:vMerge/>
            <w:tcBorders>
              <w:left w:val="single" w:sz="4" w:space="0" w:color="000000"/>
              <w:right w:val="single" w:sz="4" w:space="0" w:color="000000"/>
            </w:tcBorders>
            <w:shd w:val="clear" w:color="auto" w:fill="D2D2D2"/>
          </w:tcPr>
          <w:p>
            <w:pPr/>
          </w:p>
        </w:tc>
        <w:tc>
          <w:tcPr>
            <w:tcW w:w="1430" w:type="dxa"/>
            <w:vMerge w:val="restart"/>
            <w:tcBorders>
              <w:top w:val="nil" w:sz="6" w:space="0" w:color="auto"/>
              <w:left w:val="single" w:sz="4" w:space="0" w:color="000000"/>
              <w:right w:val="single" w:sz="4" w:space="0" w:color="000000"/>
            </w:tcBorders>
            <w:shd w:val="clear" w:color="auto" w:fill="D2D2D2"/>
          </w:tcPr>
          <w:p>
            <w:pPr/>
          </w:p>
        </w:tc>
        <w:tc>
          <w:tcPr>
            <w:tcW w:w="567"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569" w:type="dxa"/>
            <w:vMerge/>
            <w:tcBorders>
              <w:left w:val="single" w:sz="22" w:space="0" w:color="D2D2D2"/>
              <w:bottom w:val="nil" w:sz="6" w:space="0" w:color="auto"/>
              <w:right w:val="single" w:sz="10" w:space="0" w:color="D2D2D2"/>
            </w:tcBorders>
          </w:tcPr>
          <w:p>
            <w:pPr/>
          </w:p>
        </w:tc>
        <w:tc>
          <w:tcPr>
            <w:tcW w:w="1699" w:type="dxa"/>
            <w:vMerge w:val="restart"/>
            <w:tcBorders>
              <w:top w:val="nil" w:sz="6" w:space="0" w:color="auto"/>
              <w:left w:val="single" w:sz="4" w:space="0" w:color="000000"/>
              <w:right w:val="single" w:sz="4" w:space="0" w:color="000000"/>
            </w:tcBorders>
            <w:shd w:val="clear" w:color="auto" w:fill="D2D2D2"/>
          </w:tcPr>
          <w:p>
            <w:pPr/>
          </w:p>
        </w:tc>
        <w:tc>
          <w:tcPr>
            <w:tcW w:w="1136" w:type="dxa"/>
            <w:vMerge w:val="restart"/>
            <w:tcBorders>
              <w:top w:val="nil" w:sz="6" w:space="0" w:color="auto"/>
              <w:left w:val="single" w:sz="4" w:space="0" w:color="000000"/>
              <w:right w:val="single" w:sz="4" w:space="0" w:color="FFFFFF"/>
            </w:tcBorders>
            <w:shd w:val="clear" w:color="auto" w:fill="D2D2D2"/>
          </w:tcPr>
          <w:p>
            <w:pPr/>
          </w:p>
        </w:tc>
        <w:tc>
          <w:tcPr>
            <w:tcW w:w="850" w:type="dxa"/>
            <w:vMerge/>
            <w:tcBorders>
              <w:left w:val="single" w:sz="4" w:space="0" w:color="FFFFFF"/>
              <w:bottom w:val="nil" w:sz="6" w:space="0" w:color="auto"/>
              <w:right w:val="single" w:sz="4" w:space="0" w:color="000000"/>
            </w:tcBorders>
            <w:shd w:val="clear" w:color="auto" w:fill="D2D2D2"/>
          </w:tcPr>
          <w:p>
            <w:pPr/>
          </w:p>
        </w:tc>
        <w:tc>
          <w:tcPr>
            <w:tcW w:w="994" w:type="dxa"/>
            <w:vMerge w:val="restart"/>
            <w:tcBorders>
              <w:top w:val="nil" w:sz="6" w:space="0" w:color="auto"/>
              <w:left w:val="single" w:sz="4" w:space="0" w:color="000000"/>
              <w:right w:val="single" w:sz="4" w:space="0" w:color="000000"/>
            </w:tcBorders>
            <w:shd w:val="clear" w:color="auto" w:fill="D2D2D2"/>
          </w:tcPr>
          <w:p>
            <w:pPr/>
          </w:p>
        </w:tc>
        <w:tc>
          <w:tcPr>
            <w:tcW w:w="1275" w:type="dxa"/>
            <w:vMerge w:val="restart"/>
            <w:tcBorders>
              <w:top w:val="nil" w:sz="6" w:space="0" w:color="auto"/>
              <w:left w:val="single" w:sz="4" w:space="0" w:color="000000"/>
              <w:right w:val="single" w:sz="4" w:space="0" w:color="000000"/>
            </w:tcBorders>
            <w:shd w:val="clear" w:color="auto" w:fill="D2D2D2"/>
          </w:tcPr>
          <w:p>
            <w:pPr/>
          </w:p>
        </w:tc>
        <w:tc>
          <w:tcPr>
            <w:tcW w:w="1418" w:type="dxa"/>
            <w:vMerge w:val="restart"/>
            <w:tcBorders>
              <w:top w:val="nil" w:sz="6" w:space="0" w:color="auto"/>
              <w:left w:val="single" w:sz="4" w:space="0" w:color="000000"/>
              <w:right w:val="single" w:sz="4" w:space="0" w:color="FFFFFF"/>
            </w:tcBorders>
            <w:shd w:val="clear" w:color="auto" w:fill="D2D2D2"/>
          </w:tcPr>
          <w:p>
            <w:pPr/>
          </w:p>
        </w:tc>
        <w:tc>
          <w:tcPr>
            <w:tcW w:w="1416" w:type="dxa"/>
            <w:vMerge/>
            <w:tcBorders>
              <w:left w:val="single" w:sz="4" w:space="0" w:color="FFFFFF"/>
              <w:bottom w:val="nil" w:sz="6" w:space="0" w:color="auto"/>
              <w:right w:val="single" w:sz="4" w:space="0" w:color="000000"/>
            </w:tcBorders>
            <w:shd w:val="clear" w:color="auto" w:fill="D2D2D2"/>
          </w:tcPr>
          <w:p>
            <w:pPr/>
          </w:p>
        </w:tc>
      </w:tr>
      <w:tr>
        <w:trPr>
          <w:trHeight w:val="195" w:hRule="exact"/>
        </w:trPr>
        <w:tc>
          <w:tcPr>
            <w:tcW w:w="2244" w:type="dxa"/>
            <w:vMerge/>
            <w:tcBorders>
              <w:left w:val="single" w:sz="4" w:space="0" w:color="000000"/>
              <w:bottom w:val="single" w:sz="4" w:space="0" w:color="000000"/>
              <w:right w:val="single" w:sz="4" w:space="0" w:color="000000"/>
            </w:tcBorders>
            <w:shd w:val="clear" w:color="auto" w:fill="D2D2D2"/>
          </w:tcPr>
          <w:p>
            <w:pPr/>
          </w:p>
        </w:tc>
        <w:tc>
          <w:tcPr>
            <w:tcW w:w="1430" w:type="dxa"/>
            <w:vMerge/>
            <w:tcBorders>
              <w:left w:val="single" w:sz="4" w:space="0" w:color="000000"/>
              <w:bottom w:val="single" w:sz="4" w:space="0" w:color="000000"/>
              <w:right w:val="single" w:sz="4" w:space="0" w:color="000000"/>
            </w:tcBorders>
            <w:shd w:val="clear" w:color="auto" w:fill="D2D2D2"/>
          </w:tcPr>
          <w:p>
            <w:pPr/>
          </w:p>
        </w:tc>
        <w:tc>
          <w:tcPr>
            <w:tcW w:w="567"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569" w:type="dxa"/>
            <w:tcBorders>
              <w:top w:val="nil" w:sz="6" w:space="0" w:color="auto"/>
              <w:left w:val="single" w:sz="4" w:space="0" w:color="000000"/>
              <w:bottom w:val="single" w:sz="4" w:space="0" w:color="000000"/>
              <w:right w:val="single" w:sz="4" w:space="0" w:color="000000"/>
            </w:tcBorders>
            <w:shd w:val="clear" w:color="auto" w:fill="D2D2D2"/>
          </w:tcPr>
          <w:p>
            <w:pPr/>
          </w:p>
        </w:tc>
        <w:tc>
          <w:tcPr>
            <w:tcW w:w="1699" w:type="dxa"/>
            <w:vMerge/>
            <w:tcBorders>
              <w:left w:val="single" w:sz="4" w:space="0" w:color="000000"/>
              <w:bottom w:val="single" w:sz="4" w:space="0" w:color="000000"/>
              <w:right w:val="single" w:sz="4" w:space="0" w:color="000000"/>
            </w:tcBorders>
            <w:shd w:val="clear" w:color="auto" w:fill="D2D2D2"/>
          </w:tcPr>
          <w:p>
            <w:pPr/>
          </w:p>
        </w:tc>
        <w:tc>
          <w:tcPr>
            <w:tcW w:w="1136" w:type="dxa"/>
            <w:vMerge/>
            <w:tcBorders>
              <w:left w:val="single" w:sz="4" w:space="0" w:color="000000"/>
              <w:bottom w:val="single" w:sz="4" w:space="0" w:color="000000"/>
              <w:right w:val="single" w:sz="4" w:space="0" w:color="FFFFFF"/>
            </w:tcBorders>
            <w:shd w:val="clear" w:color="auto" w:fill="D2D2D2"/>
          </w:tcPr>
          <w:p>
            <w:pPr/>
          </w:p>
        </w:tc>
        <w:tc>
          <w:tcPr>
            <w:tcW w:w="850" w:type="dxa"/>
            <w:tcBorders>
              <w:top w:val="nil" w:sz="6" w:space="0" w:color="auto"/>
              <w:left w:val="single" w:sz="4" w:space="0" w:color="FFFFFF"/>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c>
          <w:tcPr>
            <w:tcW w:w="1275" w:type="dxa"/>
            <w:vMerge/>
            <w:tcBorders>
              <w:left w:val="single" w:sz="4" w:space="0" w:color="000000"/>
              <w:bottom w:val="single" w:sz="4" w:space="0" w:color="000000"/>
              <w:right w:val="single" w:sz="4" w:space="0" w:color="000000"/>
            </w:tcBorders>
            <w:shd w:val="clear" w:color="auto" w:fill="D2D2D2"/>
          </w:tcPr>
          <w:p>
            <w:pPr/>
          </w:p>
        </w:tc>
        <w:tc>
          <w:tcPr>
            <w:tcW w:w="1418" w:type="dxa"/>
            <w:vMerge/>
            <w:tcBorders>
              <w:left w:val="single" w:sz="4" w:space="0" w:color="000000"/>
              <w:bottom w:val="single" w:sz="4" w:space="0" w:color="000000"/>
              <w:right w:val="single" w:sz="4" w:space="0" w:color="FFFFFF"/>
            </w:tcBorders>
            <w:shd w:val="clear" w:color="auto" w:fill="D2D2D2"/>
          </w:tcPr>
          <w:p>
            <w:pPr/>
          </w:p>
        </w:tc>
        <w:tc>
          <w:tcPr>
            <w:tcW w:w="1416" w:type="dxa"/>
            <w:tcBorders>
              <w:top w:val="nil" w:sz="6" w:space="0" w:color="auto"/>
              <w:left w:val="single" w:sz="4" w:space="0" w:color="FFFFFF"/>
              <w:bottom w:val="single" w:sz="4" w:space="0" w:color="000000"/>
              <w:right w:val="single" w:sz="4" w:space="0" w:color="000000"/>
            </w:tcBorders>
            <w:shd w:val="clear" w:color="auto" w:fill="D2D2D2"/>
          </w:tcPr>
          <w:p>
            <w:pPr/>
          </w:p>
        </w:tc>
      </w:tr>
      <w:tr>
        <w:trPr>
          <w:trHeight w:val="403" w:hRule="exact"/>
        </w:trPr>
        <w:tc>
          <w:tcPr>
            <w:tcW w:w="22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一、上年期末余额</w:t>
            </w:r>
          </w:p>
        </w:tc>
        <w:tc>
          <w:tcPr>
            <w:tcW w:w="14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200,000,000.00</w:t>
            </w: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427,808,758.31</w:t>
            </w:r>
          </w:p>
        </w:tc>
        <w:tc>
          <w:tcPr>
            <w:tcW w:w="1136" w:type="dxa"/>
            <w:tcBorders>
              <w:top w:val="single" w:sz="4" w:space="0" w:color="000000"/>
              <w:left w:val="single" w:sz="4" w:space="0" w:color="000000"/>
              <w:bottom w:val="single" w:sz="4" w:space="0" w:color="000000"/>
              <w:right w:val="single" w:sz="4" w:space="0" w:color="FFFFFF"/>
            </w:tcBorders>
          </w:tcPr>
          <w:p>
            <w:pPr/>
          </w:p>
        </w:tc>
        <w:tc>
          <w:tcPr>
            <w:tcW w:w="850" w:type="dxa"/>
            <w:tcBorders>
              <w:top w:val="single" w:sz="4" w:space="0" w:color="000000"/>
              <w:left w:val="single" w:sz="4" w:space="0" w:color="FFFFFF"/>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22,386,945.56</w:t>
            </w:r>
          </w:p>
        </w:tc>
        <w:tc>
          <w:tcPr>
            <w:tcW w:w="1418"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96,482,510.01</w:t>
            </w:r>
          </w:p>
        </w:tc>
        <w:tc>
          <w:tcPr>
            <w:tcW w:w="1416"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75"/>
              <w:ind w:left="47" w:right="0"/>
              <w:jc w:val="center"/>
              <w:rPr>
                <w:rFonts w:ascii="Times New Roman" w:hAnsi="Times New Roman" w:cs="Times New Roman" w:eastAsia="Times New Roman" w:hint="default"/>
                <w:sz w:val="21"/>
                <w:szCs w:val="21"/>
              </w:rPr>
            </w:pPr>
            <w:r>
              <w:rPr>
                <w:rFonts w:ascii="Times New Roman"/>
                <w:sz w:val="21"/>
              </w:rPr>
              <w:t>746,678,213.88</w:t>
            </w:r>
          </w:p>
        </w:tc>
      </w:tr>
      <w:tr>
        <w:trPr>
          <w:trHeight w:val="401" w:hRule="exact"/>
        </w:trPr>
        <w:tc>
          <w:tcPr>
            <w:tcW w:w="22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17"/>
              <w:jc w:val="right"/>
              <w:rPr>
                <w:rFonts w:ascii="宋体" w:hAnsi="宋体" w:cs="宋体" w:eastAsia="宋体" w:hint="default"/>
                <w:sz w:val="21"/>
                <w:szCs w:val="21"/>
              </w:rPr>
            </w:pPr>
            <w:r>
              <w:rPr>
                <w:rFonts w:ascii="宋体" w:hAnsi="宋体" w:cs="宋体" w:eastAsia="宋体" w:hint="default"/>
                <w:spacing w:val="-2"/>
                <w:sz w:val="21"/>
                <w:szCs w:val="21"/>
              </w:rPr>
              <w:t>加：会计政策变更</w:t>
            </w:r>
          </w:p>
        </w:tc>
        <w:tc>
          <w:tcPr>
            <w:tcW w:w="1430" w:type="dxa"/>
            <w:tcBorders>
              <w:top w:val="single" w:sz="4" w:space="0" w:color="000000"/>
              <w:left w:val="single" w:sz="13" w:space="0" w:color="D2D2D2"/>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FFFFFF"/>
            </w:tcBorders>
          </w:tcPr>
          <w:p>
            <w:pPr/>
          </w:p>
        </w:tc>
        <w:tc>
          <w:tcPr>
            <w:tcW w:w="850" w:type="dxa"/>
            <w:tcBorders>
              <w:top w:val="single" w:sz="4" w:space="0" w:color="000000"/>
              <w:left w:val="single" w:sz="4" w:space="0" w:color="FFFFFF"/>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FFFFFF"/>
            </w:tcBorders>
          </w:tcPr>
          <w:p>
            <w:pPr/>
          </w:p>
        </w:tc>
        <w:tc>
          <w:tcPr>
            <w:tcW w:w="1416" w:type="dxa"/>
            <w:tcBorders>
              <w:top w:val="single" w:sz="4" w:space="0" w:color="000000"/>
              <w:left w:val="single" w:sz="4" w:space="0" w:color="FFFFFF"/>
              <w:bottom w:val="single" w:sz="4" w:space="0" w:color="000000"/>
              <w:right w:val="single" w:sz="4" w:space="0" w:color="000000"/>
            </w:tcBorders>
          </w:tcPr>
          <w:p>
            <w:pPr/>
          </w:p>
        </w:tc>
      </w:tr>
      <w:tr>
        <w:trPr>
          <w:trHeight w:val="403" w:hRule="exact"/>
        </w:trPr>
        <w:tc>
          <w:tcPr>
            <w:tcW w:w="22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17"/>
              <w:jc w:val="right"/>
              <w:rPr>
                <w:rFonts w:ascii="宋体" w:hAnsi="宋体" w:cs="宋体" w:eastAsia="宋体" w:hint="default"/>
                <w:sz w:val="21"/>
                <w:szCs w:val="21"/>
              </w:rPr>
            </w:pPr>
            <w:r>
              <w:rPr>
                <w:rFonts w:ascii="宋体" w:hAnsi="宋体" w:cs="宋体" w:eastAsia="宋体" w:hint="default"/>
                <w:spacing w:val="-2"/>
                <w:sz w:val="21"/>
                <w:szCs w:val="21"/>
              </w:rPr>
              <w:t>前期差错更正</w:t>
            </w:r>
          </w:p>
        </w:tc>
        <w:tc>
          <w:tcPr>
            <w:tcW w:w="1430" w:type="dxa"/>
            <w:tcBorders>
              <w:top w:val="single" w:sz="4" w:space="0" w:color="000000"/>
              <w:left w:val="single" w:sz="13" w:space="0" w:color="D2D2D2"/>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FFFFFF"/>
            </w:tcBorders>
          </w:tcPr>
          <w:p>
            <w:pPr/>
          </w:p>
        </w:tc>
        <w:tc>
          <w:tcPr>
            <w:tcW w:w="850" w:type="dxa"/>
            <w:tcBorders>
              <w:top w:val="single" w:sz="4" w:space="0" w:color="000000"/>
              <w:left w:val="single" w:sz="4" w:space="0" w:color="FFFFFF"/>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FFFFFF"/>
            </w:tcBorders>
          </w:tcPr>
          <w:p>
            <w:pPr/>
          </w:p>
        </w:tc>
        <w:tc>
          <w:tcPr>
            <w:tcW w:w="1416" w:type="dxa"/>
            <w:tcBorders>
              <w:top w:val="single" w:sz="4" w:space="0" w:color="000000"/>
              <w:left w:val="single" w:sz="4" w:space="0" w:color="FFFFFF"/>
              <w:bottom w:val="single" w:sz="4" w:space="0" w:color="000000"/>
              <w:right w:val="single" w:sz="4" w:space="0" w:color="000000"/>
            </w:tcBorders>
          </w:tcPr>
          <w:p>
            <w:pPr/>
          </w:p>
        </w:tc>
      </w:tr>
      <w:tr>
        <w:trPr>
          <w:trHeight w:val="401" w:hRule="exact"/>
        </w:trPr>
        <w:tc>
          <w:tcPr>
            <w:tcW w:w="22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05"/>
              <w:jc w:val="center"/>
              <w:rPr>
                <w:rFonts w:ascii="宋体" w:hAnsi="宋体" w:cs="宋体" w:eastAsia="宋体" w:hint="default"/>
                <w:sz w:val="21"/>
                <w:szCs w:val="21"/>
              </w:rPr>
            </w:pPr>
            <w:r>
              <w:rPr>
                <w:rFonts w:ascii="宋体" w:hAnsi="宋体" w:cs="宋体" w:eastAsia="宋体" w:hint="default"/>
                <w:spacing w:val="-3"/>
                <w:sz w:val="21"/>
                <w:szCs w:val="21"/>
              </w:rPr>
              <w:t>其他</w:t>
            </w:r>
            <w:r>
              <w:rPr>
                <w:rFonts w:ascii="宋体" w:hAnsi="宋体" w:cs="宋体" w:eastAsia="宋体" w:hint="default"/>
                <w:sz w:val="21"/>
                <w:szCs w:val="21"/>
              </w:rPr>
            </w:r>
          </w:p>
        </w:tc>
        <w:tc>
          <w:tcPr>
            <w:tcW w:w="1430" w:type="dxa"/>
            <w:tcBorders>
              <w:top w:val="single" w:sz="4" w:space="0" w:color="000000"/>
              <w:left w:val="single" w:sz="13" w:space="0" w:color="D2D2D2"/>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FFFFFF"/>
            </w:tcBorders>
          </w:tcPr>
          <w:p>
            <w:pPr/>
          </w:p>
        </w:tc>
        <w:tc>
          <w:tcPr>
            <w:tcW w:w="850" w:type="dxa"/>
            <w:tcBorders>
              <w:top w:val="single" w:sz="4" w:space="0" w:color="000000"/>
              <w:left w:val="single" w:sz="4" w:space="0" w:color="FFFFFF"/>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FFFFFF"/>
            </w:tcBorders>
          </w:tcPr>
          <w:p>
            <w:pPr/>
          </w:p>
        </w:tc>
        <w:tc>
          <w:tcPr>
            <w:tcW w:w="1416" w:type="dxa"/>
            <w:tcBorders>
              <w:top w:val="single" w:sz="4" w:space="0" w:color="000000"/>
              <w:left w:val="single" w:sz="4" w:space="0" w:color="FFFFFF"/>
              <w:bottom w:val="single" w:sz="4" w:space="0" w:color="000000"/>
              <w:right w:val="single" w:sz="4" w:space="0" w:color="000000"/>
            </w:tcBorders>
          </w:tcPr>
          <w:p>
            <w:pPr/>
          </w:p>
        </w:tc>
      </w:tr>
      <w:tr>
        <w:trPr>
          <w:trHeight w:val="403" w:hRule="exact"/>
        </w:trPr>
        <w:tc>
          <w:tcPr>
            <w:tcW w:w="22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二、本年期初余额</w:t>
            </w:r>
          </w:p>
        </w:tc>
        <w:tc>
          <w:tcPr>
            <w:tcW w:w="14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200,000,000.00</w:t>
            </w: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427,808,758.31</w:t>
            </w:r>
          </w:p>
        </w:tc>
        <w:tc>
          <w:tcPr>
            <w:tcW w:w="1136" w:type="dxa"/>
            <w:tcBorders>
              <w:top w:val="single" w:sz="4" w:space="0" w:color="000000"/>
              <w:left w:val="single" w:sz="4" w:space="0" w:color="000000"/>
              <w:bottom w:val="single" w:sz="4" w:space="0" w:color="000000"/>
              <w:right w:val="single" w:sz="4" w:space="0" w:color="FFFFFF"/>
            </w:tcBorders>
          </w:tcPr>
          <w:p>
            <w:pPr/>
          </w:p>
        </w:tc>
        <w:tc>
          <w:tcPr>
            <w:tcW w:w="850" w:type="dxa"/>
            <w:tcBorders>
              <w:top w:val="single" w:sz="4" w:space="0" w:color="000000"/>
              <w:left w:val="single" w:sz="4" w:space="0" w:color="FFFFFF"/>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22,386,945.56</w:t>
            </w:r>
          </w:p>
        </w:tc>
        <w:tc>
          <w:tcPr>
            <w:tcW w:w="1418"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96,482,510.01</w:t>
            </w:r>
          </w:p>
        </w:tc>
        <w:tc>
          <w:tcPr>
            <w:tcW w:w="1416"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75"/>
              <w:ind w:left="47" w:right="0"/>
              <w:jc w:val="center"/>
              <w:rPr>
                <w:rFonts w:ascii="Times New Roman" w:hAnsi="Times New Roman" w:cs="Times New Roman" w:eastAsia="Times New Roman" w:hint="default"/>
                <w:sz w:val="21"/>
                <w:szCs w:val="21"/>
              </w:rPr>
            </w:pPr>
            <w:r>
              <w:rPr>
                <w:rFonts w:ascii="Times New Roman"/>
                <w:sz w:val="21"/>
              </w:rPr>
              <w:t>746,678,213.88</w:t>
            </w:r>
          </w:p>
        </w:tc>
      </w:tr>
      <w:tr>
        <w:trPr>
          <w:trHeight w:val="713" w:hRule="exact"/>
        </w:trPr>
        <w:tc>
          <w:tcPr>
            <w:tcW w:w="22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三、本期增减变动金额</w:t>
            </w:r>
          </w:p>
          <w:p>
            <w:pPr>
              <w:pStyle w:val="TableParagraph"/>
              <w:spacing w:line="240" w:lineRule="auto" w:before="34"/>
              <w:ind w:left="11" w:right="0"/>
              <w:jc w:val="left"/>
              <w:rPr>
                <w:rFonts w:ascii="宋体" w:hAnsi="宋体" w:cs="宋体" w:eastAsia="宋体" w:hint="default"/>
                <w:sz w:val="21"/>
                <w:szCs w:val="21"/>
              </w:rPr>
            </w:pPr>
            <w:r>
              <w:rPr>
                <w:rFonts w:ascii="宋体" w:hAnsi="宋体" w:cs="宋体" w:eastAsia="宋体" w:hint="default"/>
                <w:sz w:val="21"/>
                <w:szCs w:val="21"/>
              </w:rPr>
              <w:t>（减少以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430" w:type="dxa"/>
            <w:tcBorders>
              <w:top w:val="single" w:sz="4" w:space="0" w:color="000000"/>
              <w:left w:val="single" w:sz="13" w:space="0" w:color="D2D2D2"/>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FFFFFF"/>
            </w:tcBorders>
          </w:tcPr>
          <w:p>
            <w:pPr/>
          </w:p>
        </w:tc>
        <w:tc>
          <w:tcPr>
            <w:tcW w:w="850" w:type="dxa"/>
            <w:tcBorders>
              <w:top w:val="single" w:sz="4" w:space="0" w:color="000000"/>
              <w:left w:val="single" w:sz="4" w:space="0" w:color="FFFFFF"/>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9,823,467.73</w:t>
            </w:r>
          </w:p>
        </w:tc>
        <w:tc>
          <w:tcPr>
            <w:tcW w:w="1418"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28,411,209.61</w:t>
            </w:r>
          </w:p>
        </w:tc>
        <w:tc>
          <w:tcPr>
            <w:tcW w:w="1416"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53" w:right="0"/>
              <w:jc w:val="center"/>
              <w:rPr>
                <w:rFonts w:ascii="Times New Roman" w:hAnsi="Times New Roman" w:cs="Times New Roman" w:eastAsia="Times New Roman" w:hint="default"/>
                <w:sz w:val="21"/>
                <w:szCs w:val="21"/>
              </w:rPr>
            </w:pPr>
            <w:r>
              <w:rPr>
                <w:rFonts w:ascii="Times New Roman"/>
                <w:sz w:val="21"/>
              </w:rPr>
              <w:t>38,234,677.34</w:t>
            </w:r>
          </w:p>
        </w:tc>
      </w:tr>
      <w:tr>
        <w:trPr>
          <w:trHeight w:val="403" w:hRule="exact"/>
        </w:trPr>
        <w:tc>
          <w:tcPr>
            <w:tcW w:w="22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（一）综合收益总额</w:t>
            </w:r>
          </w:p>
        </w:tc>
        <w:tc>
          <w:tcPr>
            <w:tcW w:w="1430" w:type="dxa"/>
            <w:tcBorders>
              <w:top w:val="single" w:sz="4" w:space="0" w:color="000000"/>
              <w:left w:val="single" w:sz="13" w:space="0" w:color="D2D2D2"/>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FFFFFF"/>
            </w:tcBorders>
          </w:tcPr>
          <w:p>
            <w:pPr/>
          </w:p>
        </w:tc>
        <w:tc>
          <w:tcPr>
            <w:tcW w:w="850" w:type="dxa"/>
            <w:tcBorders>
              <w:top w:val="single" w:sz="4" w:space="0" w:color="000000"/>
              <w:left w:val="single" w:sz="4" w:space="0" w:color="FFFFFF"/>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98,234,677.34</w:t>
            </w:r>
          </w:p>
        </w:tc>
        <w:tc>
          <w:tcPr>
            <w:tcW w:w="1416"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75"/>
              <w:ind w:left="153" w:right="0"/>
              <w:jc w:val="center"/>
              <w:rPr>
                <w:rFonts w:ascii="Times New Roman" w:hAnsi="Times New Roman" w:cs="Times New Roman" w:eastAsia="Times New Roman" w:hint="default"/>
                <w:sz w:val="21"/>
                <w:szCs w:val="21"/>
              </w:rPr>
            </w:pPr>
            <w:r>
              <w:rPr>
                <w:rFonts w:ascii="Times New Roman"/>
                <w:sz w:val="21"/>
              </w:rPr>
              <w:t>98,234,677.34</w:t>
            </w:r>
          </w:p>
        </w:tc>
      </w:tr>
      <w:tr>
        <w:trPr>
          <w:trHeight w:val="401" w:hRule="exact"/>
        </w:trPr>
        <w:tc>
          <w:tcPr>
            <w:tcW w:w="22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11" w:right="0"/>
              <w:jc w:val="left"/>
              <w:rPr>
                <w:rFonts w:ascii="宋体" w:hAnsi="宋体" w:cs="宋体" w:eastAsia="宋体" w:hint="default"/>
                <w:sz w:val="21"/>
                <w:szCs w:val="21"/>
              </w:rPr>
            </w:pPr>
            <w:r>
              <w:rPr>
                <w:rFonts w:ascii="宋体" w:hAnsi="宋体" w:cs="宋体" w:eastAsia="宋体" w:hint="default"/>
                <w:w w:val="100"/>
                <w:sz w:val="21"/>
                <w:szCs w:val="21"/>
              </w:rPr>
              <w:t>（二</w:t>
            </w:r>
            <w:r>
              <w:rPr>
                <w:rFonts w:ascii="宋体" w:hAnsi="宋体" w:cs="宋体" w:eastAsia="宋体" w:hint="default"/>
                <w:spacing w:val="-101"/>
                <w:w w:val="100"/>
                <w:sz w:val="21"/>
                <w:szCs w:val="21"/>
              </w:rPr>
              <w:t>）</w:t>
            </w:r>
            <w:r>
              <w:rPr>
                <w:rFonts w:ascii="宋体" w:hAnsi="宋体" w:cs="宋体" w:eastAsia="宋体" w:hint="default"/>
                <w:w w:val="100"/>
                <w:sz w:val="21"/>
                <w:szCs w:val="21"/>
              </w:rPr>
              <w:t>所</w:t>
            </w:r>
            <w:r>
              <w:rPr>
                <w:rFonts w:ascii="宋体" w:hAnsi="宋体" w:cs="宋体" w:eastAsia="宋体" w:hint="default"/>
                <w:spacing w:val="-3"/>
                <w:w w:val="100"/>
                <w:sz w:val="21"/>
                <w:szCs w:val="21"/>
              </w:rPr>
              <w:t>有</w:t>
            </w:r>
            <w:r>
              <w:rPr>
                <w:rFonts w:ascii="宋体" w:hAnsi="宋体" w:cs="宋体" w:eastAsia="宋体" w:hint="default"/>
                <w:w w:val="100"/>
                <w:sz w:val="21"/>
                <w:szCs w:val="21"/>
              </w:rPr>
              <w:t>者</w:t>
            </w:r>
            <w:r>
              <w:rPr>
                <w:rFonts w:ascii="宋体" w:hAnsi="宋体" w:cs="宋体" w:eastAsia="宋体" w:hint="default"/>
                <w:spacing w:val="-3"/>
                <w:w w:val="100"/>
                <w:sz w:val="21"/>
                <w:szCs w:val="21"/>
              </w:rPr>
              <w:t>投</w:t>
            </w:r>
            <w:r>
              <w:rPr>
                <w:rFonts w:ascii="宋体" w:hAnsi="宋体" w:cs="宋体" w:eastAsia="宋体" w:hint="default"/>
                <w:w w:val="100"/>
                <w:sz w:val="21"/>
                <w:szCs w:val="21"/>
              </w:rPr>
              <w:t>入</w:t>
            </w:r>
            <w:r>
              <w:rPr>
                <w:rFonts w:ascii="宋体" w:hAnsi="宋体" w:cs="宋体" w:eastAsia="宋体" w:hint="default"/>
                <w:spacing w:val="-3"/>
                <w:w w:val="100"/>
                <w:sz w:val="21"/>
                <w:szCs w:val="21"/>
              </w:rPr>
              <w:t>和</w:t>
            </w:r>
            <w:r>
              <w:rPr>
                <w:rFonts w:ascii="宋体" w:hAnsi="宋体" w:cs="宋体" w:eastAsia="宋体" w:hint="default"/>
                <w:w w:val="100"/>
                <w:sz w:val="21"/>
                <w:szCs w:val="21"/>
              </w:rPr>
              <w:t>减少</w:t>
            </w:r>
          </w:p>
        </w:tc>
        <w:tc>
          <w:tcPr>
            <w:tcW w:w="1430" w:type="dxa"/>
            <w:tcBorders>
              <w:top w:val="single" w:sz="4" w:space="0" w:color="000000"/>
              <w:left w:val="single" w:sz="13" w:space="0" w:color="D2D2D2"/>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FFFFFF"/>
            </w:tcBorders>
          </w:tcPr>
          <w:p>
            <w:pPr/>
          </w:p>
        </w:tc>
        <w:tc>
          <w:tcPr>
            <w:tcW w:w="850" w:type="dxa"/>
            <w:tcBorders>
              <w:top w:val="single" w:sz="4" w:space="0" w:color="000000"/>
              <w:left w:val="single" w:sz="4" w:space="0" w:color="FFFFFF"/>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FFFFFF"/>
            </w:tcBorders>
          </w:tcPr>
          <w:p>
            <w:pPr/>
          </w:p>
        </w:tc>
        <w:tc>
          <w:tcPr>
            <w:tcW w:w="1416" w:type="dxa"/>
            <w:tcBorders>
              <w:top w:val="single" w:sz="4" w:space="0" w:color="000000"/>
              <w:left w:val="single" w:sz="4" w:space="0" w:color="FFFFFF"/>
              <w:bottom w:val="single" w:sz="4" w:space="0" w:color="000000"/>
              <w:right w:val="single" w:sz="4" w:space="0" w:color="000000"/>
            </w:tcBorders>
          </w:tcPr>
          <w:p>
            <w:pPr/>
          </w:p>
        </w:tc>
      </w:tr>
    </w:tbl>
    <w:p>
      <w:pPr>
        <w:spacing w:after="0"/>
        <w:sectPr>
          <w:pgSz w:w="16840" w:h="11910" w:orient="landscape"/>
          <w:pgMar w:header="867" w:footer="979" w:top="1060" w:bottom="1160" w:left="1320" w:right="1100"/>
        </w:sectPr>
      </w:pPr>
    </w:p>
    <w:p>
      <w:pPr>
        <w:spacing w:line="240" w:lineRule="auto" w:before="2"/>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2268"/>
        <w:gridCol w:w="1418"/>
        <w:gridCol w:w="567"/>
        <w:gridCol w:w="566"/>
        <w:gridCol w:w="569"/>
        <w:gridCol w:w="1699"/>
        <w:gridCol w:w="1136"/>
        <w:gridCol w:w="850"/>
        <w:gridCol w:w="994"/>
        <w:gridCol w:w="1275"/>
        <w:gridCol w:w="1418"/>
        <w:gridCol w:w="1416"/>
      </w:tblGrid>
      <w:tr>
        <w:trPr>
          <w:trHeight w:val="377" w:hRule="exact"/>
        </w:trPr>
        <w:tc>
          <w:tcPr>
            <w:tcW w:w="2268"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z w:val="21"/>
                <w:szCs w:val="21"/>
              </w:rPr>
              <w:t>资本</w:t>
            </w:r>
          </w:p>
        </w:tc>
        <w:tc>
          <w:tcPr>
            <w:tcW w:w="1418" w:type="dxa"/>
            <w:tcBorders>
              <w:top w:val="single" w:sz="15" w:space="0" w:color="000000"/>
              <w:left w:val="single" w:sz="4" w:space="0" w:color="000000"/>
              <w:bottom w:val="single" w:sz="4" w:space="0" w:color="000000"/>
              <w:right w:val="single" w:sz="4" w:space="0" w:color="000000"/>
            </w:tcBorders>
          </w:tcPr>
          <w:p>
            <w:pPr/>
          </w:p>
        </w:tc>
        <w:tc>
          <w:tcPr>
            <w:tcW w:w="567" w:type="dxa"/>
            <w:tcBorders>
              <w:top w:val="single" w:sz="15" w:space="0" w:color="000000"/>
              <w:left w:val="single" w:sz="4" w:space="0" w:color="000000"/>
              <w:bottom w:val="single" w:sz="4" w:space="0" w:color="000000"/>
              <w:right w:val="single" w:sz="4" w:space="0" w:color="000000"/>
            </w:tcBorders>
          </w:tcPr>
          <w:p>
            <w:pPr/>
          </w:p>
        </w:tc>
        <w:tc>
          <w:tcPr>
            <w:tcW w:w="566" w:type="dxa"/>
            <w:tcBorders>
              <w:top w:val="single" w:sz="15" w:space="0" w:color="000000"/>
              <w:left w:val="single" w:sz="4" w:space="0" w:color="000000"/>
              <w:bottom w:val="single" w:sz="4" w:space="0" w:color="000000"/>
              <w:right w:val="single" w:sz="4" w:space="0" w:color="000000"/>
            </w:tcBorders>
          </w:tcPr>
          <w:p>
            <w:pPr/>
          </w:p>
        </w:tc>
        <w:tc>
          <w:tcPr>
            <w:tcW w:w="569" w:type="dxa"/>
            <w:tcBorders>
              <w:top w:val="single" w:sz="15" w:space="0" w:color="000000"/>
              <w:left w:val="single" w:sz="4" w:space="0" w:color="000000"/>
              <w:bottom w:val="single" w:sz="4" w:space="0" w:color="000000"/>
              <w:right w:val="single" w:sz="4" w:space="0" w:color="000000"/>
            </w:tcBorders>
          </w:tcPr>
          <w:p>
            <w:pPr/>
          </w:p>
        </w:tc>
        <w:tc>
          <w:tcPr>
            <w:tcW w:w="1699" w:type="dxa"/>
            <w:tcBorders>
              <w:top w:val="single" w:sz="15" w:space="0" w:color="000000"/>
              <w:left w:val="single" w:sz="4" w:space="0" w:color="000000"/>
              <w:bottom w:val="single" w:sz="4" w:space="0" w:color="000000"/>
              <w:right w:val="single" w:sz="4" w:space="0" w:color="000000"/>
            </w:tcBorders>
          </w:tcPr>
          <w:p>
            <w:pPr/>
          </w:p>
        </w:tc>
        <w:tc>
          <w:tcPr>
            <w:tcW w:w="1136" w:type="dxa"/>
            <w:tcBorders>
              <w:top w:val="single" w:sz="15" w:space="0" w:color="000000"/>
              <w:left w:val="single" w:sz="4" w:space="0" w:color="000000"/>
              <w:bottom w:val="single" w:sz="4" w:space="0" w:color="000000"/>
              <w:right w:val="single" w:sz="4" w:space="0" w:color="000000"/>
            </w:tcBorders>
          </w:tcPr>
          <w:p>
            <w:pPr/>
          </w:p>
        </w:tc>
        <w:tc>
          <w:tcPr>
            <w:tcW w:w="850" w:type="dxa"/>
            <w:tcBorders>
              <w:top w:val="single" w:sz="15" w:space="0" w:color="000000"/>
              <w:left w:val="single" w:sz="4" w:space="0" w:color="000000"/>
              <w:bottom w:val="single" w:sz="4" w:space="0" w:color="000000"/>
              <w:right w:val="single" w:sz="4" w:space="0" w:color="000000"/>
            </w:tcBorders>
          </w:tcPr>
          <w:p>
            <w:pPr/>
          </w:p>
        </w:tc>
        <w:tc>
          <w:tcPr>
            <w:tcW w:w="994" w:type="dxa"/>
            <w:tcBorders>
              <w:top w:val="single" w:sz="15" w:space="0" w:color="000000"/>
              <w:left w:val="single" w:sz="4" w:space="0" w:color="000000"/>
              <w:bottom w:val="single" w:sz="4" w:space="0" w:color="000000"/>
              <w:right w:val="single" w:sz="4" w:space="0" w:color="000000"/>
            </w:tcBorders>
          </w:tcPr>
          <w:p>
            <w:pPr/>
          </w:p>
        </w:tc>
        <w:tc>
          <w:tcPr>
            <w:tcW w:w="1275" w:type="dxa"/>
            <w:tcBorders>
              <w:top w:val="single" w:sz="15" w:space="0" w:color="000000"/>
              <w:left w:val="single" w:sz="4" w:space="0" w:color="000000"/>
              <w:bottom w:val="single" w:sz="4" w:space="0" w:color="000000"/>
              <w:right w:val="single" w:sz="4" w:space="0" w:color="000000"/>
            </w:tcBorders>
          </w:tcPr>
          <w:p>
            <w:pPr/>
          </w:p>
        </w:tc>
        <w:tc>
          <w:tcPr>
            <w:tcW w:w="1418" w:type="dxa"/>
            <w:tcBorders>
              <w:top w:val="single" w:sz="15" w:space="0" w:color="000000"/>
              <w:left w:val="single" w:sz="4" w:space="0" w:color="000000"/>
              <w:bottom w:val="single" w:sz="4" w:space="0" w:color="000000"/>
              <w:right w:val="single" w:sz="4" w:space="0" w:color="000000"/>
            </w:tcBorders>
          </w:tcPr>
          <w:p>
            <w:pPr/>
          </w:p>
        </w:tc>
        <w:tc>
          <w:tcPr>
            <w:tcW w:w="1416" w:type="dxa"/>
            <w:tcBorders>
              <w:top w:val="single" w:sz="15" w:space="0" w:color="000000"/>
              <w:left w:val="single" w:sz="4" w:space="0" w:color="000000"/>
              <w:bottom w:val="single" w:sz="4" w:space="0" w:color="000000"/>
              <w:right w:val="single" w:sz="4" w:space="0" w:color="000000"/>
            </w:tcBorders>
          </w:tcPr>
          <w:p>
            <w:pP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．股东投入的普通股</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23" w:right="24"/>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．其他权益工具持有者</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投入资本</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23" w:right="24"/>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．股份支付计入所有者</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权益的金额</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（三）利润分配</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9,823,467.73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91" w:right="0"/>
              <w:jc w:val="center"/>
              <w:rPr>
                <w:rFonts w:ascii="Times New Roman" w:hAnsi="Times New Roman" w:cs="Times New Roman" w:eastAsia="Times New Roman" w:hint="default"/>
                <w:sz w:val="21"/>
                <w:szCs w:val="21"/>
              </w:rPr>
            </w:pPr>
            <w:r>
              <w:rPr>
                <w:rFonts w:ascii="Times New Roman"/>
                <w:sz w:val="21"/>
              </w:rPr>
              <w:t>-69,823,467.73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83" w:right="0"/>
              <w:jc w:val="center"/>
              <w:rPr>
                <w:rFonts w:ascii="Times New Roman" w:hAnsi="Times New Roman" w:cs="Times New Roman" w:eastAsia="Times New Roman" w:hint="default"/>
                <w:sz w:val="21"/>
                <w:szCs w:val="21"/>
              </w:rPr>
            </w:pPr>
            <w:r>
              <w:rPr>
                <w:rFonts w:ascii="Times New Roman"/>
                <w:sz w:val="21"/>
              </w:rPr>
              <w:t>-60,000,000.00</w:t>
            </w: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．提取盈余公积</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9,823,467.73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94" w:right="0"/>
              <w:jc w:val="center"/>
              <w:rPr>
                <w:rFonts w:ascii="Times New Roman" w:hAnsi="Times New Roman" w:cs="Times New Roman" w:eastAsia="Times New Roman" w:hint="default"/>
                <w:sz w:val="21"/>
                <w:szCs w:val="21"/>
              </w:rPr>
            </w:pPr>
            <w:r>
              <w:rPr>
                <w:rFonts w:ascii="Times New Roman"/>
                <w:sz w:val="21"/>
              </w:rPr>
              <w:t>-9,823,467.73</w:t>
            </w: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23" w:right="24"/>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．对所有者（或股东）</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的分配</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91" w:right="0"/>
              <w:jc w:val="center"/>
              <w:rPr>
                <w:rFonts w:ascii="Times New Roman" w:hAnsi="Times New Roman" w:cs="Times New Roman" w:eastAsia="Times New Roman" w:hint="default"/>
                <w:sz w:val="21"/>
                <w:szCs w:val="21"/>
              </w:rPr>
            </w:pPr>
            <w:r>
              <w:rPr>
                <w:rFonts w:ascii="Times New Roman"/>
                <w:sz w:val="21"/>
              </w:rPr>
              <w:t>-60,000,000.00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83" w:right="0"/>
              <w:jc w:val="center"/>
              <w:rPr>
                <w:rFonts w:ascii="Times New Roman" w:hAnsi="Times New Roman" w:cs="Times New Roman" w:eastAsia="Times New Roman" w:hint="default"/>
                <w:sz w:val="21"/>
                <w:szCs w:val="21"/>
              </w:rPr>
            </w:pPr>
            <w:r>
              <w:rPr>
                <w:rFonts w:ascii="Times New Roman"/>
                <w:sz w:val="21"/>
              </w:rPr>
              <w:t>-60,000,000.00</w:t>
            </w: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3" w:right="17"/>
              <w:jc w:val="left"/>
              <w:rPr>
                <w:rFonts w:ascii="宋体" w:hAnsi="宋体" w:cs="宋体" w:eastAsia="宋体" w:hint="default"/>
                <w:sz w:val="21"/>
                <w:szCs w:val="21"/>
              </w:rPr>
            </w:pPr>
            <w:r>
              <w:rPr>
                <w:rFonts w:ascii="宋体" w:hAnsi="宋体" w:cs="宋体" w:eastAsia="宋体" w:hint="default"/>
                <w:spacing w:val="-10"/>
                <w:w w:val="100"/>
                <w:sz w:val="21"/>
                <w:szCs w:val="21"/>
              </w:rPr>
              <w:t>（四）所有者权益内部结</w:t>
            </w:r>
            <w:r>
              <w:rPr>
                <w:rFonts w:ascii="宋体" w:hAnsi="宋体" w:cs="宋体" w:eastAsia="宋体" w:hint="default"/>
                <w:w w:val="100"/>
                <w:sz w:val="21"/>
                <w:szCs w:val="21"/>
              </w:rPr>
              <w:t> </w:t>
            </w:r>
            <w:r>
              <w:rPr>
                <w:rFonts w:ascii="宋体" w:hAnsi="宋体" w:cs="宋体" w:eastAsia="宋体" w:hint="default"/>
                <w:sz w:val="21"/>
                <w:szCs w:val="21"/>
              </w:rPr>
              <w:t>转</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23" w:right="17"/>
              <w:jc w:val="left"/>
              <w:rPr>
                <w:rFonts w:ascii="宋体" w:hAnsi="宋体" w:cs="宋体" w:eastAsia="宋体" w:hint="default"/>
                <w:sz w:val="21"/>
                <w:szCs w:val="21"/>
              </w:rPr>
            </w:pPr>
            <w:r>
              <w:rPr>
                <w:rFonts w:ascii="Times New Roman" w:hAnsi="Times New Roman" w:cs="Times New Roman" w:eastAsia="Times New Roman" w:hint="default"/>
                <w:spacing w:val="-18"/>
                <w:w w:val="100"/>
                <w:sz w:val="21"/>
                <w:szCs w:val="21"/>
              </w:rPr>
              <w:t>1</w:t>
            </w:r>
            <w:r>
              <w:rPr>
                <w:rFonts w:ascii="宋体" w:hAnsi="宋体" w:cs="宋体" w:eastAsia="宋体" w:hint="default"/>
                <w:spacing w:val="-18"/>
                <w:w w:val="100"/>
                <w:sz w:val="21"/>
                <w:szCs w:val="21"/>
              </w:rPr>
              <w:t>．资本公积转增资本（或</w:t>
            </w:r>
            <w:r>
              <w:rPr>
                <w:rFonts w:ascii="宋体" w:hAnsi="宋体" w:cs="宋体" w:eastAsia="宋体" w:hint="default"/>
                <w:w w:val="100"/>
                <w:sz w:val="21"/>
                <w:szCs w:val="21"/>
              </w:rPr>
              <w:t> </w:t>
            </w:r>
            <w:r>
              <w:rPr>
                <w:rFonts w:ascii="宋体" w:hAnsi="宋体" w:cs="宋体" w:eastAsia="宋体" w:hint="default"/>
                <w:sz w:val="21"/>
                <w:szCs w:val="21"/>
              </w:rPr>
              <w:t>股本）</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23" w:right="17"/>
              <w:jc w:val="left"/>
              <w:rPr>
                <w:rFonts w:ascii="宋体" w:hAnsi="宋体" w:cs="宋体" w:eastAsia="宋体" w:hint="default"/>
                <w:sz w:val="21"/>
                <w:szCs w:val="21"/>
              </w:rPr>
            </w:pPr>
            <w:r>
              <w:rPr>
                <w:rFonts w:ascii="Times New Roman" w:hAnsi="Times New Roman" w:cs="Times New Roman" w:eastAsia="Times New Roman" w:hint="default"/>
                <w:spacing w:val="-18"/>
                <w:w w:val="100"/>
                <w:sz w:val="21"/>
                <w:szCs w:val="21"/>
              </w:rPr>
              <w:t>2</w:t>
            </w:r>
            <w:r>
              <w:rPr>
                <w:rFonts w:ascii="宋体" w:hAnsi="宋体" w:cs="宋体" w:eastAsia="宋体" w:hint="default"/>
                <w:spacing w:val="-18"/>
                <w:w w:val="100"/>
                <w:sz w:val="21"/>
                <w:szCs w:val="21"/>
              </w:rPr>
              <w:t>．盈余公积转增资本（或</w:t>
            </w:r>
            <w:r>
              <w:rPr>
                <w:rFonts w:ascii="宋体" w:hAnsi="宋体" w:cs="宋体" w:eastAsia="宋体" w:hint="default"/>
                <w:w w:val="100"/>
                <w:sz w:val="21"/>
                <w:szCs w:val="21"/>
              </w:rPr>
              <w:t> </w:t>
            </w:r>
            <w:r>
              <w:rPr>
                <w:rFonts w:ascii="宋体" w:hAnsi="宋体" w:cs="宋体" w:eastAsia="宋体" w:hint="default"/>
                <w:sz w:val="21"/>
                <w:szCs w:val="21"/>
              </w:rPr>
              <w:t>股本）</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．盈余公积弥补亏损</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（五）专项储备</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．本期提取</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．本期使用</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（六）其他</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四、本期期末余额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74" w:right="0"/>
              <w:jc w:val="left"/>
              <w:rPr>
                <w:rFonts w:ascii="Times New Roman" w:hAnsi="Times New Roman" w:cs="Times New Roman" w:eastAsia="Times New Roman" w:hint="default"/>
                <w:sz w:val="21"/>
                <w:szCs w:val="21"/>
              </w:rPr>
            </w:pPr>
            <w:r>
              <w:rPr>
                <w:rFonts w:ascii="Times New Roman"/>
                <w:sz w:val="21"/>
              </w:rPr>
              <w:t>200,000,000.00</w:t>
            </w: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52" w:right="0"/>
              <w:jc w:val="left"/>
              <w:rPr>
                <w:rFonts w:ascii="Times New Roman" w:hAnsi="Times New Roman" w:cs="Times New Roman" w:eastAsia="Times New Roman" w:hint="default"/>
                <w:sz w:val="21"/>
                <w:szCs w:val="21"/>
              </w:rPr>
            </w:pPr>
            <w:r>
              <w:rPr>
                <w:rFonts w:ascii="Times New Roman"/>
                <w:sz w:val="21"/>
              </w:rPr>
              <w:t>427,808,758.31</w:t>
            </w:r>
          </w:p>
        </w:tc>
        <w:tc>
          <w:tcPr>
            <w:tcW w:w="113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32,210,413.29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5" w:right="0"/>
              <w:jc w:val="center"/>
              <w:rPr>
                <w:rFonts w:ascii="Times New Roman" w:hAnsi="Times New Roman" w:cs="Times New Roman" w:eastAsia="Times New Roman" w:hint="default"/>
                <w:sz w:val="21"/>
                <w:szCs w:val="21"/>
              </w:rPr>
            </w:pPr>
            <w:r>
              <w:rPr>
                <w:rFonts w:ascii="Times New Roman"/>
                <w:sz w:val="21"/>
              </w:rPr>
              <w:t>124,893,719.62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7" w:right="0"/>
              <w:jc w:val="center"/>
              <w:rPr>
                <w:rFonts w:ascii="Times New Roman" w:hAnsi="Times New Roman" w:cs="Times New Roman" w:eastAsia="Times New Roman" w:hint="default"/>
                <w:sz w:val="21"/>
                <w:szCs w:val="21"/>
              </w:rPr>
            </w:pPr>
            <w:r>
              <w:rPr>
                <w:rFonts w:ascii="Times New Roman"/>
                <w:sz w:val="21"/>
              </w:rPr>
              <w:t>784,912,891.22</w:t>
            </w:r>
          </w:p>
        </w:tc>
      </w:tr>
    </w:tbl>
    <w:p>
      <w:pPr>
        <w:spacing w:after="0" w:line="240" w:lineRule="auto"/>
        <w:jc w:val="center"/>
        <w:rPr>
          <w:rFonts w:ascii="Times New Roman" w:hAnsi="Times New Roman" w:cs="Times New Roman" w:eastAsia="Times New Roman" w:hint="default"/>
          <w:sz w:val="21"/>
          <w:szCs w:val="21"/>
        </w:rPr>
        <w:sectPr>
          <w:pgSz w:w="16840" w:h="11910" w:orient="landscape"/>
          <w:pgMar w:header="867" w:footer="979" w:top="1060" w:bottom="1160" w:left="1320" w:right="1100"/>
        </w:sectPr>
      </w:pPr>
    </w:p>
    <w:p>
      <w:pPr>
        <w:spacing w:line="240" w:lineRule="auto" w:before="5"/>
        <w:rPr>
          <w:rFonts w:ascii="Times New Roman" w:hAnsi="Times New Roman" w:cs="Times New Roman" w:eastAsia="Times New Roman" w:hint="default"/>
          <w:sz w:val="22"/>
          <w:szCs w:val="22"/>
        </w:rPr>
      </w:pPr>
    </w:p>
    <w:p>
      <w:pPr>
        <w:pStyle w:val="Heading2"/>
        <w:spacing w:line="240" w:lineRule="auto" w:before="26"/>
        <w:ind w:right="105"/>
        <w:jc w:val="left"/>
        <w:rPr>
          <w:b w:val="0"/>
          <w:bCs w:val="0"/>
        </w:rPr>
      </w:pPr>
      <w:r>
        <w:rPr/>
        <w:t>三、公司基本情况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05"/>
        <w:jc w:val="left"/>
        <w:rPr>
          <w:b w:val="0"/>
          <w:bCs w:val="0"/>
        </w:rPr>
      </w:pPr>
      <w:r>
        <w:rPr>
          <w:rFonts w:ascii="Times New Roman" w:hAnsi="Times New Roman" w:cs="Times New Roman" w:eastAsia="Times New Roman" w:hint="default"/>
        </w:rPr>
        <w:t>1</w:t>
      </w:r>
      <w:r>
        <w:rPr/>
        <w:t>、公司概况</w:t>
      </w:r>
      <w:r>
        <w:rPr>
          <w:b w:val="0"/>
          <w:bCs w:val="0"/>
        </w:rPr>
      </w:r>
    </w:p>
    <w:p>
      <w:pPr>
        <w:spacing w:line="240" w:lineRule="auto" w:before="7"/>
        <w:rPr>
          <w:rFonts w:ascii="宋体" w:hAnsi="宋体" w:cs="宋体" w:eastAsia="宋体" w:hint="default"/>
          <w:b/>
          <w:bCs/>
          <w:sz w:val="24"/>
          <w:szCs w:val="24"/>
        </w:rPr>
      </w:pPr>
    </w:p>
    <w:p>
      <w:pPr>
        <w:pStyle w:val="BodyText"/>
        <w:spacing w:line="264" w:lineRule="auto"/>
        <w:ind w:right="105" w:firstLine="420"/>
        <w:jc w:val="left"/>
      </w:pPr>
      <w:r>
        <w:rPr>
          <w:spacing w:val="-6"/>
          <w:w w:val="100"/>
        </w:rPr>
        <w:t>广东华声电器股份有限公司（以下简称“公司”或“本公司”）系于</w:t>
      </w:r>
      <w:r>
        <w:rPr>
          <w:spacing w:val="-50"/>
          <w:w w:val="100"/>
        </w:rPr>
        <w:t> </w:t>
      </w:r>
      <w:r>
        <w:rPr>
          <w:rFonts w:ascii="Times New Roman" w:hAnsi="Times New Roman" w:cs="Times New Roman" w:eastAsia="Times New Roman" w:hint="default"/>
          <w:spacing w:val="-1"/>
          <w:w w:val="100"/>
        </w:rPr>
        <w:t>2010 </w:t>
      </w:r>
      <w:r>
        <w:rPr>
          <w:w w:val="100"/>
        </w:rPr>
        <w:t>年</w:t>
      </w:r>
      <w:r>
        <w:rPr>
          <w:spacing w:val="-52"/>
          <w:w w:val="100"/>
        </w:rPr>
        <w:t> </w:t>
      </w:r>
      <w:r>
        <w:rPr>
          <w:rFonts w:ascii="Times New Roman" w:hAnsi="Times New Roman" w:cs="Times New Roman" w:eastAsia="Times New Roman" w:hint="default"/>
          <w:w w:val="100"/>
        </w:rPr>
        <w:t>10</w:t>
      </w:r>
      <w:r>
        <w:rPr>
          <w:rFonts w:ascii="Times New Roman" w:hAnsi="Times New Roman" w:cs="Times New Roman" w:eastAsia="Times New Roman" w:hint="default"/>
          <w:spacing w:val="2"/>
          <w:w w:val="100"/>
        </w:rPr>
        <w:t> </w:t>
      </w:r>
      <w:r>
        <w:rPr>
          <w:w w:val="100"/>
        </w:rPr>
        <w:t>月</w:t>
      </w:r>
      <w:r>
        <w:rPr>
          <w:spacing w:val="-51"/>
          <w:w w:val="100"/>
        </w:rPr>
        <w:t> </w:t>
      </w:r>
      <w:r>
        <w:rPr>
          <w:rFonts w:ascii="Times New Roman" w:hAnsi="Times New Roman" w:cs="Times New Roman" w:eastAsia="Times New Roman" w:hint="default"/>
          <w:spacing w:val="-2"/>
          <w:w w:val="100"/>
        </w:rPr>
        <w:t>22</w:t>
      </w:r>
      <w:r>
        <w:rPr>
          <w:rFonts w:ascii="Times New Roman" w:hAnsi="Times New Roman" w:cs="Times New Roman" w:eastAsia="Times New Roman" w:hint="default"/>
          <w:spacing w:val="2"/>
          <w:w w:val="100"/>
        </w:rPr>
        <w:t> </w:t>
      </w:r>
      <w:r>
        <w:rPr>
          <w:spacing w:val="-2"/>
          <w:w w:val="100"/>
        </w:rPr>
        <w:t>日，经广东省对</w:t>
      </w:r>
      <w:r>
        <w:rPr>
          <w:w w:val="100"/>
        </w:rPr>
        <w:t> </w:t>
      </w:r>
      <w:r>
        <w:rPr>
          <w:spacing w:val="-4"/>
          <w:w w:val="100"/>
        </w:rPr>
        <w:t>外贸易经济合作厅《关于合资企业广东华声电器实业有限公司转制为外商投资股份有限公司的批复》（粤</w:t>
      </w:r>
      <w:r>
        <w:rPr>
          <w:spacing w:val="-90"/>
          <w:w w:val="100"/>
        </w:rPr>
        <w:t> </w:t>
      </w:r>
      <w:r>
        <w:rPr>
          <w:spacing w:val="-90"/>
          <w:w w:val="100"/>
        </w:rPr>
      </w:r>
      <w:r>
        <w:rPr/>
        <w:t>外经贸资字【</w:t>
      </w:r>
      <w:r>
        <w:rPr>
          <w:rFonts w:ascii="Times New Roman" w:hAnsi="Times New Roman" w:cs="Times New Roman" w:eastAsia="Times New Roman" w:hint="default"/>
        </w:rPr>
        <w:t>2010</w:t>
      </w:r>
      <w:r>
        <w:rPr/>
        <w:t>】</w:t>
      </w:r>
      <w:r>
        <w:rPr>
          <w:rFonts w:ascii="Times New Roman" w:hAnsi="Times New Roman" w:cs="Times New Roman" w:eastAsia="Times New Roman" w:hint="default"/>
        </w:rPr>
        <w:t>363</w:t>
      </w:r>
      <w:r>
        <w:rPr>
          <w:rFonts w:ascii="Times New Roman" w:hAnsi="Times New Roman" w:cs="Times New Roman" w:eastAsia="Times New Roman" w:hint="default"/>
          <w:spacing w:val="-4"/>
        </w:rPr>
        <w:t> </w:t>
      </w:r>
      <w:r>
        <w:rPr/>
        <w:t>号）核准，由广东华声电器实业有限公司以截至</w:t>
      </w:r>
      <w:r>
        <w:rPr>
          <w:spacing w:val="-53"/>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日的净资产</w:t>
      </w:r>
    </w:p>
    <w:p>
      <w:pPr>
        <w:pStyle w:val="BodyText"/>
        <w:spacing w:line="289" w:lineRule="exact"/>
        <w:ind w:right="105"/>
        <w:jc w:val="left"/>
      </w:pPr>
      <w:r>
        <w:rPr>
          <w:rFonts w:ascii="Times New Roman" w:hAnsi="Times New Roman" w:cs="Times New Roman" w:eastAsia="Times New Roman" w:hint="default"/>
        </w:rPr>
        <w:t>293,141,214.80</w:t>
      </w:r>
      <w:r>
        <w:rPr>
          <w:rFonts w:ascii="Times New Roman" w:hAnsi="Times New Roman" w:cs="Times New Roman" w:eastAsia="Times New Roman" w:hint="default"/>
          <w:spacing w:val="-4"/>
        </w:rPr>
        <w:t> </w:t>
      </w:r>
      <w:r>
        <w:rPr/>
        <w:t>元按</w:t>
      </w:r>
      <w:r>
        <w:rPr>
          <w:spacing w:val="-57"/>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0.5117</w:t>
      </w:r>
      <w:r>
        <w:rPr>
          <w:rFonts w:ascii="Times New Roman" w:hAnsi="Times New Roman" w:cs="Times New Roman" w:eastAsia="Times New Roman" w:hint="default"/>
          <w:spacing w:val="-4"/>
        </w:rPr>
        <w:t> </w:t>
      </w:r>
      <w:r>
        <w:rPr/>
        <w:t>的比例折为</w:t>
      </w:r>
      <w:r>
        <w:rPr>
          <w:spacing w:val="-55"/>
        </w:rPr>
        <w:t> </w:t>
      </w:r>
      <w:r>
        <w:rPr>
          <w:rFonts w:ascii="Times New Roman" w:hAnsi="Times New Roman" w:cs="Times New Roman" w:eastAsia="Times New Roman" w:hint="default"/>
        </w:rPr>
        <w:t>150,000,000</w:t>
      </w:r>
      <w:r>
        <w:rPr>
          <w:rFonts w:ascii="Times New Roman" w:hAnsi="Times New Roman" w:cs="Times New Roman" w:eastAsia="Times New Roman" w:hint="default"/>
          <w:spacing w:val="-2"/>
        </w:rPr>
        <w:t> </w:t>
      </w:r>
      <w:r>
        <w:rPr/>
        <w:t>股普通股，每股面值为</w:t>
      </w:r>
      <w:r>
        <w:rPr>
          <w:spacing w:val="-57"/>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元，整体改制变更为股份</w:t>
      </w:r>
    </w:p>
    <w:p>
      <w:pPr>
        <w:pStyle w:val="BodyText"/>
        <w:spacing w:line="268" w:lineRule="auto" w:before="21"/>
        <w:ind w:left="0" w:right="208"/>
        <w:jc w:val="right"/>
        <w:rPr>
          <w:rFonts w:ascii="Times New Roman" w:hAnsi="Times New Roman" w:cs="Times New Roman" w:eastAsia="Times New Roman" w:hint="default"/>
        </w:rPr>
      </w:pPr>
      <w:r>
        <w:rPr/>
        <w:t>有限公司。改制后，本公司的股本总额为</w:t>
      </w:r>
      <w:r>
        <w:rPr>
          <w:spacing w:val="-57"/>
        </w:rPr>
        <w:t> </w:t>
      </w:r>
      <w:r>
        <w:rPr>
          <w:rFonts w:ascii="Times New Roman" w:hAnsi="Times New Roman" w:cs="Times New Roman" w:eastAsia="Times New Roman" w:hint="default"/>
        </w:rPr>
        <w:t>150,000,000.00</w:t>
      </w:r>
      <w:r>
        <w:rPr>
          <w:rFonts w:ascii="Times New Roman" w:hAnsi="Times New Roman" w:cs="Times New Roman" w:eastAsia="Times New Roman" w:hint="default"/>
          <w:spacing w:val="-7"/>
        </w:rPr>
        <w:t> </w:t>
      </w:r>
      <w:r>
        <w:rPr/>
        <w:t>元，本次出资业经立信大华会计师事务所有限公</w:t>
      </w:r>
      <w:r>
        <w:rPr>
          <w:w w:val="100"/>
        </w:rPr>
        <w:t> </w:t>
      </w:r>
      <w:r>
        <w:rPr>
          <w:spacing w:val="-2"/>
        </w:rPr>
        <w:t>司出具的立信大华验字【</w:t>
      </w:r>
      <w:r>
        <w:rPr>
          <w:rFonts w:ascii="Times New Roman" w:hAnsi="Times New Roman" w:cs="Times New Roman" w:eastAsia="Times New Roman" w:hint="default"/>
          <w:spacing w:val="-2"/>
        </w:rPr>
        <w:t>2010</w:t>
      </w:r>
      <w:r>
        <w:rPr>
          <w:spacing w:val="-2"/>
        </w:rPr>
        <w:t>】</w:t>
      </w:r>
      <w:r>
        <w:rPr>
          <w:rFonts w:ascii="Times New Roman" w:hAnsi="Times New Roman" w:cs="Times New Roman" w:eastAsia="Times New Roman" w:hint="default"/>
          <w:spacing w:val="-2"/>
        </w:rPr>
        <w:t>155</w:t>
      </w:r>
      <w:r>
        <w:rPr>
          <w:rFonts w:ascii="Times New Roman" w:hAnsi="Times New Roman" w:cs="Times New Roman" w:eastAsia="Times New Roman" w:hint="default"/>
          <w:spacing w:val="34"/>
        </w:rPr>
        <w:t> </w:t>
      </w:r>
      <w:r>
        <w:rPr>
          <w:spacing w:val="-2"/>
        </w:rPr>
        <w:t>号验资报告验证。同时公司名称变更为广东华声电器股份有限公司。</w:t>
      </w:r>
      <w:r>
        <w:rPr>
          <w:w w:val="100"/>
        </w:rPr>
        <w:t> </w:t>
      </w: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16</w:t>
      </w:r>
      <w:r>
        <w:rPr>
          <w:rFonts w:ascii="Times New Roman" w:hAnsi="Times New Roman" w:cs="Times New Roman" w:eastAsia="Times New Roman" w:hint="default"/>
          <w:spacing w:val="-3"/>
        </w:rPr>
        <w:t> </w:t>
      </w:r>
      <w:r>
        <w:rPr/>
        <w:t>日，经中国证券监督管理委员会证监许可【</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363</w:t>
      </w:r>
      <w:r>
        <w:rPr>
          <w:rFonts w:ascii="Times New Roman" w:hAnsi="Times New Roman" w:cs="Times New Roman" w:eastAsia="Times New Roman" w:hint="default"/>
          <w:spacing w:val="-3"/>
        </w:rPr>
        <w:t> </w:t>
      </w:r>
      <w:r>
        <w:rPr/>
        <w:t>号文《关于核准广东华声电器</w:t>
      </w:r>
      <w:r>
        <w:rPr>
          <w:w w:val="100"/>
        </w:rPr>
        <w:t> </w:t>
      </w:r>
      <w:r>
        <w:rPr>
          <w:spacing w:val="-6"/>
        </w:rPr>
        <w:t>股份有限公司首次公开发行股票的批复》的核准，同意公司向社会公众公开发行人民币普通股（</w:t>
      </w:r>
      <w:r>
        <w:rPr>
          <w:rFonts w:ascii="Times New Roman" w:hAnsi="Times New Roman" w:cs="Times New Roman" w:eastAsia="Times New Roman" w:hint="default"/>
          <w:spacing w:val="-6"/>
        </w:rPr>
        <w:t>A  </w:t>
      </w:r>
      <w:r>
        <w:rPr>
          <w:rFonts w:ascii="Times New Roman" w:hAnsi="Times New Roman" w:cs="Times New Roman" w:eastAsia="Times New Roman" w:hint="default"/>
          <w:spacing w:val="-4"/>
        </w:rPr>
        <w:t> </w:t>
      </w:r>
      <w:r>
        <w:rPr>
          <w:spacing w:val="-11"/>
        </w:rPr>
        <w:t>股）</w:t>
      </w:r>
      <w:r>
        <w:rPr>
          <w:rFonts w:ascii="Times New Roman" w:hAnsi="Times New Roman" w:cs="Times New Roman" w:eastAsia="Times New Roman" w:hint="default"/>
          <w:spacing w:val="-11"/>
        </w:rPr>
        <w:t>5000</w:t>
      </w:r>
    </w:p>
    <w:p>
      <w:pPr>
        <w:pStyle w:val="BodyText"/>
        <w:spacing w:line="285" w:lineRule="exact"/>
        <w:ind w:right="105"/>
        <w:jc w:val="left"/>
      </w:pPr>
      <w:r>
        <w:rPr/>
        <w:t>万股。公司于</w:t>
      </w:r>
      <w:r>
        <w:rPr>
          <w:spacing w:val="-53"/>
        </w:rPr>
        <w:t> </w:t>
      </w:r>
      <w:r>
        <w:rPr>
          <w:rFonts w:ascii="Times New Roman" w:hAnsi="Times New Roman" w:cs="Times New Roman" w:eastAsia="Times New Roman" w:hint="default"/>
        </w:rPr>
        <w:t>2012</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日向社会公众投资者定价发行人民币普通股（</w:t>
      </w:r>
      <w:r>
        <w:rPr>
          <w:rFonts w:ascii="Times New Roman" w:hAnsi="Times New Roman" w:cs="Times New Roman" w:eastAsia="Times New Roman" w:hint="default"/>
        </w:rPr>
        <w:t>A </w:t>
      </w:r>
      <w:r>
        <w:rPr/>
        <w:t>股）</w:t>
      </w:r>
      <w:r>
        <w:rPr>
          <w:rFonts w:ascii="Times New Roman" w:hAnsi="Times New Roman" w:cs="Times New Roman" w:eastAsia="Times New Roman" w:hint="default"/>
        </w:rPr>
        <w:t>5000</w:t>
      </w:r>
      <w:r>
        <w:rPr>
          <w:rFonts w:ascii="Times New Roman" w:hAnsi="Times New Roman" w:cs="Times New Roman" w:eastAsia="Times New Roman" w:hint="default"/>
          <w:spacing w:val="-4"/>
        </w:rPr>
        <w:t> </w:t>
      </w:r>
      <w:r>
        <w:rPr/>
        <w:t>万股，每股面值人</w:t>
      </w:r>
    </w:p>
    <w:p>
      <w:pPr>
        <w:pStyle w:val="BodyText"/>
        <w:spacing w:line="240" w:lineRule="auto" w:before="21"/>
        <w:ind w:right="105"/>
        <w:jc w:val="left"/>
      </w:pPr>
      <w:r>
        <w:rPr/>
        <w:t>民币</w:t>
      </w:r>
      <w:r>
        <w:rPr>
          <w:spacing w:val="-47"/>
        </w:rPr>
        <w:t> </w:t>
      </w:r>
      <w:r>
        <w:rPr>
          <w:rFonts w:ascii="Times New Roman" w:hAnsi="Times New Roman" w:cs="Times New Roman" w:eastAsia="Times New Roman" w:hint="default"/>
        </w:rPr>
        <w:t>1.00</w:t>
      </w:r>
      <w:r>
        <w:rPr>
          <w:rFonts w:ascii="Times New Roman" w:hAnsi="Times New Roman" w:cs="Times New Roman" w:eastAsia="Times New Roman" w:hint="default"/>
          <w:spacing w:val="2"/>
        </w:rPr>
        <w:t> </w:t>
      </w:r>
      <w:r>
        <w:rPr/>
        <w:t>元</w:t>
      </w:r>
      <w:r>
        <w:rPr>
          <w:rFonts w:ascii="Times New Roman" w:hAnsi="Times New Roman" w:cs="Times New Roman" w:eastAsia="Times New Roman" w:hint="default"/>
        </w:rPr>
        <w:t>,</w:t>
      </w:r>
      <w:r>
        <w:rPr/>
        <w:t>每股发行认购价格为人民币</w:t>
      </w:r>
      <w:r>
        <w:rPr>
          <w:spacing w:val="-48"/>
        </w:rPr>
        <w:t> </w:t>
      </w:r>
      <w:r>
        <w:rPr>
          <w:rFonts w:ascii="Times New Roman" w:hAnsi="Times New Roman" w:cs="Times New Roman" w:eastAsia="Times New Roman" w:hint="default"/>
        </w:rPr>
        <w:t>7.30</w:t>
      </w:r>
      <w:r>
        <w:rPr>
          <w:rFonts w:ascii="Times New Roman" w:hAnsi="Times New Roman" w:cs="Times New Roman" w:eastAsia="Times New Roman" w:hint="default"/>
          <w:spacing w:val="2"/>
        </w:rPr>
        <w:t> </w:t>
      </w:r>
      <w:r>
        <w:rPr>
          <w:spacing w:val="-3"/>
        </w:rPr>
        <w:t>元，共计募集人民币</w:t>
      </w:r>
      <w:r>
        <w:rPr>
          <w:spacing w:val="-48"/>
        </w:rPr>
        <w:t> </w:t>
      </w:r>
      <w:r>
        <w:rPr>
          <w:rFonts w:ascii="Times New Roman" w:hAnsi="Times New Roman" w:cs="Times New Roman" w:eastAsia="Times New Roman" w:hint="default"/>
        </w:rPr>
        <w:t>36,500</w:t>
      </w:r>
      <w:r>
        <w:rPr>
          <w:rFonts w:ascii="Times New Roman" w:hAnsi="Times New Roman" w:cs="Times New Roman" w:eastAsia="Times New Roman" w:hint="default"/>
          <w:spacing w:val="5"/>
        </w:rPr>
        <w:t> </w:t>
      </w:r>
      <w:r>
        <w:rPr>
          <w:spacing w:val="-3"/>
        </w:rPr>
        <w:t>万元。经此发行，注册资本变更</w:t>
      </w:r>
    </w:p>
    <w:p>
      <w:pPr>
        <w:pStyle w:val="BodyText"/>
        <w:spacing w:line="240" w:lineRule="auto" w:before="21"/>
        <w:ind w:right="105"/>
        <w:jc w:val="left"/>
      </w:pPr>
      <w:r>
        <w:rPr/>
        <w:t>为人民币</w:t>
      </w:r>
      <w:r>
        <w:rPr>
          <w:spacing w:val="-59"/>
        </w:rPr>
        <w:t> </w:t>
      </w:r>
      <w:r>
        <w:rPr>
          <w:rFonts w:ascii="Times New Roman" w:hAnsi="Times New Roman" w:cs="Times New Roman" w:eastAsia="Times New Roman" w:hint="default"/>
        </w:rPr>
        <w:t>20,000</w:t>
      </w:r>
      <w:r>
        <w:rPr>
          <w:rFonts w:ascii="Times New Roman" w:hAnsi="Times New Roman" w:cs="Times New Roman" w:eastAsia="Times New Roman" w:hint="default"/>
          <w:spacing w:val="-7"/>
        </w:rPr>
        <w:t> </w:t>
      </w:r>
      <w:r>
        <w:rPr/>
        <w:t>万元，本次变更业经立信会计师事务所（特殊普通合伙）出具的信会师报字【</w:t>
      </w:r>
      <w:r>
        <w:rPr>
          <w:rFonts w:ascii="Times New Roman" w:hAnsi="Times New Roman" w:cs="Times New Roman" w:eastAsia="Times New Roman" w:hint="default"/>
        </w:rPr>
        <w:t>2012</w:t>
      </w:r>
      <w:r>
        <w:rPr/>
        <w:t>】第</w:t>
      </w:r>
    </w:p>
    <w:p>
      <w:pPr>
        <w:pStyle w:val="BodyText"/>
        <w:spacing w:line="240" w:lineRule="auto" w:before="21"/>
        <w:ind w:right="105"/>
        <w:jc w:val="left"/>
      </w:pPr>
      <w:r>
        <w:rPr>
          <w:rFonts w:ascii="Times New Roman" w:hAnsi="Times New Roman" w:cs="Times New Roman" w:eastAsia="Times New Roman" w:hint="default"/>
        </w:rPr>
        <w:t>310187</w:t>
      </w:r>
      <w:r>
        <w:rPr>
          <w:rFonts w:ascii="Times New Roman" w:hAnsi="Times New Roman" w:cs="Times New Roman" w:eastAsia="Times New Roman" w:hint="default"/>
          <w:spacing w:val="-2"/>
        </w:rPr>
        <w:t> </w:t>
      </w:r>
      <w:r>
        <w:rPr/>
        <w:t>号验资报告验证。</w:t>
      </w:r>
    </w:p>
    <w:p>
      <w:pPr>
        <w:pStyle w:val="BodyText"/>
        <w:spacing w:line="240" w:lineRule="auto" w:before="59"/>
        <w:ind w:left="573" w:right="105"/>
        <w:jc w:val="left"/>
        <w:rPr>
          <w:rFonts w:ascii="Times New Roman" w:hAnsi="Times New Roman" w:cs="Times New Roman" w:eastAsia="Times New Roman" w:hint="default"/>
        </w:rPr>
      </w:pPr>
      <w:r>
        <w:rPr/>
        <w:t>本公司</w:t>
      </w:r>
      <w:r>
        <w:rPr>
          <w:spacing w:val="-5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月在深圳证券交易所上市，所属行业为电器机械及器材制造业类。截止</w:t>
      </w:r>
      <w:r>
        <w:rPr>
          <w:spacing w:val="-53"/>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12</w:t>
      </w:r>
    </w:p>
    <w:p>
      <w:pPr>
        <w:pStyle w:val="BodyText"/>
        <w:spacing w:line="240" w:lineRule="auto" w:before="21"/>
        <w:ind w:right="105"/>
        <w:jc w:val="left"/>
      </w:pP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t>日，本公司累计发行股本总数贰亿股，注册资本为人民币贰亿元，统一社会信用代码：</w:t>
      </w:r>
    </w:p>
    <w:p>
      <w:pPr>
        <w:pStyle w:val="BodyText"/>
        <w:spacing w:line="264" w:lineRule="auto" w:before="21"/>
        <w:ind w:right="105"/>
        <w:jc w:val="left"/>
      </w:pPr>
      <w:r>
        <w:rPr>
          <w:rFonts w:ascii="宋体" w:hAnsi="宋体" w:cs="宋体" w:eastAsia="宋体" w:hint="default"/>
        </w:rPr>
        <w:t>91</w:t>
      </w:r>
      <w:r>
        <w:rPr>
          <w:rFonts w:ascii="Times New Roman" w:hAnsi="Times New Roman" w:cs="Times New Roman" w:eastAsia="Times New Roman" w:hint="default"/>
        </w:rPr>
        <w:t>440606617655613W</w:t>
      </w:r>
      <w:r>
        <w:rPr/>
        <w:t>，法定代表人：杜力，住所：佛山市顺德区容桂街道华口昌宝东路</w:t>
      </w:r>
      <w:r>
        <w:rPr>
          <w:spacing w:val="-57"/>
        </w:rPr>
        <w:t> </w:t>
      </w:r>
      <w:r>
        <w:rPr>
          <w:rFonts w:ascii="Times New Roman" w:hAnsi="Times New Roman" w:cs="Times New Roman" w:eastAsia="Times New Roman" w:hint="default"/>
        </w:rPr>
        <w:t>13</w:t>
      </w:r>
      <w:r>
        <w:rPr>
          <w:rFonts w:ascii="Times New Roman" w:hAnsi="Times New Roman" w:cs="Times New Roman" w:eastAsia="Times New Roman" w:hint="default"/>
          <w:spacing w:val="-7"/>
        </w:rPr>
        <w:t> </w:t>
      </w:r>
      <w:r>
        <w:rPr/>
        <w:t>号。本公司主</w:t>
      </w:r>
      <w:r>
        <w:rPr>
          <w:w w:val="100"/>
        </w:rPr>
        <w:t> </w:t>
      </w:r>
      <w:r>
        <w:rPr>
          <w:spacing w:val="-5"/>
        </w:rPr>
        <w:t>要产品为空调连接组件、电源输入组件，经营范围：生产经营电器连接线、电源线、电线电缆及相关材料；</w:t>
      </w:r>
      <w:r>
        <w:rPr>
          <w:spacing w:val="-6"/>
        </w:rPr>
        <w:t> </w:t>
      </w:r>
      <w:r>
        <w:rPr>
          <w:spacing w:val="-6"/>
        </w:rPr>
      </w:r>
      <w:r>
        <w:rPr/>
        <w:t>自有物业、机器设备出租、管理服务。</w:t>
      </w:r>
    </w:p>
    <w:p>
      <w:pPr>
        <w:pStyle w:val="BodyText"/>
        <w:spacing w:line="273" w:lineRule="auto" w:before="57"/>
        <w:ind w:right="105" w:firstLine="420"/>
        <w:jc w:val="left"/>
      </w:pPr>
      <w:r>
        <w:rPr>
          <w:spacing w:val="-4"/>
          <w:w w:val="100"/>
        </w:rPr>
        <w:t>本公司的母公司为北京凤凰财智创新投资中心（有限合伙），本公司的实际控制人为杜力及其一致行</w:t>
      </w:r>
      <w:r>
        <w:rPr>
          <w:w w:val="100"/>
        </w:rPr>
        <w:t> </w:t>
      </w:r>
      <w:r>
        <w:rPr/>
        <w:t>动人张巍。</w:t>
      </w:r>
    </w:p>
    <w:p>
      <w:pPr>
        <w:pStyle w:val="BodyText"/>
        <w:spacing w:line="290" w:lineRule="auto" w:before="48"/>
        <w:ind w:left="573" w:right="2702"/>
        <w:jc w:val="left"/>
      </w:pPr>
      <w:r>
        <w:rPr/>
        <w:t>本财务报表业经公司全体董事（董事会）于</w:t>
      </w:r>
      <w:r>
        <w:rPr>
          <w:spacing w:val="-53"/>
        </w:rPr>
        <w:t> </w:t>
      </w:r>
      <w:r>
        <w:rPr>
          <w:rFonts w:ascii="Times New Roman" w:hAnsi="Times New Roman" w:cs="Times New Roman" w:eastAsia="Times New Roman" w:hint="default"/>
        </w:rPr>
        <w:t>2016</w:t>
      </w:r>
      <w:r>
        <w:rPr>
          <w:rFonts w:ascii="Times New Roman" w:hAnsi="Times New Roman" w:cs="Times New Roman" w:eastAsia="Times New Roman" w:hint="default"/>
          <w:spacing w:val="-2"/>
        </w:rPr>
        <w:t> </w:t>
      </w:r>
      <w:r>
        <w:rPr/>
        <w:t>年</w:t>
      </w:r>
      <w:r>
        <w:rPr>
          <w:spacing w:val="-53"/>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21</w:t>
      </w:r>
      <w:r>
        <w:rPr>
          <w:rFonts w:ascii="Times New Roman" w:hAnsi="Times New Roman" w:cs="Times New Roman" w:eastAsia="Times New Roman" w:hint="default"/>
          <w:spacing w:val="-3"/>
        </w:rPr>
        <w:t> </w:t>
      </w:r>
      <w:r>
        <w:rPr/>
        <w:t>日批准报出。</w:t>
      </w:r>
      <w:r>
        <w:rPr>
          <w:w w:val="100"/>
        </w:rPr>
        <w:t> </w:t>
      </w:r>
      <w:r>
        <w:rPr/>
        <w:t>公司的基本组织架构如下：</w:t>
      </w:r>
    </w:p>
    <w:p>
      <w:pPr>
        <w:spacing w:after="0" w:line="290" w:lineRule="auto"/>
        <w:jc w:val="left"/>
        <w:sectPr>
          <w:headerReference w:type="default" r:id="rId18"/>
          <w:footerReference w:type="default" r:id="rId19"/>
          <w:pgSz w:w="11910" w:h="16840"/>
          <w:pgMar w:header="877" w:footer="979" w:top="1100" w:bottom="1160" w:left="980" w:right="920"/>
          <w:pgNumType w:start="68"/>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spacing w:line="6564" w:lineRule="exact"/>
        <w:ind w:left="101" w:right="0" w:firstLine="0"/>
        <w:rPr>
          <w:rFonts w:ascii="宋体" w:hAnsi="宋体" w:cs="宋体" w:eastAsia="宋体" w:hint="default"/>
          <w:sz w:val="20"/>
          <w:szCs w:val="20"/>
        </w:rPr>
      </w:pPr>
      <w:r>
        <w:rPr>
          <w:rFonts w:ascii="宋体" w:hAnsi="宋体" w:cs="宋体" w:eastAsia="宋体" w:hint="default"/>
          <w:position w:val="-130"/>
          <w:sz w:val="20"/>
          <w:szCs w:val="20"/>
        </w:rPr>
        <w:pict>
          <v:group style="width:529.550pt;height:328.2pt;mso-position-horizontal-relative:char;mso-position-vertical-relative:line" coordorigin="0,0" coordsize="10591,6564">
            <v:group style="position:absolute;left:4135;top:8;width:1990;height:470" coordorigin="4135,8" coordsize="1990,470">
              <v:shape style="position:absolute;left:4135;top:8;width:1990;height:470" coordorigin="4135,8" coordsize="1990,470" path="m4213,8l4182,14,4157,30,4141,55,4135,86,4135,399,4141,430,4157,455,4182,471,4213,478,6046,478,6077,471,6102,455,6118,430,6125,399,6125,86,6118,55,6102,30,6077,14,6046,8,4213,8xe" filled="false" stroked="true" strokeweight=".75pt" strokecolor="#000000">
                <v:path arrowok="t"/>
              </v:shape>
            </v:group>
            <v:group style="position:absolute;left:4406;top:1524;width:1445;height:470" coordorigin="4406,1524" coordsize="1445,470">
              <v:shape style="position:absolute;left:4406;top:1524;width:1445;height:470" coordorigin="4406,1524" coordsize="1445,470" path="m4485,1524l4454,1531,4429,1547,4413,1572,4406,1603,4406,1916,4413,1947,4429,1972,4454,1988,4485,1994,5773,1994,5804,1988,5829,1972,5845,1947,5851,1916,5851,1603,5845,1572,5829,1547,5804,1531,5773,1524,4485,1524xe" filled="false" stroked="true" strokeweight=".75pt" strokecolor="#000000">
                <v:path arrowok="t"/>
              </v:shape>
            </v:group>
            <v:group style="position:absolute;left:5130;top:478;width:2;height:1047" coordorigin="5130,478" coordsize="2,1047">
              <v:shape style="position:absolute;left:5130;top:478;width:2;height:1047" coordorigin="5130,478" coordsize="1,1047" path="m5130,478l5131,1524e" filled="false" stroked="true" strokeweight=".75pt" strokecolor="#000000">
                <v:path arrowok="t"/>
              </v:shape>
            </v:group>
            <v:group style="position:absolute;left:4406;top:2569;width:1443;height:470" coordorigin="4406,2569" coordsize="1443,470">
              <v:shape style="position:absolute;left:4406;top:2569;width:1443;height:470" coordorigin="4406,2569" coordsize="1443,470" path="m4485,2569l4454,2575,4429,2591,4413,2616,4406,2647,4406,2960,4413,2991,4429,3016,4454,3032,4485,3039,5771,3039,5802,3032,5827,3016,5843,2991,5849,2960,5849,2647,5843,2616,5827,2591,5802,2575,5771,2569,4485,2569xe" filled="false" stroked="true" strokeweight=".75pt" strokecolor="#000000">
                <v:path arrowok="t"/>
              </v:shape>
            </v:group>
            <v:group style="position:absolute;left:8;top:3060;width:1361;height:470" coordorigin="8,3060" coordsize="1361,470">
              <v:shape style="position:absolute;left:8;top:3060;width:1361;height:470" coordorigin="8,3060" coordsize="1361,470" path="m86,3060l55,3066,30,3082,14,3107,8,3138,8,3451,14,3482,30,3507,55,3523,86,3530,1290,3530,1321,3523,1346,3507,1362,3482,1369,3451,1369,3138,1362,3107,1346,3082,1321,3066,1290,3060,86,3060xe" filled="false" stroked="true" strokeweight=".75pt" strokecolor="#000000">
                <v:path arrowok="t"/>
              </v:shape>
            </v:group>
            <v:group style="position:absolute;left:61;top:4709;width:512;height:1820" coordorigin="61,4709" coordsize="512,1820">
              <v:shape style="position:absolute;left:61;top:4709;width:512;height:1820" coordorigin="61,4709" coordsize="512,1820" path="m146,4709l113,4715,86,4734,67,4761,61,4794,61,6443,67,6476,86,6504,113,6522,146,6529,487,6529,520,6522,548,6504,566,6476,573,6443,573,4794,566,4761,548,4734,520,4715,487,4709,146,4709xe" filled="false" stroked="true" strokeweight=".75pt" strokecolor="#000000">
                <v:path arrowok="t"/>
              </v:shape>
            </v:group>
            <v:group style="position:absolute;left:333;top:3530;width:2;height:1179" coordorigin="333,3530" coordsize="2,1179">
              <v:shape style="position:absolute;left:333;top:3530;width:2;height:1179" coordorigin="333,3530" coordsize="1,1179" path="m333,3530l333,4709e" filled="false" stroked="true" strokeweight=".75pt" strokecolor="#000000">
                <v:path arrowok="t"/>
              </v:shape>
            </v:group>
            <v:group style="position:absolute;left:668;top:4715;width:512;height:1821" coordorigin="668,4715" coordsize="512,1821">
              <v:shape style="position:absolute;left:668;top:4715;width:512;height:1821" coordorigin="668,4715" coordsize="512,1821" path="m753,4715l720,4721,693,4740,674,4767,668,4800,668,6450,674,6483,693,6511,720,6529,753,6536,1094,6536,1127,6529,1155,6511,1173,6483,1180,6450,1180,4800,1173,4767,1155,4740,1127,4721,1094,4715,753,4715xe" filled="false" stroked="true" strokeweight=".75pt" strokecolor="#000000">
                <v:path arrowok="t"/>
              </v:shape>
            </v:group>
            <v:group style="position:absolute;left:1284;top:4730;width:512;height:1821" coordorigin="1284,4730" coordsize="512,1821">
              <v:shape style="position:absolute;left:1284;top:4730;width:512;height:1821" coordorigin="1284,4730" coordsize="512,1821" path="m1369,4730l1336,4736,1309,4755,1290,4782,1284,4815,1284,6465,1290,6498,1309,6526,1336,6544,1369,6551,1710,6551,1743,6544,1771,6526,1789,6498,1796,6465,1796,4815,1789,4782,1771,4755,1743,4736,1710,4730,1369,4730xe" filled="false" stroked="true" strokeweight=".75pt" strokecolor="#000000">
                <v:path arrowok="t"/>
              </v:shape>
            </v:group>
            <v:group style="position:absolute;left:1319;top:2569;width:2449;height:470" coordorigin="1319,2569" coordsize="2449,470">
              <v:shape style="position:absolute;left:1319;top:2569;width:2449;height:470" coordorigin="1319,2569" coordsize="2449,470" path="m1397,2569l1366,2575,1341,2591,1325,2616,1319,2647,1319,2960,1325,2991,1341,3016,1366,3032,1397,3039,3689,3039,3720,3032,3745,3016,3761,2991,3768,2960,3768,2647,3761,2616,3745,2591,3720,2575,3689,2569,1397,2569xe" filled="false" stroked="true" strokeweight=".75pt" strokecolor="#000000">
                <v:path arrowok="t"/>
              </v:shape>
            </v:group>
            <v:group style="position:absolute;left:8790;top:4735;width:512;height:1821" coordorigin="8790,4735" coordsize="512,1821">
              <v:shape style="position:absolute;left:8790;top:4735;width:512;height:1821" coordorigin="8790,4735" coordsize="512,1821" path="m8875,4735l8842,4742,8815,4760,8796,4788,8790,4821,8790,6471,8796,6504,8815,6531,8842,6550,8875,6556,9216,6556,9249,6550,9277,6531,9295,6504,9302,6471,9302,4821,9295,4788,9277,4760,9249,4742,9216,4735,8875,4735xe" filled="false" stroked="true" strokeweight=".75pt" strokecolor="#000000">
                <v:path arrowok="t"/>
              </v:shape>
            </v:group>
            <v:group style="position:absolute;left:9033;top:3705;width:2;height:1020" coordorigin="9033,3705" coordsize="2,1020">
              <v:shape style="position:absolute;left:9033;top:3705;width:2;height:1020" coordorigin="9033,3705" coordsize="1,1020" path="m9033,3705l9034,4725e" filled="false" stroked="true" strokeweight=".75pt" strokecolor="#000000">
                <v:path arrowok="t"/>
              </v:shape>
            </v:group>
            <v:group style="position:absolute;left:8143;top:4730;width:512;height:1821" coordorigin="8143,4730" coordsize="512,1821">
              <v:shape style="position:absolute;left:8143;top:4730;width:512;height:1821" coordorigin="8143,4730" coordsize="512,1821" path="m8228,4730l8195,4736,8168,4755,8149,4782,8143,4815,8143,6465,8149,6498,8168,6526,8195,6544,8228,6551,8569,6551,8602,6544,8630,6526,8648,6498,8655,6465,8655,4815,8648,4782,8630,4755,8602,4736,8569,4730,8228,4730xe" filled="false" stroked="true" strokeweight=".75pt" strokecolor="#000000">
                <v:path arrowok="t"/>
              </v:shape>
            </v:group>
            <v:group style="position:absolute;left:8370;top:3705;width:2;height:1020" coordorigin="8370,3705" coordsize="2,1020">
              <v:shape style="position:absolute;left:8370;top:3705;width:2;height:1020" coordorigin="8370,3705" coordsize="1,1020" path="m8370,3705l8371,4725e" filled="false" stroked="true" strokeweight=".75pt" strokecolor="#000000">
                <v:path arrowok="t"/>
              </v:shape>
            </v:group>
            <v:group style="position:absolute;left:7510;top:4724;width:512;height:1821" coordorigin="7510,4724" coordsize="512,1821">
              <v:shape style="position:absolute;left:7510;top:4724;width:512;height:1821" coordorigin="7510,4724" coordsize="512,1821" path="m7595,4724l7562,4730,7535,4749,7516,4776,7510,4809,7510,6459,7516,6492,7535,6520,7562,6538,7595,6545,7936,6545,7969,6538,7997,6520,8015,6492,8022,6459,8022,4809,8015,4776,7997,4749,7969,4730,7936,4724,7595,4724xe" filled="false" stroked="true" strokeweight=".75pt" strokecolor="#000000">
                <v:path arrowok="t"/>
              </v:shape>
            </v:group>
            <v:group style="position:absolute;left:7723;top:3690;width:2;height:1020" coordorigin="7723,3690" coordsize="2,1020">
              <v:shape style="position:absolute;left:7723;top:3690;width:2;height:1020" coordorigin="7723,3690" coordsize="1,1020" path="m7723,3690l7724,4710e" filled="false" stroked="true" strokeweight=".75pt" strokecolor="#000000">
                <v:path arrowok="t"/>
              </v:shape>
            </v:group>
            <v:group style="position:absolute;left:9423;top:4735;width:512;height:1821" coordorigin="9423,4735" coordsize="512,1821">
              <v:shape style="position:absolute;left:9423;top:4735;width:512;height:1821" coordorigin="9423,4735" coordsize="512,1821" path="m9509,4735l9476,4742,9448,4760,9430,4788,9423,4821,9423,6471,9430,6504,9448,6531,9476,6550,9509,6556,9850,6556,9883,6550,9910,6531,9929,6504,9935,6471,9935,4821,9929,4788,9910,4760,9883,4742,9850,4735,9509,4735xe" filled="false" stroked="true" strokeweight=".75pt" strokecolor="#000000">
                <v:path arrowok="t"/>
              </v:shape>
            </v:group>
            <v:group style="position:absolute;left:9682;top:3705;width:2;height:1020" coordorigin="9682,3705" coordsize="2,1020">
              <v:shape style="position:absolute;left:9682;top:3705;width:2;height:1020" coordorigin="9682,3705" coordsize="1,1020" path="m9682,3705l9683,4725e" filled="false" stroked="true" strokeweight=".75pt" strokecolor="#000000">
                <v:path arrowok="t"/>
              </v:shape>
            </v:group>
            <v:group style="position:absolute;left:918;top:3695;width:8787;height:2" coordorigin="918,3695" coordsize="8787,2">
              <v:shape style="position:absolute;left:918;top:3695;width:8787;height:2" coordorigin="918,3695" coordsize="8787,1" path="m918,3695l9705,3696e" filled="false" stroked="true" strokeweight=".75pt" strokecolor="#000000">
                <v:path arrowok="t"/>
              </v:shape>
            </v:group>
            <v:group style="position:absolute;left:6877;top:4720;width:512;height:1821" coordorigin="6877,4720" coordsize="512,1821">
              <v:shape style="position:absolute;left:6877;top:4720;width:512;height:1821" coordorigin="6877,4720" coordsize="512,1821" path="m6962,4720l6929,4727,6902,4745,6883,4773,6877,4806,6877,6456,6883,6489,6902,6516,6929,6535,6962,6541,7303,6541,7336,6535,7364,6516,7382,6489,7389,6456,7389,4806,7382,4773,7364,4745,7336,4727,7303,4720,6962,4720xe" filled="false" stroked="true" strokeweight=".75pt" strokecolor="#000000">
                <v:path arrowok="t"/>
              </v:shape>
            </v:group>
            <v:group style="position:absolute;left:7120;top:3690;width:2;height:1020" coordorigin="7120,3690" coordsize="2,1020">
              <v:shape style="position:absolute;left:7120;top:3690;width:2;height:1020" coordorigin="7120,3690" coordsize="1,1020" path="m7120,3690l7121,4710e" filled="false" stroked="true" strokeweight=".75pt" strokecolor="#000000">
                <v:path arrowok="t"/>
              </v:shape>
            </v:group>
            <v:group style="position:absolute;left:6243;top:4724;width:512;height:1821" coordorigin="6243,4724" coordsize="512,1821">
              <v:shape style="position:absolute;left:6243;top:4724;width:512;height:1821" coordorigin="6243,4724" coordsize="512,1821" path="m6329,4724l6296,4730,6268,4749,6250,4776,6243,4809,6243,6459,6250,6492,6268,6520,6296,6538,6329,6545,6670,6545,6703,6538,6730,6520,6749,6492,6755,6459,6755,4809,6749,4776,6730,4749,6703,4730,6670,4724,6329,4724xe" filled="false" stroked="true" strokeweight=".75pt" strokecolor="#000000">
                <v:path arrowok="t"/>
              </v:shape>
            </v:group>
            <v:group style="position:absolute;left:6503;top:3705;width:2;height:1020" coordorigin="6503,3705" coordsize="2,1020">
              <v:shape style="position:absolute;left:6503;top:3705;width:2;height:1020" coordorigin="6503,3705" coordsize="1,1020" path="m6503,3705l6504,4725e" filled="false" stroked="true" strokeweight=".75pt" strokecolor="#000000">
                <v:path arrowok="t"/>
              </v:shape>
            </v:group>
            <v:group style="position:absolute;left:3150;top:4715;width:512;height:1821" coordorigin="3150,4715" coordsize="512,1821">
              <v:shape style="position:absolute;left:3150;top:4715;width:512;height:1821" coordorigin="3150,4715" coordsize="512,1821" path="m3235,4715l3202,4721,3175,4740,3156,4767,3150,4800,3150,6450,3156,6483,3175,6511,3202,6529,3235,6536,3576,6536,3609,6529,3637,6511,3655,6483,3662,6450,3662,4800,3655,4767,3637,4740,3609,4721,3576,4715,3235,4715xe" filled="false" stroked="true" strokeweight=".75pt" strokecolor="#000000">
                <v:path arrowok="t"/>
              </v:shape>
            </v:group>
            <v:group style="position:absolute;left:3395;top:3690;width:2;height:1020" coordorigin="3395,3690" coordsize="2,1020">
              <v:shape style="position:absolute;left:3395;top:3690;width:2;height:1020" coordorigin="3395,3690" coordsize="1,1020" path="m3395,3690l3396,4710e" filled="false" stroked="true" strokeweight=".75pt" strokecolor="#000000">
                <v:path arrowok="t"/>
              </v:shape>
            </v:group>
            <v:group style="position:absolute;left:2519;top:4709;width:512;height:1821" coordorigin="2519,4709" coordsize="512,1821">
              <v:shape style="position:absolute;left:2519;top:4709;width:512;height:1821" coordorigin="2519,4709" coordsize="512,1821" path="m2605,4709l2572,4715,2544,4734,2526,4761,2519,4794,2519,6444,2526,6477,2544,6505,2572,6523,2605,6530,2946,6530,2979,6523,3006,6505,3025,6477,3031,6444,3031,4794,3025,4761,3006,4734,2979,4715,2946,4709,2605,4709xe" filled="false" stroked="true" strokeweight=".75pt" strokecolor="#000000">
                <v:path arrowok="t"/>
              </v:shape>
            </v:group>
            <v:group style="position:absolute;left:2764;top:3690;width:2;height:1020" coordorigin="2764,3690" coordsize="2,1020">
              <v:shape style="position:absolute;left:2764;top:3690;width:2;height:1020" coordorigin="2764,3690" coordsize="1,1020" path="m2764,3690l2765,4710e" filled="false" stroked="true" strokeweight=".75pt" strokecolor="#000000">
                <v:path arrowok="t"/>
              </v:shape>
            </v:group>
            <v:group style="position:absolute;left:1534;top:3690;width:2;height:1020" coordorigin="1534,3690" coordsize="2,1020">
              <v:shape style="position:absolute;left:1534;top:3690;width:2;height:1020" coordorigin="1534,3690" coordsize="1,1020" path="m1534,3690l1535,4710e" filled="false" stroked="true" strokeweight=".75pt" strokecolor="#000000">
                <v:path arrowok="t"/>
              </v:shape>
            </v:group>
            <v:group style="position:absolute;left:919;top:3690;width:2;height:1020" coordorigin="919,3690" coordsize="2,1020">
              <v:shape style="position:absolute;left:919;top:3690;width:2;height:1020" coordorigin="919,3690" coordsize="1,1020" path="m919,3690l920,4710e" filled="false" stroked="true" strokeweight=".75pt" strokecolor="#000000">
                <v:path arrowok="t"/>
              </v:shape>
            </v:group>
            <v:group style="position:absolute;left:4330;top:4705;width:512;height:1821" coordorigin="4330,4705" coordsize="512,1821">
              <v:shape style="position:absolute;left:4330;top:4705;width:512;height:1821" coordorigin="4330,4705" coordsize="512,1821" path="m4416,4705l4383,4712,4355,4730,4337,4758,4330,4791,4330,6441,4337,6474,4355,6501,4383,6520,4416,6526,4757,6526,4790,6520,4817,6501,4836,6474,4842,6441,4842,4791,4836,4758,4817,4730,4790,4712,4757,4705,4416,4705xe" filled="false" stroked="true" strokeweight=".75pt" strokecolor="#000000">
                <v:path arrowok="t"/>
              </v:shape>
            </v:group>
            <v:group style="position:absolute;left:4571;top:3690;width:2;height:1020" coordorigin="4571,3690" coordsize="2,1020">
              <v:shape style="position:absolute;left:4571;top:3690;width:2;height:1020" coordorigin="4571,3690" coordsize="1,1020" path="m4571,3690l4572,4710e" filled="false" stroked="true" strokeweight=".75pt" strokecolor="#000000">
                <v:path arrowok="t"/>
              </v:shape>
            </v:group>
            <v:group style="position:absolute;left:4965;top:4705;width:512;height:1821" coordorigin="4965,4705" coordsize="512,1821">
              <v:shape style="position:absolute;left:4965;top:4705;width:512;height:1821" coordorigin="4965,4705" coordsize="512,1821" path="m5050,4705l5017,4712,4990,4730,4971,4758,4965,4791,4965,6441,4971,6474,4990,6501,5017,6520,5050,6526,5391,6526,5424,6520,5452,6501,5470,6474,5477,6441,5477,4791,5470,4758,5452,4730,5424,4712,5391,4705,5050,4705xe" filled="false" stroked="true" strokeweight=".75pt" strokecolor="#000000">
                <v:path arrowok="t"/>
              </v:shape>
            </v:group>
            <v:group style="position:absolute;left:5202;top:3690;width:2;height:1020" coordorigin="5202,3690" coordsize="2,1020">
              <v:shape style="position:absolute;left:5202;top:3690;width:2;height:1020" coordorigin="5202,3690" coordsize="1,1020" path="m5202,3690l5203,4710e" filled="false" stroked="true" strokeweight=".75pt" strokecolor="#000000">
                <v:path arrowok="t"/>
              </v:shape>
            </v:group>
            <v:group style="position:absolute;left:5597;top:4720;width:512;height:1821" coordorigin="5597,4720" coordsize="512,1821">
              <v:shape style="position:absolute;left:5597;top:4720;width:512;height:1821" coordorigin="5597,4720" coordsize="512,1821" path="m5682,4720l5649,4727,5622,4745,5603,4773,5597,4806,5597,6456,5603,6489,5622,6516,5649,6535,5682,6541,6023,6541,6056,6535,6084,6516,6102,6489,6109,6456,6109,4806,6102,4773,6084,4745,6056,4727,6023,4720,5682,4720xe" filled="false" stroked="true" strokeweight=".75pt" strokecolor="#000000">
                <v:path arrowok="t"/>
              </v:shape>
            </v:group>
            <v:group style="position:absolute;left:5862;top:3705;width:2;height:1020" coordorigin="5862,3705" coordsize="2,1020">
              <v:shape style="position:absolute;left:5862;top:3705;width:2;height:1020" coordorigin="5862,3705" coordsize="1,1020" path="m5862,3705l5863,4725e" filled="false" stroked="true" strokeweight=".75pt" strokecolor="#000000">
                <v:path arrowok="t"/>
              </v:shape>
            </v:group>
            <v:group style="position:absolute;left:1901;top:4724;width:512;height:1821" coordorigin="1901,4724" coordsize="512,1821">
              <v:shape style="position:absolute;left:1901;top:4724;width:512;height:1821" coordorigin="1901,4724" coordsize="512,1821" path="m1987,4724l1954,4730,1926,4749,1908,4776,1901,4809,1901,6459,1908,6492,1926,6520,1954,6538,1987,6545,2328,6545,2361,6538,2388,6520,2407,6492,2413,6459,2413,4809,2407,4776,2388,4749,2361,4730,2328,4724,1987,4724xe" filled="false" stroked="true" strokeweight=".75pt" strokecolor="#000000">
                <v:path arrowok="t"/>
              </v:shape>
            </v:group>
            <v:group style="position:absolute;left:2149;top:3705;width:2;height:1020" coordorigin="2149,3705" coordsize="2,1020">
              <v:shape style="position:absolute;left:2149;top:3705;width:2;height:1020" coordorigin="2149,3705" coordsize="1,1020" path="m2149,3705l2150,4725e" filled="false" stroked="true" strokeweight=".75pt" strokecolor="#000000">
                <v:path arrowok="t"/>
              </v:shape>
            </v:group>
            <v:group style="position:absolute;left:5128;top:1994;width:2;height:574" coordorigin="5128,1994" coordsize="2,574">
              <v:shape style="position:absolute;left:5128;top:1994;width:2;height:574" coordorigin="5128,1994" coordsize="1,574" path="m5129,1994l5128,2568e" filled="false" stroked="true" strokeweight=".75pt" strokecolor="#000000">
                <v:path arrowok="t"/>
              </v:shape>
            </v:group>
            <v:group style="position:absolute;left:7013;top:360;width:2098;height:510" coordorigin="7013,360" coordsize="2098,510">
              <v:shape style="position:absolute;left:7013;top:360;width:2098;height:510" coordorigin="7013,360" coordsize="2098,510" path="m7098,360l7065,366,7038,384,7020,411,7013,445,7013,785,7020,818,7038,845,7065,863,7098,870,9026,870,9060,863,9087,845,9105,818,9111,785,9111,445,9105,411,9087,384,9060,366,9026,360,7098,360xe" filled="false" stroked="true" strokeweight=".75pt" strokecolor="#000000">
                <v:path arrowok="t"/>
              </v:shape>
            </v:group>
            <v:group style="position:absolute;left:6617;top:600;width:397;height:2" coordorigin="6617,600" coordsize="397,2">
              <v:shape style="position:absolute;left:6617;top:600;width:397;height:2" coordorigin="6617,600" coordsize="397,1" path="m7014,600l6617,601e" filled="false" stroked="true" strokeweight=".75pt" strokecolor="#000000">
                <v:path arrowok="t"/>
              </v:shape>
            </v:group>
            <v:group style="position:absolute;left:7013;top:1016;width:2098;height:470" coordorigin="7013,1016" coordsize="2098,470">
              <v:shape style="position:absolute;left:7013;top:1016;width:2098;height:470" coordorigin="7013,1016" coordsize="2098,470" path="m7092,1016l7061,1022,7036,1038,7020,1063,7013,1094,7013,1407,7020,1438,7036,1463,7061,1479,7092,1486,9033,1486,9064,1479,9089,1463,9105,1438,9111,1407,9111,1094,9105,1063,9089,1038,9064,1022,9033,1016,7092,1016xe" filled="false" stroked="true" strokeweight=".75pt" strokecolor="#000000">
                <v:path arrowok="t"/>
              </v:shape>
            </v:group>
            <v:group style="position:absolute;left:6600;top:1224;width:399;height:2" coordorigin="6600,1224" coordsize="399,2">
              <v:shape style="position:absolute;left:6600;top:1224;width:399;height:2" coordorigin="6600,1224" coordsize="399,1" path="m6999,1224l6600,1225e" filled="false" stroked="true" strokeweight=".75pt" strokecolor="#000000">
                <v:path arrowok="t"/>
              </v:shape>
            </v:group>
            <v:group style="position:absolute;left:6998;top:1673;width:2098;height:469" coordorigin="6998,1673" coordsize="2098,469">
              <v:shape style="position:absolute;left:6998;top:1673;width:2098;height:469" coordorigin="6998,1673" coordsize="2098,469" path="m7077,1673l7046,1679,7021,1695,7005,1720,6998,1751,6998,2063,7005,2094,7021,2119,7046,2135,7077,2141,9018,2141,9049,2135,9074,2119,9090,2094,9096,2063,9096,1751,9090,1720,9074,1695,9049,1679,9018,1673,7077,1673xe" filled="false" stroked="true" strokeweight=".75pt" strokecolor="#000000">
                <v:path arrowok="t"/>
              </v:shape>
            </v:group>
            <v:group style="position:absolute;left:6585;top:1899;width:399;height:2" coordorigin="6585,1899" coordsize="399,2">
              <v:shape style="position:absolute;left:6585;top:1899;width:399;height:2" coordorigin="6585,1899" coordsize="399,1" path="m6984,1899l6585,1900e" filled="false" stroked="true" strokeweight=".75pt" strokecolor="#000000">
                <v:path arrowok="t"/>
              </v:shape>
            </v:group>
            <v:group style="position:absolute;left:7013;top:2334;width:2098;height:470" coordorigin="7013,2334" coordsize="2098,470">
              <v:shape style="position:absolute;left:7013;top:2334;width:2098;height:470" coordorigin="7013,2334" coordsize="2098,470" path="m7092,2334l7061,2340,7036,2356,7020,2381,7013,2412,7013,2725,7020,2756,7036,2781,7061,2797,7092,2804,9033,2804,9064,2797,9089,2781,9105,2756,9111,2725,9111,2412,9105,2381,9089,2356,9064,2340,9033,2334,7092,2334xe" filled="false" stroked="true" strokeweight=".75pt" strokecolor="#000000">
                <v:path arrowok="t"/>
              </v:shape>
            </v:group>
            <v:group style="position:absolute;left:6585;top:2514;width:399;height:2" coordorigin="6585,2514" coordsize="399,2">
              <v:shape style="position:absolute;left:6585;top:2514;width:399;height:2" coordorigin="6585,2514" coordsize="399,1" path="m6984,2514l6585,2515e" filled="false" stroked="true" strokeweight=".75pt" strokecolor="#000000">
                <v:path arrowok="t"/>
              </v:shape>
            </v:group>
            <v:group style="position:absolute;left:10313;top:1903;width:2;height:2818" coordorigin="10313,1903" coordsize="2,2818">
              <v:shape style="position:absolute;left:10313;top:1903;width:2;height:2818" coordorigin="10313,1903" coordsize="1,2818" path="m10313,1903l10314,4721e" filled="false" stroked="true" strokeweight=".75pt" strokecolor="#000000">
                <v:path arrowok="t"/>
              </v:shape>
            </v:group>
            <v:group style="position:absolute;left:9113;top:1901;width:1219;height:2" coordorigin="9113,1901" coordsize="1219,2">
              <v:shape style="position:absolute;left:9113;top:1901;width:1219;height:2" coordorigin="9113,1901" coordsize="1219,2" path="m10332,1903l9113,1901e" filled="false" stroked="true" strokeweight="1.0pt" strokecolor="#000000">
                <v:path arrowok="t"/>
              </v:shape>
            </v:group>
            <v:group style="position:absolute;left:6598;top:640;width:2;height:2641" coordorigin="6598,640" coordsize="2,2641">
              <v:shape style="position:absolute;left:6598;top:640;width:2;height:2641" coordorigin="6598,640" coordsize="1,2641" path="m6598,640l6599,3281e" filled="false" stroked="true" strokeweight=".75pt" strokecolor="#808080">
                <v:path arrowok="t"/>
              </v:shape>
            </v:group>
            <v:group style="position:absolute;left:6598;top:600;width:2;height:2641" coordorigin="6598,600" coordsize="2,2641">
              <v:shape style="position:absolute;left:6598;top:600;width:2;height:2641" coordorigin="6598,600" coordsize="1,2641" path="m6598,600l6599,3241e" filled="false" stroked="true" strokeweight=".75pt" strokecolor="#000000">
                <v:path arrowok="t"/>
              </v:shape>
            </v:group>
            <v:group style="position:absolute;left:5892;top:1759;width:709;height:2" coordorigin="5892,1759" coordsize="709,2">
              <v:shape style="position:absolute;left:5892;top:1759;width:709;height:2" coordorigin="5892,1759" coordsize="709,1" path="m5892,1759l6601,1760e" filled="false" stroked="true" strokeweight=".75pt" strokecolor="#808080">
                <v:path arrowok="t"/>
              </v:shape>
            </v:group>
            <v:group style="position:absolute;left:5852;top:1759;width:709;height:2" coordorigin="5852,1759" coordsize="709,2">
              <v:shape style="position:absolute;left:5852;top:1759;width:709;height:2" coordorigin="5852,1759" coordsize="709,1" path="m5852,1759l6561,1760e" filled="false" stroked="true" strokeweight=".75pt" strokecolor="#000000">
                <v:path arrowok="t"/>
              </v:shape>
            </v:group>
            <v:group style="position:absolute;left:2519;top:1018;width:2608;height:2" coordorigin="2519,1018" coordsize="2608,2">
              <v:shape style="position:absolute;left:2519;top:1018;width:2608;height:2" coordorigin="2519,1018" coordsize="2608,1" path="m2519,1018l5127,1018e" filled="false" stroked="true" strokeweight=".75pt" strokecolor="#000000">
                <v:path arrowok="t"/>
              </v:shape>
            </v:group>
            <v:group style="position:absolute;left:3768;top:2804;width:639;height:2" coordorigin="3768,2804" coordsize="639,2">
              <v:shape style="position:absolute;left:3768;top:2804;width:639;height:2" coordorigin="3768,2804" coordsize="639,1" path="m3768,2804l4407,2805e" filled="false" stroked="true" strokeweight=".75pt" strokecolor="#000000">
                <v:path arrowok="t"/>
              </v:shape>
            </v:group>
            <v:group style="position:absolute;left:350;top:2259;width:4762;height:2" coordorigin="350,2259" coordsize="4762,2">
              <v:shape style="position:absolute;left:350;top:2259;width:4762;height:2" coordorigin="350,2259" coordsize="4762,1" path="m5112,2259l350,2260e" filled="false" stroked="true" strokeweight=".75pt" strokecolor="#000000">
                <v:path arrowok="t"/>
              </v:shape>
            </v:group>
            <v:group style="position:absolute;left:5127;top:3039;width:2;height:652" coordorigin="5127,3039" coordsize="2,652">
              <v:shape style="position:absolute;left:5127;top:3039;width:2;height:652" coordorigin="5127,3039" coordsize="2,652" path="m5129,3039l5127,3691e" filled="false" stroked="true" strokeweight=".75pt" strokecolor="#000000">
                <v:path arrowok="t"/>
              </v:shape>
            </v:group>
            <v:group style="position:absolute;left:350;top:2261;width:2;height:799" coordorigin="350,2261" coordsize="2,799">
              <v:shape style="position:absolute;left:350;top:2261;width:2;height:799" coordorigin="350,2261" coordsize="1,799" path="m351,2261l350,3060e" filled="false" stroked="true" strokeweight=".75pt" strokecolor="#000000">
                <v:path arrowok="t"/>
              </v:shape>
            </v:group>
            <v:group style="position:absolute;left:1826;top:1524;width:1446;height:470" coordorigin="1826,1524" coordsize="1446,470">
              <v:shape style="position:absolute;left:1826;top:1524;width:1446;height:470" coordorigin="1826,1524" coordsize="1446,470" path="m1905,1524l1874,1531,1849,1547,1833,1572,1826,1603,1826,1916,1833,1947,1849,1972,1874,1988,1905,1994,3194,1994,3225,1988,3250,1972,3266,1947,3272,1916,3272,1603,3266,1572,3250,1547,3225,1531,3194,1524,1905,1524xe" filled="false" stroked="true" strokeweight=".75pt" strokecolor="#000000">
                <v:path arrowok="t"/>
              </v:shape>
            </v:group>
            <v:group style="position:absolute;left:2519;top:1006;width:2;height:510" coordorigin="2519,1006" coordsize="2,510">
              <v:shape style="position:absolute;left:2519;top:1006;width:2;height:510" coordorigin="2519,1006" coordsize="1,510" path="m2519,1006l2520,1516e" filled="false" stroked="true" strokeweight=".75pt" strokecolor="#000000">
                <v:path arrowok="t"/>
              </v:shape>
            </v:group>
            <v:group style="position:absolute;left:3740;top:4735;width:512;height:1821" coordorigin="3740,4735" coordsize="512,1821">
              <v:shape style="position:absolute;left:3740;top:4735;width:512;height:1821" coordorigin="3740,4735" coordsize="512,1821" path="m3825,4735l3792,4742,3765,4760,3746,4788,3740,4821,3740,6471,3746,6504,3765,6531,3792,6550,3825,6556,4166,6556,4199,6550,4227,6531,4245,6504,4252,6471,4252,4821,4245,4788,4227,4760,4199,4742,4166,4735,3825,4735xe" filled="false" stroked="true" strokeweight=".75pt" strokecolor="#000000">
                <v:path arrowok="t"/>
              </v:shape>
            </v:group>
            <v:group style="position:absolute;left:3985;top:3710;width:2;height:1020" coordorigin="3985,3710" coordsize="2,1020">
              <v:shape style="position:absolute;left:3985;top:3710;width:2;height:1020" coordorigin="3985,3710" coordsize="1,1020" path="m3985,3710l3986,4730e" filled="false" stroked="true" strokeweight=".75pt" strokecolor="#000000">
                <v:path arrowok="t"/>
              </v:shape>
            </v:group>
            <v:group style="position:absolute;left:10072;top:4735;width:512;height:1821" coordorigin="10072,4735" coordsize="512,1821">
              <v:shape style="position:absolute;left:10072;top:4735;width:512;height:1821" coordorigin="10072,4735" coordsize="512,1821" path="m10157,4735l10124,4742,10097,4760,10078,4788,10072,4821,10072,6471,10078,6504,10097,6531,10124,6550,10157,6556,10498,6556,10531,6550,10559,6531,10577,6504,10584,6471,10584,4821,10577,4788,10559,4760,10531,4742,10498,4735,10157,4735xe" filled="false" stroked="true" strokeweight=".75pt" strokecolor="#000000">
                <v:path arrowok="t"/>
              </v:shape>
            </v:group>
            <v:group style="position:absolute;left:7015;top:3060;width:2098;height:510" coordorigin="7015,3060" coordsize="2098,510">
              <v:shape style="position:absolute;left:7015;top:3060;width:2098;height:510" coordorigin="7015,3060" coordsize="2098,510" path="m7100,3060l7067,3066,7040,3084,7022,3111,7015,3145,7015,3485,7022,3518,7040,3545,7067,3563,7100,3570,9028,3570,9062,3563,9089,3545,9107,3518,9113,3485,9113,3145,9107,3111,9089,3084,9062,3066,9028,3060,7100,3060xe" filled="false" stroked="true" strokeweight=".75pt" strokecolor="#000000">
                <v:path arrowok="t"/>
              </v:shape>
            </v:group>
            <v:group style="position:absolute;left:6617;top:3271;width:399;height:2" coordorigin="6617,3271" coordsize="399,2">
              <v:shape style="position:absolute;left:6617;top:3271;width:399;height:2" coordorigin="6617,3271" coordsize="399,1" path="m7016,3271l6617,3272e" filled="false" stroked="true" strokeweight=".75pt" strokecolor="#000000">
                <v:path arrowok="t"/>
              </v:shape>
              <v:shape style="position:absolute;left:4688;top:189;width:884;height:221" type="#_x0000_t202" filled="false" stroked="false">
                <v:textbox inset="0,0,0,0">
                  <w:txbxContent>
                    <w:p>
                      <w:pPr>
                        <w:spacing w:line="221" w:lineRule="exact" w:before="0"/>
                        <w:ind w:left="0" w:right="0" w:firstLine="0"/>
                        <w:jc w:val="left"/>
                        <w:rPr>
                          <w:rFonts w:ascii="宋体" w:hAnsi="宋体" w:cs="宋体" w:eastAsia="宋体" w:hint="default"/>
                          <w:sz w:val="22"/>
                          <w:szCs w:val="22"/>
                        </w:rPr>
                      </w:pPr>
                      <w:r>
                        <w:rPr>
                          <w:rFonts w:ascii="宋体" w:hAnsi="宋体" w:cs="宋体" w:eastAsia="宋体" w:hint="default"/>
                          <w:b/>
                          <w:bCs/>
                          <w:sz w:val="22"/>
                          <w:szCs w:val="22"/>
                        </w:rPr>
                        <w:t>股东大会</w:t>
                      </w:r>
                      <w:r>
                        <w:rPr>
                          <w:rFonts w:ascii="宋体" w:hAnsi="宋体" w:cs="宋体" w:eastAsia="宋体" w:hint="default"/>
                          <w:sz w:val="22"/>
                          <w:szCs w:val="22"/>
                        </w:rPr>
                      </w:r>
                    </w:p>
                  </w:txbxContent>
                </v:textbox>
                <w10:wrap type="none"/>
              </v:shape>
              <v:shape style="position:absolute;left:7513;top:544;width:1104;height:221" type="#_x0000_t202" filled="false" stroked="false">
                <v:textbox inset="0,0,0,0">
                  <w:txbxContent>
                    <w:p>
                      <w:pPr>
                        <w:spacing w:line="221" w:lineRule="exact" w:before="0"/>
                        <w:ind w:left="0" w:right="0" w:firstLine="0"/>
                        <w:jc w:val="left"/>
                        <w:rPr>
                          <w:rFonts w:ascii="宋体" w:hAnsi="宋体" w:cs="宋体" w:eastAsia="宋体" w:hint="default"/>
                          <w:sz w:val="22"/>
                          <w:szCs w:val="22"/>
                        </w:rPr>
                      </w:pPr>
                      <w:r>
                        <w:rPr>
                          <w:rFonts w:ascii="宋体" w:hAnsi="宋体" w:cs="宋体" w:eastAsia="宋体" w:hint="default"/>
                          <w:b/>
                          <w:bCs/>
                          <w:w w:val="95"/>
                          <w:sz w:val="22"/>
                          <w:szCs w:val="22"/>
                        </w:rPr>
                        <w:t>战略委员会</w:t>
                      </w:r>
                      <w:r>
                        <w:rPr>
                          <w:rFonts w:ascii="宋体" w:hAnsi="宋体" w:cs="宋体" w:eastAsia="宋体" w:hint="default"/>
                          <w:sz w:val="22"/>
                          <w:szCs w:val="22"/>
                        </w:rPr>
                      </w:r>
                    </w:p>
                  </w:txbxContent>
                </v:textbox>
                <w10:wrap type="none"/>
              </v:shape>
              <v:shape style="position:absolute;left:7199;top:1197;width:1729;height:221" type="#_x0000_t202" filled="false" stroked="false">
                <v:textbox inset="0,0,0,0">
                  <w:txbxContent>
                    <w:p>
                      <w:pPr>
                        <w:spacing w:line="221" w:lineRule="exact" w:before="0"/>
                        <w:ind w:left="0" w:right="0" w:firstLine="0"/>
                        <w:jc w:val="left"/>
                        <w:rPr>
                          <w:rFonts w:ascii="宋体" w:hAnsi="宋体" w:cs="宋体" w:eastAsia="宋体" w:hint="default"/>
                          <w:sz w:val="18"/>
                          <w:szCs w:val="18"/>
                        </w:rPr>
                      </w:pPr>
                      <w:r>
                        <w:rPr>
                          <w:rFonts w:ascii="宋体" w:hAnsi="宋体" w:cs="宋体" w:eastAsia="宋体" w:hint="default"/>
                          <w:b/>
                          <w:bCs/>
                          <w:sz w:val="22"/>
                          <w:szCs w:val="22"/>
                        </w:rPr>
                        <w:t>薪酬与考核委员</w:t>
                      </w:r>
                      <w:r>
                        <w:rPr>
                          <w:rFonts w:ascii="宋体" w:hAnsi="宋体" w:cs="宋体" w:eastAsia="宋体" w:hint="default"/>
                          <w:b/>
                          <w:bCs/>
                          <w:sz w:val="18"/>
                          <w:szCs w:val="18"/>
                        </w:rPr>
                        <w:t>会</w:t>
                      </w:r>
                      <w:r>
                        <w:rPr>
                          <w:rFonts w:ascii="宋体" w:hAnsi="宋体" w:cs="宋体" w:eastAsia="宋体" w:hint="default"/>
                          <w:sz w:val="18"/>
                          <w:szCs w:val="18"/>
                        </w:rPr>
                      </w:r>
                    </w:p>
                  </w:txbxContent>
                </v:textbox>
                <w10:wrap type="none"/>
              </v:shape>
              <v:shape style="position:absolute;left:2221;top:1706;width:663;height:221" type="#_x0000_t202" filled="false" stroked="false">
                <v:textbox inset="0,0,0,0">
                  <w:txbxContent>
                    <w:p>
                      <w:pPr>
                        <w:spacing w:line="221" w:lineRule="exact" w:before="0"/>
                        <w:ind w:left="0" w:right="0" w:firstLine="0"/>
                        <w:jc w:val="left"/>
                        <w:rPr>
                          <w:rFonts w:ascii="宋体" w:hAnsi="宋体" w:cs="宋体" w:eastAsia="宋体" w:hint="default"/>
                          <w:sz w:val="22"/>
                          <w:szCs w:val="22"/>
                        </w:rPr>
                      </w:pPr>
                      <w:r>
                        <w:rPr>
                          <w:rFonts w:ascii="宋体" w:hAnsi="宋体" w:cs="宋体" w:eastAsia="宋体" w:hint="default"/>
                          <w:b/>
                          <w:bCs/>
                          <w:sz w:val="22"/>
                          <w:szCs w:val="22"/>
                        </w:rPr>
                        <w:t>监事会</w:t>
                      </w:r>
                      <w:r>
                        <w:rPr>
                          <w:rFonts w:ascii="宋体" w:hAnsi="宋体" w:cs="宋体" w:eastAsia="宋体" w:hint="default"/>
                          <w:sz w:val="22"/>
                          <w:szCs w:val="22"/>
                        </w:rPr>
                      </w:r>
                    </w:p>
                  </w:txbxContent>
                </v:textbox>
                <w10:wrap type="none"/>
              </v:shape>
              <v:shape style="position:absolute;left:4799;top:1706;width:663;height:221" type="#_x0000_t202" filled="false" stroked="false">
                <v:textbox inset="0,0,0,0">
                  <w:txbxContent>
                    <w:p>
                      <w:pPr>
                        <w:spacing w:line="221" w:lineRule="exact" w:before="0"/>
                        <w:ind w:left="0" w:right="0" w:firstLine="0"/>
                        <w:jc w:val="left"/>
                        <w:rPr>
                          <w:rFonts w:ascii="宋体" w:hAnsi="宋体" w:cs="宋体" w:eastAsia="宋体" w:hint="default"/>
                          <w:sz w:val="22"/>
                          <w:szCs w:val="22"/>
                        </w:rPr>
                      </w:pPr>
                      <w:r>
                        <w:rPr>
                          <w:rFonts w:ascii="宋体" w:hAnsi="宋体" w:cs="宋体" w:eastAsia="宋体" w:hint="default"/>
                          <w:b/>
                          <w:bCs/>
                          <w:sz w:val="22"/>
                          <w:szCs w:val="22"/>
                        </w:rPr>
                        <w:t>董事会</w:t>
                      </w:r>
                      <w:r>
                        <w:rPr>
                          <w:rFonts w:ascii="宋体" w:hAnsi="宋体" w:cs="宋体" w:eastAsia="宋体" w:hint="default"/>
                          <w:sz w:val="22"/>
                          <w:szCs w:val="22"/>
                        </w:rPr>
                      </w:r>
                    </w:p>
                  </w:txbxContent>
                </v:textbox>
                <w10:wrap type="none"/>
              </v:shape>
              <v:shape style="position:absolute;left:7497;top:1855;width:1104;height:221" type="#_x0000_t202" filled="false" stroked="false">
                <v:textbox inset="0,0,0,0">
                  <w:txbxContent>
                    <w:p>
                      <w:pPr>
                        <w:spacing w:line="221" w:lineRule="exact" w:before="0"/>
                        <w:ind w:left="0" w:right="0" w:firstLine="0"/>
                        <w:jc w:val="left"/>
                        <w:rPr>
                          <w:rFonts w:ascii="宋体" w:hAnsi="宋体" w:cs="宋体" w:eastAsia="宋体" w:hint="default"/>
                          <w:sz w:val="22"/>
                          <w:szCs w:val="22"/>
                        </w:rPr>
                      </w:pPr>
                      <w:r>
                        <w:rPr>
                          <w:rFonts w:ascii="宋体" w:hAnsi="宋体" w:cs="宋体" w:eastAsia="宋体" w:hint="default"/>
                          <w:b/>
                          <w:bCs/>
                          <w:w w:val="95"/>
                          <w:sz w:val="22"/>
                          <w:szCs w:val="22"/>
                        </w:rPr>
                        <w:t>审计委员会</w:t>
                      </w:r>
                      <w:r>
                        <w:rPr>
                          <w:rFonts w:ascii="宋体" w:hAnsi="宋体" w:cs="宋体" w:eastAsia="宋体" w:hint="default"/>
                          <w:sz w:val="22"/>
                          <w:szCs w:val="22"/>
                        </w:rPr>
                      </w:r>
                    </w:p>
                  </w:txbxContent>
                </v:textbox>
                <w10:wrap type="none"/>
              </v:shape>
              <v:shape style="position:absolute;left:7511;top:2515;width:1104;height:221" type="#_x0000_t202" filled="false" stroked="false">
                <v:textbox inset="0,0,0,0">
                  <w:txbxContent>
                    <w:p>
                      <w:pPr>
                        <w:spacing w:line="221" w:lineRule="exact" w:before="0"/>
                        <w:ind w:left="0" w:right="0" w:firstLine="0"/>
                        <w:jc w:val="left"/>
                        <w:rPr>
                          <w:rFonts w:ascii="宋体" w:hAnsi="宋体" w:cs="宋体" w:eastAsia="宋体" w:hint="default"/>
                          <w:sz w:val="22"/>
                          <w:szCs w:val="22"/>
                        </w:rPr>
                      </w:pPr>
                      <w:r>
                        <w:rPr>
                          <w:rFonts w:ascii="宋体" w:hAnsi="宋体" w:cs="宋体" w:eastAsia="宋体" w:hint="default"/>
                          <w:b/>
                          <w:bCs/>
                          <w:w w:val="95"/>
                          <w:sz w:val="22"/>
                          <w:szCs w:val="22"/>
                        </w:rPr>
                        <w:t>提名委员会</w:t>
                      </w:r>
                      <w:r>
                        <w:rPr>
                          <w:rFonts w:ascii="宋体" w:hAnsi="宋体" w:cs="宋体" w:eastAsia="宋体" w:hint="default"/>
                          <w:sz w:val="22"/>
                          <w:szCs w:val="22"/>
                        </w:rPr>
                      </w:r>
                    </w:p>
                  </w:txbxContent>
                </v:textbox>
                <w10:wrap type="none"/>
              </v:shape>
              <v:shape style="position:absolute;left:1551;top:2750;width:1988;height:221" type="#_x0000_t202" filled="false" stroked="false">
                <v:textbox inset="0,0,0,0">
                  <w:txbxContent>
                    <w:p>
                      <w:pPr>
                        <w:spacing w:line="221" w:lineRule="exact" w:before="0"/>
                        <w:ind w:left="0" w:right="0" w:firstLine="0"/>
                        <w:jc w:val="left"/>
                        <w:rPr>
                          <w:rFonts w:ascii="宋体" w:hAnsi="宋体" w:cs="宋体" w:eastAsia="宋体" w:hint="default"/>
                          <w:sz w:val="22"/>
                          <w:szCs w:val="22"/>
                        </w:rPr>
                      </w:pPr>
                      <w:r>
                        <w:rPr>
                          <w:rFonts w:ascii="宋体" w:hAnsi="宋体" w:cs="宋体" w:eastAsia="宋体" w:hint="default"/>
                          <w:b/>
                          <w:bCs/>
                          <w:w w:val="95"/>
                          <w:sz w:val="22"/>
                          <w:szCs w:val="22"/>
                        </w:rPr>
                        <w:t>副总经理、财务总监</w:t>
                      </w:r>
                      <w:r>
                        <w:rPr>
                          <w:rFonts w:ascii="宋体" w:hAnsi="宋体" w:cs="宋体" w:eastAsia="宋体" w:hint="default"/>
                          <w:sz w:val="22"/>
                          <w:szCs w:val="22"/>
                        </w:rPr>
                      </w:r>
                    </w:p>
                  </w:txbxContent>
                </v:textbox>
                <w10:wrap type="none"/>
              </v:shape>
              <v:shape style="position:absolute;left:4799;top:2750;width:663;height:221" type="#_x0000_t202" filled="false" stroked="false">
                <v:textbox inset="0,0,0,0">
                  <w:txbxContent>
                    <w:p>
                      <w:pPr>
                        <w:spacing w:line="221" w:lineRule="exact" w:before="0"/>
                        <w:ind w:left="0" w:right="0" w:firstLine="0"/>
                        <w:jc w:val="left"/>
                        <w:rPr>
                          <w:rFonts w:ascii="宋体" w:hAnsi="宋体" w:cs="宋体" w:eastAsia="宋体" w:hint="default"/>
                          <w:sz w:val="22"/>
                          <w:szCs w:val="22"/>
                        </w:rPr>
                      </w:pPr>
                      <w:r>
                        <w:rPr>
                          <w:rFonts w:ascii="宋体" w:hAnsi="宋体" w:cs="宋体" w:eastAsia="宋体" w:hint="default"/>
                          <w:b/>
                          <w:bCs/>
                          <w:sz w:val="22"/>
                          <w:szCs w:val="22"/>
                        </w:rPr>
                        <w:t>总经理</w:t>
                      </w:r>
                      <w:r>
                        <w:rPr>
                          <w:rFonts w:ascii="宋体" w:hAnsi="宋体" w:cs="宋体" w:eastAsia="宋体" w:hint="default"/>
                          <w:sz w:val="22"/>
                          <w:szCs w:val="22"/>
                        </w:rPr>
                      </w:r>
                    </w:p>
                  </w:txbxContent>
                </v:textbox>
                <w10:wrap type="none"/>
              </v:shape>
              <v:shape style="position:absolute;left:300;top:3261;width:903;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w w:val="95"/>
                          <w:sz w:val="18"/>
                          <w:szCs w:val="18"/>
                        </w:rPr>
                        <w:t>董事会秘书</w:t>
                      </w:r>
                      <w:r>
                        <w:rPr>
                          <w:rFonts w:ascii="宋体" w:hAnsi="宋体" w:cs="宋体" w:eastAsia="宋体" w:hint="default"/>
                          <w:sz w:val="18"/>
                          <w:szCs w:val="18"/>
                        </w:rPr>
                      </w:r>
                    </w:p>
                  </w:txbxContent>
                </v:textbox>
                <w10:wrap type="none"/>
              </v:shape>
              <v:shape style="position:absolute;left:7295;top:3245;width:1547;height:221" type="#_x0000_t202" filled="false" stroked="false">
                <v:textbox inset="0,0,0,0">
                  <w:txbxContent>
                    <w:p>
                      <w:pPr>
                        <w:spacing w:line="221" w:lineRule="exact" w:before="0"/>
                        <w:ind w:left="0" w:right="0" w:firstLine="0"/>
                        <w:jc w:val="left"/>
                        <w:rPr>
                          <w:rFonts w:ascii="宋体" w:hAnsi="宋体" w:cs="宋体" w:eastAsia="宋体" w:hint="default"/>
                          <w:sz w:val="22"/>
                          <w:szCs w:val="22"/>
                        </w:rPr>
                      </w:pPr>
                      <w:r>
                        <w:rPr>
                          <w:rFonts w:ascii="宋体" w:hAnsi="宋体" w:cs="宋体" w:eastAsia="宋体" w:hint="default"/>
                          <w:b/>
                          <w:bCs/>
                          <w:sz w:val="22"/>
                          <w:szCs w:val="22"/>
                        </w:rPr>
                        <w:t>投资决策委员会</w:t>
                      </w:r>
                      <w:r>
                        <w:rPr>
                          <w:rFonts w:ascii="宋体" w:hAnsi="宋体" w:cs="宋体" w:eastAsia="宋体" w:hint="default"/>
                          <w:sz w:val="22"/>
                          <w:szCs w:val="22"/>
                        </w:rPr>
                      </w:r>
                    </w:p>
                  </w:txbxContent>
                </v:textbox>
                <w10:wrap type="none"/>
              </v:shape>
              <v:shape style="position:absolute;left:192;top:4810;width:221;height:1304" type="#_x0000_t202" filled="false" stroked="false">
                <v:textbox inset="0,0,0,0">
                  <w:txbxContent>
                    <w:p>
                      <w:pPr>
                        <w:spacing w:line="136" w:lineRule="auto" w:before="3"/>
                        <w:ind w:left="0" w:right="0" w:firstLine="0"/>
                        <w:jc w:val="both"/>
                        <w:rPr>
                          <w:rFonts w:ascii="Microsoft JhengHei" w:hAnsi="Microsoft JhengHei" w:cs="Microsoft JhengHei" w:eastAsia="Microsoft JhengHei" w:hint="default"/>
                          <w:sz w:val="22"/>
                          <w:szCs w:val="22"/>
                        </w:rPr>
                      </w:pPr>
                      <w:r>
                        <w:rPr>
                          <w:rFonts w:ascii="Microsoft JhengHei" w:hAnsi="Microsoft JhengHei" w:cs="Microsoft JhengHei" w:eastAsia="Microsoft JhengHei" w:hint="default"/>
                          <w:b/>
                          <w:bCs/>
                          <w:sz w:val="22"/>
                          <w:szCs w:val="22"/>
                        </w:rPr>
                        <w:t>董</w:t>
                      </w:r>
                      <w:r>
                        <w:rPr>
                          <w:rFonts w:ascii="Microsoft JhengHei" w:hAnsi="Microsoft JhengHei" w:cs="Microsoft JhengHei" w:eastAsia="Microsoft JhengHei" w:hint="default"/>
                          <w:b/>
                          <w:bCs/>
                          <w:w w:val="100"/>
                          <w:sz w:val="22"/>
                          <w:szCs w:val="22"/>
                        </w:rPr>
                        <w:t> </w:t>
                      </w:r>
                      <w:r>
                        <w:rPr>
                          <w:rFonts w:ascii="Microsoft JhengHei" w:hAnsi="Microsoft JhengHei" w:cs="Microsoft JhengHei" w:eastAsia="Microsoft JhengHei" w:hint="default"/>
                          <w:b/>
                          <w:bCs/>
                          <w:sz w:val="22"/>
                          <w:szCs w:val="22"/>
                        </w:rPr>
                        <w:t>事</w:t>
                      </w:r>
                      <w:r>
                        <w:rPr>
                          <w:rFonts w:ascii="Microsoft JhengHei" w:hAnsi="Microsoft JhengHei" w:cs="Microsoft JhengHei" w:eastAsia="Microsoft JhengHei" w:hint="default"/>
                          <w:b/>
                          <w:bCs/>
                          <w:w w:val="100"/>
                          <w:sz w:val="22"/>
                          <w:szCs w:val="22"/>
                        </w:rPr>
                        <w:t> </w:t>
                      </w:r>
                      <w:r>
                        <w:rPr>
                          <w:rFonts w:ascii="Microsoft JhengHei" w:hAnsi="Microsoft JhengHei" w:cs="Microsoft JhengHei" w:eastAsia="Microsoft JhengHei" w:hint="default"/>
                          <w:b/>
                          <w:bCs/>
                          <w:sz w:val="22"/>
                          <w:szCs w:val="22"/>
                        </w:rPr>
                        <w:t>会</w:t>
                      </w:r>
                      <w:r>
                        <w:rPr>
                          <w:rFonts w:ascii="Microsoft JhengHei" w:hAnsi="Microsoft JhengHei" w:cs="Microsoft JhengHei" w:eastAsia="Microsoft JhengHei" w:hint="default"/>
                          <w:b/>
                          <w:bCs/>
                          <w:w w:val="100"/>
                          <w:sz w:val="22"/>
                          <w:szCs w:val="22"/>
                        </w:rPr>
                        <w:t> </w:t>
                      </w:r>
                      <w:r>
                        <w:rPr>
                          <w:rFonts w:ascii="Microsoft JhengHei" w:hAnsi="Microsoft JhengHei" w:cs="Microsoft JhengHei" w:eastAsia="Microsoft JhengHei" w:hint="default"/>
                          <w:b/>
                          <w:bCs/>
                          <w:sz w:val="22"/>
                          <w:szCs w:val="22"/>
                        </w:rPr>
                        <w:t>办</w:t>
                      </w:r>
                      <w:r>
                        <w:rPr>
                          <w:rFonts w:ascii="Microsoft JhengHei" w:hAnsi="Microsoft JhengHei" w:cs="Microsoft JhengHei" w:eastAsia="Microsoft JhengHei" w:hint="default"/>
                          <w:b/>
                          <w:bCs/>
                          <w:w w:val="100"/>
                          <w:sz w:val="22"/>
                          <w:szCs w:val="22"/>
                        </w:rPr>
                        <w:t> </w:t>
                      </w:r>
                      <w:r>
                        <w:rPr>
                          <w:rFonts w:ascii="Microsoft JhengHei" w:hAnsi="Microsoft JhengHei" w:cs="Microsoft JhengHei" w:eastAsia="Microsoft JhengHei" w:hint="default"/>
                          <w:b/>
                          <w:bCs/>
                          <w:sz w:val="22"/>
                          <w:szCs w:val="22"/>
                        </w:rPr>
                        <w:t>公</w:t>
                      </w:r>
                      <w:r>
                        <w:rPr>
                          <w:rFonts w:ascii="Microsoft JhengHei" w:hAnsi="Microsoft JhengHei" w:cs="Microsoft JhengHei" w:eastAsia="Microsoft JhengHei" w:hint="default"/>
                          <w:b/>
                          <w:bCs/>
                          <w:w w:val="100"/>
                          <w:sz w:val="22"/>
                          <w:szCs w:val="22"/>
                        </w:rPr>
                        <w:t> </w:t>
                      </w:r>
                      <w:r>
                        <w:rPr>
                          <w:rFonts w:ascii="Microsoft JhengHei" w:hAnsi="Microsoft JhengHei" w:cs="Microsoft JhengHei" w:eastAsia="Microsoft JhengHei" w:hint="default"/>
                          <w:b/>
                          <w:bCs/>
                          <w:sz w:val="22"/>
                          <w:szCs w:val="22"/>
                        </w:rPr>
                        <w:t>室</w:t>
                      </w:r>
                      <w:r>
                        <w:rPr>
                          <w:rFonts w:ascii="Microsoft JhengHei" w:hAnsi="Microsoft JhengHei" w:cs="Microsoft JhengHei" w:eastAsia="Microsoft JhengHei" w:hint="default"/>
                          <w:sz w:val="22"/>
                          <w:szCs w:val="22"/>
                        </w:rPr>
                      </w:r>
                    </w:p>
                  </w:txbxContent>
                </v:textbox>
                <w10:wrap type="none"/>
              </v:shape>
              <v:shape style="position:absolute;left:790;top:4814;width:221;height:1505" type="#_x0000_t202" filled="false" stroked="false">
                <v:textbox inset="0,0,0,0">
                  <w:txbxContent>
                    <w:p>
                      <w:pPr>
                        <w:spacing w:line="183" w:lineRule="exact" w:before="0"/>
                        <w:ind w:left="0" w:right="0" w:firstLine="0"/>
                        <w:jc w:val="both"/>
                        <w:rPr>
                          <w:rFonts w:ascii="Microsoft JhengHei" w:hAnsi="Microsoft JhengHei" w:cs="Microsoft JhengHei" w:eastAsia="Microsoft JhengHei" w:hint="default"/>
                          <w:sz w:val="22"/>
                          <w:szCs w:val="22"/>
                        </w:rPr>
                      </w:pPr>
                      <w:r>
                        <w:rPr>
                          <w:rFonts w:ascii="Microsoft JhengHei" w:hAnsi="Microsoft JhengHei" w:cs="Microsoft JhengHei" w:eastAsia="Microsoft JhengHei" w:hint="default"/>
                          <w:b/>
                          <w:bCs/>
                          <w:w w:val="100"/>
                          <w:sz w:val="22"/>
                          <w:szCs w:val="22"/>
                        </w:rPr>
                        <w:t>海</w:t>
                      </w:r>
                      <w:r>
                        <w:rPr>
                          <w:rFonts w:ascii="Microsoft JhengHei" w:hAnsi="Microsoft JhengHei" w:cs="Microsoft JhengHei" w:eastAsia="Microsoft JhengHei" w:hint="default"/>
                          <w:w w:val="100"/>
                          <w:sz w:val="22"/>
                          <w:szCs w:val="22"/>
                        </w:rPr>
                      </w:r>
                    </w:p>
                    <w:p>
                      <w:pPr>
                        <w:spacing w:line="160" w:lineRule="auto" w:before="45"/>
                        <w:ind w:left="0" w:right="0" w:firstLine="0"/>
                        <w:jc w:val="both"/>
                        <w:rPr>
                          <w:rFonts w:ascii="Microsoft JhengHei" w:hAnsi="Microsoft JhengHei" w:cs="Microsoft JhengHei" w:eastAsia="Microsoft JhengHei" w:hint="default"/>
                          <w:sz w:val="22"/>
                          <w:szCs w:val="22"/>
                        </w:rPr>
                      </w:pPr>
                      <w:r>
                        <w:rPr>
                          <w:rFonts w:ascii="Microsoft JhengHei" w:hAnsi="Microsoft JhengHei" w:cs="Microsoft JhengHei" w:eastAsia="Microsoft JhengHei" w:hint="default"/>
                          <w:b/>
                          <w:bCs/>
                          <w:sz w:val="22"/>
                          <w:szCs w:val="22"/>
                        </w:rPr>
                        <w:t>外</w:t>
                      </w:r>
                      <w:r>
                        <w:rPr>
                          <w:rFonts w:ascii="Microsoft JhengHei" w:hAnsi="Microsoft JhengHei" w:cs="Microsoft JhengHei" w:eastAsia="Microsoft JhengHei" w:hint="default"/>
                          <w:b/>
                          <w:bCs/>
                          <w:w w:val="100"/>
                          <w:sz w:val="22"/>
                          <w:szCs w:val="22"/>
                        </w:rPr>
                        <w:t> </w:t>
                      </w:r>
                      <w:r>
                        <w:rPr>
                          <w:rFonts w:ascii="Microsoft JhengHei" w:hAnsi="Microsoft JhengHei" w:cs="Microsoft JhengHei" w:eastAsia="Microsoft JhengHei" w:hint="default"/>
                          <w:b/>
                          <w:bCs/>
                          <w:sz w:val="22"/>
                          <w:szCs w:val="22"/>
                        </w:rPr>
                        <w:t>业</w:t>
                      </w:r>
                      <w:r>
                        <w:rPr>
                          <w:rFonts w:ascii="Microsoft JhengHei" w:hAnsi="Microsoft JhengHei" w:cs="Microsoft JhengHei" w:eastAsia="Microsoft JhengHei" w:hint="default"/>
                          <w:b/>
                          <w:bCs/>
                          <w:w w:val="100"/>
                          <w:sz w:val="22"/>
                          <w:szCs w:val="22"/>
                        </w:rPr>
                        <w:t> </w:t>
                      </w:r>
                      <w:r>
                        <w:rPr>
                          <w:rFonts w:ascii="Microsoft JhengHei" w:hAnsi="Microsoft JhengHei" w:cs="Microsoft JhengHei" w:eastAsia="Microsoft JhengHei" w:hint="default"/>
                          <w:b/>
                          <w:bCs/>
                          <w:sz w:val="22"/>
                          <w:szCs w:val="22"/>
                        </w:rPr>
                        <w:t>务</w:t>
                      </w:r>
                      <w:r>
                        <w:rPr>
                          <w:rFonts w:ascii="Microsoft JhengHei" w:hAnsi="Microsoft JhengHei" w:cs="Microsoft JhengHei" w:eastAsia="Microsoft JhengHei" w:hint="default"/>
                          <w:b/>
                          <w:bCs/>
                          <w:w w:val="100"/>
                          <w:sz w:val="22"/>
                          <w:szCs w:val="22"/>
                        </w:rPr>
                        <w:t> </w:t>
                      </w:r>
                      <w:r>
                        <w:rPr>
                          <w:rFonts w:ascii="Microsoft JhengHei" w:hAnsi="Microsoft JhengHei" w:cs="Microsoft JhengHei" w:eastAsia="Microsoft JhengHei" w:hint="default"/>
                          <w:b/>
                          <w:bCs/>
                          <w:sz w:val="22"/>
                          <w:szCs w:val="22"/>
                        </w:rPr>
                        <w:t>中</w:t>
                      </w:r>
                      <w:r>
                        <w:rPr>
                          <w:rFonts w:ascii="Microsoft JhengHei" w:hAnsi="Microsoft JhengHei" w:cs="Microsoft JhengHei" w:eastAsia="Microsoft JhengHei" w:hint="default"/>
                          <w:b/>
                          <w:bCs/>
                          <w:w w:val="100"/>
                          <w:sz w:val="22"/>
                          <w:szCs w:val="22"/>
                        </w:rPr>
                        <w:t> </w:t>
                      </w:r>
                      <w:r>
                        <w:rPr>
                          <w:rFonts w:ascii="Microsoft JhengHei" w:hAnsi="Microsoft JhengHei" w:cs="Microsoft JhengHei" w:eastAsia="Microsoft JhengHei" w:hint="default"/>
                          <w:b/>
                          <w:bCs/>
                          <w:sz w:val="22"/>
                          <w:szCs w:val="22"/>
                        </w:rPr>
                        <w:t>心</w:t>
                      </w:r>
                      <w:r>
                        <w:rPr>
                          <w:rFonts w:ascii="Microsoft JhengHei" w:hAnsi="Microsoft JhengHei" w:cs="Microsoft JhengHei" w:eastAsia="Microsoft JhengHei" w:hint="default"/>
                          <w:sz w:val="22"/>
                          <w:szCs w:val="22"/>
                        </w:rPr>
                      </w:r>
                    </w:p>
                  </w:txbxContent>
                </v:textbox>
                <w10:wrap type="none"/>
              </v:shape>
              <v:shape style="position:absolute;left:1405;top:4829;width:221;height:1248" type="#_x0000_t202" filled="false" stroked="false">
                <v:textbox inset="0,0,0,0">
                  <w:txbxContent>
                    <w:p>
                      <w:pPr>
                        <w:spacing w:line="183" w:lineRule="exact" w:before="0"/>
                        <w:ind w:left="0" w:right="0" w:firstLine="0"/>
                        <w:jc w:val="both"/>
                        <w:rPr>
                          <w:rFonts w:ascii="Microsoft JhengHei" w:hAnsi="Microsoft JhengHei" w:cs="Microsoft JhengHei" w:eastAsia="Microsoft JhengHei" w:hint="default"/>
                          <w:sz w:val="22"/>
                          <w:szCs w:val="22"/>
                        </w:rPr>
                      </w:pPr>
                      <w:r>
                        <w:rPr>
                          <w:rFonts w:ascii="Microsoft JhengHei" w:hAnsi="Microsoft JhengHei" w:cs="Microsoft JhengHei" w:eastAsia="Microsoft JhengHei" w:hint="default"/>
                          <w:b/>
                          <w:bCs/>
                          <w:w w:val="100"/>
                          <w:sz w:val="22"/>
                          <w:szCs w:val="22"/>
                        </w:rPr>
                        <w:t>空</w:t>
                      </w:r>
                      <w:r>
                        <w:rPr>
                          <w:rFonts w:ascii="Microsoft JhengHei" w:hAnsi="Microsoft JhengHei" w:cs="Microsoft JhengHei" w:eastAsia="Microsoft JhengHei" w:hint="default"/>
                          <w:w w:val="100"/>
                          <w:sz w:val="22"/>
                          <w:szCs w:val="22"/>
                        </w:rPr>
                      </w:r>
                    </w:p>
                    <w:p>
                      <w:pPr>
                        <w:spacing w:line="160" w:lineRule="auto" w:before="45"/>
                        <w:ind w:left="0" w:right="0" w:firstLine="0"/>
                        <w:jc w:val="both"/>
                        <w:rPr>
                          <w:rFonts w:ascii="Microsoft JhengHei" w:hAnsi="Microsoft JhengHei" w:cs="Microsoft JhengHei" w:eastAsia="Microsoft JhengHei" w:hint="default"/>
                          <w:sz w:val="22"/>
                          <w:szCs w:val="22"/>
                        </w:rPr>
                      </w:pPr>
                      <w:r>
                        <w:rPr>
                          <w:rFonts w:ascii="Microsoft JhengHei" w:hAnsi="Microsoft JhengHei" w:cs="Microsoft JhengHei" w:eastAsia="Microsoft JhengHei" w:hint="default"/>
                          <w:b/>
                          <w:bCs/>
                          <w:sz w:val="22"/>
                          <w:szCs w:val="22"/>
                        </w:rPr>
                        <w:t>调</w:t>
                      </w:r>
                      <w:r>
                        <w:rPr>
                          <w:rFonts w:ascii="Microsoft JhengHei" w:hAnsi="Microsoft JhengHei" w:cs="Microsoft JhengHei" w:eastAsia="Microsoft JhengHei" w:hint="default"/>
                          <w:b/>
                          <w:bCs/>
                          <w:w w:val="100"/>
                          <w:sz w:val="22"/>
                          <w:szCs w:val="22"/>
                        </w:rPr>
                        <w:t> </w:t>
                      </w:r>
                      <w:r>
                        <w:rPr>
                          <w:rFonts w:ascii="Microsoft JhengHei" w:hAnsi="Microsoft JhengHei" w:cs="Microsoft JhengHei" w:eastAsia="Microsoft JhengHei" w:hint="default"/>
                          <w:b/>
                          <w:bCs/>
                          <w:sz w:val="22"/>
                          <w:szCs w:val="22"/>
                        </w:rPr>
                        <w:t>业</w:t>
                      </w:r>
                      <w:r>
                        <w:rPr>
                          <w:rFonts w:ascii="Microsoft JhengHei" w:hAnsi="Microsoft JhengHei" w:cs="Microsoft JhengHei" w:eastAsia="Microsoft JhengHei" w:hint="default"/>
                          <w:b/>
                          <w:bCs/>
                          <w:w w:val="100"/>
                          <w:sz w:val="22"/>
                          <w:szCs w:val="22"/>
                        </w:rPr>
                        <w:t> </w:t>
                      </w:r>
                      <w:r>
                        <w:rPr>
                          <w:rFonts w:ascii="Microsoft JhengHei" w:hAnsi="Microsoft JhengHei" w:cs="Microsoft JhengHei" w:eastAsia="Microsoft JhengHei" w:hint="default"/>
                          <w:b/>
                          <w:bCs/>
                          <w:sz w:val="22"/>
                          <w:szCs w:val="22"/>
                        </w:rPr>
                        <w:t>务</w:t>
                      </w:r>
                      <w:r>
                        <w:rPr>
                          <w:rFonts w:ascii="Microsoft JhengHei" w:hAnsi="Microsoft JhengHei" w:cs="Microsoft JhengHei" w:eastAsia="Microsoft JhengHei" w:hint="default"/>
                          <w:b/>
                          <w:bCs/>
                          <w:w w:val="100"/>
                          <w:sz w:val="22"/>
                          <w:szCs w:val="22"/>
                        </w:rPr>
                        <w:t> </w:t>
                      </w:r>
                      <w:r>
                        <w:rPr>
                          <w:rFonts w:ascii="Microsoft JhengHei" w:hAnsi="Microsoft JhengHei" w:cs="Microsoft JhengHei" w:eastAsia="Microsoft JhengHei" w:hint="default"/>
                          <w:b/>
                          <w:bCs/>
                          <w:sz w:val="22"/>
                          <w:szCs w:val="22"/>
                        </w:rPr>
                        <w:t>部</w:t>
                      </w:r>
                      <w:r>
                        <w:rPr>
                          <w:rFonts w:ascii="Microsoft JhengHei" w:hAnsi="Microsoft JhengHei" w:cs="Microsoft JhengHei" w:eastAsia="Microsoft JhengHei" w:hint="default"/>
                          <w:sz w:val="22"/>
                          <w:szCs w:val="22"/>
                        </w:rPr>
                      </w:r>
                    </w:p>
                  </w:txbxContent>
                </v:textbox>
                <w10:wrap type="none"/>
              </v:shape>
              <v:shape style="position:absolute;left:2024;top:4824;width:221;height:1505" type="#_x0000_t202" filled="false" stroked="false">
                <v:textbox inset="0,0,0,0">
                  <w:txbxContent>
                    <w:p>
                      <w:pPr>
                        <w:spacing w:line="183" w:lineRule="exact" w:before="0"/>
                        <w:ind w:left="0" w:right="0" w:firstLine="0"/>
                        <w:jc w:val="both"/>
                        <w:rPr>
                          <w:rFonts w:ascii="Microsoft JhengHei" w:hAnsi="Microsoft JhengHei" w:cs="Microsoft JhengHei" w:eastAsia="Microsoft JhengHei" w:hint="default"/>
                          <w:sz w:val="22"/>
                          <w:szCs w:val="22"/>
                        </w:rPr>
                      </w:pPr>
                      <w:r>
                        <w:rPr>
                          <w:rFonts w:ascii="Microsoft JhengHei" w:hAnsi="Microsoft JhengHei" w:cs="Microsoft JhengHei" w:eastAsia="Microsoft JhengHei" w:hint="default"/>
                          <w:b/>
                          <w:bCs/>
                          <w:w w:val="100"/>
                          <w:sz w:val="22"/>
                          <w:szCs w:val="22"/>
                        </w:rPr>
                        <w:t>小</w:t>
                      </w:r>
                      <w:r>
                        <w:rPr>
                          <w:rFonts w:ascii="Microsoft JhengHei" w:hAnsi="Microsoft JhengHei" w:cs="Microsoft JhengHei" w:eastAsia="Microsoft JhengHei" w:hint="default"/>
                          <w:w w:val="100"/>
                          <w:sz w:val="22"/>
                          <w:szCs w:val="22"/>
                        </w:rPr>
                      </w:r>
                    </w:p>
                    <w:p>
                      <w:pPr>
                        <w:spacing w:line="160" w:lineRule="auto" w:before="45"/>
                        <w:ind w:left="0" w:right="0" w:firstLine="0"/>
                        <w:jc w:val="both"/>
                        <w:rPr>
                          <w:rFonts w:ascii="Microsoft JhengHei" w:hAnsi="Microsoft JhengHei" w:cs="Microsoft JhengHei" w:eastAsia="Microsoft JhengHei" w:hint="default"/>
                          <w:sz w:val="22"/>
                          <w:szCs w:val="22"/>
                        </w:rPr>
                      </w:pPr>
                      <w:r>
                        <w:rPr>
                          <w:rFonts w:ascii="Microsoft JhengHei" w:hAnsi="Microsoft JhengHei" w:cs="Microsoft JhengHei" w:eastAsia="Microsoft JhengHei" w:hint="default"/>
                          <w:b/>
                          <w:bCs/>
                          <w:sz w:val="22"/>
                          <w:szCs w:val="22"/>
                        </w:rPr>
                        <w:t>家</w:t>
                      </w:r>
                      <w:r>
                        <w:rPr>
                          <w:rFonts w:ascii="Microsoft JhengHei" w:hAnsi="Microsoft JhengHei" w:cs="Microsoft JhengHei" w:eastAsia="Microsoft JhengHei" w:hint="default"/>
                          <w:b/>
                          <w:bCs/>
                          <w:w w:val="100"/>
                          <w:sz w:val="22"/>
                          <w:szCs w:val="22"/>
                        </w:rPr>
                        <w:t> </w:t>
                      </w:r>
                      <w:r>
                        <w:rPr>
                          <w:rFonts w:ascii="Microsoft JhengHei" w:hAnsi="Microsoft JhengHei" w:cs="Microsoft JhengHei" w:eastAsia="Microsoft JhengHei" w:hint="default"/>
                          <w:b/>
                          <w:bCs/>
                          <w:sz w:val="22"/>
                          <w:szCs w:val="22"/>
                        </w:rPr>
                        <w:t>电</w:t>
                      </w:r>
                      <w:r>
                        <w:rPr>
                          <w:rFonts w:ascii="Microsoft JhengHei" w:hAnsi="Microsoft JhengHei" w:cs="Microsoft JhengHei" w:eastAsia="Microsoft JhengHei" w:hint="default"/>
                          <w:b/>
                          <w:bCs/>
                          <w:w w:val="100"/>
                          <w:sz w:val="22"/>
                          <w:szCs w:val="22"/>
                        </w:rPr>
                        <w:t> </w:t>
                      </w:r>
                      <w:r>
                        <w:rPr>
                          <w:rFonts w:ascii="Microsoft JhengHei" w:hAnsi="Microsoft JhengHei" w:cs="Microsoft JhengHei" w:eastAsia="Microsoft JhengHei" w:hint="default"/>
                          <w:b/>
                          <w:bCs/>
                          <w:sz w:val="22"/>
                          <w:szCs w:val="22"/>
                        </w:rPr>
                        <w:t>业</w:t>
                      </w:r>
                      <w:r>
                        <w:rPr>
                          <w:rFonts w:ascii="Microsoft JhengHei" w:hAnsi="Microsoft JhengHei" w:cs="Microsoft JhengHei" w:eastAsia="Microsoft JhengHei" w:hint="default"/>
                          <w:b/>
                          <w:bCs/>
                          <w:w w:val="100"/>
                          <w:sz w:val="22"/>
                          <w:szCs w:val="22"/>
                        </w:rPr>
                        <w:t> </w:t>
                      </w:r>
                      <w:r>
                        <w:rPr>
                          <w:rFonts w:ascii="Microsoft JhengHei" w:hAnsi="Microsoft JhengHei" w:cs="Microsoft JhengHei" w:eastAsia="Microsoft JhengHei" w:hint="default"/>
                          <w:b/>
                          <w:bCs/>
                          <w:sz w:val="22"/>
                          <w:szCs w:val="22"/>
                        </w:rPr>
                        <w:t>务</w:t>
                      </w:r>
                      <w:r>
                        <w:rPr>
                          <w:rFonts w:ascii="Microsoft JhengHei" w:hAnsi="Microsoft JhengHei" w:cs="Microsoft JhengHei" w:eastAsia="Microsoft JhengHei" w:hint="default"/>
                          <w:b/>
                          <w:bCs/>
                          <w:w w:val="100"/>
                          <w:sz w:val="22"/>
                          <w:szCs w:val="22"/>
                        </w:rPr>
                        <w:t> </w:t>
                      </w:r>
                      <w:r>
                        <w:rPr>
                          <w:rFonts w:ascii="Microsoft JhengHei" w:hAnsi="Microsoft JhengHei" w:cs="Microsoft JhengHei" w:eastAsia="Microsoft JhengHei" w:hint="default"/>
                          <w:b/>
                          <w:bCs/>
                          <w:sz w:val="22"/>
                          <w:szCs w:val="22"/>
                        </w:rPr>
                        <w:t>部</w:t>
                      </w:r>
                      <w:r>
                        <w:rPr>
                          <w:rFonts w:ascii="Microsoft JhengHei" w:hAnsi="Microsoft JhengHei" w:cs="Microsoft JhengHei" w:eastAsia="Microsoft JhengHei" w:hint="default"/>
                          <w:sz w:val="22"/>
                          <w:szCs w:val="22"/>
                        </w:rPr>
                      </w:r>
                    </w:p>
                  </w:txbxContent>
                </v:textbox>
                <w10:wrap type="none"/>
              </v:shape>
              <v:shape style="position:absolute;left:2641;top:4810;width:221;height:1248" type="#_x0000_t202" filled="false" stroked="false">
                <v:textbox inset="0,0,0,0">
                  <w:txbxContent>
                    <w:p>
                      <w:pPr>
                        <w:spacing w:line="183" w:lineRule="exact" w:before="0"/>
                        <w:ind w:left="0" w:right="0" w:firstLine="0"/>
                        <w:jc w:val="both"/>
                        <w:rPr>
                          <w:rFonts w:ascii="Microsoft JhengHei" w:hAnsi="Microsoft JhengHei" w:cs="Microsoft JhengHei" w:eastAsia="Microsoft JhengHei" w:hint="default"/>
                          <w:sz w:val="22"/>
                          <w:szCs w:val="22"/>
                        </w:rPr>
                      </w:pPr>
                      <w:r>
                        <w:rPr>
                          <w:rFonts w:ascii="Microsoft JhengHei" w:hAnsi="Microsoft JhengHei" w:cs="Microsoft JhengHei" w:eastAsia="Microsoft JhengHei" w:hint="default"/>
                          <w:b/>
                          <w:bCs/>
                          <w:w w:val="100"/>
                          <w:sz w:val="22"/>
                          <w:szCs w:val="22"/>
                        </w:rPr>
                        <w:t>产</w:t>
                      </w:r>
                      <w:r>
                        <w:rPr>
                          <w:rFonts w:ascii="Microsoft JhengHei" w:hAnsi="Microsoft JhengHei" w:cs="Microsoft JhengHei" w:eastAsia="Microsoft JhengHei" w:hint="default"/>
                          <w:w w:val="100"/>
                          <w:sz w:val="22"/>
                          <w:szCs w:val="22"/>
                        </w:rPr>
                      </w:r>
                    </w:p>
                    <w:p>
                      <w:pPr>
                        <w:spacing w:line="160" w:lineRule="auto" w:before="45"/>
                        <w:ind w:left="0" w:right="0" w:firstLine="0"/>
                        <w:jc w:val="both"/>
                        <w:rPr>
                          <w:rFonts w:ascii="Microsoft JhengHei" w:hAnsi="Microsoft JhengHei" w:cs="Microsoft JhengHei" w:eastAsia="Microsoft JhengHei" w:hint="default"/>
                          <w:sz w:val="22"/>
                          <w:szCs w:val="22"/>
                        </w:rPr>
                      </w:pPr>
                      <w:r>
                        <w:rPr>
                          <w:rFonts w:ascii="Microsoft JhengHei" w:hAnsi="Microsoft JhengHei" w:cs="Microsoft JhengHei" w:eastAsia="Microsoft JhengHei" w:hint="default"/>
                          <w:b/>
                          <w:bCs/>
                          <w:sz w:val="22"/>
                          <w:szCs w:val="22"/>
                        </w:rPr>
                        <w:t>品</w:t>
                      </w:r>
                      <w:r>
                        <w:rPr>
                          <w:rFonts w:ascii="Microsoft JhengHei" w:hAnsi="Microsoft JhengHei" w:cs="Microsoft JhengHei" w:eastAsia="Microsoft JhengHei" w:hint="default"/>
                          <w:b/>
                          <w:bCs/>
                          <w:w w:val="100"/>
                          <w:sz w:val="22"/>
                          <w:szCs w:val="22"/>
                        </w:rPr>
                        <w:t> </w:t>
                      </w:r>
                      <w:r>
                        <w:rPr>
                          <w:rFonts w:ascii="Microsoft JhengHei" w:hAnsi="Microsoft JhengHei" w:cs="Microsoft JhengHei" w:eastAsia="Microsoft JhengHei" w:hint="default"/>
                          <w:b/>
                          <w:bCs/>
                          <w:sz w:val="22"/>
                          <w:szCs w:val="22"/>
                        </w:rPr>
                        <w:t>管</w:t>
                      </w:r>
                      <w:r>
                        <w:rPr>
                          <w:rFonts w:ascii="Microsoft JhengHei" w:hAnsi="Microsoft JhengHei" w:cs="Microsoft JhengHei" w:eastAsia="Microsoft JhengHei" w:hint="default"/>
                          <w:b/>
                          <w:bCs/>
                          <w:w w:val="100"/>
                          <w:sz w:val="22"/>
                          <w:szCs w:val="22"/>
                        </w:rPr>
                        <w:t> </w:t>
                      </w:r>
                      <w:r>
                        <w:rPr>
                          <w:rFonts w:ascii="Microsoft JhengHei" w:hAnsi="Microsoft JhengHei" w:cs="Microsoft JhengHei" w:eastAsia="Microsoft JhengHei" w:hint="default"/>
                          <w:b/>
                          <w:bCs/>
                          <w:sz w:val="22"/>
                          <w:szCs w:val="22"/>
                        </w:rPr>
                        <w:t>理</w:t>
                      </w:r>
                      <w:r>
                        <w:rPr>
                          <w:rFonts w:ascii="Microsoft JhengHei" w:hAnsi="Microsoft JhengHei" w:cs="Microsoft JhengHei" w:eastAsia="Microsoft JhengHei" w:hint="default"/>
                          <w:b/>
                          <w:bCs/>
                          <w:w w:val="100"/>
                          <w:sz w:val="22"/>
                          <w:szCs w:val="22"/>
                        </w:rPr>
                        <w:t> </w:t>
                      </w:r>
                      <w:r>
                        <w:rPr>
                          <w:rFonts w:ascii="Microsoft JhengHei" w:hAnsi="Microsoft JhengHei" w:cs="Microsoft JhengHei" w:eastAsia="Microsoft JhengHei" w:hint="default"/>
                          <w:b/>
                          <w:bCs/>
                          <w:sz w:val="22"/>
                          <w:szCs w:val="22"/>
                        </w:rPr>
                        <w:t>部</w:t>
                      </w:r>
                      <w:r>
                        <w:rPr>
                          <w:rFonts w:ascii="Microsoft JhengHei" w:hAnsi="Microsoft JhengHei" w:cs="Microsoft JhengHei" w:eastAsia="Microsoft JhengHei" w:hint="default"/>
                          <w:sz w:val="22"/>
                          <w:szCs w:val="22"/>
                        </w:rPr>
                      </w:r>
                    </w:p>
                  </w:txbxContent>
                </v:textbox>
                <w10:wrap type="none"/>
              </v:shape>
              <v:shape style="position:absolute;left:3272;top:4814;width:221;height:735" type="#_x0000_t202" filled="false" stroked="false">
                <v:textbox inset="0,0,0,0">
                  <w:txbxContent>
                    <w:p>
                      <w:pPr>
                        <w:spacing w:line="183" w:lineRule="exact" w:before="0"/>
                        <w:ind w:left="0" w:right="0" w:firstLine="0"/>
                        <w:jc w:val="left"/>
                        <w:rPr>
                          <w:rFonts w:ascii="Microsoft JhengHei" w:hAnsi="Microsoft JhengHei" w:cs="Microsoft JhengHei" w:eastAsia="Microsoft JhengHei" w:hint="default"/>
                          <w:sz w:val="22"/>
                          <w:szCs w:val="22"/>
                        </w:rPr>
                      </w:pPr>
                      <w:r>
                        <w:rPr>
                          <w:rFonts w:ascii="Microsoft JhengHei" w:hAnsi="Microsoft JhengHei" w:cs="Microsoft JhengHei" w:eastAsia="Microsoft JhengHei" w:hint="default"/>
                          <w:b/>
                          <w:bCs/>
                          <w:w w:val="100"/>
                          <w:sz w:val="22"/>
                          <w:szCs w:val="22"/>
                        </w:rPr>
                        <w:t>行</w:t>
                      </w:r>
                      <w:r>
                        <w:rPr>
                          <w:rFonts w:ascii="Microsoft JhengHei" w:hAnsi="Microsoft JhengHei" w:cs="Microsoft JhengHei" w:eastAsia="Microsoft JhengHei" w:hint="default"/>
                          <w:w w:val="100"/>
                          <w:sz w:val="22"/>
                          <w:szCs w:val="22"/>
                        </w:rPr>
                      </w:r>
                    </w:p>
                    <w:p>
                      <w:pPr>
                        <w:spacing w:line="160" w:lineRule="auto" w:before="45"/>
                        <w:ind w:left="0" w:right="0" w:firstLine="0"/>
                        <w:jc w:val="left"/>
                        <w:rPr>
                          <w:rFonts w:ascii="Microsoft JhengHei" w:hAnsi="Microsoft JhengHei" w:cs="Microsoft JhengHei" w:eastAsia="Microsoft JhengHei" w:hint="default"/>
                          <w:sz w:val="22"/>
                          <w:szCs w:val="22"/>
                        </w:rPr>
                      </w:pPr>
                      <w:r>
                        <w:rPr>
                          <w:rFonts w:ascii="Microsoft JhengHei" w:hAnsi="Microsoft JhengHei" w:cs="Microsoft JhengHei" w:eastAsia="Microsoft JhengHei" w:hint="default"/>
                          <w:b/>
                          <w:bCs/>
                          <w:sz w:val="22"/>
                          <w:szCs w:val="22"/>
                        </w:rPr>
                        <w:t>政</w:t>
                      </w:r>
                      <w:r>
                        <w:rPr>
                          <w:rFonts w:ascii="Microsoft JhengHei" w:hAnsi="Microsoft JhengHei" w:cs="Microsoft JhengHei" w:eastAsia="Microsoft JhengHei" w:hint="default"/>
                          <w:b/>
                          <w:bCs/>
                          <w:w w:val="100"/>
                          <w:sz w:val="22"/>
                          <w:szCs w:val="22"/>
                        </w:rPr>
                        <w:t> </w:t>
                      </w:r>
                      <w:r>
                        <w:rPr>
                          <w:rFonts w:ascii="Microsoft JhengHei" w:hAnsi="Microsoft JhengHei" w:cs="Microsoft JhengHei" w:eastAsia="Microsoft JhengHei" w:hint="default"/>
                          <w:b/>
                          <w:bCs/>
                          <w:sz w:val="22"/>
                          <w:szCs w:val="22"/>
                        </w:rPr>
                        <w:t>部</w:t>
                      </w:r>
                      <w:r>
                        <w:rPr>
                          <w:rFonts w:ascii="Microsoft JhengHei" w:hAnsi="Microsoft JhengHei" w:cs="Microsoft JhengHei" w:eastAsia="Microsoft JhengHei" w:hint="default"/>
                          <w:sz w:val="22"/>
                          <w:szCs w:val="22"/>
                        </w:rPr>
                      </w:r>
                    </w:p>
                  </w:txbxContent>
                </v:textbox>
                <w10:wrap type="none"/>
              </v:shape>
              <v:shape style="position:absolute;left:3863;top:4836;width:221;height:1248" type="#_x0000_t202" filled="false" stroked="false">
                <v:textbox inset="0,0,0,0">
                  <w:txbxContent>
                    <w:p>
                      <w:pPr>
                        <w:spacing w:line="183" w:lineRule="exact" w:before="0"/>
                        <w:ind w:left="0" w:right="0" w:firstLine="0"/>
                        <w:jc w:val="both"/>
                        <w:rPr>
                          <w:rFonts w:ascii="Microsoft JhengHei" w:hAnsi="Microsoft JhengHei" w:cs="Microsoft JhengHei" w:eastAsia="Microsoft JhengHei" w:hint="default"/>
                          <w:sz w:val="22"/>
                          <w:szCs w:val="22"/>
                        </w:rPr>
                      </w:pPr>
                      <w:r>
                        <w:rPr>
                          <w:rFonts w:ascii="Microsoft JhengHei" w:hAnsi="Microsoft JhengHei" w:cs="Microsoft JhengHei" w:eastAsia="Microsoft JhengHei" w:hint="default"/>
                          <w:b/>
                          <w:bCs/>
                          <w:w w:val="100"/>
                          <w:sz w:val="22"/>
                          <w:szCs w:val="22"/>
                        </w:rPr>
                        <w:t>人</w:t>
                      </w:r>
                      <w:r>
                        <w:rPr>
                          <w:rFonts w:ascii="Microsoft JhengHei" w:hAnsi="Microsoft JhengHei" w:cs="Microsoft JhengHei" w:eastAsia="Microsoft JhengHei" w:hint="default"/>
                          <w:w w:val="100"/>
                          <w:sz w:val="22"/>
                          <w:szCs w:val="22"/>
                        </w:rPr>
                      </w:r>
                    </w:p>
                    <w:p>
                      <w:pPr>
                        <w:spacing w:line="160" w:lineRule="auto" w:before="45"/>
                        <w:ind w:left="0" w:right="0" w:firstLine="0"/>
                        <w:jc w:val="both"/>
                        <w:rPr>
                          <w:rFonts w:ascii="Microsoft JhengHei" w:hAnsi="Microsoft JhengHei" w:cs="Microsoft JhengHei" w:eastAsia="Microsoft JhengHei" w:hint="default"/>
                          <w:sz w:val="22"/>
                          <w:szCs w:val="22"/>
                        </w:rPr>
                      </w:pPr>
                      <w:r>
                        <w:rPr>
                          <w:rFonts w:ascii="Microsoft JhengHei" w:hAnsi="Microsoft JhengHei" w:cs="Microsoft JhengHei" w:eastAsia="Microsoft JhengHei" w:hint="default"/>
                          <w:b/>
                          <w:bCs/>
                          <w:sz w:val="22"/>
                          <w:szCs w:val="22"/>
                        </w:rPr>
                        <w:t>力</w:t>
                      </w:r>
                      <w:r>
                        <w:rPr>
                          <w:rFonts w:ascii="Microsoft JhengHei" w:hAnsi="Microsoft JhengHei" w:cs="Microsoft JhengHei" w:eastAsia="Microsoft JhengHei" w:hint="default"/>
                          <w:b/>
                          <w:bCs/>
                          <w:w w:val="100"/>
                          <w:sz w:val="22"/>
                          <w:szCs w:val="22"/>
                        </w:rPr>
                        <w:t> </w:t>
                      </w:r>
                      <w:r>
                        <w:rPr>
                          <w:rFonts w:ascii="Microsoft JhengHei" w:hAnsi="Microsoft JhengHei" w:cs="Microsoft JhengHei" w:eastAsia="Microsoft JhengHei" w:hint="default"/>
                          <w:b/>
                          <w:bCs/>
                          <w:sz w:val="22"/>
                          <w:szCs w:val="22"/>
                        </w:rPr>
                        <w:t>资</w:t>
                      </w:r>
                      <w:r>
                        <w:rPr>
                          <w:rFonts w:ascii="Microsoft JhengHei" w:hAnsi="Microsoft JhengHei" w:cs="Microsoft JhengHei" w:eastAsia="Microsoft JhengHei" w:hint="default"/>
                          <w:b/>
                          <w:bCs/>
                          <w:w w:val="100"/>
                          <w:sz w:val="22"/>
                          <w:szCs w:val="22"/>
                        </w:rPr>
                        <w:t> </w:t>
                      </w:r>
                      <w:r>
                        <w:rPr>
                          <w:rFonts w:ascii="Microsoft JhengHei" w:hAnsi="Microsoft JhengHei" w:cs="Microsoft JhengHei" w:eastAsia="Microsoft JhengHei" w:hint="default"/>
                          <w:b/>
                          <w:bCs/>
                          <w:sz w:val="22"/>
                          <w:szCs w:val="22"/>
                        </w:rPr>
                        <w:t>源</w:t>
                      </w:r>
                      <w:r>
                        <w:rPr>
                          <w:rFonts w:ascii="Microsoft JhengHei" w:hAnsi="Microsoft JhengHei" w:cs="Microsoft JhengHei" w:eastAsia="Microsoft JhengHei" w:hint="default"/>
                          <w:b/>
                          <w:bCs/>
                          <w:w w:val="100"/>
                          <w:sz w:val="22"/>
                          <w:szCs w:val="22"/>
                        </w:rPr>
                        <w:t> </w:t>
                      </w:r>
                      <w:r>
                        <w:rPr>
                          <w:rFonts w:ascii="Microsoft JhengHei" w:hAnsi="Microsoft JhengHei" w:cs="Microsoft JhengHei" w:eastAsia="Microsoft JhengHei" w:hint="default"/>
                          <w:b/>
                          <w:bCs/>
                          <w:sz w:val="22"/>
                          <w:szCs w:val="22"/>
                        </w:rPr>
                        <w:t>部</w:t>
                      </w:r>
                      <w:r>
                        <w:rPr>
                          <w:rFonts w:ascii="Microsoft JhengHei" w:hAnsi="Microsoft JhengHei" w:cs="Microsoft JhengHei" w:eastAsia="Microsoft JhengHei" w:hint="default"/>
                          <w:sz w:val="22"/>
                          <w:szCs w:val="22"/>
                        </w:rPr>
                      </w:r>
                    </w:p>
                  </w:txbxContent>
                </v:textbox>
                <w10:wrap type="none"/>
              </v:shape>
              <v:shape style="position:absolute;left:4453;top:4805;width:221;height:735" type="#_x0000_t202" filled="false" stroked="false">
                <v:textbox inset="0,0,0,0">
                  <w:txbxContent>
                    <w:p>
                      <w:pPr>
                        <w:spacing w:line="183" w:lineRule="exact" w:before="0"/>
                        <w:ind w:left="0" w:right="0" w:firstLine="0"/>
                        <w:jc w:val="left"/>
                        <w:rPr>
                          <w:rFonts w:ascii="Microsoft JhengHei" w:hAnsi="Microsoft JhengHei" w:cs="Microsoft JhengHei" w:eastAsia="Microsoft JhengHei" w:hint="default"/>
                          <w:sz w:val="22"/>
                          <w:szCs w:val="22"/>
                        </w:rPr>
                      </w:pPr>
                      <w:r>
                        <w:rPr>
                          <w:rFonts w:ascii="Microsoft JhengHei" w:hAnsi="Microsoft JhengHei" w:cs="Microsoft JhengHei" w:eastAsia="Microsoft JhengHei" w:hint="default"/>
                          <w:b/>
                          <w:bCs/>
                          <w:w w:val="100"/>
                          <w:sz w:val="22"/>
                          <w:szCs w:val="22"/>
                        </w:rPr>
                        <w:t>研</w:t>
                      </w:r>
                      <w:r>
                        <w:rPr>
                          <w:rFonts w:ascii="Microsoft JhengHei" w:hAnsi="Microsoft JhengHei" w:cs="Microsoft JhengHei" w:eastAsia="Microsoft JhengHei" w:hint="default"/>
                          <w:w w:val="100"/>
                          <w:sz w:val="22"/>
                          <w:szCs w:val="22"/>
                        </w:rPr>
                      </w:r>
                    </w:p>
                    <w:p>
                      <w:pPr>
                        <w:spacing w:line="160" w:lineRule="auto" w:before="45"/>
                        <w:ind w:left="0" w:right="0" w:firstLine="0"/>
                        <w:jc w:val="left"/>
                        <w:rPr>
                          <w:rFonts w:ascii="Microsoft JhengHei" w:hAnsi="Microsoft JhengHei" w:cs="Microsoft JhengHei" w:eastAsia="Microsoft JhengHei" w:hint="default"/>
                          <w:sz w:val="22"/>
                          <w:szCs w:val="22"/>
                        </w:rPr>
                      </w:pPr>
                      <w:r>
                        <w:rPr>
                          <w:rFonts w:ascii="Microsoft JhengHei" w:hAnsi="Microsoft JhengHei" w:cs="Microsoft JhengHei" w:eastAsia="Microsoft JhengHei" w:hint="default"/>
                          <w:b/>
                          <w:bCs/>
                          <w:sz w:val="22"/>
                          <w:szCs w:val="22"/>
                        </w:rPr>
                        <w:t>发</w:t>
                      </w:r>
                      <w:r>
                        <w:rPr>
                          <w:rFonts w:ascii="Microsoft JhengHei" w:hAnsi="Microsoft JhengHei" w:cs="Microsoft JhengHei" w:eastAsia="Microsoft JhengHei" w:hint="default"/>
                          <w:b/>
                          <w:bCs/>
                          <w:w w:val="100"/>
                          <w:sz w:val="22"/>
                          <w:szCs w:val="22"/>
                        </w:rPr>
                        <w:t> </w:t>
                      </w:r>
                      <w:r>
                        <w:rPr>
                          <w:rFonts w:ascii="Microsoft JhengHei" w:hAnsi="Microsoft JhengHei" w:cs="Microsoft JhengHei" w:eastAsia="Microsoft JhengHei" w:hint="default"/>
                          <w:b/>
                          <w:bCs/>
                          <w:sz w:val="22"/>
                          <w:szCs w:val="22"/>
                        </w:rPr>
                        <w:t>部</w:t>
                      </w:r>
                      <w:r>
                        <w:rPr>
                          <w:rFonts w:ascii="Microsoft JhengHei" w:hAnsi="Microsoft JhengHei" w:cs="Microsoft JhengHei" w:eastAsia="Microsoft JhengHei" w:hint="default"/>
                          <w:sz w:val="22"/>
                          <w:szCs w:val="22"/>
                        </w:rPr>
                      </w:r>
                    </w:p>
                  </w:txbxContent>
                </v:textbox>
                <w10:wrap type="none"/>
              </v:shape>
              <v:shape style="position:absolute;left:5089;top:4805;width:221;height:1248" type="#_x0000_t202" filled="false" stroked="false">
                <v:textbox inset="0,0,0,0">
                  <w:txbxContent>
                    <w:p>
                      <w:pPr>
                        <w:spacing w:line="183" w:lineRule="exact" w:before="0"/>
                        <w:ind w:left="0" w:right="0" w:firstLine="0"/>
                        <w:jc w:val="both"/>
                        <w:rPr>
                          <w:rFonts w:ascii="Microsoft JhengHei" w:hAnsi="Microsoft JhengHei" w:cs="Microsoft JhengHei" w:eastAsia="Microsoft JhengHei" w:hint="default"/>
                          <w:sz w:val="22"/>
                          <w:szCs w:val="22"/>
                        </w:rPr>
                      </w:pPr>
                      <w:r>
                        <w:rPr>
                          <w:rFonts w:ascii="Microsoft JhengHei" w:hAnsi="Microsoft JhengHei" w:cs="Microsoft JhengHei" w:eastAsia="Microsoft JhengHei" w:hint="default"/>
                          <w:b/>
                          <w:bCs/>
                          <w:w w:val="100"/>
                          <w:sz w:val="22"/>
                          <w:szCs w:val="22"/>
                        </w:rPr>
                        <w:t>品</w:t>
                      </w:r>
                      <w:r>
                        <w:rPr>
                          <w:rFonts w:ascii="Microsoft JhengHei" w:hAnsi="Microsoft JhengHei" w:cs="Microsoft JhengHei" w:eastAsia="Microsoft JhengHei" w:hint="default"/>
                          <w:w w:val="100"/>
                          <w:sz w:val="22"/>
                          <w:szCs w:val="22"/>
                        </w:rPr>
                      </w:r>
                    </w:p>
                    <w:p>
                      <w:pPr>
                        <w:spacing w:line="160" w:lineRule="auto" w:before="45"/>
                        <w:ind w:left="0" w:right="0" w:firstLine="0"/>
                        <w:jc w:val="both"/>
                        <w:rPr>
                          <w:rFonts w:ascii="Microsoft JhengHei" w:hAnsi="Microsoft JhengHei" w:cs="Microsoft JhengHei" w:eastAsia="Microsoft JhengHei" w:hint="default"/>
                          <w:sz w:val="22"/>
                          <w:szCs w:val="22"/>
                        </w:rPr>
                      </w:pPr>
                      <w:r>
                        <w:rPr>
                          <w:rFonts w:ascii="Microsoft JhengHei" w:hAnsi="Microsoft JhengHei" w:cs="Microsoft JhengHei" w:eastAsia="Microsoft JhengHei" w:hint="default"/>
                          <w:b/>
                          <w:bCs/>
                          <w:sz w:val="22"/>
                          <w:szCs w:val="22"/>
                        </w:rPr>
                        <w:t>质</w:t>
                      </w:r>
                      <w:r>
                        <w:rPr>
                          <w:rFonts w:ascii="Microsoft JhengHei" w:hAnsi="Microsoft JhengHei" w:cs="Microsoft JhengHei" w:eastAsia="Microsoft JhengHei" w:hint="default"/>
                          <w:b/>
                          <w:bCs/>
                          <w:w w:val="100"/>
                          <w:sz w:val="22"/>
                          <w:szCs w:val="22"/>
                        </w:rPr>
                        <w:t> </w:t>
                      </w:r>
                      <w:r>
                        <w:rPr>
                          <w:rFonts w:ascii="Microsoft JhengHei" w:hAnsi="Microsoft JhengHei" w:cs="Microsoft JhengHei" w:eastAsia="Microsoft JhengHei" w:hint="default"/>
                          <w:b/>
                          <w:bCs/>
                          <w:sz w:val="22"/>
                          <w:szCs w:val="22"/>
                        </w:rPr>
                        <w:t>管</w:t>
                      </w:r>
                      <w:r>
                        <w:rPr>
                          <w:rFonts w:ascii="Microsoft JhengHei" w:hAnsi="Microsoft JhengHei" w:cs="Microsoft JhengHei" w:eastAsia="Microsoft JhengHei" w:hint="default"/>
                          <w:b/>
                          <w:bCs/>
                          <w:w w:val="100"/>
                          <w:sz w:val="22"/>
                          <w:szCs w:val="22"/>
                        </w:rPr>
                        <w:t> </w:t>
                      </w:r>
                      <w:r>
                        <w:rPr>
                          <w:rFonts w:ascii="Microsoft JhengHei" w:hAnsi="Microsoft JhengHei" w:cs="Microsoft JhengHei" w:eastAsia="Microsoft JhengHei" w:hint="default"/>
                          <w:b/>
                          <w:bCs/>
                          <w:sz w:val="22"/>
                          <w:szCs w:val="22"/>
                        </w:rPr>
                        <w:t>理</w:t>
                      </w:r>
                      <w:r>
                        <w:rPr>
                          <w:rFonts w:ascii="Microsoft JhengHei" w:hAnsi="Microsoft JhengHei" w:cs="Microsoft JhengHei" w:eastAsia="Microsoft JhengHei" w:hint="default"/>
                          <w:b/>
                          <w:bCs/>
                          <w:w w:val="100"/>
                          <w:sz w:val="22"/>
                          <w:szCs w:val="22"/>
                        </w:rPr>
                        <w:t> </w:t>
                      </w:r>
                      <w:r>
                        <w:rPr>
                          <w:rFonts w:ascii="Microsoft JhengHei" w:hAnsi="Microsoft JhengHei" w:cs="Microsoft JhengHei" w:eastAsia="Microsoft JhengHei" w:hint="default"/>
                          <w:b/>
                          <w:bCs/>
                          <w:sz w:val="22"/>
                          <w:szCs w:val="22"/>
                        </w:rPr>
                        <w:t>部</w:t>
                      </w:r>
                      <w:r>
                        <w:rPr>
                          <w:rFonts w:ascii="Microsoft JhengHei" w:hAnsi="Microsoft JhengHei" w:cs="Microsoft JhengHei" w:eastAsia="Microsoft JhengHei" w:hint="default"/>
                          <w:sz w:val="22"/>
                          <w:szCs w:val="22"/>
                        </w:rPr>
                      </w:r>
                    </w:p>
                  </w:txbxContent>
                </v:textbox>
                <w10:wrap type="none"/>
              </v:shape>
              <v:shape style="position:absolute;left:5718;top:4822;width:221;height:1248" type="#_x0000_t202" filled="false" stroked="false">
                <v:textbox inset="0,0,0,0">
                  <w:txbxContent>
                    <w:p>
                      <w:pPr>
                        <w:spacing w:line="183" w:lineRule="exact" w:before="0"/>
                        <w:ind w:left="0" w:right="0" w:firstLine="0"/>
                        <w:jc w:val="both"/>
                        <w:rPr>
                          <w:rFonts w:ascii="Microsoft JhengHei" w:hAnsi="Microsoft JhengHei" w:cs="Microsoft JhengHei" w:eastAsia="Microsoft JhengHei" w:hint="default"/>
                          <w:sz w:val="22"/>
                          <w:szCs w:val="22"/>
                        </w:rPr>
                      </w:pPr>
                      <w:r>
                        <w:rPr>
                          <w:rFonts w:ascii="Microsoft JhengHei" w:hAnsi="Microsoft JhengHei" w:cs="Microsoft JhengHei" w:eastAsia="Microsoft JhengHei" w:hint="default"/>
                          <w:b/>
                          <w:bCs/>
                          <w:w w:val="100"/>
                          <w:sz w:val="22"/>
                          <w:szCs w:val="22"/>
                        </w:rPr>
                        <w:t>生</w:t>
                      </w:r>
                      <w:r>
                        <w:rPr>
                          <w:rFonts w:ascii="Microsoft JhengHei" w:hAnsi="Microsoft JhengHei" w:cs="Microsoft JhengHei" w:eastAsia="Microsoft JhengHei" w:hint="default"/>
                          <w:w w:val="100"/>
                          <w:sz w:val="22"/>
                          <w:szCs w:val="22"/>
                        </w:rPr>
                      </w:r>
                    </w:p>
                    <w:p>
                      <w:pPr>
                        <w:spacing w:line="160" w:lineRule="auto" w:before="45"/>
                        <w:ind w:left="0" w:right="0" w:firstLine="0"/>
                        <w:jc w:val="both"/>
                        <w:rPr>
                          <w:rFonts w:ascii="Microsoft JhengHei" w:hAnsi="Microsoft JhengHei" w:cs="Microsoft JhengHei" w:eastAsia="Microsoft JhengHei" w:hint="default"/>
                          <w:sz w:val="22"/>
                          <w:szCs w:val="22"/>
                        </w:rPr>
                      </w:pPr>
                      <w:r>
                        <w:rPr>
                          <w:rFonts w:ascii="Microsoft JhengHei" w:hAnsi="Microsoft JhengHei" w:cs="Microsoft JhengHei" w:eastAsia="Microsoft JhengHei" w:hint="default"/>
                          <w:b/>
                          <w:bCs/>
                          <w:sz w:val="22"/>
                          <w:szCs w:val="22"/>
                        </w:rPr>
                        <w:t>产</w:t>
                      </w:r>
                      <w:r>
                        <w:rPr>
                          <w:rFonts w:ascii="Microsoft JhengHei" w:hAnsi="Microsoft JhengHei" w:cs="Microsoft JhengHei" w:eastAsia="Microsoft JhengHei" w:hint="default"/>
                          <w:b/>
                          <w:bCs/>
                          <w:w w:val="100"/>
                          <w:sz w:val="22"/>
                          <w:szCs w:val="22"/>
                        </w:rPr>
                        <w:t> </w:t>
                      </w:r>
                      <w:r>
                        <w:rPr>
                          <w:rFonts w:ascii="Microsoft JhengHei" w:hAnsi="Microsoft JhengHei" w:cs="Microsoft JhengHei" w:eastAsia="Microsoft JhengHei" w:hint="default"/>
                          <w:b/>
                          <w:bCs/>
                          <w:sz w:val="22"/>
                          <w:szCs w:val="22"/>
                        </w:rPr>
                        <w:t>管</w:t>
                      </w:r>
                      <w:r>
                        <w:rPr>
                          <w:rFonts w:ascii="Microsoft JhengHei" w:hAnsi="Microsoft JhengHei" w:cs="Microsoft JhengHei" w:eastAsia="Microsoft JhengHei" w:hint="default"/>
                          <w:b/>
                          <w:bCs/>
                          <w:w w:val="100"/>
                          <w:sz w:val="22"/>
                          <w:szCs w:val="22"/>
                        </w:rPr>
                        <w:t> </w:t>
                      </w:r>
                      <w:r>
                        <w:rPr>
                          <w:rFonts w:ascii="Microsoft JhengHei" w:hAnsi="Microsoft JhengHei" w:cs="Microsoft JhengHei" w:eastAsia="Microsoft JhengHei" w:hint="default"/>
                          <w:b/>
                          <w:bCs/>
                          <w:sz w:val="22"/>
                          <w:szCs w:val="22"/>
                        </w:rPr>
                        <w:t>理</w:t>
                      </w:r>
                      <w:r>
                        <w:rPr>
                          <w:rFonts w:ascii="Microsoft JhengHei" w:hAnsi="Microsoft JhengHei" w:cs="Microsoft JhengHei" w:eastAsia="Microsoft JhengHei" w:hint="default"/>
                          <w:b/>
                          <w:bCs/>
                          <w:w w:val="100"/>
                          <w:sz w:val="22"/>
                          <w:szCs w:val="22"/>
                        </w:rPr>
                        <w:t> </w:t>
                      </w:r>
                      <w:r>
                        <w:rPr>
                          <w:rFonts w:ascii="Microsoft JhengHei" w:hAnsi="Microsoft JhengHei" w:cs="Microsoft JhengHei" w:eastAsia="Microsoft JhengHei" w:hint="default"/>
                          <w:b/>
                          <w:bCs/>
                          <w:sz w:val="22"/>
                          <w:szCs w:val="22"/>
                        </w:rPr>
                        <w:t>部</w:t>
                      </w:r>
                      <w:r>
                        <w:rPr>
                          <w:rFonts w:ascii="Microsoft JhengHei" w:hAnsi="Microsoft JhengHei" w:cs="Microsoft JhengHei" w:eastAsia="Microsoft JhengHei" w:hint="default"/>
                          <w:sz w:val="22"/>
                          <w:szCs w:val="22"/>
                        </w:rPr>
                      </w:r>
                    </w:p>
                  </w:txbxContent>
                </v:textbox>
                <w10:wrap type="none"/>
              </v:shape>
              <v:shape style="position:absolute;left:6369;top:4824;width:221;height:992" type="#_x0000_t202" filled="false" stroked="false">
                <v:textbox inset="0,0,0,0">
                  <w:txbxContent>
                    <w:p>
                      <w:pPr>
                        <w:spacing w:line="183" w:lineRule="exact" w:before="0"/>
                        <w:ind w:left="0" w:right="0" w:firstLine="0"/>
                        <w:jc w:val="both"/>
                        <w:rPr>
                          <w:rFonts w:ascii="Microsoft JhengHei" w:hAnsi="Microsoft JhengHei" w:cs="Microsoft JhengHei" w:eastAsia="Microsoft JhengHei" w:hint="default"/>
                          <w:sz w:val="22"/>
                          <w:szCs w:val="22"/>
                        </w:rPr>
                      </w:pPr>
                      <w:r>
                        <w:rPr>
                          <w:rFonts w:ascii="Microsoft JhengHei" w:hAnsi="Microsoft JhengHei" w:cs="Microsoft JhengHei" w:eastAsia="Microsoft JhengHei" w:hint="default"/>
                          <w:b/>
                          <w:bCs/>
                          <w:w w:val="100"/>
                          <w:sz w:val="22"/>
                          <w:szCs w:val="22"/>
                        </w:rPr>
                        <w:t>制</w:t>
                      </w:r>
                      <w:r>
                        <w:rPr>
                          <w:rFonts w:ascii="Microsoft JhengHei" w:hAnsi="Microsoft JhengHei" w:cs="Microsoft JhengHei" w:eastAsia="Microsoft JhengHei" w:hint="default"/>
                          <w:w w:val="100"/>
                          <w:sz w:val="22"/>
                          <w:szCs w:val="22"/>
                        </w:rPr>
                      </w:r>
                    </w:p>
                    <w:p>
                      <w:pPr>
                        <w:spacing w:line="160" w:lineRule="auto" w:before="45"/>
                        <w:ind w:left="0" w:right="0" w:firstLine="0"/>
                        <w:jc w:val="both"/>
                        <w:rPr>
                          <w:rFonts w:ascii="Microsoft JhengHei" w:hAnsi="Microsoft JhengHei" w:cs="Microsoft JhengHei" w:eastAsia="Microsoft JhengHei" w:hint="default"/>
                          <w:sz w:val="22"/>
                          <w:szCs w:val="22"/>
                        </w:rPr>
                      </w:pPr>
                      <w:r>
                        <w:rPr>
                          <w:rFonts w:ascii="Microsoft JhengHei" w:hAnsi="Microsoft JhengHei" w:cs="Microsoft JhengHei" w:eastAsia="Microsoft JhengHei" w:hint="default"/>
                          <w:b/>
                          <w:bCs/>
                          <w:sz w:val="22"/>
                          <w:szCs w:val="22"/>
                        </w:rPr>
                        <w:t>造</w:t>
                      </w:r>
                      <w:r>
                        <w:rPr>
                          <w:rFonts w:ascii="Microsoft JhengHei" w:hAnsi="Microsoft JhengHei" w:cs="Microsoft JhengHei" w:eastAsia="Microsoft JhengHei" w:hint="default"/>
                          <w:b/>
                          <w:bCs/>
                          <w:w w:val="100"/>
                          <w:sz w:val="22"/>
                          <w:szCs w:val="22"/>
                        </w:rPr>
                        <w:t> </w:t>
                      </w:r>
                      <w:r>
                        <w:rPr>
                          <w:rFonts w:ascii="Microsoft JhengHei" w:hAnsi="Microsoft JhengHei" w:cs="Microsoft JhengHei" w:eastAsia="Microsoft JhengHei" w:hint="default"/>
                          <w:b/>
                          <w:bCs/>
                          <w:sz w:val="22"/>
                          <w:szCs w:val="22"/>
                        </w:rPr>
                        <w:t>一</w:t>
                      </w:r>
                      <w:r>
                        <w:rPr>
                          <w:rFonts w:ascii="Microsoft JhengHei" w:hAnsi="Microsoft JhengHei" w:cs="Microsoft JhengHei" w:eastAsia="Microsoft JhengHei" w:hint="default"/>
                          <w:b/>
                          <w:bCs/>
                          <w:w w:val="100"/>
                          <w:sz w:val="22"/>
                          <w:szCs w:val="22"/>
                        </w:rPr>
                        <w:t> </w:t>
                      </w:r>
                      <w:r>
                        <w:rPr>
                          <w:rFonts w:ascii="Microsoft JhengHei" w:hAnsi="Microsoft JhengHei" w:cs="Microsoft JhengHei" w:eastAsia="Microsoft JhengHei" w:hint="default"/>
                          <w:b/>
                          <w:bCs/>
                          <w:sz w:val="22"/>
                          <w:szCs w:val="22"/>
                        </w:rPr>
                        <w:t>部</w:t>
                      </w:r>
                      <w:r>
                        <w:rPr>
                          <w:rFonts w:ascii="Microsoft JhengHei" w:hAnsi="Microsoft JhengHei" w:cs="Microsoft JhengHei" w:eastAsia="Microsoft JhengHei" w:hint="default"/>
                          <w:sz w:val="22"/>
                          <w:szCs w:val="22"/>
                        </w:rPr>
                      </w:r>
                    </w:p>
                  </w:txbxContent>
                </v:textbox>
                <w10:wrap type="none"/>
              </v:shape>
              <v:shape style="position:absolute;left:7000;top:4822;width:221;height:992" type="#_x0000_t202" filled="false" stroked="false">
                <v:textbox inset="0,0,0,0">
                  <w:txbxContent>
                    <w:p>
                      <w:pPr>
                        <w:spacing w:line="183" w:lineRule="exact" w:before="0"/>
                        <w:ind w:left="0" w:right="0" w:firstLine="0"/>
                        <w:jc w:val="both"/>
                        <w:rPr>
                          <w:rFonts w:ascii="Microsoft JhengHei" w:hAnsi="Microsoft JhengHei" w:cs="Microsoft JhengHei" w:eastAsia="Microsoft JhengHei" w:hint="default"/>
                          <w:sz w:val="22"/>
                          <w:szCs w:val="22"/>
                        </w:rPr>
                      </w:pPr>
                      <w:r>
                        <w:rPr>
                          <w:rFonts w:ascii="Microsoft JhengHei" w:hAnsi="Microsoft JhengHei" w:cs="Microsoft JhengHei" w:eastAsia="Microsoft JhengHei" w:hint="default"/>
                          <w:b/>
                          <w:bCs/>
                          <w:w w:val="100"/>
                          <w:sz w:val="22"/>
                          <w:szCs w:val="22"/>
                        </w:rPr>
                        <w:t>制</w:t>
                      </w:r>
                      <w:r>
                        <w:rPr>
                          <w:rFonts w:ascii="Microsoft JhengHei" w:hAnsi="Microsoft JhengHei" w:cs="Microsoft JhengHei" w:eastAsia="Microsoft JhengHei" w:hint="default"/>
                          <w:w w:val="100"/>
                          <w:sz w:val="22"/>
                          <w:szCs w:val="22"/>
                        </w:rPr>
                      </w:r>
                    </w:p>
                    <w:p>
                      <w:pPr>
                        <w:spacing w:line="160" w:lineRule="auto" w:before="45"/>
                        <w:ind w:left="0" w:right="0" w:firstLine="0"/>
                        <w:jc w:val="both"/>
                        <w:rPr>
                          <w:rFonts w:ascii="Microsoft JhengHei" w:hAnsi="Microsoft JhengHei" w:cs="Microsoft JhengHei" w:eastAsia="Microsoft JhengHei" w:hint="default"/>
                          <w:sz w:val="22"/>
                          <w:szCs w:val="22"/>
                        </w:rPr>
                      </w:pPr>
                      <w:r>
                        <w:rPr>
                          <w:rFonts w:ascii="Microsoft JhengHei" w:hAnsi="Microsoft JhengHei" w:cs="Microsoft JhengHei" w:eastAsia="Microsoft JhengHei" w:hint="default"/>
                          <w:b/>
                          <w:bCs/>
                          <w:sz w:val="22"/>
                          <w:szCs w:val="22"/>
                        </w:rPr>
                        <w:t>造</w:t>
                      </w:r>
                      <w:r>
                        <w:rPr>
                          <w:rFonts w:ascii="Microsoft JhengHei" w:hAnsi="Microsoft JhengHei" w:cs="Microsoft JhengHei" w:eastAsia="Microsoft JhengHei" w:hint="default"/>
                          <w:b/>
                          <w:bCs/>
                          <w:w w:val="100"/>
                          <w:sz w:val="22"/>
                          <w:szCs w:val="22"/>
                        </w:rPr>
                        <w:t> </w:t>
                      </w:r>
                      <w:r>
                        <w:rPr>
                          <w:rFonts w:ascii="Microsoft JhengHei" w:hAnsi="Microsoft JhengHei" w:cs="Microsoft JhengHei" w:eastAsia="Microsoft JhengHei" w:hint="default"/>
                          <w:b/>
                          <w:bCs/>
                          <w:sz w:val="22"/>
                          <w:szCs w:val="22"/>
                        </w:rPr>
                        <w:t>二</w:t>
                      </w:r>
                      <w:r>
                        <w:rPr>
                          <w:rFonts w:ascii="Microsoft JhengHei" w:hAnsi="Microsoft JhengHei" w:cs="Microsoft JhengHei" w:eastAsia="Microsoft JhengHei" w:hint="default"/>
                          <w:b/>
                          <w:bCs/>
                          <w:w w:val="100"/>
                          <w:sz w:val="22"/>
                          <w:szCs w:val="22"/>
                        </w:rPr>
                        <w:t> </w:t>
                      </w:r>
                      <w:r>
                        <w:rPr>
                          <w:rFonts w:ascii="Microsoft JhengHei" w:hAnsi="Microsoft JhengHei" w:cs="Microsoft JhengHei" w:eastAsia="Microsoft JhengHei" w:hint="default"/>
                          <w:b/>
                          <w:bCs/>
                          <w:sz w:val="22"/>
                          <w:szCs w:val="22"/>
                        </w:rPr>
                        <w:t>部</w:t>
                      </w:r>
                      <w:r>
                        <w:rPr>
                          <w:rFonts w:ascii="Microsoft JhengHei" w:hAnsi="Microsoft JhengHei" w:cs="Microsoft JhengHei" w:eastAsia="Microsoft JhengHei" w:hint="default"/>
                          <w:sz w:val="22"/>
                          <w:szCs w:val="22"/>
                        </w:rPr>
                      </w:r>
                    </w:p>
                  </w:txbxContent>
                </v:textbox>
                <w10:wrap type="none"/>
              </v:shape>
              <v:shape style="position:absolute;left:7631;top:4824;width:221;height:735" type="#_x0000_t202" filled="false" stroked="false">
                <v:textbox inset="0,0,0,0">
                  <w:txbxContent>
                    <w:p>
                      <w:pPr>
                        <w:spacing w:line="183" w:lineRule="exact" w:before="0"/>
                        <w:ind w:left="0" w:right="0" w:firstLine="0"/>
                        <w:jc w:val="left"/>
                        <w:rPr>
                          <w:rFonts w:ascii="Microsoft JhengHei" w:hAnsi="Microsoft JhengHei" w:cs="Microsoft JhengHei" w:eastAsia="Microsoft JhengHei" w:hint="default"/>
                          <w:sz w:val="22"/>
                          <w:szCs w:val="22"/>
                        </w:rPr>
                      </w:pPr>
                      <w:r>
                        <w:rPr>
                          <w:rFonts w:ascii="Microsoft JhengHei" w:hAnsi="Microsoft JhengHei" w:cs="Microsoft JhengHei" w:eastAsia="Microsoft JhengHei" w:hint="default"/>
                          <w:b/>
                          <w:bCs/>
                          <w:w w:val="100"/>
                          <w:sz w:val="22"/>
                          <w:szCs w:val="22"/>
                        </w:rPr>
                        <w:t>设</w:t>
                      </w:r>
                      <w:r>
                        <w:rPr>
                          <w:rFonts w:ascii="Microsoft JhengHei" w:hAnsi="Microsoft JhengHei" w:cs="Microsoft JhengHei" w:eastAsia="Microsoft JhengHei" w:hint="default"/>
                          <w:w w:val="100"/>
                          <w:sz w:val="22"/>
                          <w:szCs w:val="22"/>
                        </w:rPr>
                      </w:r>
                    </w:p>
                    <w:p>
                      <w:pPr>
                        <w:spacing w:line="160" w:lineRule="auto" w:before="45"/>
                        <w:ind w:left="0" w:right="0" w:firstLine="0"/>
                        <w:jc w:val="left"/>
                        <w:rPr>
                          <w:rFonts w:ascii="Microsoft JhengHei" w:hAnsi="Microsoft JhengHei" w:cs="Microsoft JhengHei" w:eastAsia="Microsoft JhengHei" w:hint="default"/>
                          <w:sz w:val="22"/>
                          <w:szCs w:val="22"/>
                        </w:rPr>
                      </w:pPr>
                      <w:r>
                        <w:rPr>
                          <w:rFonts w:ascii="Microsoft JhengHei" w:hAnsi="Microsoft JhengHei" w:cs="Microsoft JhengHei" w:eastAsia="Microsoft JhengHei" w:hint="default"/>
                          <w:b/>
                          <w:bCs/>
                          <w:sz w:val="22"/>
                          <w:szCs w:val="22"/>
                        </w:rPr>
                        <w:t>备</w:t>
                      </w:r>
                      <w:r>
                        <w:rPr>
                          <w:rFonts w:ascii="Microsoft JhengHei" w:hAnsi="Microsoft JhengHei" w:cs="Microsoft JhengHei" w:eastAsia="Microsoft JhengHei" w:hint="default"/>
                          <w:b/>
                          <w:bCs/>
                          <w:w w:val="100"/>
                          <w:sz w:val="22"/>
                          <w:szCs w:val="22"/>
                        </w:rPr>
                        <w:t> </w:t>
                      </w:r>
                      <w:r>
                        <w:rPr>
                          <w:rFonts w:ascii="Microsoft JhengHei" w:hAnsi="Microsoft JhengHei" w:cs="Microsoft JhengHei" w:eastAsia="Microsoft JhengHei" w:hint="default"/>
                          <w:b/>
                          <w:bCs/>
                          <w:sz w:val="22"/>
                          <w:szCs w:val="22"/>
                        </w:rPr>
                        <w:t>部</w:t>
                      </w:r>
                      <w:r>
                        <w:rPr>
                          <w:rFonts w:ascii="Microsoft JhengHei" w:hAnsi="Microsoft JhengHei" w:cs="Microsoft JhengHei" w:eastAsia="Microsoft JhengHei" w:hint="default"/>
                          <w:sz w:val="22"/>
                          <w:szCs w:val="22"/>
                        </w:rPr>
                      </w:r>
                    </w:p>
                  </w:txbxContent>
                </v:textbox>
                <w10:wrap type="none"/>
              </v:shape>
              <v:shape style="position:absolute;left:8268;top:4829;width:221;height:735" type="#_x0000_t202" filled="false" stroked="false">
                <v:textbox inset="0,0,0,0">
                  <w:txbxContent>
                    <w:p>
                      <w:pPr>
                        <w:spacing w:line="183" w:lineRule="exact" w:before="0"/>
                        <w:ind w:left="0" w:right="0" w:firstLine="0"/>
                        <w:jc w:val="left"/>
                        <w:rPr>
                          <w:rFonts w:ascii="Microsoft JhengHei" w:hAnsi="Microsoft JhengHei" w:cs="Microsoft JhengHei" w:eastAsia="Microsoft JhengHei" w:hint="default"/>
                          <w:sz w:val="22"/>
                          <w:szCs w:val="22"/>
                        </w:rPr>
                      </w:pPr>
                      <w:r>
                        <w:rPr>
                          <w:rFonts w:ascii="Microsoft JhengHei" w:hAnsi="Microsoft JhengHei" w:cs="Microsoft JhengHei" w:eastAsia="Microsoft JhengHei" w:hint="default"/>
                          <w:b/>
                          <w:bCs/>
                          <w:w w:val="100"/>
                          <w:sz w:val="22"/>
                          <w:szCs w:val="22"/>
                        </w:rPr>
                        <w:t>采</w:t>
                      </w:r>
                      <w:r>
                        <w:rPr>
                          <w:rFonts w:ascii="Microsoft JhengHei" w:hAnsi="Microsoft JhengHei" w:cs="Microsoft JhengHei" w:eastAsia="Microsoft JhengHei" w:hint="default"/>
                          <w:w w:val="100"/>
                          <w:sz w:val="22"/>
                          <w:szCs w:val="22"/>
                        </w:rPr>
                      </w:r>
                    </w:p>
                    <w:p>
                      <w:pPr>
                        <w:spacing w:line="160" w:lineRule="auto" w:before="45"/>
                        <w:ind w:left="0" w:right="0" w:firstLine="0"/>
                        <w:jc w:val="left"/>
                        <w:rPr>
                          <w:rFonts w:ascii="Microsoft JhengHei" w:hAnsi="Microsoft JhengHei" w:cs="Microsoft JhengHei" w:eastAsia="Microsoft JhengHei" w:hint="default"/>
                          <w:sz w:val="22"/>
                          <w:szCs w:val="22"/>
                        </w:rPr>
                      </w:pPr>
                      <w:r>
                        <w:rPr>
                          <w:rFonts w:ascii="Microsoft JhengHei" w:hAnsi="Microsoft JhengHei" w:cs="Microsoft JhengHei" w:eastAsia="Microsoft JhengHei" w:hint="default"/>
                          <w:b/>
                          <w:bCs/>
                          <w:sz w:val="22"/>
                          <w:szCs w:val="22"/>
                        </w:rPr>
                        <w:t>购</w:t>
                      </w:r>
                      <w:r>
                        <w:rPr>
                          <w:rFonts w:ascii="Microsoft JhengHei" w:hAnsi="Microsoft JhengHei" w:cs="Microsoft JhengHei" w:eastAsia="Microsoft JhengHei" w:hint="default"/>
                          <w:b/>
                          <w:bCs/>
                          <w:w w:val="100"/>
                          <w:sz w:val="22"/>
                          <w:szCs w:val="22"/>
                        </w:rPr>
                        <w:t> </w:t>
                      </w:r>
                      <w:r>
                        <w:rPr>
                          <w:rFonts w:ascii="Microsoft JhengHei" w:hAnsi="Microsoft JhengHei" w:cs="Microsoft JhengHei" w:eastAsia="Microsoft JhengHei" w:hint="default"/>
                          <w:b/>
                          <w:bCs/>
                          <w:sz w:val="22"/>
                          <w:szCs w:val="22"/>
                        </w:rPr>
                        <w:t>部</w:t>
                      </w:r>
                      <w:r>
                        <w:rPr>
                          <w:rFonts w:ascii="Microsoft JhengHei" w:hAnsi="Microsoft JhengHei" w:cs="Microsoft JhengHei" w:eastAsia="Microsoft JhengHei" w:hint="default"/>
                          <w:sz w:val="22"/>
                          <w:szCs w:val="22"/>
                        </w:rPr>
                      </w:r>
                    </w:p>
                  </w:txbxContent>
                </v:textbox>
                <w10:wrap type="none"/>
              </v:shape>
              <v:shape style="position:absolute;left:8913;top:4836;width:221;height:735" type="#_x0000_t202" filled="false" stroked="false">
                <v:textbox inset="0,0,0,0">
                  <w:txbxContent>
                    <w:p>
                      <w:pPr>
                        <w:spacing w:line="183" w:lineRule="exact" w:before="0"/>
                        <w:ind w:left="0" w:right="0" w:firstLine="0"/>
                        <w:jc w:val="left"/>
                        <w:rPr>
                          <w:rFonts w:ascii="Microsoft JhengHei" w:hAnsi="Microsoft JhengHei" w:cs="Microsoft JhengHei" w:eastAsia="Microsoft JhengHei" w:hint="default"/>
                          <w:sz w:val="22"/>
                          <w:szCs w:val="22"/>
                        </w:rPr>
                      </w:pPr>
                      <w:r>
                        <w:rPr>
                          <w:rFonts w:ascii="Microsoft JhengHei" w:hAnsi="Microsoft JhengHei" w:cs="Microsoft JhengHei" w:eastAsia="Microsoft JhengHei" w:hint="default"/>
                          <w:b/>
                          <w:bCs/>
                          <w:w w:val="100"/>
                          <w:sz w:val="22"/>
                          <w:szCs w:val="22"/>
                        </w:rPr>
                        <w:t>企</w:t>
                      </w:r>
                      <w:r>
                        <w:rPr>
                          <w:rFonts w:ascii="Microsoft JhengHei" w:hAnsi="Microsoft JhengHei" w:cs="Microsoft JhengHei" w:eastAsia="Microsoft JhengHei" w:hint="default"/>
                          <w:w w:val="100"/>
                          <w:sz w:val="22"/>
                          <w:szCs w:val="22"/>
                        </w:rPr>
                      </w:r>
                    </w:p>
                    <w:p>
                      <w:pPr>
                        <w:spacing w:line="160" w:lineRule="auto" w:before="45"/>
                        <w:ind w:left="0" w:right="0" w:firstLine="0"/>
                        <w:jc w:val="left"/>
                        <w:rPr>
                          <w:rFonts w:ascii="Microsoft JhengHei" w:hAnsi="Microsoft JhengHei" w:cs="Microsoft JhengHei" w:eastAsia="Microsoft JhengHei" w:hint="default"/>
                          <w:sz w:val="22"/>
                          <w:szCs w:val="22"/>
                        </w:rPr>
                      </w:pPr>
                      <w:r>
                        <w:rPr>
                          <w:rFonts w:ascii="Microsoft JhengHei" w:hAnsi="Microsoft JhengHei" w:cs="Microsoft JhengHei" w:eastAsia="Microsoft JhengHei" w:hint="default"/>
                          <w:b/>
                          <w:bCs/>
                          <w:sz w:val="22"/>
                          <w:szCs w:val="22"/>
                        </w:rPr>
                        <w:t>划</w:t>
                      </w:r>
                      <w:r>
                        <w:rPr>
                          <w:rFonts w:ascii="Microsoft JhengHei" w:hAnsi="Microsoft JhengHei" w:cs="Microsoft JhengHei" w:eastAsia="Microsoft JhengHei" w:hint="default"/>
                          <w:b/>
                          <w:bCs/>
                          <w:w w:val="100"/>
                          <w:sz w:val="22"/>
                          <w:szCs w:val="22"/>
                        </w:rPr>
                        <w:t> </w:t>
                      </w:r>
                      <w:r>
                        <w:rPr>
                          <w:rFonts w:ascii="Microsoft JhengHei" w:hAnsi="Microsoft JhengHei" w:cs="Microsoft JhengHei" w:eastAsia="Microsoft JhengHei" w:hint="default"/>
                          <w:b/>
                          <w:bCs/>
                          <w:sz w:val="22"/>
                          <w:szCs w:val="22"/>
                        </w:rPr>
                        <w:t>部</w:t>
                      </w:r>
                      <w:r>
                        <w:rPr>
                          <w:rFonts w:ascii="Microsoft JhengHei" w:hAnsi="Microsoft JhengHei" w:cs="Microsoft JhengHei" w:eastAsia="Microsoft JhengHei" w:hint="default"/>
                          <w:sz w:val="22"/>
                          <w:szCs w:val="22"/>
                        </w:rPr>
                      </w:r>
                    </w:p>
                  </w:txbxContent>
                </v:textbox>
                <w10:wrap type="none"/>
              </v:shape>
              <v:shape style="position:absolute;left:9549;top:4836;width:221;height:735" type="#_x0000_t202" filled="false" stroked="false">
                <v:textbox inset="0,0,0,0">
                  <w:txbxContent>
                    <w:p>
                      <w:pPr>
                        <w:spacing w:line="183" w:lineRule="exact" w:before="0"/>
                        <w:ind w:left="0" w:right="0" w:firstLine="0"/>
                        <w:jc w:val="left"/>
                        <w:rPr>
                          <w:rFonts w:ascii="Microsoft JhengHei" w:hAnsi="Microsoft JhengHei" w:cs="Microsoft JhengHei" w:eastAsia="Microsoft JhengHei" w:hint="default"/>
                          <w:sz w:val="22"/>
                          <w:szCs w:val="22"/>
                        </w:rPr>
                      </w:pPr>
                      <w:r>
                        <w:rPr>
                          <w:rFonts w:ascii="Microsoft JhengHei" w:hAnsi="Microsoft JhengHei" w:cs="Microsoft JhengHei" w:eastAsia="Microsoft JhengHei" w:hint="default"/>
                          <w:b/>
                          <w:bCs/>
                          <w:w w:val="100"/>
                          <w:sz w:val="22"/>
                          <w:szCs w:val="22"/>
                        </w:rPr>
                        <w:t>财</w:t>
                      </w:r>
                      <w:r>
                        <w:rPr>
                          <w:rFonts w:ascii="Microsoft JhengHei" w:hAnsi="Microsoft JhengHei" w:cs="Microsoft JhengHei" w:eastAsia="Microsoft JhengHei" w:hint="default"/>
                          <w:w w:val="100"/>
                          <w:sz w:val="22"/>
                          <w:szCs w:val="22"/>
                        </w:rPr>
                      </w:r>
                    </w:p>
                    <w:p>
                      <w:pPr>
                        <w:spacing w:line="160" w:lineRule="auto" w:before="45"/>
                        <w:ind w:left="0" w:right="0" w:firstLine="0"/>
                        <w:jc w:val="left"/>
                        <w:rPr>
                          <w:rFonts w:ascii="Microsoft JhengHei" w:hAnsi="Microsoft JhengHei" w:cs="Microsoft JhengHei" w:eastAsia="Microsoft JhengHei" w:hint="default"/>
                          <w:sz w:val="22"/>
                          <w:szCs w:val="22"/>
                        </w:rPr>
                      </w:pPr>
                      <w:r>
                        <w:rPr>
                          <w:rFonts w:ascii="Microsoft JhengHei" w:hAnsi="Microsoft JhengHei" w:cs="Microsoft JhengHei" w:eastAsia="Microsoft JhengHei" w:hint="default"/>
                          <w:b/>
                          <w:bCs/>
                          <w:sz w:val="22"/>
                          <w:szCs w:val="22"/>
                        </w:rPr>
                        <w:t>务</w:t>
                      </w:r>
                      <w:r>
                        <w:rPr>
                          <w:rFonts w:ascii="Microsoft JhengHei" w:hAnsi="Microsoft JhengHei" w:cs="Microsoft JhengHei" w:eastAsia="Microsoft JhengHei" w:hint="default"/>
                          <w:b/>
                          <w:bCs/>
                          <w:w w:val="100"/>
                          <w:sz w:val="22"/>
                          <w:szCs w:val="22"/>
                        </w:rPr>
                        <w:t> </w:t>
                      </w:r>
                      <w:r>
                        <w:rPr>
                          <w:rFonts w:ascii="Microsoft JhengHei" w:hAnsi="Microsoft JhengHei" w:cs="Microsoft JhengHei" w:eastAsia="Microsoft JhengHei" w:hint="default"/>
                          <w:b/>
                          <w:bCs/>
                          <w:sz w:val="22"/>
                          <w:szCs w:val="22"/>
                        </w:rPr>
                        <w:t>部</w:t>
                      </w:r>
                      <w:r>
                        <w:rPr>
                          <w:rFonts w:ascii="Microsoft JhengHei" w:hAnsi="Microsoft JhengHei" w:cs="Microsoft JhengHei" w:eastAsia="Microsoft JhengHei" w:hint="default"/>
                          <w:sz w:val="22"/>
                          <w:szCs w:val="22"/>
                        </w:rPr>
                      </w:r>
                    </w:p>
                  </w:txbxContent>
                </v:textbox>
                <w10:wrap type="none"/>
              </v:shape>
              <v:shape style="position:absolute;left:10197;top:4836;width:221;height:735" type="#_x0000_t202" filled="false" stroked="false">
                <v:textbox inset="0,0,0,0">
                  <w:txbxContent>
                    <w:p>
                      <w:pPr>
                        <w:spacing w:line="183" w:lineRule="exact" w:before="0"/>
                        <w:ind w:left="0" w:right="0" w:firstLine="0"/>
                        <w:jc w:val="left"/>
                        <w:rPr>
                          <w:rFonts w:ascii="Microsoft JhengHei" w:hAnsi="Microsoft JhengHei" w:cs="Microsoft JhengHei" w:eastAsia="Microsoft JhengHei" w:hint="default"/>
                          <w:sz w:val="22"/>
                          <w:szCs w:val="22"/>
                        </w:rPr>
                      </w:pPr>
                      <w:r>
                        <w:rPr>
                          <w:rFonts w:ascii="Microsoft JhengHei" w:hAnsi="Microsoft JhengHei" w:cs="Microsoft JhengHei" w:eastAsia="Microsoft JhengHei" w:hint="default"/>
                          <w:b/>
                          <w:bCs/>
                          <w:w w:val="100"/>
                          <w:sz w:val="22"/>
                          <w:szCs w:val="22"/>
                        </w:rPr>
                        <w:t>审</w:t>
                      </w:r>
                      <w:r>
                        <w:rPr>
                          <w:rFonts w:ascii="Microsoft JhengHei" w:hAnsi="Microsoft JhengHei" w:cs="Microsoft JhengHei" w:eastAsia="Microsoft JhengHei" w:hint="default"/>
                          <w:w w:val="100"/>
                          <w:sz w:val="22"/>
                          <w:szCs w:val="22"/>
                        </w:rPr>
                      </w:r>
                    </w:p>
                    <w:p>
                      <w:pPr>
                        <w:spacing w:line="160" w:lineRule="auto" w:before="45"/>
                        <w:ind w:left="0" w:right="0" w:firstLine="0"/>
                        <w:jc w:val="left"/>
                        <w:rPr>
                          <w:rFonts w:ascii="Microsoft JhengHei" w:hAnsi="Microsoft JhengHei" w:cs="Microsoft JhengHei" w:eastAsia="Microsoft JhengHei" w:hint="default"/>
                          <w:sz w:val="22"/>
                          <w:szCs w:val="22"/>
                        </w:rPr>
                      </w:pPr>
                      <w:r>
                        <w:rPr>
                          <w:rFonts w:ascii="Microsoft JhengHei" w:hAnsi="Microsoft JhengHei" w:cs="Microsoft JhengHei" w:eastAsia="Microsoft JhengHei" w:hint="default"/>
                          <w:b/>
                          <w:bCs/>
                          <w:sz w:val="22"/>
                          <w:szCs w:val="22"/>
                        </w:rPr>
                        <w:t>计</w:t>
                      </w:r>
                      <w:r>
                        <w:rPr>
                          <w:rFonts w:ascii="Microsoft JhengHei" w:hAnsi="Microsoft JhengHei" w:cs="Microsoft JhengHei" w:eastAsia="Microsoft JhengHei" w:hint="default"/>
                          <w:b/>
                          <w:bCs/>
                          <w:w w:val="100"/>
                          <w:sz w:val="22"/>
                          <w:szCs w:val="22"/>
                        </w:rPr>
                        <w:t> </w:t>
                      </w:r>
                      <w:r>
                        <w:rPr>
                          <w:rFonts w:ascii="Microsoft JhengHei" w:hAnsi="Microsoft JhengHei" w:cs="Microsoft JhengHei" w:eastAsia="Microsoft JhengHei" w:hint="default"/>
                          <w:b/>
                          <w:bCs/>
                          <w:sz w:val="22"/>
                          <w:szCs w:val="22"/>
                        </w:rPr>
                        <w:t>部</w:t>
                      </w:r>
                      <w:r>
                        <w:rPr>
                          <w:rFonts w:ascii="Microsoft JhengHei" w:hAnsi="Microsoft JhengHei" w:cs="Microsoft JhengHei" w:eastAsia="Microsoft JhengHei" w:hint="default"/>
                          <w:sz w:val="22"/>
                          <w:szCs w:val="22"/>
                        </w:rPr>
                      </w:r>
                    </w:p>
                  </w:txbxContent>
                </v:textbox>
                <w10:wrap type="none"/>
              </v:shape>
            </v:group>
          </v:group>
        </w:pict>
      </w:r>
      <w:r>
        <w:rPr>
          <w:rFonts w:ascii="宋体" w:hAnsi="宋体" w:cs="宋体" w:eastAsia="宋体" w:hint="default"/>
          <w:position w:val="-130"/>
          <w:sz w:val="20"/>
          <w:szCs w:val="20"/>
        </w:rPr>
      </w:r>
    </w:p>
    <w:p>
      <w:pPr>
        <w:spacing w:line="240" w:lineRule="auto" w:before="4"/>
        <w:rPr>
          <w:rFonts w:ascii="宋体" w:hAnsi="宋体" w:cs="宋体" w:eastAsia="宋体" w:hint="default"/>
          <w:sz w:val="16"/>
          <w:szCs w:val="16"/>
        </w:rPr>
      </w:pPr>
    </w:p>
    <w:p>
      <w:pPr>
        <w:spacing w:line="506" w:lineRule="auto" w:before="36"/>
        <w:ind w:left="1033" w:right="2188" w:hanging="421"/>
        <w:jc w:val="left"/>
        <w:rPr>
          <w:rFonts w:ascii="宋体" w:hAnsi="宋体" w:cs="宋体" w:eastAsia="宋体" w:hint="default"/>
          <w:sz w:val="21"/>
          <w:szCs w:val="21"/>
        </w:rPr>
      </w:pPr>
      <w:r>
        <w:rPr/>
        <w:pict>
          <v:shape style="position:absolute;margin-left:87.503998pt;margin-top:48.743679pt;width:379.4pt;height:237.55pt;mso-position-horizontal-relative:page;mso-position-vertical-relative:paragraph;z-index:30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588"/>
                  </w:tblGrid>
                  <w:tr>
                    <w:trPr>
                      <w:trHeight w:val="480" w:hRule="exact"/>
                    </w:trPr>
                    <w:tc>
                      <w:tcPr>
                        <w:tcW w:w="7588" w:type="dxa"/>
                        <w:tcBorders>
                          <w:top w:val="single" w:sz="12" w:space="0" w:color="000000"/>
                          <w:left w:val="nil" w:sz="6" w:space="0" w:color="auto"/>
                          <w:bottom w:val="single" w:sz="4" w:space="0" w:color="000000"/>
                          <w:right w:val="nil" w:sz="6" w:space="0" w:color="auto"/>
                        </w:tcBorders>
                      </w:tcPr>
                      <w:p>
                        <w:pPr>
                          <w:pStyle w:val="TableParagraph"/>
                          <w:spacing w:line="240" w:lineRule="auto" w:before="133"/>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r>
                  <w:tr>
                    <w:trPr>
                      <w:trHeight w:val="470" w:hRule="exact"/>
                    </w:trPr>
                    <w:tc>
                      <w:tcPr>
                        <w:tcW w:w="7588" w:type="dxa"/>
                        <w:tcBorders>
                          <w:top w:val="single" w:sz="4" w:space="0" w:color="000000"/>
                          <w:left w:val="nil" w:sz="6" w:space="0" w:color="auto"/>
                          <w:bottom w:val="single" w:sz="4" w:space="0" w:color="000000"/>
                          <w:right w:val="nil" w:sz="6" w:space="0" w:color="auto"/>
                        </w:tcBorders>
                      </w:tcPr>
                      <w:p>
                        <w:pPr>
                          <w:pStyle w:val="TableParagraph"/>
                          <w:spacing w:line="240" w:lineRule="auto" w:before="133"/>
                          <w:ind w:left="107" w:right="0"/>
                          <w:jc w:val="left"/>
                          <w:rPr>
                            <w:rFonts w:ascii="宋体" w:hAnsi="宋体" w:cs="宋体" w:eastAsia="宋体" w:hint="default"/>
                            <w:sz w:val="18"/>
                            <w:szCs w:val="18"/>
                          </w:rPr>
                        </w:pPr>
                        <w:r>
                          <w:rPr>
                            <w:rFonts w:ascii="宋体" w:hAnsi="宋体" w:cs="宋体" w:eastAsia="宋体" w:hint="default"/>
                            <w:sz w:val="18"/>
                            <w:szCs w:val="18"/>
                          </w:rPr>
                          <w:t>扬州华声电子实业有限公司</w:t>
                        </w:r>
                      </w:p>
                    </w:tc>
                  </w:tr>
                  <w:tr>
                    <w:trPr>
                      <w:trHeight w:val="470" w:hRule="exact"/>
                    </w:trPr>
                    <w:tc>
                      <w:tcPr>
                        <w:tcW w:w="7588" w:type="dxa"/>
                        <w:tcBorders>
                          <w:top w:val="single" w:sz="4" w:space="0" w:color="000000"/>
                          <w:left w:val="nil" w:sz="6" w:space="0" w:color="auto"/>
                          <w:bottom w:val="single" w:sz="4" w:space="0" w:color="000000"/>
                          <w:right w:val="nil" w:sz="6" w:space="0" w:color="auto"/>
                        </w:tcBorders>
                      </w:tcPr>
                      <w:p>
                        <w:pPr>
                          <w:pStyle w:val="TableParagraph"/>
                          <w:spacing w:line="240" w:lineRule="auto" w:before="133"/>
                          <w:ind w:left="107" w:right="0"/>
                          <w:jc w:val="left"/>
                          <w:rPr>
                            <w:rFonts w:ascii="宋体" w:hAnsi="宋体" w:cs="宋体" w:eastAsia="宋体" w:hint="default"/>
                            <w:sz w:val="18"/>
                            <w:szCs w:val="18"/>
                          </w:rPr>
                        </w:pPr>
                        <w:r>
                          <w:rPr>
                            <w:rFonts w:ascii="宋体" w:hAnsi="宋体" w:cs="宋体" w:eastAsia="宋体" w:hint="default"/>
                            <w:sz w:val="18"/>
                            <w:szCs w:val="18"/>
                          </w:rPr>
                          <w:t>佛山市华声电子装配有限责任公司</w:t>
                        </w:r>
                      </w:p>
                    </w:tc>
                  </w:tr>
                  <w:tr>
                    <w:trPr>
                      <w:trHeight w:val="470" w:hRule="exact"/>
                    </w:trPr>
                    <w:tc>
                      <w:tcPr>
                        <w:tcW w:w="7588" w:type="dxa"/>
                        <w:tcBorders>
                          <w:top w:val="single" w:sz="4" w:space="0" w:color="000000"/>
                          <w:left w:val="nil" w:sz="6" w:space="0" w:color="auto"/>
                          <w:bottom w:val="single" w:sz="4" w:space="0" w:color="000000"/>
                          <w:right w:val="nil" w:sz="6" w:space="0" w:color="auto"/>
                        </w:tcBorders>
                      </w:tcPr>
                      <w:p>
                        <w:pPr>
                          <w:pStyle w:val="TableParagraph"/>
                          <w:spacing w:line="240" w:lineRule="auto" w:before="133"/>
                          <w:ind w:left="107" w:right="0"/>
                          <w:jc w:val="left"/>
                          <w:rPr>
                            <w:rFonts w:ascii="宋体" w:hAnsi="宋体" w:cs="宋体" w:eastAsia="宋体" w:hint="default"/>
                            <w:sz w:val="18"/>
                            <w:szCs w:val="18"/>
                          </w:rPr>
                        </w:pPr>
                        <w:r>
                          <w:rPr>
                            <w:rFonts w:ascii="宋体" w:hAnsi="宋体" w:cs="宋体" w:eastAsia="宋体" w:hint="default"/>
                            <w:sz w:val="18"/>
                            <w:szCs w:val="18"/>
                          </w:rPr>
                          <w:t>扬州华声电器装配有限公司</w:t>
                        </w:r>
                      </w:p>
                    </w:tc>
                  </w:tr>
                  <w:tr>
                    <w:trPr>
                      <w:trHeight w:val="469" w:hRule="exact"/>
                    </w:trPr>
                    <w:tc>
                      <w:tcPr>
                        <w:tcW w:w="7588" w:type="dxa"/>
                        <w:tcBorders>
                          <w:top w:val="single" w:sz="4" w:space="0" w:color="000000"/>
                          <w:left w:val="nil" w:sz="6" w:space="0" w:color="auto"/>
                          <w:bottom w:val="single" w:sz="4" w:space="0" w:color="000000"/>
                          <w:right w:val="nil" w:sz="6" w:space="0" w:color="auto"/>
                        </w:tcBorders>
                      </w:tcPr>
                      <w:p>
                        <w:pPr>
                          <w:pStyle w:val="TableParagraph"/>
                          <w:spacing w:line="240" w:lineRule="auto" w:before="133"/>
                          <w:ind w:left="107" w:right="0"/>
                          <w:jc w:val="left"/>
                          <w:rPr>
                            <w:rFonts w:ascii="宋体" w:hAnsi="宋体" w:cs="宋体" w:eastAsia="宋体" w:hint="default"/>
                            <w:sz w:val="18"/>
                            <w:szCs w:val="18"/>
                          </w:rPr>
                        </w:pPr>
                        <w:r>
                          <w:rPr>
                            <w:rFonts w:ascii="宋体" w:hAnsi="宋体" w:cs="宋体" w:eastAsia="宋体" w:hint="default"/>
                            <w:sz w:val="18"/>
                            <w:szCs w:val="18"/>
                          </w:rPr>
                          <w:t>广东华声电缆有限公司</w:t>
                        </w:r>
                      </w:p>
                    </w:tc>
                  </w:tr>
                  <w:tr>
                    <w:trPr>
                      <w:trHeight w:val="470" w:hRule="exact"/>
                    </w:trPr>
                    <w:tc>
                      <w:tcPr>
                        <w:tcW w:w="7588"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7" w:right="0"/>
                          <w:jc w:val="left"/>
                          <w:rPr>
                            <w:rFonts w:ascii="宋体" w:hAnsi="宋体" w:cs="宋体" w:eastAsia="宋体" w:hint="default"/>
                            <w:sz w:val="18"/>
                            <w:szCs w:val="18"/>
                          </w:rPr>
                        </w:pPr>
                        <w:r>
                          <w:rPr>
                            <w:rFonts w:ascii="宋体" w:hAnsi="宋体" w:cs="宋体" w:eastAsia="宋体" w:hint="default"/>
                            <w:sz w:val="18"/>
                            <w:szCs w:val="18"/>
                          </w:rPr>
                          <w:t>深圳华声前海投资有限公司</w:t>
                        </w:r>
                      </w:p>
                    </w:tc>
                  </w:tr>
                  <w:tr>
                    <w:trPr>
                      <w:trHeight w:val="470" w:hRule="exact"/>
                    </w:trPr>
                    <w:tc>
                      <w:tcPr>
                        <w:tcW w:w="7588" w:type="dxa"/>
                        <w:tcBorders>
                          <w:top w:val="single" w:sz="4" w:space="0" w:color="000000"/>
                          <w:left w:val="nil" w:sz="6" w:space="0" w:color="auto"/>
                          <w:bottom w:val="single" w:sz="4" w:space="0" w:color="000000"/>
                          <w:right w:val="nil" w:sz="6" w:space="0" w:color="auto"/>
                        </w:tcBorders>
                      </w:tcPr>
                      <w:p>
                        <w:pPr>
                          <w:pStyle w:val="TableParagraph"/>
                          <w:spacing w:line="240" w:lineRule="auto" w:before="133"/>
                          <w:ind w:left="107" w:right="0"/>
                          <w:jc w:val="left"/>
                          <w:rPr>
                            <w:rFonts w:ascii="宋体" w:hAnsi="宋体" w:cs="宋体" w:eastAsia="宋体" w:hint="default"/>
                            <w:sz w:val="18"/>
                            <w:szCs w:val="18"/>
                          </w:rPr>
                        </w:pPr>
                        <w:r>
                          <w:rPr>
                            <w:rFonts w:ascii="宋体" w:hAnsi="宋体" w:cs="宋体" w:eastAsia="宋体" w:hint="default"/>
                            <w:sz w:val="18"/>
                            <w:szCs w:val="18"/>
                          </w:rPr>
                          <w:t>广东华声电器实业有限公司</w:t>
                        </w:r>
                      </w:p>
                    </w:tc>
                  </w:tr>
                  <w:tr>
                    <w:trPr>
                      <w:trHeight w:val="470" w:hRule="exact"/>
                    </w:trPr>
                    <w:tc>
                      <w:tcPr>
                        <w:tcW w:w="7588" w:type="dxa"/>
                        <w:tcBorders>
                          <w:top w:val="single" w:sz="4" w:space="0" w:color="000000"/>
                          <w:left w:val="nil" w:sz="6" w:space="0" w:color="auto"/>
                          <w:bottom w:val="single" w:sz="4" w:space="0" w:color="000000"/>
                          <w:right w:val="nil" w:sz="6" w:space="0" w:color="auto"/>
                        </w:tcBorders>
                      </w:tcPr>
                      <w:p>
                        <w:pPr>
                          <w:pStyle w:val="TableParagraph"/>
                          <w:spacing w:line="240" w:lineRule="auto" w:before="133"/>
                          <w:ind w:left="107" w:right="0"/>
                          <w:jc w:val="left"/>
                          <w:rPr>
                            <w:rFonts w:ascii="宋体" w:hAnsi="宋体" w:cs="宋体" w:eastAsia="宋体" w:hint="default"/>
                            <w:sz w:val="18"/>
                            <w:szCs w:val="18"/>
                          </w:rPr>
                        </w:pPr>
                        <w:r>
                          <w:rPr>
                            <w:rFonts w:ascii="Times New Roman" w:hAnsi="Times New Roman" w:cs="Times New Roman" w:eastAsia="Times New Roman" w:hint="default"/>
                            <w:spacing w:val="-9"/>
                            <w:sz w:val="18"/>
                            <w:szCs w:val="18"/>
                          </w:rPr>
                          <w:t>Wa </w:t>
                        </w:r>
                        <w:r>
                          <w:rPr>
                            <w:rFonts w:ascii="Times New Roman" w:hAnsi="Times New Roman" w:cs="Times New Roman" w:eastAsia="Times New Roman" w:hint="default"/>
                            <w:sz w:val="18"/>
                            <w:szCs w:val="18"/>
                          </w:rPr>
                          <w:t>Sung International Investment</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Limited</w:t>
                        </w:r>
                        <w:r>
                          <w:rPr>
                            <w:rFonts w:ascii="宋体" w:hAnsi="宋体" w:cs="宋体" w:eastAsia="宋体" w:hint="default"/>
                            <w:sz w:val="18"/>
                            <w:szCs w:val="18"/>
                          </w:rPr>
                          <w:t>（华声国际投资有限公司）</w:t>
                        </w:r>
                      </w:p>
                    </w:tc>
                  </w:tr>
                  <w:tr>
                    <w:trPr>
                      <w:trHeight w:val="470" w:hRule="exact"/>
                    </w:trPr>
                    <w:tc>
                      <w:tcPr>
                        <w:tcW w:w="7588" w:type="dxa"/>
                        <w:tcBorders>
                          <w:top w:val="single" w:sz="4" w:space="0" w:color="000000"/>
                          <w:left w:val="nil" w:sz="6" w:space="0" w:color="auto"/>
                          <w:bottom w:val="single" w:sz="4" w:space="0" w:color="000000"/>
                          <w:right w:val="nil" w:sz="6" w:space="0" w:color="auto"/>
                        </w:tcBorders>
                      </w:tcPr>
                      <w:p>
                        <w:pPr>
                          <w:pStyle w:val="TableParagraph"/>
                          <w:spacing w:line="240" w:lineRule="auto" w:before="133"/>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Huasheng Internet Investment Management</w:t>
                        </w:r>
                        <w:r>
                          <w:rPr>
                            <w:rFonts w:ascii="Times New Roman" w:hAnsi="Times New Roman" w:cs="Times New Roman" w:eastAsia="Times New Roman" w:hint="default"/>
                            <w:spacing w:val="-13"/>
                            <w:sz w:val="18"/>
                            <w:szCs w:val="18"/>
                          </w:rPr>
                          <w:t> </w:t>
                        </w:r>
                        <w:r>
                          <w:rPr>
                            <w:rFonts w:ascii="Times New Roman" w:hAnsi="Times New Roman" w:cs="Times New Roman" w:eastAsia="Times New Roman" w:hint="default"/>
                            <w:sz w:val="18"/>
                            <w:szCs w:val="18"/>
                          </w:rPr>
                          <w:t>Limited</w:t>
                        </w:r>
                        <w:r>
                          <w:rPr>
                            <w:rFonts w:ascii="宋体" w:hAnsi="宋体" w:cs="宋体" w:eastAsia="宋体" w:hint="default"/>
                            <w:sz w:val="18"/>
                            <w:szCs w:val="18"/>
                          </w:rPr>
                          <w:t>（华声互联网投资管理有限公司）</w:t>
                        </w:r>
                      </w:p>
                    </w:tc>
                  </w:tr>
                  <w:tr>
                    <w:trPr>
                      <w:trHeight w:val="480" w:hRule="exact"/>
                    </w:trPr>
                    <w:tc>
                      <w:tcPr>
                        <w:tcW w:w="7588" w:type="dxa"/>
                        <w:tcBorders>
                          <w:top w:val="single" w:sz="4" w:space="0" w:color="000000"/>
                          <w:left w:val="nil" w:sz="6" w:space="0" w:color="auto"/>
                          <w:bottom w:val="single" w:sz="12" w:space="0" w:color="000000"/>
                          <w:right w:val="nil" w:sz="6" w:space="0" w:color="auto"/>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107" w:right="0"/>
                          <w:jc w:val="left"/>
                          <w:rPr>
                            <w:rFonts w:ascii="Times New Roman" w:hAnsi="Times New Roman" w:cs="Times New Roman" w:eastAsia="Times New Roman" w:hint="default"/>
                            <w:sz w:val="18"/>
                            <w:szCs w:val="18"/>
                          </w:rPr>
                        </w:pPr>
                        <w:r>
                          <w:rPr>
                            <w:rFonts w:ascii="Times New Roman"/>
                            <w:spacing w:val="-9"/>
                            <w:sz w:val="18"/>
                          </w:rPr>
                          <w:t>Wa </w:t>
                        </w:r>
                        <w:r>
                          <w:rPr>
                            <w:rFonts w:ascii="Times New Roman"/>
                            <w:sz w:val="18"/>
                          </w:rPr>
                          <w:t>Sung Investment</w:t>
                        </w:r>
                        <w:r>
                          <w:rPr>
                            <w:rFonts w:ascii="Times New Roman"/>
                            <w:spacing w:val="2"/>
                            <w:sz w:val="18"/>
                          </w:rPr>
                          <w:t> </w:t>
                        </w:r>
                        <w:r>
                          <w:rPr>
                            <w:rFonts w:ascii="Times New Roman"/>
                            <w:sz w:val="18"/>
                          </w:rPr>
                          <w:t>Limited</w:t>
                        </w:r>
                      </w:p>
                    </w:tc>
                  </w:tr>
                </w:tbl>
                <w:p>
                  <w:pPr/>
                </w:p>
              </w:txbxContent>
            </v:textbox>
            <w10:wrap type="none"/>
          </v:shape>
        </w:pic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、合并财务报表范围</w:t>
      </w:r>
      <w:r>
        <w:rPr>
          <w:rFonts w:ascii="宋体" w:hAnsi="宋体" w:cs="宋体" w:eastAsia="宋体" w:hint="default"/>
          <w:b/>
          <w:bCs/>
          <w:w w:val="100"/>
          <w:sz w:val="21"/>
          <w:szCs w:val="21"/>
        </w:rPr>
        <w:t> </w:t>
      </w:r>
      <w:r>
        <w:rPr>
          <w:rFonts w:ascii="宋体" w:hAnsi="宋体" w:cs="宋体" w:eastAsia="宋体" w:hint="default"/>
          <w:spacing w:val="-2"/>
          <w:sz w:val="21"/>
          <w:szCs w:val="21"/>
        </w:rPr>
        <w:t>截至</w:t>
      </w:r>
      <w:r>
        <w:rPr>
          <w:rFonts w:ascii="Times New Roman" w:hAnsi="Times New Roman" w:cs="Times New Roman" w:eastAsia="Times New Roman" w:hint="default"/>
          <w:spacing w:val="-2"/>
          <w:sz w:val="21"/>
          <w:szCs w:val="21"/>
        </w:rPr>
        <w:t>2015</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12</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31</w:t>
      </w:r>
      <w:r>
        <w:rPr>
          <w:rFonts w:ascii="宋体" w:hAnsi="宋体" w:cs="宋体" w:eastAsia="宋体" w:hint="default"/>
          <w:spacing w:val="-2"/>
          <w:sz w:val="21"/>
          <w:szCs w:val="21"/>
        </w:rPr>
        <w:t>日止，本公司合并财务报表范围内子公司如下：</w:t>
      </w:r>
    </w:p>
    <w:p>
      <w:pPr>
        <w:spacing w:line="240" w:lineRule="auto" w:before="4"/>
        <w:rPr>
          <w:rFonts w:ascii="宋体" w:hAnsi="宋体" w:cs="宋体" w:eastAsia="宋体" w:hint="default"/>
          <w:sz w:val="20"/>
          <w:szCs w:val="20"/>
        </w:rPr>
      </w:pPr>
    </w:p>
    <w:p>
      <w:pPr>
        <w:spacing w:line="20" w:lineRule="exact"/>
        <w:ind w:left="8815" w:right="0" w:firstLine="0"/>
        <w:rPr>
          <w:rFonts w:ascii="宋体" w:hAnsi="宋体" w:cs="宋体" w:eastAsia="宋体" w:hint="default"/>
          <w:sz w:val="2"/>
          <w:szCs w:val="2"/>
        </w:rPr>
      </w:pPr>
      <w:r>
        <w:rPr>
          <w:rFonts w:ascii="宋体" w:hAnsi="宋体" w:cs="宋体" w:eastAsia="宋体" w:hint="default"/>
          <w:sz w:val="2"/>
          <w:szCs w:val="2"/>
        </w:rPr>
        <w:drawing>
          <wp:inline distT="0" distB="0" distL="0" distR="0">
            <wp:extent cx="1524" cy="6096"/>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20" cstate="print"/>
                    <a:stretch>
                      <a:fillRect/>
                    </a:stretch>
                  </pic:blipFill>
                  <pic:spPr>
                    <a:xfrm>
                      <a:off x="0" y="0"/>
                      <a:ext cx="1524" cy="6096"/>
                    </a:xfrm>
                    <a:prstGeom prst="rect">
                      <a:avLst/>
                    </a:prstGeom>
                  </pic:spPr>
                </pic:pic>
              </a:graphicData>
            </a:graphic>
          </wp:inline>
        </w:drawing>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spacing w:line="20" w:lineRule="exact"/>
        <w:ind w:left="8815" w:right="0" w:firstLine="0"/>
        <w:rPr>
          <w:rFonts w:ascii="宋体" w:hAnsi="宋体" w:cs="宋体" w:eastAsia="宋体" w:hint="default"/>
          <w:sz w:val="2"/>
          <w:szCs w:val="2"/>
        </w:rPr>
      </w:pPr>
      <w:r>
        <w:rPr>
          <w:rFonts w:ascii="宋体" w:hAnsi="宋体" w:cs="宋体" w:eastAsia="宋体" w:hint="default"/>
          <w:sz w:val="2"/>
          <w:szCs w:val="2"/>
        </w:rPr>
        <w:drawing>
          <wp:inline distT="0" distB="0" distL="0" distR="0">
            <wp:extent cx="1524" cy="6096"/>
            <wp:effectExtent l="0" t="0" r="0" b="0"/>
            <wp:docPr id="5" name="image2.png" descr=""/>
            <wp:cNvGraphicFramePr>
              <a:graphicFrameLocks noChangeAspect="1"/>
            </wp:cNvGraphicFramePr>
            <a:graphic>
              <a:graphicData uri="http://schemas.openxmlformats.org/drawingml/2006/picture">
                <pic:pic>
                  <pic:nvPicPr>
                    <pic:cNvPr id="6" name="image2.png"/>
                    <pic:cNvPicPr/>
                  </pic:nvPicPr>
                  <pic:blipFill>
                    <a:blip r:embed="rId20" cstate="print"/>
                    <a:stretch>
                      <a:fillRect/>
                    </a:stretch>
                  </pic:blipFill>
                  <pic:spPr>
                    <a:xfrm>
                      <a:off x="0" y="0"/>
                      <a:ext cx="1524" cy="6096"/>
                    </a:xfrm>
                    <a:prstGeom prst="rect">
                      <a:avLst/>
                    </a:prstGeom>
                  </pic:spPr>
                </pic:pic>
              </a:graphicData>
            </a:graphic>
          </wp:inline>
        </w:drawing>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spacing w:line="20" w:lineRule="exact"/>
        <w:ind w:left="8815" w:right="0" w:firstLine="0"/>
        <w:rPr>
          <w:rFonts w:ascii="宋体" w:hAnsi="宋体" w:cs="宋体" w:eastAsia="宋体" w:hint="default"/>
          <w:sz w:val="2"/>
          <w:szCs w:val="2"/>
        </w:rPr>
      </w:pPr>
      <w:r>
        <w:rPr>
          <w:rFonts w:ascii="宋体" w:hAnsi="宋体" w:cs="宋体" w:eastAsia="宋体" w:hint="default"/>
          <w:sz w:val="2"/>
          <w:szCs w:val="2"/>
        </w:rPr>
        <w:drawing>
          <wp:inline distT="0" distB="0" distL="0" distR="0">
            <wp:extent cx="1523" cy="6096"/>
            <wp:effectExtent l="0" t="0" r="0" b="0"/>
            <wp:docPr id="7" name="image2.png" descr=""/>
            <wp:cNvGraphicFramePr>
              <a:graphicFrameLocks noChangeAspect="1"/>
            </wp:cNvGraphicFramePr>
            <a:graphic>
              <a:graphicData uri="http://schemas.openxmlformats.org/drawingml/2006/picture">
                <pic:pic>
                  <pic:nvPicPr>
                    <pic:cNvPr id="8" name="image2.png"/>
                    <pic:cNvPicPr/>
                  </pic:nvPicPr>
                  <pic:blipFill>
                    <a:blip r:embed="rId20" cstate="print"/>
                    <a:stretch>
                      <a:fillRect/>
                    </a:stretch>
                  </pic:blipFill>
                  <pic:spPr>
                    <a:xfrm>
                      <a:off x="0" y="0"/>
                      <a:ext cx="1523" cy="6096"/>
                    </a:xfrm>
                    <a:prstGeom prst="rect">
                      <a:avLst/>
                    </a:prstGeom>
                  </pic:spPr>
                </pic:pic>
              </a:graphicData>
            </a:graphic>
          </wp:inline>
        </w:drawing>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spacing w:line="20" w:lineRule="exact"/>
        <w:ind w:left="8815" w:right="0" w:firstLine="0"/>
        <w:rPr>
          <w:rFonts w:ascii="宋体" w:hAnsi="宋体" w:cs="宋体" w:eastAsia="宋体" w:hint="default"/>
          <w:sz w:val="2"/>
          <w:szCs w:val="2"/>
        </w:rPr>
      </w:pPr>
      <w:r>
        <w:rPr>
          <w:rFonts w:ascii="宋体" w:hAnsi="宋体" w:cs="宋体" w:eastAsia="宋体" w:hint="default"/>
          <w:sz w:val="2"/>
          <w:szCs w:val="2"/>
        </w:rPr>
        <w:drawing>
          <wp:inline distT="0" distB="0" distL="0" distR="0">
            <wp:extent cx="1524" cy="6095"/>
            <wp:effectExtent l="0" t="0" r="0" b="0"/>
            <wp:docPr id="9" name="image2.png" descr=""/>
            <wp:cNvGraphicFramePr>
              <a:graphicFrameLocks noChangeAspect="1"/>
            </wp:cNvGraphicFramePr>
            <a:graphic>
              <a:graphicData uri="http://schemas.openxmlformats.org/drawingml/2006/picture">
                <pic:pic>
                  <pic:nvPicPr>
                    <pic:cNvPr id="10" name="image2.png"/>
                    <pic:cNvPicPr/>
                  </pic:nvPicPr>
                  <pic:blipFill>
                    <a:blip r:embed="rId20" cstate="print"/>
                    <a:stretch>
                      <a:fillRect/>
                    </a:stretch>
                  </pic:blipFill>
                  <pic:spPr>
                    <a:xfrm>
                      <a:off x="0" y="0"/>
                      <a:ext cx="1524" cy="6095"/>
                    </a:xfrm>
                    <a:prstGeom prst="rect">
                      <a:avLst/>
                    </a:prstGeom>
                  </pic:spPr>
                </pic:pic>
              </a:graphicData>
            </a:graphic>
          </wp:inline>
        </w:drawing>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spacing w:line="20" w:lineRule="exact"/>
        <w:ind w:left="8815" w:right="0" w:firstLine="0"/>
        <w:rPr>
          <w:rFonts w:ascii="宋体" w:hAnsi="宋体" w:cs="宋体" w:eastAsia="宋体" w:hint="default"/>
          <w:sz w:val="2"/>
          <w:szCs w:val="2"/>
        </w:rPr>
      </w:pPr>
      <w:r>
        <w:rPr>
          <w:rFonts w:ascii="宋体" w:hAnsi="宋体" w:cs="宋体" w:eastAsia="宋体" w:hint="default"/>
          <w:sz w:val="2"/>
          <w:szCs w:val="2"/>
        </w:rPr>
        <w:drawing>
          <wp:inline distT="0" distB="0" distL="0" distR="0">
            <wp:extent cx="1524" cy="6095"/>
            <wp:effectExtent l="0" t="0" r="0" b="0"/>
            <wp:docPr id="11" name="image2.png" descr=""/>
            <wp:cNvGraphicFramePr>
              <a:graphicFrameLocks noChangeAspect="1"/>
            </wp:cNvGraphicFramePr>
            <a:graphic>
              <a:graphicData uri="http://schemas.openxmlformats.org/drawingml/2006/picture">
                <pic:pic>
                  <pic:nvPicPr>
                    <pic:cNvPr id="12" name="image2.png"/>
                    <pic:cNvPicPr/>
                  </pic:nvPicPr>
                  <pic:blipFill>
                    <a:blip r:embed="rId20" cstate="print"/>
                    <a:stretch>
                      <a:fillRect/>
                    </a:stretch>
                  </pic:blipFill>
                  <pic:spPr>
                    <a:xfrm>
                      <a:off x="0" y="0"/>
                      <a:ext cx="1524" cy="6095"/>
                    </a:xfrm>
                    <a:prstGeom prst="rect">
                      <a:avLst/>
                    </a:prstGeom>
                  </pic:spPr>
                </pic:pic>
              </a:graphicData>
            </a:graphic>
          </wp:inline>
        </w:drawing>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spacing w:line="20" w:lineRule="exact"/>
        <w:ind w:left="8815" w:right="0" w:firstLine="0"/>
        <w:rPr>
          <w:rFonts w:ascii="宋体" w:hAnsi="宋体" w:cs="宋体" w:eastAsia="宋体" w:hint="default"/>
          <w:sz w:val="2"/>
          <w:szCs w:val="2"/>
        </w:rPr>
      </w:pPr>
      <w:r>
        <w:rPr>
          <w:rFonts w:ascii="宋体" w:hAnsi="宋体" w:cs="宋体" w:eastAsia="宋体" w:hint="default"/>
          <w:sz w:val="2"/>
          <w:szCs w:val="2"/>
        </w:rPr>
        <w:drawing>
          <wp:inline distT="0" distB="0" distL="0" distR="0">
            <wp:extent cx="1524" cy="6095"/>
            <wp:effectExtent l="0" t="0" r="0" b="0"/>
            <wp:docPr id="13" name="image2.png" descr=""/>
            <wp:cNvGraphicFramePr>
              <a:graphicFrameLocks noChangeAspect="1"/>
            </wp:cNvGraphicFramePr>
            <a:graphic>
              <a:graphicData uri="http://schemas.openxmlformats.org/drawingml/2006/picture">
                <pic:pic>
                  <pic:nvPicPr>
                    <pic:cNvPr id="14" name="image2.png"/>
                    <pic:cNvPicPr/>
                  </pic:nvPicPr>
                  <pic:blipFill>
                    <a:blip r:embed="rId20" cstate="print"/>
                    <a:stretch>
                      <a:fillRect/>
                    </a:stretch>
                  </pic:blipFill>
                  <pic:spPr>
                    <a:xfrm>
                      <a:off x="0" y="0"/>
                      <a:ext cx="1524" cy="6095"/>
                    </a:xfrm>
                    <a:prstGeom prst="rect">
                      <a:avLst/>
                    </a:prstGeom>
                  </pic:spPr>
                </pic:pic>
              </a:graphicData>
            </a:graphic>
          </wp:inline>
        </w:drawing>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spacing w:line="20" w:lineRule="exact"/>
        <w:ind w:left="8815" w:right="0" w:firstLine="0"/>
        <w:rPr>
          <w:rFonts w:ascii="宋体" w:hAnsi="宋体" w:cs="宋体" w:eastAsia="宋体" w:hint="default"/>
          <w:sz w:val="2"/>
          <w:szCs w:val="2"/>
        </w:rPr>
      </w:pPr>
      <w:r>
        <w:rPr>
          <w:rFonts w:ascii="宋体" w:hAnsi="宋体" w:cs="宋体" w:eastAsia="宋体" w:hint="default"/>
          <w:sz w:val="2"/>
          <w:szCs w:val="2"/>
        </w:rPr>
        <w:drawing>
          <wp:inline distT="0" distB="0" distL="0" distR="0">
            <wp:extent cx="1523" cy="6095"/>
            <wp:effectExtent l="0" t="0" r="0" b="0"/>
            <wp:docPr id="15" name="image2.png" descr=""/>
            <wp:cNvGraphicFramePr>
              <a:graphicFrameLocks noChangeAspect="1"/>
            </wp:cNvGraphicFramePr>
            <a:graphic>
              <a:graphicData uri="http://schemas.openxmlformats.org/drawingml/2006/picture">
                <pic:pic>
                  <pic:nvPicPr>
                    <pic:cNvPr id="16" name="image2.png"/>
                    <pic:cNvPicPr/>
                  </pic:nvPicPr>
                  <pic:blipFill>
                    <a:blip r:embed="rId20" cstate="print"/>
                    <a:stretch>
                      <a:fillRect/>
                    </a:stretch>
                  </pic:blipFill>
                  <pic:spPr>
                    <a:xfrm>
                      <a:off x="0" y="0"/>
                      <a:ext cx="1523" cy="6095"/>
                    </a:xfrm>
                    <a:prstGeom prst="rect">
                      <a:avLst/>
                    </a:prstGeom>
                  </pic:spPr>
                </pic:pic>
              </a:graphicData>
            </a:graphic>
          </wp:inline>
        </w:drawing>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spacing w:line="20" w:lineRule="exact"/>
        <w:ind w:left="8815" w:right="0" w:firstLine="0"/>
        <w:rPr>
          <w:rFonts w:ascii="宋体" w:hAnsi="宋体" w:cs="宋体" w:eastAsia="宋体" w:hint="default"/>
          <w:sz w:val="2"/>
          <w:szCs w:val="2"/>
        </w:rPr>
      </w:pPr>
      <w:r>
        <w:rPr>
          <w:rFonts w:ascii="宋体" w:hAnsi="宋体" w:cs="宋体" w:eastAsia="宋体" w:hint="default"/>
          <w:sz w:val="2"/>
          <w:szCs w:val="2"/>
        </w:rPr>
        <w:drawing>
          <wp:inline distT="0" distB="0" distL="0" distR="0">
            <wp:extent cx="1524" cy="6095"/>
            <wp:effectExtent l="0" t="0" r="0" b="0"/>
            <wp:docPr id="17" name="image2.png" descr=""/>
            <wp:cNvGraphicFramePr>
              <a:graphicFrameLocks noChangeAspect="1"/>
            </wp:cNvGraphicFramePr>
            <a:graphic>
              <a:graphicData uri="http://schemas.openxmlformats.org/drawingml/2006/picture">
                <pic:pic>
                  <pic:nvPicPr>
                    <pic:cNvPr id="18" name="image2.png"/>
                    <pic:cNvPicPr/>
                  </pic:nvPicPr>
                  <pic:blipFill>
                    <a:blip r:embed="rId20" cstate="print"/>
                    <a:stretch>
                      <a:fillRect/>
                    </a:stretch>
                  </pic:blipFill>
                  <pic:spPr>
                    <a:xfrm>
                      <a:off x="0" y="0"/>
                      <a:ext cx="1524" cy="6095"/>
                    </a:xfrm>
                    <a:prstGeom prst="rect">
                      <a:avLst/>
                    </a:prstGeom>
                  </pic:spPr>
                </pic:pic>
              </a:graphicData>
            </a:graphic>
          </wp:inline>
        </w:drawing>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spacing w:line="20" w:lineRule="exact"/>
        <w:ind w:left="8815" w:right="0" w:firstLine="0"/>
        <w:rPr>
          <w:rFonts w:ascii="宋体" w:hAnsi="宋体" w:cs="宋体" w:eastAsia="宋体" w:hint="default"/>
          <w:sz w:val="2"/>
          <w:szCs w:val="2"/>
        </w:rPr>
      </w:pPr>
      <w:r>
        <w:rPr>
          <w:rFonts w:ascii="宋体" w:hAnsi="宋体" w:cs="宋体" w:eastAsia="宋体" w:hint="default"/>
          <w:sz w:val="2"/>
          <w:szCs w:val="2"/>
        </w:rPr>
        <w:drawing>
          <wp:inline distT="0" distB="0" distL="0" distR="0">
            <wp:extent cx="1524" cy="6096"/>
            <wp:effectExtent l="0" t="0" r="0" b="0"/>
            <wp:docPr id="19" name="image2.png" descr=""/>
            <wp:cNvGraphicFramePr>
              <a:graphicFrameLocks noChangeAspect="1"/>
            </wp:cNvGraphicFramePr>
            <a:graphic>
              <a:graphicData uri="http://schemas.openxmlformats.org/drawingml/2006/picture">
                <pic:pic>
                  <pic:nvPicPr>
                    <pic:cNvPr id="20" name="image2.png"/>
                    <pic:cNvPicPr/>
                  </pic:nvPicPr>
                  <pic:blipFill>
                    <a:blip r:embed="rId20" cstate="print"/>
                    <a:stretch>
                      <a:fillRect/>
                    </a:stretch>
                  </pic:blipFill>
                  <pic:spPr>
                    <a:xfrm>
                      <a:off x="0" y="0"/>
                      <a:ext cx="1524" cy="6096"/>
                    </a:xfrm>
                    <a:prstGeom prst="rect">
                      <a:avLst/>
                    </a:prstGeom>
                  </pic:spPr>
                </pic:pic>
              </a:graphicData>
            </a:graphic>
          </wp:inline>
        </w:drawing>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BodyText"/>
        <w:spacing w:line="240" w:lineRule="auto"/>
        <w:ind w:left="1033" w:right="0"/>
        <w:jc w:val="left"/>
      </w:pPr>
      <w:r>
        <w:rPr>
          <w:spacing w:val="-4"/>
        </w:rPr>
        <w:t>本期合并财务报表范围及其变化情况详见本附注</w:t>
      </w:r>
      <w:r>
        <w:rPr>
          <w:rFonts w:ascii="Times New Roman" w:hAnsi="Times New Roman" w:cs="Times New Roman" w:eastAsia="Times New Roman" w:hint="default"/>
          <w:spacing w:val="-4"/>
        </w:rPr>
        <w:t>“</w:t>
      </w:r>
      <w:r>
        <w:rPr>
          <w:spacing w:val="-4"/>
        </w:rPr>
        <w:t>八、合并范围的变更</w:t>
      </w:r>
      <w:r>
        <w:rPr>
          <w:rFonts w:ascii="Times New Roman" w:hAnsi="Times New Roman" w:cs="Times New Roman" w:eastAsia="Times New Roman" w:hint="default"/>
          <w:spacing w:val="-4"/>
        </w:rPr>
        <w:t>”</w:t>
      </w:r>
      <w:r>
        <w:rPr>
          <w:spacing w:val="-4"/>
        </w:rPr>
        <w:t>和</w:t>
      </w:r>
      <w:r>
        <w:rPr>
          <w:rFonts w:ascii="Times New Roman" w:hAnsi="Times New Roman" w:cs="Times New Roman" w:eastAsia="Times New Roman" w:hint="default"/>
          <w:spacing w:val="-4"/>
        </w:rPr>
        <w:t>“</w:t>
      </w:r>
      <w:r>
        <w:rPr>
          <w:spacing w:val="-4"/>
        </w:rPr>
        <w:t>九、在其他主体中的权益</w:t>
      </w:r>
      <w:r>
        <w:rPr>
          <w:rFonts w:ascii="Times New Roman" w:hAnsi="Times New Roman" w:cs="Times New Roman" w:eastAsia="Times New Roman" w:hint="default"/>
          <w:spacing w:val="-4"/>
        </w:rPr>
        <w:t>”</w:t>
      </w:r>
      <w:r>
        <w:rPr>
          <w:spacing w:val="-4"/>
        </w:rPr>
        <w:t>。</w:t>
      </w:r>
    </w:p>
    <w:p>
      <w:pPr>
        <w:spacing w:after="0" w:line="240" w:lineRule="auto"/>
        <w:jc w:val="left"/>
        <w:sectPr>
          <w:pgSz w:w="11910" w:h="16840"/>
          <w:pgMar w:header="877" w:footer="979" w:top="1100" w:bottom="1160" w:left="520" w:right="580"/>
        </w:sectPr>
      </w:pPr>
    </w:p>
    <w:p>
      <w:pPr>
        <w:spacing w:line="240" w:lineRule="auto" w:before="9"/>
        <w:rPr>
          <w:rFonts w:ascii="宋体" w:hAnsi="宋体" w:cs="宋体" w:eastAsia="宋体" w:hint="default"/>
          <w:sz w:val="19"/>
          <w:szCs w:val="19"/>
        </w:rPr>
      </w:pPr>
    </w:p>
    <w:p>
      <w:pPr>
        <w:pStyle w:val="Heading2"/>
        <w:spacing w:line="240" w:lineRule="auto" w:before="26"/>
        <w:ind w:right="0"/>
        <w:jc w:val="left"/>
        <w:rPr>
          <w:b w:val="0"/>
          <w:bCs w:val="0"/>
        </w:rPr>
      </w:pPr>
      <w:r>
        <w:rPr/>
        <w:t>四、财务报表的编制基础</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4"/>
          <w:szCs w:val="24"/>
        </w:rPr>
      </w:pPr>
    </w:p>
    <w:p>
      <w:pPr>
        <w:pStyle w:val="BodyText"/>
        <w:spacing w:line="256" w:lineRule="auto"/>
        <w:ind w:right="0" w:firstLine="420"/>
        <w:jc w:val="left"/>
      </w:pPr>
      <w:r>
        <w:rPr>
          <w:spacing w:val="-2"/>
        </w:rPr>
        <w:t>公司以持续经营为基础，根据实际发生的交易和事项，按照财政部颁布的《企业会计准则</w:t>
      </w:r>
      <w:r>
        <w:rPr>
          <w:rFonts w:ascii="Times New Roman" w:hAnsi="Times New Roman" w:cs="Times New Roman" w:eastAsia="Times New Roman" w:hint="default"/>
          <w:spacing w:val="-2"/>
        </w:rPr>
        <w:t>——</w:t>
      </w:r>
      <w:r>
        <w:rPr>
          <w:spacing w:val="-2"/>
        </w:rPr>
        <w:t>基本准</w:t>
      </w:r>
      <w:r>
        <w:rPr>
          <w:w w:val="100"/>
        </w:rPr>
        <w:t> </w:t>
      </w:r>
      <w:r>
        <w:rPr/>
        <w:t>则》和各项具体会计准则、企业会计准则应用指南、企业会计准则解释及其他相关规定（以下合称</w:t>
      </w:r>
      <w:r>
        <w:rPr>
          <w:rFonts w:ascii="Times New Roman" w:hAnsi="Times New Roman" w:cs="Times New Roman" w:eastAsia="Times New Roman" w:hint="default"/>
        </w:rPr>
        <w:t>“</w:t>
      </w:r>
      <w:r>
        <w:rPr/>
        <w:t>企业</w:t>
      </w:r>
      <w:r>
        <w:rPr>
          <w:spacing w:val="-3"/>
          <w:w w:val="100"/>
        </w:rPr>
        <w:t> </w:t>
      </w:r>
      <w:r>
        <w:rPr/>
        <w:t>会计准则</w:t>
      </w:r>
      <w:r>
        <w:rPr>
          <w:rFonts w:ascii="Times New Roman" w:hAnsi="Times New Roman" w:cs="Times New Roman" w:eastAsia="Times New Roman" w:hint="default"/>
        </w:rPr>
        <w:t>”</w:t>
      </w:r>
      <w:r>
        <w:rPr/>
        <w:t>），以及中国证券监督管理委员会《公开发行证券的公司信息披露编报规则第</w:t>
      </w:r>
      <w:r>
        <w:rPr>
          <w:rFonts w:ascii="Times New Roman" w:hAnsi="Times New Roman" w:cs="Times New Roman" w:eastAsia="Times New Roman" w:hint="default"/>
        </w:rPr>
        <w:t>15</w:t>
      </w:r>
      <w:r>
        <w:rPr>
          <w:rFonts w:ascii="Times New Roman" w:hAnsi="Times New Roman" w:cs="Times New Roman" w:eastAsia="Times New Roman" w:hint="default"/>
          <w:spacing w:val="26"/>
        </w:rPr>
        <w:t> </w:t>
      </w:r>
      <w:r>
        <w:rPr/>
        <w:t>号</w:t>
      </w:r>
      <w:r>
        <w:rPr>
          <w:rFonts w:ascii="Times New Roman" w:hAnsi="Times New Roman" w:cs="Times New Roman" w:eastAsia="Times New Roman" w:hint="default"/>
        </w:rPr>
        <w:t>——</w:t>
      </w:r>
      <w:r>
        <w:rPr/>
        <w:t>财务报</w:t>
      </w:r>
      <w:r>
        <w:rPr>
          <w:w w:val="100"/>
        </w:rPr>
        <w:t> </w:t>
      </w:r>
      <w:r>
        <w:rPr/>
        <w:t>告的一般规定》的披露规定编制财务报表。</w:t>
      </w:r>
    </w:p>
    <w:p>
      <w:pPr>
        <w:spacing w:line="240" w:lineRule="auto" w:before="8"/>
        <w:rPr>
          <w:rFonts w:ascii="宋体" w:hAnsi="宋体" w:cs="宋体" w:eastAsia="宋体" w:hint="default"/>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left="573" w:right="0"/>
        <w:jc w:val="left"/>
      </w:pPr>
      <w:r>
        <w:rPr/>
        <w:t>公司自报告期末起</w:t>
      </w:r>
      <w:r>
        <w:rPr>
          <w:rFonts w:ascii="宋体" w:hAnsi="宋体" w:cs="宋体" w:eastAsia="宋体" w:hint="default"/>
        </w:rPr>
        <w:t>12</w:t>
      </w:r>
      <w:r>
        <w:rPr/>
        <w:t>个月内不存在影响持续经营能力的重大因素。</w:t>
      </w:r>
    </w:p>
    <w:p>
      <w:pPr>
        <w:spacing w:line="240" w:lineRule="auto" w:before="11"/>
        <w:rPr>
          <w:rFonts w:ascii="宋体" w:hAnsi="宋体" w:cs="宋体" w:eastAsia="宋体" w:hint="default"/>
          <w:sz w:val="23"/>
          <w:szCs w:val="23"/>
        </w:rPr>
      </w:pPr>
    </w:p>
    <w:p>
      <w:pPr>
        <w:pStyle w:val="Heading2"/>
        <w:spacing w:line="240" w:lineRule="auto"/>
        <w:ind w:right="0"/>
        <w:jc w:val="left"/>
        <w:rPr>
          <w:b w:val="0"/>
          <w:bCs w:val="0"/>
        </w:rPr>
      </w:pPr>
      <w:r>
        <w:rPr/>
        <w:t>五、重要会计政策及会计估计</w:t>
      </w:r>
      <w:r>
        <w:rPr>
          <w:b w:val="0"/>
          <w:bCs w:val="0"/>
        </w:rPr>
      </w:r>
    </w:p>
    <w:p>
      <w:pPr>
        <w:spacing w:line="240" w:lineRule="auto" w:before="9"/>
        <w:rPr>
          <w:rFonts w:ascii="宋体" w:hAnsi="宋体" w:cs="宋体" w:eastAsia="宋体" w:hint="default"/>
          <w:b/>
          <w:bCs/>
          <w:sz w:val="24"/>
          <w:szCs w:val="24"/>
        </w:rPr>
      </w:pPr>
    </w:p>
    <w:p>
      <w:pPr>
        <w:pStyle w:val="BodyText"/>
        <w:spacing w:line="307" w:lineRule="auto"/>
        <w:ind w:left="573" w:right="0" w:hanging="421"/>
        <w:jc w:val="left"/>
      </w:pPr>
      <w:r>
        <w:rPr/>
        <w:t>具体会计政策和会计估计提示：</w:t>
      </w:r>
      <w:r>
        <w:rPr>
          <w:w w:val="100"/>
        </w:rPr>
        <w:t> </w:t>
      </w:r>
      <w:r>
        <w:rPr>
          <w:spacing w:val="-2"/>
        </w:rPr>
        <w:t>公司及子公司主要从事家电配线组件研发、生产和销售。公司及子公司根据实际生产经营特点，依据</w:t>
      </w:r>
    </w:p>
    <w:p>
      <w:pPr>
        <w:pStyle w:val="BodyText"/>
        <w:spacing w:line="269" w:lineRule="exact"/>
        <w:ind w:right="0"/>
        <w:jc w:val="left"/>
        <w:rPr>
          <w:rFonts w:ascii="Times New Roman" w:hAnsi="Times New Roman" w:cs="Times New Roman" w:eastAsia="Times New Roman" w:hint="default"/>
        </w:rPr>
      </w:pPr>
      <w:r>
        <w:rPr>
          <w:spacing w:val="-4"/>
        </w:rPr>
        <w:t>相关企业会计准则的规定，对收入确认等交易和事项制定了若干项具体会计政策和会计估计，详见本附注</w:t>
      </w:r>
      <w:r>
        <w:rPr>
          <w:rFonts w:ascii="Times New Roman" w:hAnsi="Times New Roman" w:cs="Times New Roman" w:eastAsia="Times New Roman" w:hint="default"/>
          <w:spacing w:val="-4"/>
        </w:rPr>
        <w:t>”</w:t>
      </w:r>
    </w:p>
    <w:p>
      <w:pPr>
        <w:pStyle w:val="BodyText"/>
        <w:spacing w:line="240" w:lineRule="auto" w:before="21"/>
        <w:ind w:right="0"/>
        <w:jc w:val="left"/>
      </w:pPr>
      <w:r>
        <w:rPr/>
        <w:t>五、</w:t>
      </w:r>
      <w:r>
        <w:rPr>
          <w:rFonts w:ascii="Times New Roman" w:hAnsi="Times New Roman" w:cs="Times New Roman" w:eastAsia="Times New Roman" w:hint="default"/>
        </w:rPr>
        <w:t>26</w:t>
      </w:r>
      <w:r>
        <w:rPr/>
        <w:t>收入</w:t>
      </w:r>
      <w:r>
        <w:rPr>
          <w:rFonts w:ascii="Times New Roman" w:hAnsi="Times New Roman" w:cs="Times New Roman" w:eastAsia="Times New Roman" w:hint="default"/>
        </w:rPr>
        <w:t>“</w:t>
      </w:r>
      <w:r>
        <w:rPr/>
        <w:t>相关描述。</w:t>
      </w:r>
    </w:p>
    <w:p>
      <w:pPr>
        <w:spacing w:line="590" w:lineRule="atLeast" w:before="22"/>
        <w:ind w:left="573" w:right="0"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、遵循企业会计准则的声明</w:t>
      </w:r>
      <w:r>
        <w:rPr>
          <w:rFonts w:ascii="宋体" w:hAnsi="宋体" w:cs="宋体" w:eastAsia="宋体" w:hint="default"/>
          <w:b/>
          <w:bCs/>
          <w:w w:val="100"/>
          <w:sz w:val="21"/>
          <w:szCs w:val="21"/>
        </w:rPr>
        <w:t> </w:t>
      </w:r>
      <w:r>
        <w:rPr>
          <w:rFonts w:ascii="宋体" w:hAnsi="宋体" w:cs="宋体" w:eastAsia="宋体" w:hint="default"/>
          <w:spacing w:val="-2"/>
          <w:sz w:val="21"/>
          <w:szCs w:val="21"/>
        </w:rPr>
        <w:t>公司所编制的财务报表符合企业会计准则的要求，真实、完整地反映了报告期公司的财务状况、经营</w:t>
      </w:r>
    </w:p>
    <w:p>
      <w:pPr>
        <w:pStyle w:val="BodyText"/>
        <w:spacing w:line="240" w:lineRule="auto" w:before="37"/>
        <w:ind w:right="0"/>
        <w:jc w:val="left"/>
      </w:pPr>
      <w:r>
        <w:rPr/>
        <w:t>成果、现金流量等有关信息。</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2</w:t>
      </w:r>
      <w:r>
        <w:rPr/>
        <w:t>、会计期间</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left="573" w:right="0"/>
        <w:jc w:val="left"/>
      </w:pPr>
      <w:r>
        <w:rPr/>
        <w:t>自公历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日止为一个会计年度。</w:t>
      </w:r>
    </w:p>
    <w:p>
      <w:pPr>
        <w:spacing w:line="240" w:lineRule="auto" w:before="7"/>
        <w:rPr>
          <w:rFonts w:ascii="宋体" w:hAnsi="宋体" w:cs="宋体" w:eastAsia="宋体" w:hint="default"/>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3</w:t>
      </w:r>
      <w:r>
        <w:rPr/>
        <w:t>、营业周期</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573" w:right="0"/>
        <w:jc w:val="left"/>
      </w:pPr>
      <w:r>
        <w:rPr/>
        <w:t>本公司营业周期为</w:t>
      </w:r>
      <w:r>
        <w:rPr>
          <w:rFonts w:ascii="Times New Roman" w:hAnsi="Times New Roman" w:cs="Times New Roman" w:eastAsia="Times New Roman" w:hint="default"/>
        </w:rPr>
        <w:t>12</w:t>
      </w:r>
      <w:r>
        <w:rPr/>
        <w:t>个月。</w:t>
      </w:r>
    </w:p>
    <w:p>
      <w:pPr>
        <w:spacing w:line="240" w:lineRule="auto" w:before="7"/>
        <w:rPr>
          <w:rFonts w:ascii="宋体" w:hAnsi="宋体" w:cs="宋体" w:eastAsia="宋体" w:hint="default"/>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left="573" w:right="0"/>
        <w:jc w:val="left"/>
      </w:pPr>
      <w:r>
        <w:rPr/>
        <w:t>本公司采用人民币为记账本位币。</w:t>
      </w:r>
    </w:p>
    <w:p>
      <w:pPr>
        <w:spacing w:line="600" w:lineRule="atLeast" w:before="28"/>
        <w:ind w:left="573" w:right="0"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、同一控制下和非同一控制下企业合并的会计处理方法</w:t>
      </w:r>
      <w:r>
        <w:rPr>
          <w:rFonts w:ascii="宋体" w:hAnsi="宋体" w:cs="宋体" w:eastAsia="宋体" w:hint="default"/>
          <w:b/>
          <w:bCs/>
          <w:w w:val="100"/>
          <w:sz w:val="21"/>
          <w:szCs w:val="21"/>
        </w:rPr>
        <w:t> </w:t>
      </w:r>
      <w:r>
        <w:rPr>
          <w:rFonts w:ascii="宋体" w:hAnsi="宋体" w:cs="宋体" w:eastAsia="宋体" w:hint="default"/>
          <w:spacing w:val="-7"/>
          <w:sz w:val="21"/>
          <w:szCs w:val="21"/>
        </w:rPr>
        <w:t>同一控制下企业合并：本公司在企业合并中取得的资产和负债，按照合并日在被合并方资产、负债（包</w:t>
      </w:r>
    </w:p>
    <w:p>
      <w:pPr>
        <w:pStyle w:val="BodyText"/>
        <w:spacing w:line="273" w:lineRule="auto" w:before="37"/>
        <w:ind w:right="146"/>
        <w:jc w:val="both"/>
      </w:pPr>
      <w:r>
        <w:rPr>
          <w:spacing w:val="-2"/>
        </w:rPr>
        <w:t>括最终控制方收购被合并方而形成的商誉）在最终控制方合并财务报表中的账面价值计量。在合并中取得</w:t>
      </w:r>
      <w:r>
        <w:rPr>
          <w:spacing w:val="-43"/>
        </w:rPr>
        <w:t> </w:t>
      </w:r>
      <w:r>
        <w:rPr>
          <w:spacing w:val="-43"/>
        </w:rPr>
      </w:r>
      <w:r>
        <w:rPr>
          <w:spacing w:val="-2"/>
        </w:rPr>
        <w:t>的净资产账面价值与支付的合并对价账面价值（或发行股份面值总额）的差额，调整资本公积中的股本溢</w:t>
      </w:r>
      <w:r>
        <w:rPr>
          <w:spacing w:val="-42"/>
        </w:rPr>
        <w:t> </w:t>
      </w:r>
      <w:r>
        <w:rPr>
          <w:spacing w:val="-42"/>
        </w:rPr>
      </w:r>
      <w:r>
        <w:rPr/>
        <w:t>价，资本公积中的股本溢价不足冲减的，调整留存收益。</w:t>
      </w:r>
    </w:p>
    <w:p>
      <w:pPr>
        <w:pStyle w:val="BodyText"/>
        <w:spacing w:line="273" w:lineRule="auto" w:before="7"/>
        <w:ind w:right="0" w:firstLine="420"/>
        <w:jc w:val="left"/>
      </w:pPr>
      <w:r>
        <w:rPr>
          <w:spacing w:val="-2"/>
        </w:rPr>
        <w:t>非同一控制下企业合并：本公司在购买日对作为企业合并对价付出的资产、发生或承担的负债按照公</w:t>
      </w:r>
      <w:r>
        <w:rPr>
          <w:w w:val="100"/>
        </w:rPr>
        <w:t> </w:t>
      </w:r>
      <w:r>
        <w:rPr>
          <w:spacing w:val="-2"/>
        </w:rPr>
        <w:t>允价值计量，公允价值与其账面价值的差额，计入当期损益。本公司对合并成本大于合并中取得的被购买</w:t>
      </w:r>
    </w:p>
    <w:p>
      <w:pPr>
        <w:spacing w:after="0" w:line="273" w:lineRule="auto"/>
        <w:jc w:val="left"/>
        <w:sectPr>
          <w:pgSz w:w="11910" w:h="16840"/>
          <w:pgMar w:header="877" w:footer="979" w:top="1100" w:bottom="1160" w:left="980" w:right="980"/>
        </w:sectPr>
      </w:pPr>
    </w:p>
    <w:p>
      <w:pPr>
        <w:spacing w:line="240" w:lineRule="auto" w:before="11"/>
        <w:rPr>
          <w:rFonts w:ascii="宋体" w:hAnsi="宋体" w:cs="宋体" w:eastAsia="宋体" w:hint="default"/>
          <w:sz w:val="20"/>
          <w:szCs w:val="20"/>
        </w:rPr>
      </w:pPr>
    </w:p>
    <w:p>
      <w:pPr>
        <w:pStyle w:val="BodyText"/>
        <w:spacing w:line="273" w:lineRule="auto" w:before="36"/>
        <w:ind w:right="146"/>
        <w:jc w:val="both"/>
      </w:pPr>
      <w:r>
        <w:rPr>
          <w:spacing w:val="-2"/>
        </w:rPr>
        <w:t>方可辨认净资产公允价值份额的差额，确认为商誉；合并成本小于合并中取得的被购买方可辨认净资产公</w:t>
      </w:r>
      <w:r>
        <w:rPr>
          <w:spacing w:val="-43"/>
        </w:rPr>
        <w:t> </w:t>
      </w:r>
      <w:r>
        <w:rPr>
          <w:spacing w:val="-43"/>
        </w:rPr>
      </w:r>
      <w:r>
        <w:rPr/>
        <w:t>允价值份额的差额，经复核后，计入当期损益。</w:t>
      </w:r>
    </w:p>
    <w:p>
      <w:pPr>
        <w:pStyle w:val="BodyText"/>
        <w:spacing w:line="273" w:lineRule="auto" w:before="7"/>
        <w:ind w:right="146" w:firstLine="420"/>
        <w:jc w:val="both"/>
      </w:pPr>
      <w:r>
        <w:rPr>
          <w:spacing w:val="-2"/>
        </w:rPr>
        <w:t>为企业合并发生的审计、法律服务、评估咨询等中介费用以及其他直接相关费用，于发生时计入当期</w:t>
      </w:r>
      <w:r>
        <w:rPr>
          <w:w w:val="100"/>
        </w:rPr>
        <w:t> </w:t>
      </w:r>
      <w:r>
        <w:rPr/>
        <w:t>损益；为企业合并而发行权益性证券的交易费用，冲减权益。</w:t>
      </w:r>
    </w:p>
    <w:p>
      <w:pPr>
        <w:spacing w:line="240" w:lineRule="auto" w:before="7"/>
        <w:rPr>
          <w:rFonts w:ascii="宋体" w:hAnsi="宋体" w:cs="宋体" w:eastAsia="宋体" w:hint="default"/>
          <w:sz w:val="23"/>
          <w:szCs w:val="23"/>
        </w:rPr>
      </w:pPr>
    </w:p>
    <w:p>
      <w:pPr>
        <w:pStyle w:val="Heading4"/>
        <w:spacing w:line="240" w:lineRule="auto"/>
        <w:ind w:right="0"/>
        <w:jc w:val="both"/>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10"/>
        <w:rPr>
          <w:rFonts w:ascii="宋体" w:hAnsi="宋体" w:cs="宋体" w:eastAsia="宋体" w:hint="default"/>
          <w:b/>
          <w:bCs/>
          <w:sz w:val="24"/>
          <w:szCs w:val="24"/>
        </w:rPr>
      </w:pPr>
    </w:p>
    <w:p>
      <w:pPr>
        <w:pStyle w:val="BodyText"/>
        <w:spacing w:line="256" w:lineRule="auto"/>
        <w:ind w:left="573" w:right="0"/>
        <w:jc w:val="left"/>
      </w:pPr>
      <w:r>
        <w:rPr/>
        <w:t>（</w:t>
      </w:r>
      <w:r>
        <w:rPr>
          <w:rFonts w:ascii="Times New Roman" w:hAnsi="Times New Roman" w:cs="Times New Roman" w:eastAsia="Times New Roman" w:hint="default"/>
        </w:rPr>
        <w:t>1</w:t>
      </w:r>
      <w:r>
        <w:rPr/>
        <w:t>）合并范围</w:t>
      </w:r>
      <w:r>
        <w:rPr>
          <w:w w:val="100"/>
        </w:rPr>
        <w:t> </w:t>
      </w:r>
      <w:r>
        <w:rPr>
          <w:spacing w:val="-2"/>
        </w:rPr>
        <w:t>本公司合并财务报表的合并范围以控制为基础确定，所有子公司（包括本公司所控制的被投资方可分</w:t>
      </w:r>
    </w:p>
    <w:p>
      <w:pPr>
        <w:pStyle w:val="BodyText"/>
        <w:spacing w:line="240" w:lineRule="auto" w:before="22"/>
        <w:ind w:right="0"/>
        <w:jc w:val="both"/>
      </w:pPr>
      <w:r>
        <w:rPr/>
        <w:t>割的部分）均纳入合并财务报表。</w:t>
      </w:r>
    </w:p>
    <w:p>
      <w:pPr>
        <w:pStyle w:val="BodyText"/>
        <w:spacing w:line="256" w:lineRule="auto" w:before="37"/>
        <w:ind w:left="573" w:right="0"/>
        <w:jc w:val="left"/>
      </w:pPr>
      <w:r>
        <w:rPr/>
        <w:t>（</w:t>
      </w:r>
      <w:r>
        <w:rPr>
          <w:rFonts w:ascii="Times New Roman" w:hAnsi="Times New Roman" w:cs="Times New Roman" w:eastAsia="Times New Roman" w:hint="default"/>
        </w:rPr>
        <w:t>2</w:t>
      </w:r>
      <w:r>
        <w:rPr/>
        <w:t>）合并程序</w:t>
      </w:r>
      <w:r>
        <w:rPr>
          <w:w w:val="100"/>
        </w:rPr>
        <w:t> </w:t>
      </w:r>
      <w:r>
        <w:rPr>
          <w:spacing w:val="-2"/>
        </w:rPr>
        <w:t>本公司以自身和各子公司的财务报表为基础，根据其他有关资料，编制合并财务报表。本公司编制合</w:t>
      </w:r>
    </w:p>
    <w:p>
      <w:pPr>
        <w:pStyle w:val="BodyText"/>
        <w:spacing w:line="273" w:lineRule="auto" w:before="23"/>
        <w:ind w:right="148"/>
        <w:jc w:val="both"/>
      </w:pPr>
      <w:r>
        <w:rPr>
          <w:spacing w:val="-2"/>
        </w:rPr>
        <w:t>并财务报表，将整个企业集团视为一个会计主体，依据相关企业会计准则的确认、计量和列报要求，按照</w:t>
      </w:r>
      <w:r>
        <w:rPr>
          <w:spacing w:val="-47"/>
        </w:rPr>
        <w:t> </w:t>
      </w:r>
      <w:r>
        <w:rPr>
          <w:spacing w:val="-47"/>
        </w:rPr>
      </w:r>
      <w:r>
        <w:rPr/>
        <w:t>统一的会计政策，反映本企业集团整体财务状况、经营成果和现金流量。</w:t>
      </w:r>
    </w:p>
    <w:p>
      <w:pPr>
        <w:pStyle w:val="BodyText"/>
        <w:spacing w:line="273" w:lineRule="auto" w:before="7"/>
        <w:ind w:right="146" w:firstLine="420"/>
        <w:jc w:val="both"/>
      </w:pPr>
      <w:r>
        <w:rPr>
          <w:spacing w:val="-2"/>
        </w:rPr>
        <w:t>所有纳入合并财务报表合并范围的子公司所采用的会计政策、会计期间与本公司一致，如子公司采用</w:t>
      </w:r>
      <w:r>
        <w:rPr>
          <w:w w:val="100"/>
        </w:rPr>
        <w:t> </w:t>
      </w:r>
      <w:r>
        <w:rPr>
          <w:spacing w:val="-2"/>
        </w:rPr>
        <w:t>的会计政策、会计期间与本公司不一致的，在编制合并财务报表时，按本公司的会计政策、会计期间进行</w:t>
      </w:r>
      <w:r>
        <w:rPr>
          <w:spacing w:val="-50"/>
        </w:rPr>
        <w:t> </w:t>
      </w:r>
      <w:r>
        <w:rPr>
          <w:spacing w:val="-50"/>
        </w:rPr>
      </w:r>
      <w:r>
        <w:rPr>
          <w:spacing w:val="-2"/>
        </w:rPr>
        <w:t>必要的调整。对于非同一控制下企业合并取得的子公司，以购买日可辨认净资产公允价值为基础对其财务</w:t>
      </w:r>
      <w:r>
        <w:rPr>
          <w:spacing w:val="-43"/>
        </w:rPr>
        <w:t> </w:t>
      </w:r>
      <w:r>
        <w:rPr>
          <w:spacing w:val="-43"/>
        </w:rPr>
      </w:r>
      <w:r>
        <w:rPr>
          <w:spacing w:val="-2"/>
        </w:rPr>
        <w:t>报表进行调整。对于同一控制下企业合并取得的子公司，以其资产、负债（包括最终控制方收购该子公司</w:t>
      </w:r>
      <w:r>
        <w:rPr>
          <w:spacing w:val="-44"/>
        </w:rPr>
        <w:t> </w:t>
      </w:r>
      <w:r>
        <w:rPr>
          <w:spacing w:val="-44"/>
        </w:rPr>
      </w:r>
      <w:r>
        <w:rPr/>
        <w:t>而形成的商誉）在最终控制方财务报表中的账面价值为基础对其财务报表进行调整。</w:t>
      </w:r>
    </w:p>
    <w:p>
      <w:pPr>
        <w:pStyle w:val="BodyText"/>
        <w:spacing w:line="273" w:lineRule="auto" w:before="7"/>
        <w:ind w:right="146" w:firstLine="420"/>
        <w:jc w:val="both"/>
      </w:pPr>
      <w:r>
        <w:rPr>
          <w:spacing w:val="-2"/>
        </w:rPr>
        <w:t>子公司所有者权益、当期净损益和当期综合收益中属于少数股东的份额分别在合并资产负债表中所有</w:t>
      </w:r>
      <w:r>
        <w:rPr>
          <w:w w:val="100"/>
        </w:rPr>
        <w:t> </w:t>
      </w:r>
      <w:r>
        <w:rPr>
          <w:spacing w:val="-2"/>
        </w:rPr>
        <w:t>者权益项目下、合并利润表中净利润项目下和综合收益总额项目下单独列示。子公司少数股东分担的当期</w:t>
      </w:r>
      <w:r>
        <w:rPr>
          <w:spacing w:val="-43"/>
        </w:rPr>
        <w:t> </w:t>
      </w:r>
      <w:r>
        <w:rPr>
          <w:spacing w:val="-43"/>
        </w:rPr>
      </w:r>
      <w:r>
        <w:rPr/>
        <w:t>亏损超过了少数股东在该子公司期初所有者权益中所享有份额而形成的余额，冲减少数股东权益。</w:t>
      </w:r>
    </w:p>
    <w:p>
      <w:pPr>
        <w:pStyle w:val="BodyText"/>
        <w:spacing w:line="256" w:lineRule="auto" w:before="7"/>
        <w:ind w:left="573" w:right="0"/>
        <w:jc w:val="left"/>
      </w:pPr>
      <w:r>
        <w:rPr>
          <w:rFonts w:ascii="Times New Roman" w:hAnsi="Times New Roman" w:cs="Times New Roman" w:eastAsia="Times New Roman" w:hint="default"/>
        </w:rPr>
        <w:t>1</w:t>
      </w:r>
      <w:r>
        <w:rPr/>
        <w:t>）增加子公司或业务</w:t>
      </w:r>
      <w:r>
        <w:rPr>
          <w:w w:val="100"/>
        </w:rPr>
        <w:t> </w:t>
      </w:r>
      <w:r>
        <w:rPr>
          <w:spacing w:val="-2"/>
        </w:rPr>
        <w:t>在报告期内，若因同一控制下企业合并增加子公司或业务的，则调整合并资产负债表的期初数；将子</w:t>
      </w:r>
    </w:p>
    <w:p>
      <w:pPr>
        <w:pStyle w:val="BodyText"/>
        <w:spacing w:line="273" w:lineRule="auto" w:before="22"/>
        <w:ind w:right="146"/>
        <w:jc w:val="both"/>
      </w:pPr>
      <w:r>
        <w:rPr>
          <w:spacing w:val="-2"/>
        </w:rPr>
        <w:t>公司或业务合并当期期初至报告期末的收入、费用、利润纳入合并利润表；将子公司或业务合并当期期初</w:t>
      </w:r>
      <w:r>
        <w:rPr>
          <w:spacing w:val="-43"/>
        </w:rPr>
        <w:t> </w:t>
      </w:r>
      <w:r>
        <w:rPr>
          <w:spacing w:val="-43"/>
        </w:rPr>
      </w:r>
      <w:r>
        <w:rPr>
          <w:spacing w:val="-2"/>
        </w:rPr>
        <w:t>至报告期末的现金流量纳入合并现金流量表，同时对比较报表的相关项目进行调整，视同合并后的报告主</w:t>
      </w:r>
      <w:r>
        <w:rPr>
          <w:spacing w:val="-43"/>
        </w:rPr>
        <w:t> </w:t>
      </w:r>
      <w:r>
        <w:rPr>
          <w:spacing w:val="-43"/>
        </w:rPr>
      </w:r>
      <w:r>
        <w:rPr/>
        <w:t>体自最终控制方开始控制时点起一直存在。</w:t>
      </w:r>
    </w:p>
    <w:p>
      <w:pPr>
        <w:pStyle w:val="BodyText"/>
        <w:spacing w:line="273" w:lineRule="auto" w:before="7"/>
        <w:ind w:right="146" w:firstLine="420"/>
        <w:jc w:val="both"/>
      </w:pPr>
      <w:r>
        <w:rPr>
          <w:spacing w:val="-2"/>
        </w:rPr>
        <w:t>因追加投资等原因能够对同一控制下的被投资方实施控制的，视同参与合并的各方在最终控制方开始</w:t>
      </w:r>
      <w:r>
        <w:rPr>
          <w:w w:val="100"/>
        </w:rPr>
        <w:t> </w:t>
      </w:r>
      <w:r>
        <w:rPr>
          <w:spacing w:val="-2"/>
        </w:rPr>
        <w:t>控制时即以目前的状态存在进行调整。在取得被合并方控制权之前持有的股权投资，在取得原股权之日与</w:t>
      </w:r>
      <w:r>
        <w:rPr>
          <w:spacing w:val="-44"/>
        </w:rPr>
        <w:t> </w:t>
      </w:r>
      <w:r>
        <w:rPr>
          <w:spacing w:val="-44"/>
        </w:rPr>
      </w:r>
      <w:r>
        <w:rPr>
          <w:spacing w:val="-2"/>
        </w:rPr>
        <w:t>合并方和被合并方同处于同一控制之日孰晚日起至合并日之间已确认有关损益、其他综合收益以及其他净</w:t>
      </w:r>
      <w:r>
        <w:rPr>
          <w:spacing w:val="-43"/>
        </w:rPr>
        <w:t> </w:t>
      </w:r>
      <w:r>
        <w:rPr>
          <w:spacing w:val="-43"/>
        </w:rPr>
      </w:r>
      <w:r>
        <w:rPr/>
        <w:t>资产变动，分别冲减比较报表期间的期初留存收益或当期损益。</w:t>
      </w:r>
    </w:p>
    <w:p>
      <w:pPr>
        <w:pStyle w:val="BodyText"/>
        <w:spacing w:line="273" w:lineRule="auto" w:before="7"/>
        <w:ind w:right="146" w:firstLine="420"/>
        <w:jc w:val="both"/>
      </w:pPr>
      <w:r>
        <w:rPr>
          <w:spacing w:val="-2"/>
        </w:rPr>
        <w:t>在报告期内，若因非同一控制下企业合并增加子公司或业务的，则不调整合并资产负债表期初数；将</w:t>
      </w:r>
      <w:r>
        <w:rPr>
          <w:w w:val="100"/>
        </w:rPr>
        <w:t> </w:t>
      </w:r>
      <w:r>
        <w:rPr>
          <w:spacing w:val="-2"/>
        </w:rPr>
        <w:t>该子公司或业务自购买日至报告期末的收入、费用、利润纳入合并利润表；该子公司或业务自购买日至报</w:t>
      </w:r>
      <w:r>
        <w:rPr>
          <w:spacing w:val="-43"/>
        </w:rPr>
        <w:t> </w:t>
      </w:r>
      <w:r>
        <w:rPr>
          <w:spacing w:val="-43"/>
        </w:rPr>
      </w:r>
      <w:r>
        <w:rPr/>
        <w:t>告期末的现金流量纳入合并现金流量表。</w:t>
      </w:r>
    </w:p>
    <w:p>
      <w:pPr>
        <w:pStyle w:val="BodyText"/>
        <w:spacing w:line="271" w:lineRule="auto" w:before="8"/>
        <w:ind w:right="146" w:firstLine="420"/>
        <w:jc w:val="both"/>
      </w:pPr>
      <w:r>
        <w:rPr>
          <w:spacing w:val="-2"/>
        </w:rPr>
        <w:t>因追加投资等原因能够对非同一控制下的被投资方实施控制的，对于购买日之前持有的被购买方的股</w:t>
      </w:r>
      <w:r>
        <w:rPr>
          <w:w w:val="100"/>
        </w:rPr>
        <w:t> </w:t>
      </w:r>
      <w:r>
        <w:rPr>
          <w:spacing w:val="-2"/>
        </w:rPr>
        <w:t>权，本公司按照该股权在购买日的公允价值进行重新计量，公允价值与其账面价值的差额计入当期投资收</w:t>
      </w:r>
      <w:r>
        <w:rPr>
          <w:spacing w:val="-44"/>
        </w:rPr>
        <w:t> </w:t>
      </w:r>
      <w:r>
        <w:rPr>
          <w:spacing w:val="-44"/>
        </w:rPr>
      </w:r>
      <w:r>
        <w:rPr>
          <w:spacing w:val="-2"/>
        </w:rPr>
        <w:t>益。购买日之前持有的被购买方的股权涉及权益法核算下的其他综合收益以及除净损益、其他综合收益和</w:t>
      </w:r>
      <w:r>
        <w:rPr>
          <w:spacing w:val="-44"/>
        </w:rPr>
        <w:t> </w:t>
      </w:r>
      <w:r>
        <w:rPr>
          <w:spacing w:val="-44"/>
        </w:rPr>
      </w:r>
      <w:r>
        <w:rPr>
          <w:spacing w:val="-2"/>
        </w:rPr>
        <w:t>利润分配之外的其他所有者权益变动的，与其相关的其他综合收益、其他所有者权益变动转为购买日所属</w:t>
      </w:r>
      <w:r>
        <w:rPr>
          <w:spacing w:val="-42"/>
        </w:rPr>
        <w:t> </w:t>
      </w:r>
      <w:r>
        <w:rPr>
          <w:spacing w:val="-42"/>
        </w:rPr>
      </w:r>
      <w:r>
        <w:rPr/>
        <w:t>当期投资收益，由于被投资方重新计量设定受益计划净负债或净资产变动而产生的其他综合收益除外。</w:t>
      </w:r>
    </w:p>
    <w:p>
      <w:pPr>
        <w:pStyle w:val="BodyText"/>
        <w:spacing w:line="240" w:lineRule="auto" w:before="10"/>
        <w:ind w:left="573" w:right="0"/>
        <w:jc w:val="left"/>
      </w:pPr>
      <w:r>
        <w:rPr>
          <w:rFonts w:ascii="Times New Roman" w:hAnsi="Times New Roman" w:cs="Times New Roman" w:eastAsia="Times New Roman" w:hint="default"/>
        </w:rPr>
        <w:t>2</w:t>
      </w:r>
      <w:r>
        <w:rPr/>
        <w:t>）处置子公司或业务</w:t>
      </w:r>
    </w:p>
    <w:p>
      <w:pPr>
        <w:pStyle w:val="BodyText"/>
        <w:spacing w:line="273" w:lineRule="auto" w:before="21"/>
        <w:ind w:left="573" w:right="0"/>
        <w:jc w:val="left"/>
      </w:pPr>
      <w:r>
        <w:rPr/>
        <w:t>①一般处理方法</w:t>
      </w:r>
      <w:r>
        <w:rPr>
          <w:spacing w:val="-103"/>
        </w:rPr>
        <w:t> </w:t>
      </w:r>
      <w:r>
        <w:rPr>
          <w:spacing w:val="-103"/>
        </w:rPr>
      </w:r>
      <w:r>
        <w:rPr>
          <w:spacing w:val="-2"/>
        </w:rPr>
        <w:t>在报告期内，本公司处置子公司或业务，则该子公司或业务期初至处置日的收入、费用、利润纳入合</w:t>
      </w:r>
    </w:p>
    <w:p>
      <w:pPr>
        <w:pStyle w:val="BodyText"/>
        <w:spacing w:line="273" w:lineRule="auto" w:before="7"/>
        <w:ind w:left="573" w:right="0" w:hanging="421"/>
        <w:jc w:val="left"/>
      </w:pPr>
      <w:r>
        <w:rPr/>
        <w:t>并利润表；该子公司或业务期初至处置日的现金流量纳入合并现金流量表。</w:t>
      </w:r>
      <w:r>
        <w:rPr>
          <w:w w:val="100"/>
        </w:rPr>
        <w:t> </w:t>
      </w:r>
      <w:r>
        <w:rPr>
          <w:spacing w:val="-2"/>
        </w:rPr>
        <w:t>因处置部分股权投资或其他原因丧失了对被投资方控制权时，对于处置后的剩余股权投资，本公司按</w:t>
      </w:r>
    </w:p>
    <w:p>
      <w:pPr>
        <w:spacing w:after="0" w:line="273" w:lineRule="auto"/>
        <w:jc w:val="left"/>
        <w:sectPr>
          <w:pgSz w:w="11910" w:h="16840"/>
          <w:pgMar w:header="877" w:footer="979" w:top="1100" w:bottom="1160" w:left="980" w:right="980"/>
        </w:sectPr>
      </w:pPr>
    </w:p>
    <w:p>
      <w:pPr>
        <w:spacing w:line="240" w:lineRule="auto" w:before="11"/>
        <w:rPr>
          <w:rFonts w:ascii="宋体" w:hAnsi="宋体" w:cs="宋体" w:eastAsia="宋体" w:hint="default"/>
          <w:sz w:val="20"/>
          <w:szCs w:val="20"/>
        </w:rPr>
      </w:pPr>
    </w:p>
    <w:p>
      <w:pPr>
        <w:pStyle w:val="BodyText"/>
        <w:spacing w:line="273" w:lineRule="auto" w:before="36"/>
        <w:ind w:right="146"/>
        <w:jc w:val="both"/>
      </w:pPr>
      <w:r>
        <w:rPr>
          <w:spacing w:val="-2"/>
        </w:rPr>
        <w:t>照其在丧失控制权日的公允价值进行重新计量。处置股权取得的对价与剩余股权公允价值之和，减去按原</w:t>
      </w:r>
      <w:r>
        <w:rPr>
          <w:spacing w:val="-43"/>
        </w:rPr>
        <w:t> </w:t>
      </w:r>
      <w:r>
        <w:rPr>
          <w:spacing w:val="-43"/>
        </w:rPr>
      </w:r>
      <w:r>
        <w:rPr>
          <w:spacing w:val="-2"/>
        </w:rPr>
        <w:t>持股比例计算应享有原有子公司自购买日或合并日开始持续计算的净资产的份额与商誉之和的差额，计入</w:t>
      </w:r>
      <w:r>
        <w:rPr>
          <w:spacing w:val="-43"/>
        </w:rPr>
        <w:t> </w:t>
      </w:r>
      <w:r>
        <w:rPr>
          <w:spacing w:val="-43"/>
        </w:rPr>
      </w:r>
      <w:r>
        <w:rPr>
          <w:spacing w:val="-2"/>
        </w:rPr>
        <w:t>丧失控制权当期的投资收益。与原有子公司股权投资相关的其他综合收益或除净损益、其他综合收益及利</w:t>
      </w:r>
      <w:r>
        <w:rPr>
          <w:spacing w:val="-43"/>
        </w:rPr>
        <w:t> </w:t>
      </w:r>
      <w:r>
        <w:rPr>
          <w:spacing w:val="-43"/>
        </w:rPr>
      </w:r>
      <w:r>
        <w:rPr>
          <w:spacing w:val="-2"/>
        </w:rPr>
        <w:t>润分配之外的其他所有者权益变动，在丧失控制权时转为当期投资收益，由于被投资方重新计量设定受益</w:t>
      </w:r>
      <w:r>
        <w:rPr>
          <w:spacing w:val="-43"/>
        </w:rPr>
        <w:t> </w:t>
      </w:r>
      <w:r>
        <w:rPr>
          <w:spacing w:val="-43"/>
        </w:rPr>
      </w:r>
      <w:r>
        <w:rPr/>
        <w:t>计划净负债或净资产变动而产生的其他综合收益除外。</w:t>
      </w:r>
    </w:p>
    <w:p>
      <w:pPr>
        <w:pStyle w:val="BodyText"/>
        <w:spacing w:line="273" w:lineRule="auto" w:before="7"/>
        <w:ind w:right="146" w:firstLine="420"/>
        <w:jc w:val="both"/>
      </w:pPr>
      <w:r>
        <w:rPr>
          <w:spacing w:val="-2"/>
        </w:rPr>
        <w:t>因其他投资方对子公司增资而导致本公司持股比例下降从而丧失控制权的，按照上述原则进行会计处</w:t>
      </w:r>
      <w:r>
        <w:rPr>
          <w:w w:val="100"/>
        </w:rPr>
        <w:t> </w:t>
      </w:r>
      <w:r>
        <w:rPr/>
        <w:t>理。</w:t>
      </w:r>
    </w:p>
    <w:p>
      <w:pPr>
        <w:pStyle w:val="BodyText"/>
        <w:spacing w:line="273" w:lineRule="auto" w:before="7"/>
        <w:ind w:left="573" w:right="0"/>
        <w:jc w:val="left"/>
      </w:pPr>
      <w:r>
        <w:rPr/>
        <w:t>②分步处置子公司</w:t>
      </w:r>
      <w:r>
        <w:rPr>
          <w:w w:val="100"/>
        </w:rPr>
        <w:t> </w:t>
      </w:r>
      <w:r>
        <w:rPr>
          <w:spacing w:val="-2"/>
        </w:rPr>
        <w:t>通过多次交易分步处置对子公司股权投资直至丧失控制权的，处置对子公司股权投资的各项交易的条</w:t>
      </w:r>
    </w:p>
    <w:p>
      <w:pPr>
        <w:pStyle w:val="BodyText"/>
        <w:spacing w:line="273" w:lineRule="auto" w:before="7"/>
        <w:ind w:right="146"/>
        <w:jc w:val="both"/>
      </w:pPr>
      <w:r>
        <w:rPr>
          <w:spacing w:val="-2"/>
        </w:rPr>
        <w:t>款、条件以及经济影响符合以下一种或多种情况，通常表明应将多次交易事项作为一揽子交易进行会计处</w:t>
      </w:r>
      <w:r>
        <w:rPr>
          <w:spacing w:val="-43"/>
        </w:rPr>
        <w:t> </w:t>
      </w:r>
      <w:r>
        <w:rPr>
          <w:spacing w:val="-43"/>
        </w:rPr>
      </w:r>
      <w:r>
        <w:rPr/>
        <w:t>理：</w:t>
      </w:r>
    </w:p>
    <w:p>
      <w:pPr>
        <w:pStyle w:val="BodyText"/>
        <w:spacing w:line="273" w:lineRule="auto" w:before="7"/>
        <w:ind w:left="573" w:right="0"/>
        <w:jc w:val="left"/>
      </w:pPr>
      <w:r>
        <w:rPr/>
        <w:t>ⅰ．这些交易是同时或者在考虑了彼此影响的情况下订立的；</w:t>
      </w:r>
      <w:r>
        <w:rPr>
          <w:w w:val="100"/>
        </w:rPr>
        <w:t> </w:t>
      </w:r>
      <w:r>
        <w:rPr/>
        <w:t>ⅱ．这些交易整体才能达成一项完整的商业结果；</w:t>
      </w:r>
      <w:r>
        <w:rPr>
          <w:w w:val="100"/>
        </w:rPr>
        <w:t> </w:t>
      </w:r>
      <w:r>
        <w:rPr/>
        <w:t>ⅲ．一项交易的发生取决于其他至少一项交易的发生；</w:t>
      </w:r>
      <w:r>
        <w:rPr>
          <w:w w:val="100"/>
        </w:rPr>
        <w:t> </w:t>
      </w:r>
      <w:r>
        <w:rPr/>
        <w:t>ⅳ．一项交易单独看是不经济的，但是和其他交易一并考虑时是经济的。</w:t>
      </w:r>
      <w:r>
        <w:rPr>
          <w:w w:val="100"/>
        </w:rPr>
        <w:t> </w:t>
      </w:r>
      <w:r>
        <w:rPr>
          <w:spacing w:val="-2"/>
        </w:rPr>
        <w:t>处置对子公司股权投资直至丧失控制权的各项交易属于一揽子交易的，本公司将各项交易作为一项处</w:t>
      </w:r>
    </w:p>
    <w:p>
      <w:pPr>
        <w:pStyle w:val="BodyText"/>
        <w:spacing w:line="273" w:lineRule="auto" w:before="7"/>
        <w:ind w:right="146"/>
        <w:jc w:val="both"/>
      </w:pPr>
      <w:r>
        <w:rPr>
          <w:spacing w:val="-2"/>
        </w:rPr>
        <w:t>置子公司并丧失控制权的交易进行会计处理；但是，在丧失控制权之前每一次处置价款与处置投资对应的</w:t>
      </w:r>
      <w:r>
        <w:rPr>
          <w:spacing w:val="-43"/>
        </w:rPr>
        <w:t> </w:t>
      </w:r>
      <w:r>
        <w:rPr>
          <w:spacing w:val="-43"/>
        </w:rPr>
      </w:r>
      <w:r>
        <w:rPr>
          <w:spacing w:val="-2"/>
        </w:rPr>
        <w:t>享有该子公司净资产份额的差额，在合并财务报表中确认为其他综合收益，在丧失控制权时一并转入丧失</w:t>
      </w:r>
      <w:r>
        <w:rPr>
          <w:spacing w:val="-43"/>
        </w:rPr>
        <w:t> </w:t>
      </w:r>
      <w:r>
        <w:rPr>
          <w:spacing w:val="-43"/>
        </w:rPr>
      </w:r>
      <w:r>
        <w:rPr/>
        <w:t>控制权当期的损益。</w:t>
      </w:r>
    </w:p>
    <w:p>
      <w:pPr>
        <w:pStyle w:val="BodyText"/>
        <w:spacing w:line="273" w:lineRule="auto" w:before="7"/>
        <w:ind w:right="146" w:firstLine="420"/>
        <w:jc w:val="both"/>
      </w:pPr>
      <w:r>
        <w:rPr>
          <w:spacing w:val="-2"/>
        </w:rPr>
        <w:t>处置对子公司股权投资直至丧失控制权的各项交易不属于一揽子交易的，在丧失控制权之前，按不丧</w:t>
      </w:r>
      <w:r>
        <w:rPr>
          <w:w w:val="100"/>
        </w:rPr>
        <w:t> </w:t>
      </w:r>
      <w:r>
        <w:rPr>
          <w:spacing w:val="-2"/>
        </w:rPr>
        <w:t>失控制权的情况下部分处置对子公司的股权投资的相关政策进行会计处理；在丧失控制权时，按处置子公</w:t>
      </w:r>
      <w:r>
        <w:rPr>
          <w:spacing w:val="-43"/>
        </w:rPr>
        <w:t> </w:t>
      </w:r>
      <w:r>
        <w:rPr>
          <w:spacing w:val="-43"/>
        </w:rPr>
      </w:r>
      <w:r>
        <w:rPr/>
        <w:t>司一般处理方法进行会计处理。</w:t>
      </w:r>
    </w:p>
    <w:p>
      <w:pPr>
        <w:pStyle w:val="BodyText"/>
        <w:spacing w:line="256" w:lineRule="auto" w:before="7"/>
        <w:ind w:left="573" w:right="0"/>
        <w:jc w:val="left"/>
      </w:pPr>
      <w:r>
        <w:rPr>
          <w:rFonts w:ascii="Times New Roman" w:hAnsi="Times New Roman" w:cs="Times New Roman" w:eastAsia="Times New Roman" w:hint="default"/>
        </w:rPr>
        <w:t>3</w:t>
      </w:r>
      <w:r>
        <w:rPr/>
        <w:t>）购买子公司少数股权</w:t>
      </w:r>
      <w:r>
        <w:rPr>
          <w:w w:val="100"/>
        </w:rPr>
        <w:t> </w:t>
      </w:r>
      <w:r>
        <w:rPr>
          <w:spacing w:val="-2"/>
        </w:rPr>
        <w:t>本公司因购买少数股权新取得的长期股权投资与按照新增持股比例计算应享有子公司自购买日（或合</w:t>
      </w:r>
    </w:p>
    <w:p>
      <w:pPr>
        <w:pStyle w:val="BodyText"/>
        <w:spacing w:line="273" w:lineRule="auto" w:before="22"/>
        <w:ind w:right="146"/>
        <w:jc w:val="both"/>
      </w:pPr>
      <w:r>
        <w:rPr>
          <w:spacing w:val="-2"/>
        </w:rPr>
        <w:t>并日）开始持续计算的净资产份额之间的差额，调整合并资产负债表中的资本公积中的股本溢价，资本公</w:t>
      </w:r>
      <w:r>
        <w:rPr>
          <w:spacing w:val="-45"/>
        </w:rPr>
        <w:t> </w:t>
      </w:r>
      <w:r>
        <w:rPr>
          <w:spacing w:val="-45"/>
        </w:rPr>
      </w:r>
      <w:r>
        <w:rPr/>
        <w:t>积中的股本溢价不足冲减的，调整留存收益。</w:t>
      </w:r>
    </w:p>
    <w:p>
      <w:pPr>
        <w:pStyle w:val="BodyText"/>
        <w:spacing w:line="256" w:lineRule="auto" w:before="7"/>
        <w:ind w:left="573" w:right="0"/>
        <w:jc w:val="left"/>
      </w:pPr>
      <w:r>
        <w:rPr>
          <w:rFonts w:ascii="Times New Roman" w:hAnsi="Times New Roman" w:cs="Times New Roman" w:eastAsia="Times New Roman" w:hint="default"/>
        </w:rPr>
        <w:t>4</w:t>
      </w:r>
      <w:r>
        <w:rPr/>
        <w:t>）不丧失控制权的情况下部分处置对子公司的股权投资</w:t>
      </w:r>
      <w:r>
        <w:rPr>
          <w:w w:val="100"/>
        </w:rPr>
        <w:t> </w:t>
      </w:r>
      <w:r>
        <w:rPr>
          <w:spacing w:val="-2"/>
        </w:rPr>
        <w:t>在不丧失控制权的情况下因部分处置对子公司的长期股权投资而取得的处置价款与处置长期股权投</w:t>
      </w:r>
    </w:p>
    <w:p>
      <w:pPr>
        <w:pStyle w:val="BodyText"/>
        <w:spacing w:line="273" w:lineRule="auto" w:before="22"/>
        <w:ind w:right="146"/>
        <w:jc w:val="both"/>
      </w:pPr>
      <w:r>
        <w:rPr>
          <w:spacing w:val="-2"/>
        </w:rPr>
        <w:t>资相对应享有子公司自购买日或合并日开始持续计算的净资产份额之间的差额，调整合并资产负债表中的</w:t>
      </w:r>
      <w:r>
        <w:rPr>
          <w:spacing w:val="-43"/>
        </w:rPr>
        <w:t> </w:t>
      </w:r>
      <w:r>
        <w:rPr>
          <w:spacing w:val="-43"/>
        </w:rPr>
      </w:r>
      <w:r>
        <w:rPr/>
        <w:t>资本公积中的股本溢价，资本公积中的股本溢价不足冲减的，调整留存收益。</w:t>
      </w:r>
    </w:p>
    <w:p>
      <w:pPr>
        <w:spacing w:line="240" w:lineRule="auto" w:before="7"/>
        <w:rPr>
          <w:rFonts w:ascii="宋体" w:hAnsi="宋体" w:cs="宋体" w:eastAsia="宋体" w:hint="default"/>
          <w:sz w:val="23"/>
          <w:szCs w:val="23"/>
        </w:rPr>
      </w:pPr>
    </w:p>
    <w:p>
      <w:pPr>
        <w:spacing w:line="506" w:lineRule="auto" w:before="0"/>
        <w:ind w:left="573" w:right="5216" w:hanging="421"/>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7</w:t>
      </w:r>
      <w:r>
        <w:rPr>
          <w:rFonts w:ascii="宋体" w:hAnsi="宋体" w:cs="宋体" w:eastAsia="宋体" w:hint="default"/>
          <w:b/>
          <w:bCs/>
          <w:spacing w:val="-1"/>
          <w:sz w:val="21"/>
          <w:szCs w:val="21"/>
        </w:rPr>
        <w:t>、合营安排分类及共同经营会计处理方法</w:t>
      </w:r>
      <w:r>
        <w:rPr>
          <w:rFonts w:ascii="宋体" w:hAnsi="宋体" w:cs="宋体" w:eastAsia="宋体" w:hint="default"/>
          <w:b/>
          <w:bCs/>
          <w:spacing w:val="-86"/>
          <w:sz w:val="21"/>
          <w:szCs w:val="21"/>
        </w:rPr>
        <w:t> </w:t>
      </w:r>
      <w:r>
        <w:rPr>
          <w:rFonts w:ascii="宋体" w:hAnsi="宋体" w:cs="宋体" w:eastAsia="宋体" w:hint="default"/>
          <w:b/>
          <w:bCs/>
          <w:spacing w:val="-86"/>
          <w:sz w:val="21"/>
          <w:szCs w:val="21"/>
        </w:rPr>
      </w:r>
      <w:r>
        <w:rPr>
          <w:rFonts w:ascii="宋体" w:hAnsi="宋体" w:cs="宋体" w:eastAsia="宋体" w:hint="default"/>
          <w:sz w:val="21"/>
          <w:szCs w:val="21"/>
        </w:rPr>
        <w:t>本报告期未发生合营安排事项。</w:t>
      </w:r>
    </w:p>
    <w:p>
      <w:pPr>
        <w:pStyle w:val="Heading4"/>
        <w:spacing w:line="240" w:lineRule="auto" w:before="104"/>
        <w:ind w:right="0"/>
        <w:jc w:val="both"/>
        <w:rPr>
          <w:b w:val="0"/>
          <w:bCs w:val="0"/>
        </w:rPr>
      </w:pPr>
      <w:r>
        <w:rPr>
          <w:rFonts w:ascii="Times New Roman" w:hAnsi="Times New Roman" w:cs="Times New Roman" w:eastAsia="Times New Roman" w:hint="default"/>
        </w:rPr>
        <w:t>8</w:t>
      </w:r>
      <w:r>
        <w:rPr/>
        <w:t>、现金及现金等价物的确定标准</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125" w:firstLine="420"/>
        <w:jc w:val="both"/>
      </w:pPr>
      <w:r>
        <w:rPr>
          <w:spacing w:val="-2"/>
        </w:rPr>
        <w:t>在编制现金流量表时，将本公司库存现金以及可以随时用于支付的存款确认为现金。将同时具备期限</w:t>
      </w:r>
      <w:r>
        <w:rPr>
          <w:w w:val="100"/>
        </w:rPr>
        <w:t> </w:t>
      </w:r>
      <w:r>
        <w:rPr>
          <w:spacing w:val="-2"/>
        </w:rPr>
        <w:t>短（从购买日起三个月内到期）、流动性强、易于转换为已知现金、价值变动风险很小四个条件的投资，</w:t>
      </w:r>
      <w:r>
        <w:rPr>
          <w:spacing w:val="-21"/>
        </w:rPr>
        <w:t> </w:t>
      </w:r>
      <w:r>
        <w:rPr>
          <w:spacing w:val="-21"/>
        </w:rPr>
      </w:r>
      <w:r>
        <w:rPr/>
        <w:t>确定为现金等价物。</w:t>
      </w:r>
    </w:p>
    <w:p>
      <w:pPr>
        <w:spacing w:line="240" w:lineRule="auto" w:before="7"/>
        <w:rPr>
          <w:rFonts w:ascii="宋体" w:hAnsi="宋体" w:cs="宋体" w:eastAsia="宋体" w:hint="default"/>
          <w:sz w:val="23"/>
          <w:szCs w:val="23"/>
        </w:rPr>
      </w:pPr>
    </w:p>
    <w:p>
      <w:pPr>
        <w:pStyle w:val="Heading4"/>
        <w:spacing w:line="240" w:lineRule="auto"/>
        <w:ind w:right="0"/>
        <w:jc w:val="both"/>
        <w:rPr>
          <w:b w:val="0"/>
          <w:bCs w:val="0"/>
        </w:rPr>
      </w:pPr>
      <w:r>
        <w:rPr>
          <w:rFonts w:ascii="Times New Roman" w:hAnsi="Times New Roman" w:cs="Times New Roman" w:eastAsia="Times New Roman" w:hint="default"/>
        </w:rPr>
        <w:t>9</w:t>
      </w:r>
      <w:r>
        <w:rPr/>
        <w:t>、外币业务和外币报表折算</w:t>
      </w:r>
      <w:r>
        <w:rPr>
          <w:b w:val="0"/>
          <w:bCs w:val="0"/>
        </w:rPr>
      </w:r>
    </w:p>
    <w:p>
      <w:pPr>
        <w:spacing w:line="240" w:lineRule="auto" w:before="10"/>
        <w:rPr>
          <w:rFonts w:ascii="宋体" w:hAnsi="宋体" w:cs="宋体" w:eastAsia="宋体" w:hint="default"/>
          <w:b/>
          <w:bCs/>
          <w:sz w:val="24"/>
          <w:szCs w:val="24"/>
        </w:rPr>
      </w:pPr>
    </w:p>
    <w:p>
      <w:pPr>
        <w:pStyle w:val="BodyText"/>
        <w:spacing w:line="256" w:lineRule="auto"/>
        <w:ind w:left="573" w:right="1634"/>
        <w:jc w:val="left"/>
      </w:pPr>
      <w:r>
        <w:rPr/>
        <w:t>（</w:t>
      </w:r>
      <w:r>
        <w:rPr>
          <w:rFonts w:ascii="Times New Roman" w:hAnsi="Times New Roman" w:cs="Times New Roman" w:eastAsia="Times New Roman" w:hint="default"/>
        </w:rPr>
        <w:t>1</w:t>
      </w:r>
      <w:r>
        <w:rPr/>
        <w:t>）外币业务</w:t>
      </w:r>
      <w:r>
        <w:rPr>
          <w:w w:val="100"/>
        </w:rPr>
        <w:t> </w:t>
      </w:r>
      <w:r>
        <w:rPr>
          <w:spacing w:val="-2"/>
        </w:rPr>
        <w:t>外币业务采用交易发生日的即期汇率作为折算汇率将外币金额折合成人民币记账。</w:t>
      </w:r>
    </w:p>
    <w:p>
      <w:pPr>
        <w:spacing w:after="0" w:line="256" w:lineRule="auto"/>
        <w:jc w:val="left"/>
        <w:sectPr>
          <w:pgSz w:w="11910" w:h="16840"/>
          <w:pgMar w:header="877" w:footer="979" w:top="1100" w:bottom="1160" w:left="980" w:right="980"/>
        </w:sectPr>
      </w:pPr>
    </w:p>
    <w:p>
      <w:pPr>
        <w:spacing w:line="240" w:lineRule="auto" w:before="11"/>
        <w:rPr>
          <w:rFonts w:ascii="宋体" w:hAnsi="宋体" w:cs="宋体" w:eastAsia="宋体" w:hint="default"/>
          <w:sz w:val="20"/>
          <w:szCs w:val="20"/>
        </w:rPr>
      </w:pPr>
    </w:p>
    <w:p>
      <w:pPr>
        <w:pStyle w:val="BodyText"/>
        <w:spacing w:line="273" w:lineRule="auto" w:before="36"/>
        <w:ind w:right="146" w:firstLine="420"/>
        <w:jc w:val="both"/>
      </w:pPr>
      <w:r>
        <w:rPr>
          <w:spacing w:val="-2"/>
        </w:rPr>
        <w:t>资产负债表日外币货币性项目余额按资产负债表日即期汇率折算，由此产生的汇兑差额，除属于与购</w:t>
      </w:r>
      <w:r>
        <w:rPr>
          <w:w w:val="100"/>
        </w:rPr>
        <w:t> </w:t>
      </w:r>
      <w:r>
        <w:rPr>
          <w:spacing w:val="-2"/>
        </w:rPr>
        <w:t>建符合资本化条件的资产相关的外币专门借款产生的汇兑差额按照借款费用资本化的原则处理外，均计入</w:t>
      </w:r>
      <w:r>
        <w:rPr>
          <w:spacing w:val="-43"/>
        </w:rPr>
        <w:t> </w:t>
      </w:r>
      <w:r>
        <w:rPr>
          <w:spacing w:val="-43"/>
        </w:rPr>
      </w:r>
      <w:r>
        <w:rPr/>
        <w:t>当期损益。</w:t>
      </w:r>
    </w:p>
    <w:p>
      <w:pPr>
        <w:pStyle w:val="BodyText"/>
        <w:spacing w:line="256" w:lineRule="auto" w:before="7"/>
        <w:ind w:left="573" w:right="0"/>
        <w:jc w:val="left"/>
      </w:pPr>
      <w:r>
        <w:rPr/>
        <w:t>（</w:t>
      </w:r>
      <w:r>
        <w:rPr>
          <w:rFonts w:ascii="Times New Roman" w:hAnsi="Times New Roman" w:cs="Times New Roman" w:eastAsia="Times New Roman" w:hint="default"/>
        </w:rPr>
        <w:t>2</w:t>
      </w:r>
      <w:r>
        <w:rPr/>
        <w:t>）外币财务报表的折算</w:t>
      </w:r>
      <w:r>
        <w:rPr>
          <w:w w:val="100"/>
        </w:rPr>
        <w:t> </w:t>
      </w:r>
      <w:r>
        <w:rPr>
          <w:spacing w:val="-2"/>
        </w:rPr>
        <w:t>资产负债表中的资产和负债项目，采用资产负债表日的即期汇率折算；所有者权益项目除</w:t>
      </w:r>
      <w:r>
        <w:rPr>
          <w:rFonts w:ascii="Times New Roman" w:hAnsi="Times New Roman" w:cs="Times New Roman" w:eastAsia="Times New Roman" w:hint="default"/>
          <w:spacing w:val="-2"/>
        </w:rPr>
        <w:t>“</w:t>
      </w:r>
      <w:r>
        <w:rPr>
          <w:spacing w:val="-2"/>
        </w:rPr>
        <w:t>未分配利</w:t>
      </w:r>
    </w:p>
    <w:p>
      <w:pPr>
        <w:pStyle w:val="BodyText"/>
        <w:spacing w:line="256" w:lineRule="auto" w:before="5"/>
        <w:ind w:right="0"/>
        <w:jc w:val="left"/>
      </w:pPr>
      <w:r>
        <w:rPr>
          <w:spacing w:val="-2"/>
        </w:rPr>
        <w:t>润</w:t>
      </w:r>
      <w:r>
        <w:rPr>
          <w:rFonts w:ascii="Times New Roman" w:hAnsi="Times New Roman" w:cs="Times New Roman" w:eastAsia="Times New Roman" w:hint="default"/>
          <w:spacing w:val="-2"/>
        </w:rPr>
        <w:t>”</w:t>
      </w:r>
      <w:r>
        <w:rPr>
          <w:spacing w:val="-2"/>
        </w:rPr>
        <w:t>项目外，其他项目采用发生时的即期汇率折算。利润表中的收入和费用项目，采用交易发生日的即期</w:t>
      </w:r>
      <w:r>
        <w:rPr>
          <w:spacing w:val="-23"/>
        </w:rPr>
        <w:t> </w:t>
      </w:r>
      <w:r>
        <w:rPr>
          <w:spacing w:val="-23"/>
        </w:rPr>
      </w:r>
      <w:r>
        <w:rPr/>
        <w:t>汇率折算。</w:t>
      </w:r>
    </w:p>
    <w:p>
      <w:pPr>
        <w:pStyle w:val="BodyText"/>
        <w:spacing w:line="273" w:lineRule="auto" w:before="22"/>
        <w:ind w:right="146" w:firstLine="420"/>
        <w:jc w:val="both"/>
      </w:pPr>
      <w:r>
        <w:rPr>
          <w:spacing w:val="-2"/>
        </w:rPr>
        <w:t>处置境外经营时，将与该境外经营相关的外币财务报表折算差额，自所有者权益项目转入处置当期损</w:t>
      </w:r>
      <w:r>
        <w:rPr>
          <w:w w:val="100"/>
        </w:rPr>
        <w:t> </w:t>
      </w:r>
      <w:r>
        <w:rPr/>
        <w:t>益。</w:t>
      </w:r>
    </w:p>
    <w:p>
      <w:pPr>
        <w:spacing w:line="240" w:lineRule="auto" w:before="7"/>
        <w:rPr>
          <w:rFonts w:ascii="宋体" w:hAnsi="宋体" w:cs="宋体" w:eastAsia="宋体" w:hint="default"/>
          <w:sz w:val="23"/>
          <w:szCs w:val="23"/>
        </w:rPr>
      </w:pPr>
    </w:p>
    <w:p>
      <w:pPr>
        <w:pStyle w:val="Heading4"/>
        <w:spacing w:line="240" w:lineRule="auto"/>
        <w:ind w:right="0"/>
        <w:jc w:val="left"/>
        <w:rPr>
          <w:b w:val="0"/>
          <w:bCs w:val="0"/>
        </w:rPr>
      </w:pPr>
      <w:r>
        <w:rPr>
          <w:rFonts w:ascii="Times New Roman" w:hAnsi="Times New Roman" w:cs="Times New Roman" w:eastAsia="Times New Roman" w:hint="default"/>
        </w:rPr>
        <w:t>10</w:t>
      </w:r>
      <w:r>
        <w:rPr/>
        <w:t>、金融工具</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left="573" w:right="0"/>
        <w:jc w:val="left"/>
      </w:pPr>
      <w:r>
        <w:rPr/>
        <w:t>本报告期未发生金融工具事项。</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11</w:t>
      </w:r>
      <w:r>
        <w:rPr/>
        <w:t>、应收款项</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976"/>
        <w:gridCol w:w="6594"/>
      </w:tblGrid>
      <w:tr>
        <w:trPr>
          <w:trHeight w:val="713" w:hRule="exact"/>
        </w:trPr>
        <w:tc>
          <w:tcPr>
            <w:tcW w:w="2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22" w:right="207"/>
              <w:jc w:val="left"/>
              <w:rPr>
                <w:rFonts w:ascii="宋体" w:hAnsi="宋体" w:cs="宋体" w:eastAsia="宋体" w:hint="default"/>
                <w:sz w:val="21"/>
                <w:szCs w:val="21"/>
              </w:rPr>
            </w:pPr>
            <w:r>
              <w:rPr>
                <w:rFonts w:ascii="宋体" w:hAnsi="宋体" w:cs="宋体" w:eastAsia="宋体" w:hint="default"/>
                <w:spacing w:val="-2"/>
                <w:sz w:val="21"/>
                <w:szCs w:val="21"/>
              </w:rPr>
              <w:t>单项金额重大的判断依据或金</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额标准</w:t>
            </w:r>
          </w:p>
        </w:tc>
        <w:tc>
          <w:tcPr>
            <w:tcW w:w="6594"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8"/>
              <w:ind w:left="26" w:right="199"/>
              <w:jc w:val="left"/>
              <w:rPr>
                <w:rFonts w:ascii="宋体" w:hAnsi="宋体" w:cs="宋体" w:eastAsia="宋体" w:hint="default"/>
                <w:sz w:val="21"/>
                <w:szCs w:val="21"/>
              </w:rPr>
            </w:pPr>
            <w:r>
              <w:rPr>
                <w:rFonts w:ascii="宋体" w:hAnsi="宋体" w:cs="宋体" w:eastAsia="宋体" w:hint="default"/>
                <w:sz w:val="21"/>
                <w:szCs w:val="21"/>
              </w:rPr>
              <w:t>应收款项余额前五名或占应收账款余额</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宋体" w:hAnsi="宋体" w:cs="宋体" w:eastAsia="宋体" w:hint="default"/>
                <w:sz w:val="21"/>
                <w:szCs w:val="21"/>
              </w:rPr>
              <w:t>％以上且金额为</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万元以</w:t>
            </w:r>
            <w:r>
              <w:rPr>
                <w:rFonts w:ascii="宋体" w:hAnsi="宋体" w:cs="宋体" w:eastAsia="宋体" w:hint="default"/>
                <w:w w:val="100"/>
                <w:sz w:val="21"/>
                <w:szCs w:val="21"/>
              </w:rPr>
              <w:t> </w:t>
            </w:r>
            <w:r>
              <w:rPr>
                <w:rFonts w:ascii="宋体" w:hAnsi="宋体" w:cs="宋体" w:eastAsia="宋体" w:hint="default"/>
                <w:sz w:val="21"/>
                <w:szCs w:val="21"/>
              </w:rPr>
              <w:t>上。</w:t>
            </w:r>
          </w:p>
        </w:tc>
      </w:tr>
      <w:tr>
        <w:trPr>
          <w:trHeight w:val="1652" w:hRule="exact"/>
        </w:trPr>
        <w:tc>
          <w:tcPr>
            <w:tcW w:w="2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17"/>
                <w:szCs w:val="17"/>
              </w:rPr>
            </w:pPr>
          </w:p>
          <w:p>
            <w:pPr>
              <w:pStyle w:val="TableParagraph"/>
              <w:spacing w:line="273" w:lineRule="auto"/>
              <w:ind w:left="22" w:right="207"/>
              <w:jc w:val="left"/>
              <w:rPr>
                <w:rFonts w:ascii="宋体" w:hAnsi="宋体" w:cs="宋体" w:eastAsia="宋体" w:hint="default"/>
                <w:sz w:val="21"/>
                <w:szCs w:val="21"/>
              </w:rPr>
            </w:pPr>
            <w:r>
              <w:rPr>
                <w:rFonts w:ascii="宋体" w:hAnsi="宋体" w:cs="宋体" w:eastAsia="宋体" w:hint="default"/>
                <w:spacing w:val="-2"/>
                <w:sz w:val="21"/>
                <w:szCs w:val="21"/>
              </w:rPr>
              <w:t>单项金额重大并单项计提坏账</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准备的计提方法</w:t>
            </w:r>
          </w:p>
        </w:tc>
        <w:tc>
          <w:tcPr>
            <w:tcW w:w="65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6" w:right="38"/>
              <w:jc w:val="both"/>
              <w:rPr>
                <w:rFonts w:ascii="宋体" w:hAnsi="宋体" w:cs="宋体" w:eastAsia="宋体" w:hint="default"/>
                <w:sz w:val="21"/>
                <w:szCs w:val="21"/>
              </w:rPr>
            </w:pPr>
            <w:r>
              <w:rPr>
                <w:rFonts w:ascii="宋体" w:hAnsi="宋体" w:cs="宋体" w:eastAsia="宋体" w:hint="default"/>
                <w:spacing w:val="-2"/>
                <w:sz w:val="21"/>
                <w:szCs w:val="21"/>
              </w:rPr>
              <w:t>单独进行减值测试，如有客观证据表明其发生了减值的，按预计未来现</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pacing w:val="-2"/>
                <w:sz w:val="21"/>
                <w:szCs w:val="21"/>
              </w:rPr>
              <w:t>金流量现值低于其账面价值的差额计提坏账准备，计入当期损益。短期</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2"/>
                <w:sz w:val="21"/>
                <w:szCs w:val="21"/>
              </w:rPr>
              <w:t>应收款项的预计未来现金流量与其现值相差很小的，在确定相关减值损</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2"/>
                <w:sz w:val="21"/>
                <w:szCs w:val="21"/>
              </w:rPr>
              <w:t>失时，不对其预计未来现金流量进行折现。单独测试未减值的，按账龄</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分析法计提坏账准备。</w:t>
            </w:r>
          </w:p>
        </w:tc>
      </w:tr>
    </w:tbl>
    <w:p>
      <w:pPr>
        <w:spacing w:line="240" w:lineRule="auto" w:before="3"/>
        <w:rPr>
          <w:rFonts w:ascii="宋体" w:hAnsi="宋体" w:cs="宋体" w:eastAsia="宋体" w:hint="default"/>
          <w:b/>
          <w:bCs/>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977"/>
        <w:gridCol w:w="6594"/>
      </w:tblGrid>
      <w:tr>
        <w:trPr>
          <w:trHeight w:val="403"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组合名称</w:t>
            </w:r>
          </w:p>
        </w:tc>
        <w:tc>
          <w:tcPr>
            <w:tcW w:w="6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坏账准备计提方法</w:t>
            </w:r>
          </w:p>
        </w:tc>
      </w:tr>
      <w:tr>
        <w:trPr>
          <w:trHeight w:val="401"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组合</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1</w:t>
            </w:r>
          </w:p>
        </w:tc>
        <w:tc>
          <w:tcPr>
            <w:tcW w:w="6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账龄分析法</w:t>
            </w:r>
          </w:p>
        </w:tc>
      </w:tr>
    </w:tbl>
    <w:p>
      <w:pPr>
        <w:pStyle w:val="BodyText"/>
        <w:spacing w:line="240" w:lineRule="auto" w:before="28"/>
        <w:ind w:right="0"/>
        <w:jc w:val="left"/>
      </w:pPr>
      <w:r>
        <w:rPr/>
        <w:t>组合中，采用账龄分析法计提坏账准备的：</w:t>
      </w:r>
    </w:p>
    <w:p>
      <w:pPr>
        <w:pStyle w:val="BodyText"/>
        <w:spacing w:line="240" w:lineRule="auto" w:before="78"/>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8"/>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2977"/>
        <w:gridCol w:w="3404"/>
        <w:gridCol w:w="3190"/>
      </w:tblGrid>
      <w:tr>
        <w:trPr>
          <w:trHeight w:val="403"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859" w:right="0"/>
              <w:jc w:val="left"/>
              <w:rPr>
                <w:rFonts w:ascii="宋体" w:hAnsi="宋体" w:cs="宋体" w:eastAsia="宋体" w:hint="default"/>
                <w:sz w:val="21"/>
                <w:szCs w:val="21"/>
              </w:rPr>
            </w:pPr>
            <w:r>
              <w:rPr>
                <w:rFonts w:ascii="宋体" w:hAnsi="宋体" w:cs="宋体" w:eastAsia="宋体" w:hint="default"/>
                <w:sz w:val="21"/>
                <w:szCs w:val="21"/>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645" w:right="0"/>
              <w:jc w:val="left"/>
              <w:rPr>
                <w:rFonts w:ascii="宋体" w:hAnsi="宋体" w:cs="宋体" w:eastAsia="宋体" w:hint="default"/>
                <w:sz w:val="21"/>
                <w:szCs w:val="21"/>
              </w:rPr>
            </w:pPr>
            <w:r>
              <w:rPr>
                <w:rFonts w:ascii="宋体" w:hAnsi="宋体" w:cs="宋体" w:eastAsia="宋体" w:hint="default"/>
                <w:sz w:val="21"/>
                <w:szCs w:val="21"/>
              </w:rPr>
              <w:t>其他应收款计提比例</w:t>
            </w:r>
          </w:p>
        </w:tc>
      </w:tr>
      <w:tr>
        <w:trPr>
          <w:trHeight w:val="401"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个月以内（含</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个月）</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0.00%</w:t>
            </w: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个月至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个月（含</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个月）</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6"/>
              <w:jc w:val="right"/>
              <w:rPr>
                <w:rFonts w:ascii="Times New Roman" w:hAnsi="Times New Roman" w:cs="Times New Roman" w:eastAsia="Times New Roman" w:hint="default"/>
                <w:sz w:val="21"/>
                <w:szCs w:val="21"/>
              </w:rPr>
            </w:pPr>
            <w:r>
              <w:rPr>
                <w:rFonts w:ascii="Times New Roman"/>
                <w:sz w:val="21"/>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6"/>
              <w:jc w:val="right"/>
              <w:rPr>
                <w:rFonts w:ascii="Times New Roman" w:hAnsi="Times New Roman" w:cs="Times New Roman" w:eastAsia="Times New Roman" w:hint="default"/>
                <w:sz w:val="21"/>
                <w:szCs w:val="21"/>
              </w:rPr>
            </w:pPr>
            <w:r>
              <w:rPr>
                <w:rFonts w:ascii="Times New Roman"/>
                <w:sz w:val="21"/>
              </w:rPr>
              <w:t>0.00%</w:t>
            </w:r>
          </w:p>
        </w:tc>
      </w:tr>
      <w:tr>
        <w:trPr>
          <w:trHeight w:val="401"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个月至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年（含</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5.00%</w:t>
            </w: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6"/>
              <w:jc w:val="right"/>
              <w:rPr>
                <w:rFonts w:ascii="Times New Roman" w:hAnsi="Times New Roman" w:cs="Times New Roman" w:eastAsia="Times New Roman" w:hint="default"/>
                <w:sz w:val="21"/>
                <w:szCs w:val="21"/>
              </w:rPr>
            </w:pPr>
            <w:r>
              <w:rPr>
                <w:rFonts w:ascii="Times New Roman"/>
                <w:sz w:val="21"/>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6"/>
              <w:jc w:val="right"/>
              <w:rPr>
                <w:rFonts w:ascii="Times New Roman" w:hAnsi="Times New Roman" w:cs="Times New Roman" w:eastAsia="Times New Roman" w:hint="default"/>
                <w:sz w:val="21"/>
                <w:szCs w:val="21"/>
              </w:rPr>
            </w:pPr>
            <w:r>
              <w:rPr>
                <w:rFonts w:ascii="Times New Roman"/>
                <w:sz w:val="21"/>
              </w:rPr>
              <w:t>10.00%</w:t>
            </w:r>
          </w:p>
        </w:tc>
      </w:tr>
      <w:tr>
        <w:trPr>
          <w:trHeight w:val="401"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50.00%</w:t>
            </w: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6"/>
              <w:jc w:val="right"/>
              <w:rPr>
                <w:rFonts w:ascii="Times New Roman" w:hAnsi="Times New Roman" w:cs="Times New Roman" w:eastAsia="Times New Roman" w:hint="default"/>
                <w:sz w:val="21"/>
                <w:szCs w:val="21"/>
              </w:rPr>
            </w:pPr>
            <w:r>
              <w:rPr>
                <w:rFonts w:ascii="Times New Roman"/>
                <w:sz w:val="21"/>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6"/>
              <w:jc w:val="right"/>
              <w:rPr>
                <w:rFonts w:ascii="Times New Roman" w:hAnsi="Times New Roman" w:cs="Times New Roman" w:eastAsia="Times New Roman" w:hint="default"/>
                <w:sz w:val="21"/>
                <w:szCs w:val="21"/>
              </w:rPr>
            </w:pPr>
            <w:r>
              <w:rPr>
                <w:rFonts w:ascii="Times New Roman"/>
                <w:sz w:val="21"/>
              </w:rPr>
              <w:t>100.00%</w:t>
            </w:r>
          </w:p>
        </w:tc>
      </w:tr>
    </w:tbl>
    <w:p>
      <w:pPr>
        <w:pStyle w:val="BodyText"/>
        <w:tabs>
          <w:tab w:pos="8137" w:val="left" w:leader="none"/>
        </w:tabs>
        <w:spacing w:line="240" w:lineRule="auto" w:before="28"/>
        <w:ind w:right="0"/>
        <w:jc w:val="left"/>
      </w:pPr>
      <w:r>
        <w:rPr>
          <w:spacing w:val="-2"/>
        </w:rPr>
        <w:t>组合中，采用余额百分比法计提坏账准备的：</w:t>
        <w:tab/>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spacing w:val="-1"/>
        </w:rPr>
        <w:t>不适用</w:t>
      </w:r>
    </w:p>
    <w:p>
      <w:pPr>
        <w:pStyle w:val="BodyText"/>
        <w:tabs>
          <w:tab w:pos="8137" w:val="left" w:leader="none"/>
        </w:tabs>
        <w:spacing w:line="240" w:lineRule="auto" w:before="59"/>
        <w:ind w:right="0"/>
        <w:jc w:val="left"/>
      </w:pPr>
      <w:r>
        <w:rPr>
          <w:spacing w:val="-2"/>
        </w:rPr>
        <w:t>组合中，采用其他方法计提坏账准备的：</w:t>
        <w:tab/>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spacing w:val="-1"/>
        </w:rPr>
        <w:t>不适用</w:t>
      </w:r>
    </w:p>
    <w:p>
      <w:pPr>
        <w:spacing w:after="0" w:line="240" w:lineRule="auto"/>
        <w:jc w:val="left"/>
        <w:sectPr>
          <w:pgSz w:w="11910" w:h="16840"/>
          <w:pgMar w:header="877" w:footer="979" w:top="1100" w:bottom="1160" w:left="980" w:right="980"/>
        </w:sectPr>
      </w:pPr>
    </w:p>
    <w:p>
      <w:pPr>
        <w:spacing w:line="240" w:lineRule="auto" w:before="11"/>
        <w:rPr>
          <w:rFonts w:ascii="宋体" w:hAnsi="宋体" w:cs="宋体" w:eastAsia="宋体" w:hint="default"/>
          <w:sz w:val="20"/>
          <w:szCs w:val="20"/>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976"/>
        <w:gridCol w:w="6594"/>
      </w:tblGrid>
      <w:tr>
        <w:trPr>
          <w:trHeight w:val="713" w:hRule="exact"/>
        </w:trPr>
        <w:tc>
          <w:tcPr>
            <w:tcW w:w="2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6594"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26" w:right="38"/>
              <w:jc w:val="left"/>
              <w:rPr>
                <w:rFonts w:ascii="宋体" w:hAnsi="宋体" w:cs="宋体" w:eastAsia="宋体" w:hint="default"/>
                <w:sz w:val="21"/>
                <w:szCs w:val="21"/>
              </w:rPr>
            </w:pPr>
            <w:r>
              <w:rPr>
                <w:rFonts w:ascii="宋体" w:hAnsi="宋体" w:cs="宋体" w:eastAsia="宋体" w:hint="default"/>
                <w:spacing w:val="-2"/>
                <w:sz w:val="21"/>
                <w:szCs w:val="21"/>
              </w:rPr>
              <w:t>对单项金额虽不重大，但已有客观证据表明其发生了减值的应收款项，</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按账龄分析法计提的坏账准备不能反映实际情况。</w:t>
            </w:r>
          </w:p>
        </w:tc>
      </w:tr>
      <w:tr>
        <w:trPr>
          <w:trHeight w:val="403" w:hRule="exact"/>
        </w:trPr>
        <w:tc>
          <w:tcPr>
            <w:tcW w:w="2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6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单独进行减值测试，结合现时情况分析法确定坏账准备计提的比例。</w:t>
            </w:r>
          </w:p>
        </w:tc>
      </w:tr>
    </w:tbl>
    <w:p>
      <w:pPr>
        <w:spacing w:line="240" w:lineRule="auto" w:before="3"/>
        <w:rPr>
          <w:rFonts w:ascii="宋体" w:hAnsi="宋体" w:cs="宋体" w:eastAsia="宋体" w:hint="default"/>
          <w:b/>
          <w:bCs/>
          <w:sz w:val="19"/>
          <w:szCs w:val="19"/>
        </w:rPr>
      </w:pPr>
    </w:p>
    <w:p>
      <w:pPr>
        <w:pStyle w:val="Heading4"/>
        <w:spacing w:line="240" w:lineRule="auto" w:before="36"/>
        <w:ind w:right="0"/>
        <w:jc w:val="both"/>
        <w:rPr>
          <w:b w:val="0"/>
          <w:bCs w:val="0"/>
        </w:rPr>
      </w:pPr>
      <w:r>
        <w:rPr>
          <w:rFonts w:ascii="Times New Roman" w:hAnsi="Times New Roman" w:cs="Times New Roman" w:eastAsia="Times New Roman" w:hint="default"/>
        </w:rPr>
        <w:t>12</w:t>
      </w:r>
      <w:r>
        <w:rPr/>
        <w:t>、存货</w:t>
      </w:r>
      <w:r>
        <w:rPr>
          <w:b w:val="0"/>
          <w:bCs w:val="0"/>
        </w:rPr>
      </w:r>
    </w:p>
    <w:p>
      <w:pPr>
        <w:spacing w:line="240" w:lineRule="auto" w:before="7"/>
        <w:rPr>
          <w:rFonts w:ascii="宋体" w:hAnsi="宋体" w:cs="宋体" w:eastAsia="宋体" w:hint="default"/>
          <w:b/>
          <w:bCs/>
          <w:sz w:val="24"/>
          <w:szCs w:val="24"/>
        </w:rPr>
      </w:pPr>
    </w:p>
    <w:p>
      <w:pPr>
        <w:pStyle w:val="BodyText"/>
        <w:spacing w:line="256" w:lineRule="auto"/>
        <w:ind w:left="573" w:right="0"/>
        <w:jc w:val="left"/>
      </w:pPr>
      <w:r>
        <w:rPr/>
        <w:t>（</w:t>
      </w:r>
      <w:r>
        <w:rPr>
          <w:rFonts w:ascii="Times New Roman" w:hAnsi="Times New Roman" w:cs="Times New Roman" w:eastAsia="Times New Roman" w:hint="default"/>
        </w:rPr>
        <w:t>1</w:t>
      </w:r>
      <w:r>
        <w:rPr/>
        <w:t>）存货的分类</w:t>
      </w:r>
      <w:r>
        <w:rPr>
          <w:w w:val="100"/>
        </w:rPr>
        <w:t> </w:t>
      </w:r>
      <w:r>
        <w:rPr>
          <w:spacing w:val="-2"/>
        </w:rPr>
        <w:t>存货分类为：原材料、包装物、低值易耗品、半成品、在产品、产成品、委托加工物资等。</w:t>
      </w:r>
    </w:p>
    <w:p>
      <w:pPr>
        <w:pStyle w:val="BodyText"/>
        <w:spacing w:line="259" w:lineRule="auto" w:before="22"/>
        <w:ind w:left="573" w:right="5216"/>
        <w:jc w:val="left"/>
      </w:pPr>
      <w:r>
        <w:rPr/>
        <w:t>（</w:t>
      </w:r>
      <w:r>
        <w:rPr>
          <w:rFonts w:ascii="Times New Roman" w:hAnsi="Times New Roman" w:cs="Times New Roman" w:eastAsia="Times New Roman" w:hint="default"/>
        </w:rPr>
        <w:t>2</w:t>
      </w:r>
      <w:r>
        <w:rPr/>
        <w:t>）发出存货的计价方法</w:t>
      </w:r>
      <w:r>
        <w:rPr>
          <w:w w:val="100"/>
        </w:rPr>
        <w:t> </w:t>
      </w:r>
      <w:r>
        <w:rPr>
          <w:spacing w:val="-2"/>
        </w:rPr>
        <w:t>存货发出时按加权平均法计价。</w:t>
      </w:r>
    </w:p>
    <w:p>
      <w:pPr>
        <w:pStyle w:val="BodyText"/>
        <w:spacing w:line="256" w:lineRule="auto" w:before="20"/>
        <w:ind w:left="573" w:right="0"/>
        <w:jc w:val="left"/>
      </w:pPr>
      <w:r>
        <w:rPr/>
        <w:t>（</w:t>
      </w:r>
      <w:r>
        <w:rPr>
          <w:rFonts w:ascii="Times New Roman" w:hAnsi="Times New Roman" w:cs="Times New Roman" w:eastAsia="Times New Roman" w:hint="default"/>
        </w:rPr>
        <w:t>3</w:t>
      </w:r>
      <w:r>
        <w:rPr/>
        <w:t>）不同类别存货可变现净值的确定依据</w:t>
      </w:r>
      <w:r>
        <w:rPr>
          <w:w w:val="100"/>
        </w:rPr>
        <w:t> </w:t>
      </w:r>
      <w:r>
        <w:rPr>
          <w:spacing w:val="-2"/>
        </w:rPr>
        <w:t>产成品、库存商品和用于出售的材料等直接用于出售的商品存货，在正常生产经营过程中，以该存货</w:t>
      </w:r>
    </w:p>
    <w:p>
      <w:pPr>
        <w:pStyle w:val="BodyText"/>
        <w:spacing w:line="273" w:lineRule="auto" w:before="22"/>
        <w:ind w:right="146"/>
        <w:jc w:val="both"/>
      </w:pPr>
      <w:r>
        <w:rPr>
          <w:spacing w:val="-2"/>
        </w:rPr>
        <w:t>的估计售价减去估计的销售费用和相关税费后的金额，确定其可变现净值；需要经过加工的材料存货，在</w:t>
      </w:r>
      <w:r>
        <w:rPr>
          <w:spacing w:val="-43"/>
        </w:rPr>
        <w:t> </w:t>
      </w:r>
      <w:r>
        <w:rPr>
          <w:spacing w:val="-43"/>
        </w:rPr>
      </w:r>
      <w:r>
        <w:rPr>
          <w:spacing w:val="-2"/>
        </w:rPr>
        <w:t>正常生产经营过程中，以所生产的产成品的估计售价减去至完工时估计将要发生的成本、估计的销售费用</w:t>
      </w:r>
      <w:r>
        <w:rPr>
          <w:spacing w:val="-44"/>
        </w:rPr>
        <w:t> </w:t>
      </w:r>
      <w:r>
        <w:rPr>
          <w:spacing w:val="-44"/>
        </w:rPr>
      </w:r>
      <w:r>
        <w:rPr>
          <w:spacing w:val="-2"/>
        </w:rPr>
        <w:t>和相关税费后的金额，确定其可变现净值；为执行销售合同或者劳务合同而持有的存货，其可变现净值以</w:t>
      </w:r>
      <w:r>
        <w:rPr>
          <w:spacing w:val="-44"/>
        </w:rPr>
        <w:t> </w:t>
      </w:r>
      <w:r>
        <w:rPr>
          <w:spacing w:val="-44"/>
        </w:rPr>
      </w:r>
      <w:r>
        <w:rPr>
          <w:spacing w:val="-2"/>
        </w:rPr>
        <w:t>合同价格为基础计算，若持有存货的数量多于销售合同订购数量的，超出部分的存货的可变现净值以一般</w:t>
      </w:r>
      <w:r>
        <w:rPr>
          <w:spacing w:val="-44"/>
        </w:rPr>
        <w:t> </w:t>
      </w:r>
      <w:r>
        <w:rPr>
          <w:spacing w:val="-44"/>
        </w:rPr>
      </w:r>
      <w:r>
        <w:rPr/>
        <w:t>销售价格为基础计算。</w:t>
      </w:r>
    </w:p>
    <w:p>
      <w:pPr>
        <w:pStyle w:val="BodyText"/>
        <w:spacing w:line="273" w:lineRule="auto" w:before="7"/>
        <w:ind w:right="146" w:firstLine="420"/>
        <w:jc w:val="both"/>
      </w:pPr>
      <w:r>
        <w:rPr>
          <w:spacing w:val="-2"/>
        </w:rPr>
        <w:t>期末按照单个存货项目计提存货跌价准备；但对于数量繁多、单价较低的存货，按照存货类别计提存</w:t>
      </w:r>
      <w:r>
        <w:rPr>
          <w:w w:val="100"/>
        </w:rPr>
        <w:t> </w:t>
      </w:r>
      <w:r>
        <w:rPr>
          <w:spacing w:val="-2"/>
        </w:rPr>
        <w:t>货跌价准备；与在同一地区生产和销售的产品系列相关、具有相同或类似最终用途或目的，且难以与其他</w:t>
      </w:r>
      <w:r>
        <w:rPr>
          <w:spacing w:val="-44"/>
        </w:rPr>
        <w:t> </w:t>
      </w:r>
      <w:r>
        <w:rPr>
          <w:spacing w:val="-44"/>
        </w:rPr>
      </w:r>
      <w:r>
        <w:rPr/>
        <w:t>项目分开计量的存货，则合并计提存货跌价准备。</w:t>
      </w:r>
    </w:p>
    <w:p>
      <w:pPr>
        <w:pStyle w:val="BodyText"/>
        <w:spacing w:line="273" w:lineRule="auto" w:before="8"/>
        <w:ind w:right="146" w:firstLine="420"/>
        <w:jc w:val="both"/>
      </w:pPr>
      <w:r>
        <w:rPr>
          <w:spacing w:val="-2"/>
        </w:rPr>
        <w:t>以前减记存货价值的影响因素已经消失的，减记的金额予以恢复，并在原已计提的存货跌价准备金额</w:t>
      </w:r>
      <w:r>
        <w:rPr>
          <w:w w:val="100"/>
        </w:rPr>
        <w:t> </w:t>
      </w:r>
      <w:r>
        <w:rPr/>
        <w:t>内转回，转回的金额计入当期损益。</w:t>
      </w:r>
    </w:p>
    <w:p>
      <w:pPr>
        <w:pStyle w:val="BodyText"/>
        <w:spacing w:line="273" w:lineRule="auto" w:before="7"/>
        <w:ind w:right="146" w:firstLine="420"/>
        <w:jc w:val="both"/>
      </w:pPr>
      <w:r>
        <w:rPr>
          <w:spacing w:val="-2"/>
        </w:rPr>
        <w:t>除有明确证据表明资产负债表日市场价格异常外，存货项目的可变现净值以资产负债表日市场价格为</w:t>
      </w:r>
      <w:r>
        <w:rPr>
          <w:w w:val="100"/>
        </w:rPr>
        <w:t> </w:t>
      </w:r>
      <w:r>
        <w:rPr/>
        <w:t>基础确定。</w:t>
      </w:r>
    </w:p>
    <w:p>
      <w:pPr>
        <w:pStyle w:val="BodyText"/>
        <w:spacing w:line="240" w:lineRule="auto" w:before="7"/>
        <w:ind w:left="573" w:right="0"/>
        <w:jc w:val="left"/>
      </w:pPr>
      <w:r>
        <w:rPr/>
        <w:t>本期期末存货项目的可变现净值以资产负债表日市场价格为基础确定。</w:t>
      </w:r>
    </w:p>
    <w:p>
      <w:pPr>
        <w:pStyle w:val="BodyText"/>
        <w:spacing w:line="256" w:lineRule="auto" w:before="37"/>
        <w:ind w:left="573" w:right="5816"/>
        <w:jc w:val="left"/>
      </w:pPr>
      <w:r>
        <w:rPr>
          <w:spacing w:val="-2"/>
        </w:rPr>
        <w:t>（</w:t>
      </w:r>
      <w:r>
        <w:rPr>
          <w:rFonts w:ascii="Times New Roman" w:hAnsi="Times New Roman" w:cs="Times New Roman" w:eastAsia="Times New Roman" w:hint="default"/>
          <w:spacing w:val="-2"/>
        </w:rPr>
        <w:t>4</w:t>
      </w:r>
      <w:r>
        <w:rPr>
          <w:spacing w:val="-2"/>
        </w:rPr>
        <w:t>）存货的盘存制度</w:t>
      </w:r>
      <w:r>
        <w:rPr>
          <w:spacing w:val="-86"/>
        </w:rPr>
        <w:t> </w:t>
      </w:r>
      <w:r>
        <w:rPr>
          <w:spacing w:val="-86"/>
        </w:rPr>
      </w:r>
      <w:r>
        <w:rPr/>
        <w:t>采用永续盘存制。</w:t>
      </w:r>
    </w:p>
    <w:p>
      <w:pPr>
        <w:pStyle w:val="BodyText"/>
        <w:spacing w:line="256" w:lineRule="auto" w:before="22"/>
        <w:ind w:left="573" w:right="5216"/>
        <w:jc w:val="left"/>
      </w:pPr>
      <w:r>
        <w:rPr>
          <w:spacing w:val="-2"/>
        </w:rPr>
        <w:t>（</w:t>
      </w:r>
      <w:r>
        <w:rPr>
          <w:rFonts w:ascii="Times New Roman" w:hAnsi="Times New Roman" w:cs="Times New Roman" w:eastAsia="Times New Roman" w:hint="default"/>
          <w:spacing w:val="-2"/>
        </w:rPr>
        <w:t>5</w:t>
      </w:r>
      <w:r>
        <w:rPr>
          <w:spacing w:val="-2"/>
        </w:rPr>
        <w:t>）低值易耗品和包装物的摊销方法</w:t>
      </w:r>
      <w:r>
        <w:rPr>
          <w:spacing w:val="-73"/>
        </w:rPr>
        <w:t> </w:t>
      </w:r>
      <w:r>
        <w:rPr>
          <w:spacing w:val="-73"/>
        </w:rPr>
      </w:r>
      <w:r>
        <w:rPr/>
        <w:t>一次转销法。</w:t>
      </w:r>
    </w:p>
    <w:p>
      <w:pPr>
        <w:spacing w:line="240" w:lineRule="auto" w:before="8"/>
        <w:rPr>
          <w:rFonts w:ascii="宋体" w:hAnsi="宋体" w:cs="宋体" w:eastAsia="宋体" w:hint="default"/>
          <w:sz w:val="24"/>
          <w:szCs w:val="24"/>
        </w:rPr>
      </w:pPr>
    </w:p>
    <w:p>
      <w:pPr>
        <w:spacing w:line="508" w:lineRule="auto" w:before="0"/>
        <w:ind w:left="573" w:right="5216"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13</w:t>
      </w:r>
      <w:r>
        <w:rPr>
          <w:rFonts w:ascii="宋体" w:hAnsi="宋体" w:cs="宋体" w:eastAsia="宋体" w:hint="default"/>
          <w:b/>
          <w:bCs/>
          <w:sz w:val="21"/>
          <w:szCs w:val="21"/>
        </w:rPr>
        <w:t>、划分为持有待售资产</w:t>
      </w:r>
      <w:r>
        <w:rPr>
          <w:rFonts w:ascii="宋体" w:hAnsi="宋体" w:cs="宋体" w:eastAsia="宋体" w:hint="default"/>
          <w:b/>
          <w:bCs/>
          <w:spacing w:val="-103"/>
          <w:sz w:val="21"/>
          <w:szCs w:val="21"/>
        </w:rPr>
        <w:t> </w:t>
      </w:r>
      <w:r>
        <w:rPr>
          <w:rFonts w:ascii="宋体" w:hAnsi="宋体" w:cs="宋体" w:eastAsia="宋体" w:hint="default"/>
          <w:spacing w:val="-2"/>
          <w:sz w:val="21"/>
          <w:szCs w:val="21"/>
        </w:rPr>
        <w:t>本报告期未发生持有待售资产事项。</w:t>
      </w:r>
    </w:p>
    <w:p>
      <w:pPr>
        <w:pStyle w:val="Heading4"/>
        <w:spacing w:line="240" w:lineRule="auto" w:before="102"/>
        <w:ind w:right="0"/>
        <w:jc w:val="both"/>
        <w:rPr>
          <w:b w:val="0"/>
          <w:bCs w:val="0"/>
        </w:rPr>
      </w:pPr>
      <w:r>
        <w:rPr>
          <w:rFonts w:ascii="Times New Roman" w:hAnsi="Times New Roman" w:cs="Times New Roman" w:eastAsia="Times New Roman" w:hint="default"/>
        </w:rPr>
        <w:t>14</w:t>
      </w:r>
      <w:r>
        <w:rPr/>
        <w:t>、长期股权投资</w:t>
      </w:r>
      <w:r>
        <w:rPr>
          <w:b w:val="0"/>
          <w:bCs w:val="0"/>
        </w:rPr>
      </w:r>
    </w:p>
    <w:p>
      <w:pPr>
        <w:spacing w:line="240" w:lineRule="auto" w:before="7"/>
        <w:rPr>
          <w:rFonts w:ascii="宋体" w:hAnsi="宋体" w:cs="宋体" w:eastAsia="宋体" w:hint="default"/>
          <w:b/>
          <w:bCs/>
          <w:sz w:val="24"/>
          <w:szCs w:val="24"/>
        </w:rPr>
      </w:pPr>
    </w:p>
    <w:p>
      <w:pPr>
        <w:pStyle w:val="BodyText"/>
        <w:spacing w:line="256" w:lineRule="auto"/>
        <w:ind w:left="573" w:right="0"/>
        <w:jc w:val="left"/>
      </w:pPr>
      <w:r>
        <w:rPr/>
        <w:t>（</w:t>
      </w:r>
      <w:r>
        <w:rPr>
          <w:rFonts w:ascii="Times New Roman" w:hAnsi="Times New Roman" w:cs="Times New Roman" w:eastAsia="Times New Roman" w:hint="default"/>
        </w:rPr>
        <w:t>1</w:t>
      </w:r>
      <w:r>
        <w:rPr/>
        <w:t>）共同控制、重大影响的判断标准</w:t>
      </w:r>
      <w:r>
        <w:rPr>
          <w:w w:val="100"/>
        </w:rPr>
        <w:t> </w:t>
      </w:r>
      <w:r>
        <w:rPr>
          <w:spacing w:val="-2"/>
        </w:rPr>
        <w:t>共同控制，是指按照相关约定对某项安排所共有的控制，并且该安排的相关活动必须经过分享控制权</w:t>
      </w:r>
    </w:p>
    <w:p>
      <w:pPr>
        <w:pStyle w:val="BodyText"/>
        <w:spacing w:line="273" w:lineRule="auto" w:before="22"/>
        <w:ind w:right="146"/>
        <w:jc w:val="both"/>
      </w:pPr>
      <w:r>
        <w:rPr>
          <w:spacing w:val="-2"/>
        </w:rPr>
        <w:t>的参与方一致同意后才能决策。本公司与其他合营方一同对被投资单位实施共同控制且对被投资单位净资</w:t>
      </w:r>
      <w:r>
        <w:rPr>
          <w:spacing w:val="-43"/>
        </w:rPr>
        <w:t> </w:t>
      </w:r>
      <w:r>
        <w:rPr>
          <w:spacing w:val="-43"/>
        </w:rPr>
      </w:r>
      <w:r>
        <w:rPr/>
        <w:t>产享有权利的，被投资单位为本公司的合营企业。</w:t>
      </w:r>
    </w:p>
    <w:p>
      <w:pPr>
        <w:pStyle w:val="BodyText"/>
        <w:spacing w:line="273" w:lineRule="auto" w:before="7"/>
        <w:ind w:right="146" w:firstLine="420"/>
        <w:jc w:val="both"/>
      </w:pPr>
      <w:r>
        <w:rPr>
          <w:spacing w:val="-2"/>
        </w:rPr>
        <w:t>重大影响，是指对一个企业的财务和经营决策有参与决策的权力，但并不能够控制或者与其他方一起</w:t>
      </w:r>
      <w:r>
        <w:rPr>
          <w:w w:val="100"/>
        </w:rPr>
        <w:t> </w:t>
      </w:r>
      <w:r>
        <w:rPr/>
        <w:t>共同控制这些政策的制定。本公司能够对被投资单位施加重大影响的，被投资单位为本公司联营企业。</w:t>
      </w:r>
    </w:p>
    <w:p>
      <w:pPr>
        <w:spacing w:after="0" w:line="273" w:lineRule="auto"/>
        <w:jc w:val="both"/>
        <w:sectPr>
          <w:pgSz w:w="11910" w:h="16840"/>
          <w:pgMar w:header="877" w:footer="979" w:top="1100" w:bottom="1160" w:left="980" w:right="980"/>
        </w:sectPr>
      </w:pPr>
    </w:p>
    <w:p>
      <w:pPr>
        <w:spacing w:line="240" w:lineRule="auto" w:before="11"/>
        <w:rPr>
          <w:rFonts w:ascii="宋体" w:hAnsi="宋体" w:cs="宋体" w:eastAsia="宋体" w:hint="default"/>
          <w:sz w:val="20"/>
          <w:szCs w:val="20"/>
        </w:rPr>
      </w:pPr>
    </w:p>
    <w:p>
      <w:pPr>
        <w:pStyle w:val="BodyText"/>
        <w:spacing w:line="240" w:lineRule="auto" w:before="36"/>
        <w:ind w:left="573" w:right="0"/>
        <w:jc w:val="left"/>
      </w:pPr>
      <w:r>
        <w:rPr/>
        <w:t>（</w:t>
      </w:r>
      <w:r>
        <w:rPr>
          <w:rFonts w:ascii="Times New Roman" w:hAnsi="Times New Roman" w:cs="Times New Roman" w:eastAsia="Times New Roman" w:hint="default"/>
        </w:rPr>
        <w:t>2</w:t>
      </w:r>
      <w:r>
        <w:rPr/>
        <w:t>）初始投资成本的确定</w:t>
      </w:r>
    </w:p>
    <w:p>
      <w:pPr>
        <w:pStyle w:val="BodyText"/>
        <w:spacing w:line="256" w:lineRule="auto" w:before="21"/>
        <w:ind w:left="573" w:right="0"/>
        <w:jc w:val="left"/>
      </w:pPr>
      <w:r>
        <w:rPr>
          <w:rFonts w:ascii="Times New Roman" w:hAnsi="Times New Roman" w:cs="Times New Roman" w:eastAsia="Times New Roman" w:hint="default"/>
        </w:rPr>
        <w:t>1</w:t>
      </w:r>
      <w:r>
        <w:rPr/>
        <w:t>）企业合并形成的长期股权投资</w:t>
      </w:r>
      <w:r>
        <w:rPr>
          <w:w w:val="100"/>
        </w:rPr>
        <w:t> </w:t>
      </w:r>
      <w:r>
        <w:rPr>
          <w:spacing w:val="-2"/>
        </w:rPr>
        <w:t>同一控制下的企业合并：公司以支付现金、转让非现金资产或承担债务方式以及以发行权益性证券作</w:t>
      </w:r>
    </w:p>
    <w:p>
      <w:pPr>
        <w:pStyle w:val="BodyText"/>
        <w:spacing w:line="273" w:lineRule="auto" w:before="22"/>
        <w:ind w:right="146"/>
        <w:jc w:val="both"/>
      </w:pPr>
      <w:r>
        <w:rPr>
          <w:spacing w:val="-2"/>
        </w:rPr>
        <w:t>为合并对价的，在合并日按照取得被合并方所有者权益在最终控制方合并财务报表中的账面价值的份额作</w:t>
      </w:r>
      <w:r>
        <w:rPr>
          <w:spacing w:val="-43"/>
        </w:rPr>
        <w:t> </w:t>
      </w:r>
      <w:r>
        <w:rPr>
          <w:spacing w:val="-43"/>
        </w:rPr>
      </w:r>
      <w:r>
        <w:rPr>
          <w:spacing w:val="-2"/>
        </w:rPr>
        <w:t>为长期股权投资的初始投资成本。因追加投资等原因能够对同一控制下的被投资单位实施控制的，在合并</w:t>
      </w:r>
      <w:r>
        <w:rPr>
          <w:spacing w:val="-44"/>
        </w:rPr>
        <w:t> </w:t>
      </w:r>
      <w:r>
        <w:rPr>
          <w:spacing w:val="-44"/>
        </w:rPr>
      </w:r>
      <w:r>
        <w:rPr>
          <w:spacing w:val="-2"/>
        </w:rPr>
        <w:t>日根据合并后应享有被合并方净资产在最终控制方合并财务报表中的账面价值的份额，确定长期股权投资</w:t>
      </w:r>
      <w:r>
        <w:rPr>
          <w:spacing w:val="-43"/>
        </w:rPr>
        <w:t> </w:t>
      </w:r>
      <w:r>
        <w:rPr>
          <w:spacing w:val="-43"/>
        </w:rPr>
      </w:r>
      <w:r>
        <w:rPr>
          <w:spacing w:val="-2"/>
        </w:rPr>
        <w:t>的初始投资成本。合并日长期股权投资的初始投资成本，与达到合并前的长期股权投资账面价值加上合并</w:t>
      </w:r>
      <w:r>
        <w:rPr>
          <w:spacing w:val="-43"/>
        </w:rPr>
        <w:t> </w:t>
      </w:r>
      <w:r>
        <w:rPr>
          <w:spacing w:val="-43"/>
        </w:rPr>
      </w:r>
      <w:r>
        <w:rPr>
          <w:spacing w:val="-2"/>
        </w:rPr>
        <w:t>日进一步取得股份新支付对价的账面价值之和的差额，调整股本溢价，股本溢价不足冲减的，冲减留存收</w:t>
      </w:r>
      <w:r>
        <w:rPr>
          <w:spacing w:val="-44"/>
        </w:rPr>
        <w:t> </w:t>
      </w:r>
      <w:r>
        <w:rPr>
          <w:spacing w:val="-44"/>
        </w:rPr>
      </w:r>
      <w:r>
        <w:rPr/>
        <w:t>益。</w:t>
      </w:r>
    </w:p>
    <w:p>
      <w:pPr>
        <w:pStyle w:val="BodyText"/>
        <w:spacing w:line="273" w:lineRule="auto" w:before="7"/>
        <w:ind w:right="146" w:firstLine="420"/>
        <w:jc w:val="both"/>
      </w:pPr>
      <w:r>
        <w:rPr>
          <w:spacing w:val="-2"/>
        </w:rPr>
        <w:t>非同一控制下的企业合并：公司按照购买日确定的合并成本作为长期股权投资的初始投资成本。因追</w:t>
      </w:r>
      <w:r>
        <w:rPr>
          <w:w w:val="100"/>
        </w:rPr>
        <w:t> </w:t>
      </w:r>
      <w:r>
        <w:rPr>
          <w:spacing w:val="-2"/>
        </w:rPr>
        <w:t>加投资等原因能够对非同一控制下的被投资单位实施控制的，按照原持有的股权投资账面价值加上新增投</w:t>
      </w:r>
      <w:r>
        <w:rPr>
          <w:spacing w:val="-43"/>
        </w:rPr>
        <w:t> </w:t>
      </w:r>
      <w:r>
        <w:rPr>
          <w:spacing w:val="-43"/>
        </w:rPr>
      </w:r>
      <w:r>
        <w:rPr/>
        <w:t>资成本之和，作为改按成本法核算的初始投资成本。</w:t>
      </w:r>
    </w:p>
    <w:p>
      <w:pPr>
        <w:pStyle w:val="BodyText"/>
        <w:spacing w:line="266" w:lineRule="auto" w:before="8"/>
        <w:ind w:left="573" w:right="0"/>
        <w:jc w:val="left"/>
      </w:pPr>
      <w:r>
        <w:rPr>
          <w:rFonts w:ascii="Times New Roman" w:hAnsi="Times New Roman" w:cs="Times New Roman" w:eastAsia="Times New Roman" w:hint="default"/>
        </w:rPr>
        <w:t>2</w:t>
      </w:r>
      <w:r>
        <w:rPr/>
        <w:t>）其他方式取得的长期股权投资</w:t>
      </w:r>
      <w:r>
        <w:rPr>
          <w:w w:val="100"/>
        </w:rPr>
        <w:t> </w:t>
      </w:r>
      <w:r>
        <w:rPr/>
        <w:t>以支付现金方式取得的长期股权投资，按照实际支付的购买价款作为初始投资成本。</w:t>
      </w:r>
      <w:r>
        <w:rPr>
          <w:w w:val="100"/>
        </w:rPr>
        <w:t> </w:t>
      </w:r>
      <w:r>
        <w:rPr/>
        <w:t>以发行权益性证券取得的长期股权投资，按照发行权益性证券的公允价值作为初始投资成本。</w:t>
      </w:r>
      <w:r>
        <w:rPr>
          <w:w w:val="100"/>
        </w:rPr>
        <w:t> </w:t>
      </w:r>
      <w:r>
        <w:rPr>
          <w:spacing w:val="-2"/>
        </w:rPr>
        <w:t>在非货币性资产交换具备商业实质和换入资产或换出资产的公允价值能够可靠计量的前提下，非货币</w:t>
      </w:r>
    </w:p>
    <w:p>
      <w:pPr>
        <w:pStyle w:val="BodyText"/>
        <w:spacing w:line="273" w:lineRule="auto" w:before="14"/>
        <w:ind w:right="146"/>
        <w:jc w:val="both"/>
      </w:pPr>
      <w:r>
        <w:rPr>
          <w:spacing w:val="-2"/>
        </w:rPr>
        <w:t>性资产交换换入的长期股权投资以换出资产的公允价值和应支付的相关税费确定其初始投资成本，除非有</w:t>
      </w:r>
      <w:r>
        <w:rPr>
          <w:spacing w:val="-43"/>
        </w:rPr>
        <w:t> </w:t>
      </w:r>
      <w:r>
        <w:rPr>
          <w:spacing w:val="-43"/>
        </w:rPr>
      </w:r>
      <w:r>
        <w:rPr>
          <w:spacing w:val="-2"/>
        </w:rPr>
        <w:t>确凿证据表明换入资产的公允价值更加可靠；不满足上述前提的非货币性资产交换，以换出资产的账面价</w:t>
      </w:r>
      <w:r>
        <w:rPr>
          <w:spacing w:val="-43"/>
        </w:rPr>
        <w:t> </w:t>
      </w:r>
      <w:r>
        <w:rPr>
          <w:spacing w:val="-43"/>
        </w:rPr>
      </w:r>
      <w:r>
        <w:rPr/>
        <w:t>值和应支付的相关税费作为换入长期股权投资的初始投资成本。</w:t>
      </w:r>
    </w:p>
    <w:p>
      <w:pPr>
        <w:pStyle w:val="BodyText"/>
        <w:spacing w:line="240" w:lineRule="auto" w:before="7"/>
        <w:ind w:left="573" w:right="0"/>
        <w:jc w:val="left"/>
      </w:pPr>
      <w:r>
        <w:rPr/>
        <w:t>通过债务重组取得的长期股权投资，其初始投资成本按照公允价值为基础确定。</w:t>
      </w:r>
    </w:p>
    <w:p>
      <w:pPr>
        <w:pStyle w:val="BodyText"/>
        <w:spacing w:line="240" w:lineRule="auto" w:before="37"/>
        <w:ind w:left="573" w:right="0"/>
        <w:jc w:val="left"/>
      </w:pPr>
      <w:r>
        <w:rPr/>
        <w:t>（</w:t>
      </w:r>
      <w:r>
        <w:rPr>
          <w:rFonts w:ascii="Times New Roman" w:hAnsi="Times New Roman" w:cs="Times New Roman" w:eastAsia="Times New Roman" w:hint="default"/>
        </w:rPr>
        <w:t>3</w:t>
      </w:r>
      <w:r>
        <w:rPr/>
        <w:t>）后续计量及损益确认方法</w:t>
      </w:r>
    </w:p>
    <w:p>
      <w:pPr>
        <w:pStyle w:val="BodyText"/>
        <w:spacing w:line="256" w:lineRule="auto" w:before="21"/>
        <w:ind w:left="573" w:right="0"/>
        <w:jc w:val="left"/>
      </w:pPr>
      <w:r>
        <w:rPr>
          <w:rFonts w:ascii="Times New Roman" w:hAnsi="Times New Roman" w:cs="Times New Roman" w:eastAsia="Times New Roman" w:hint="default"/>
        </w:rPr>
        <w:t>1</w:t>
      </w:r>
      <w:r>
        <w:rPr/>
        <w:t>）成本法核算的长期股权投资</w:t>
      </w:r>
      <w:r>
        <w:rPr>
          <w:w w:val="100"/>
        </w:rPr>
        <w:t> </w:t>
      </w:r>
      <w:r>
        <w:rPr>
          <w:spacing w:val="-2"/>
        </w:rPr>
        <w:t>公司对子公司的长期股权投资，采用成本法核算。除取得投资时实际支付的价款或对价中包含的已宣</w:t>
      </w:r>
    </w:p>
    <w:p>
      <w:pPr>
        <w:pStyle w:val="BodyText"/>
        <w:spacing w:line="273" w:lineRule="auto" w:before="23"/>
        <w:ind w:right="146"/>
        <w:jc w:val="both"/>
      </w:pPr>
      <w:r>
        <w:rPr>
          <w:spacing w:val="-2"/>
        </w:rPr>
        <w:t>告但尚未发放的现金股利或利润外，公司按照享有被投资单位宣告发放的现金股利或利润确认当期投资收</w:t>
      </w:r>
      <w:r>
        <w:rPr>
          <w:spacing w:val="-43"/>
        </w:rPr>
        <w:t> </w:t>
      </w:r>
      <w:r>
        <w:rPr>
          <w:spacing w:val="-43"/>
        </w:rPr>
      </w:r>
      <w:r>
        <w:rPr/>
        <w:t>益。</w:t>
      </w:r>
    </w:p>
    <w:p>
      <w:pPr>
        <w:pStyle w:val="BodyText"/>
        <w:spacing w:line="256" w:lineRule="auto" w:before="7"/>
        <w:ind w:left="573" w:right="0"/>
        <w:jc w:val="left"/>
      </w:pPr>
      <w:r>
        <w:rPr>
          <w:rFonts w:ascii="Times New Roman" w:hAnsi="Times New Roman" w:cs="Times New Roman" w:eastAsia="Times New Roman" w:hint="default"/>
        </w:rPr>
        <w:t>2</w:t>
      </w:r>
      <w:r>
        <w:rPr/>
        <w:t>）权益法核算的长期股权投资</w:t>
      </w:r>
      <w:r>
        <w:rPr>
          <w:w w:val="100"/>
        </w:rPr>
        <w:t> </w:t>
      </w:r>
      <w:r>
        <w:rPr>
          <w:spacing w:val="-2"/>
        </w:rPr>
        <w:t>对联营企业和合营企业的长期股权投资，采用权益法核算。初始投资成本大于投资时应享有被投资单</w:t>
      </w:r>
    </w:p>
    <w:p>
      <w:pPr>
        <w:pStyle w:val="BodyText"/>
        <w:spacing w:line="273" w:lineRule="auto" w:before="22"/>
        <w:ind w:right="146"/>
        <w:jc w:val="both"/>
      </w:pPr>
      <w:r>
        <w:rPr>
          <w:spacing w:val="-2"/>
        </w:rPr>
        <w:t>位可辨认净资产公允价值份额的差额，不调整长期股权投资的初始投资成本；初始投资成本小于投资时应</w:t>
      </w:r>
      <w:r>
        <w:rPr>
          <w:spacing w:val="-44"/>
        </w:rPr>
        <w:t> </w:t>
      </w:r>
      <w:r>
        <w:rPr>
          <w:spacing w:val="-44"/>
        </w:rPr>
      </w:r>
      <w:r>
        <w:rPr/>
        <w:t>享有被投资单位可辨认净资产公允价值份额的差额，计入当期损益。</w:t>
      </w:r>
    </w:p>
    <w:p>
      <w:pPr>
        <w:pStyle w:val="BodyText"/>
        <w:spacing w:line="273" w:lineRule="auto" w:before="7"/>
        <w:ind w:right="146" w:firstLine="420"/>
        <w:jc w:val="both"/>
      </w:pPr>
      <w:r>
        <w:rPr>
          <w:spacing w:val="-2"/>
        </w:rPr>
        <w:t>公司按照应享有或应分担的被投资单位实现的净损益和其他综合收益的份额，分别确认投资收益和其</w:t>
      </w:r>
      <w:r>
        <w:rPr>
          <w:w w:val="100"/>
        </w:rPr>
        <w:t> </w:t>
      </w:r>
      <w:r>
        <w:rPr>
          <w:spacing w:val="-2"/>
        </w:rPr>
        <w:t>他综合收益，同时调整长期股权投资的账面价值；按照被投资单位宣告分派的利润或现金股利计算应享有</w:t>
      </w:r>
      <w:r>
        <w:rPr>
          <w:spacing w:val="-43"/>
        </w:rPr>
        <w:t> </w:t>
      </w:r>
      <w:r>
        <w:rPr>
          <w:spacing w:val="-43"/>
        </w:rPr>
      </w:r>
      <w:r>
        <w:rPr>
          <w:spacing w:val="-2"/>
        </w:rPr>
        <w:t>的部分，相应减少长期股权投资的账面价值；对于被投资单位除净损益、其他综合收益和利润分配以外所</w:t>
      </w:r>
      <w:r>
        <w:rPr>
          <w:spacing w:val="-43"/>
        </w:rPr>
        <w:t> </w:t>
      </w:r>
      <w:r>
        <w:rPr>
          <w:spacing w:val="-43"/>
        </w:rPr>
      </w:r>
      <w:r>
        <w:rPr/>
        <w:t>有者权益的其他变动，调整长期股权投资的账面价值并计入所有者权益。</w:t>
      </w:r>
    </w:p>
    <w:p>
      <w:pPr>
        <w:pStyle w:val="BodyText"/>
        <w:spacing w:line="273" w:lineRule="auto" w:before="7"/>
        <w:ind w:right="0" w:firstLine="420"/>
        <w:jc w:val="left"/>
      </w:pPr>
      <w:r>
        <w:rPr/>
        <w:t>在确认应享有被投资单位净损益的份额时，以取得投资时被投资单位可辨认净资产的公允价值为基</w:t>
      </w:r>
      <w:r>
        <w:rPr>
          <w:w w:val="100"/>
        </w:rPr>
        <w:t> </w:t>
      </w:r>
      <w:r>
        <w:rPr>
          <w:spacing w:val="-2"/>
        </w:rPr>
        <w:t>础，并按照公司的会计政策及会计期间，对被投资单位的净利润进行调整后确认。在持有投资期间，被投</w:t>
      </w:r>
      <w:r>
        <w:rPr>
          <w:spacing w:val="-47"/>
        </w:rPr>
        <w:t> </w:t>
      </w:r>
      <w:r>
        <w:rPr>
          <w:spacing w:val="-47"/>
        </w:rPr>
      </w:r>
      <w:r>
        <w:rPr>
          <w:spacing w:val="-2"/>
        </w:rPr>
        <w:t>资单位编制合并财务报表的，以合并财务报表中的净利润、其他综合收益和其他所有者权益变动中归属于</w:t>
      </w:r>
      <w:r>
        <w:rPr>
          <w:spacing w:val="-43"/>
        </w:rPr>
        <w:t> </w:t>
      </w:r>
      <w:r>
        <w:rPr>
          <w:spacing w:val="-43"/>
        </w:rPr>
      </w:r>
      <w:r>
        <w:rPr/>
        <w:t>被投资单位的金额为基础进行核算。</w:t>
      </w:r>
    </w:p>
    <w:p>
      <w:pPr>
        <w:pStyle w:val="BodyText"/>
        <w:spacing w:line="268" w:lineRule="auto" w:before="7"/>
        <w:ind w:right="0" w:firstLine="420"/>
        <w:jc w:val="left"/>
      </w:pPr>
      <w:r>
        <w:rPr/>
        <w:t>公司与联营企业、合营企业之间发生的未实现内部交易损益按照应享有的比例计算归属于公司的部</w:t>
      </w:r>
      <w:r>
        <w:rPr>
          <w:w w:val="100"/>
        </w:rPr>
        <w:t> </w:t>
      </w:r>
      <w:r>
        <w:rPr>
          <w:spacing w:val="-2"/>
        </w:rPr>
        <w:t>分，予以抵销，在此基础上确认投资收益。与被投资单位发生的未实现内部交易损失，属于资产减值损失</w:t>
      </w:r>
      <w:r>
        <w:rPr>
          <w:spacing w:val="-47"/>
        </w:rPr>
        <w:t> </w:t>
      </w:r>
      <w:r>
        <w:rPr>
          <w:spacing w:val="-47"/>
        </w:rPr>
      </w:r>
      <w:r>
        <w:rPr>
          <w:spacing w:val="-2"/>
        </w:rPr>
        <w:t>的，全额确认。公司与联营企业、合营企业之间发生投出或出售资产的交易，该资产构成业务的，按照本</w:t>
      </w:r>
      <w:r>
        <w:rPr>
          <w:spacing w:val="-43"/>
        </w:rPr>
        <w:t> </w:t>
      </w:r>
      <w:r>
        <w:rPr>
          <w:spacing w:val="-43"/>
        </w:rPr>
      </w:r>
      <w:r>
        <w:rPr>
          <w:spacing w:val="-4"/>
        </w:rPr>
        <w:t>附注</w:t>
      </w:r>
      <w:r>
        <w:rPr>
          <w:rFonts w:ascii="Times New Roman" w:hAnsi="Times New Roman" w:cs="Times New Roman" w:eastAsia="Times New Roman" w:hint="default"/>
          <w:spacing w:val="-4"/>
        </w:rPr>
        <w:t>“</w:t>
      </w:r>
      <w:r>
        <w:rPr>
          <w:spacing w:val="-4"/>
        </w:rPr>
        <w:t>五、（五）同一控制下和非同一控制下企业合并的会计处理方法</w:t>
      </w:r>
      <w:r>
        <w:rPr>
          <w:rFonts w:ascii="Times New Roman" w:hAnsi="Times New Roman" w:cs="Times New Roman" w:eastAsia="Times New Roman" w:hint="default"/>
          <w:spacing w:val="-4"/>
        </w:rPr>
        <w:t>”</w:t>
      </w:r>
      <w:r>
        <w:rPr>
          <w:spacing w:val="-4"/>
        </w:rPr>
        <w:t>和</w:t>
      </w:r>
      <w:r>
        <w:rPr>
          <w:rFonts w:ascii="Times New Roman" w:hAnsi="Times New Roman" w:cs="Times New Roman" w:eastAsia="Times New Roman" w:hint="default"/>
          <w:spacing w:val="-4"/>
        </w:rPr>
        <w:t>“</w:t>
      </w:r>
      <w:r>
        <w:rPr>
          <w:spacing w:val="-4"/>
        </w:rPr>
        <w:t>五、（六）合并财务报表的编制</w:t>
      </w:r>
      <w:r>
        <w:rPr>
          <w:spacing w:val="-19"/>
        </w:rPr>
        <w:t> </w:t>
      </w:r>
      <w:r>
        <w:rPr>
          <w:spacing w:val="-19"/>
        </w:rPr>
      </w:r>
      <w:r>
        <w:rPr/>
        <w:t>方法</w:t>
      </w:r>
      <w:r>
        <w:rPr>
          <w:rFonts w:ascii="Times New Roman" w:hAnsi="Times New Roman" w:cs="Times New Roman" w:eastAsia="Times New Roman" w:hint="default"/>
        </w:rPr>
        <w:t>”</w:t>
      </w:r>
      <w:r>
        <w:rPr/>
        <w:t>中披露的相关政策进行会计处理。</w:t>
      </w:r>
    </w:p>
    <w:p>
      <w:pPr>
        <w:pStyle w:val="BodyText"/>
        <w:spacing w:line="273" w:lineRule="auto"/>
        <w:ind w:right="0" w:firstLine="420"/>
        <w:jc w:val="left"/>
      </w:pPr>
      <w:r>
        <w:rPr>
          <w:spacing w:val="-2"/>
        </w:rPr>
        <w:t>在公司确认应分担被投资单位发生的亏损时，按照以下顺序进行处理：首先，冲减长期股权投资的账</w:t>
      </w:r>
      <w:r>
        <w:rPr>
          <w:w w:val="100"/>
        </w:rPr>
        <w:t> </w:t>
      </w:r>
      <w:r>
        <w:rPr>
          <w:spacing w:val="-2"/>
        </w:rPr>
        <w:t>面价值。其次，长期股权投资的账面价值不足以冲减的，以其他实质上构成对被投资单位净投资的长期权</w:t>
      </w:r>
    </w:p>
    <w:p>
      <w:pPr>
        <w:spacing w:after="0" w:line="273" w:lineRule="auto"/>
        <w:jc w:val="left"/>
        <w:sectPr>
          <w:pgSz w:w="11910" w:h="16840"/>
          <w:pgMar w:header="877" w:footer="979" w:top="1100" w:bottom="1160" w:left="980" w:right="980"/>
        </w:sectPr>
      </w:pPr>
    </w:p>
    <w:p>
      <w:pPr>
        <w:spacing w:line="240" w:lineRule="auto" w:before="11"/>
        <w:rPr>
          <w:rFonts w:ascii="宋体" w:hAnsi="宋体" w:cs="宋体" w:eastAsia="宋体" w:hint="default"/>
          <w:sz w:val="20"/>
          <w:szCs w:val="20"/>
        </w:rPr>
      </w:pPr>
    </w:p>
    <w:p>
      <w:pPr>
        <w:pStyle w:val="BodyText"/>
        <w:spacing w:line="273" w:lineRule="auto" w:before="36"/>
        <w:ind w:right="0"/>
        <w:jc w:val="left"/>
      </w:pPr>
      <w:r>
        <w:rPr>
          <w:spacing w:val="-2"/>
        </w:rPr>
        <w:t>益账面价值为限继续确认投资损失，冲减长期应收项目等的账面价值。最后，经过上述处理，按照投资合</w:t>
      </w:r>
      <w:r>
        <w:rPr>
          <w:spacing w:val="-47"/>
        </w:rPr>
        <w:t> </w:t>
      </w:r>
      <w:r>
        <w:rPr>
          <w:spacing w:val="-47"/>
        </w:rPr>
      </w:r>
      <w:r>
        <w:rPr/>
        <w:t>同或协议约定企业仍承担额外义务的，按预计承担的义务确认预计负债，计入当期投资损失。</w:t>
      </w:r>
    </w:p>
    <w:p>
      <w:pPr>
        <w:pStyle w:val="BodyText"/>
        <w:spacing w:line="256" w:lineRule="auto" w:before="7"/>
        <w:ind w:left="573" w:right="1634"/>
        <w:jc w:val="left"/>
      </w:pPr>
      <w:r>
        <w:rPr>
          <w:rFonts w:ascii="Times New Roman" w:hAnsi="Times New Roman" w:cs="Times New Roman" w:eastAsia="Times New Roman" w:hint="default"/>
        </w:rPr>
        <w:t>3</w:t>
      </w:r>
      <w:r>
        <w:rPr/>
        <w:t>）长期股权投资的处置</w:t>
      </w:r>
      <w:r>
        <w:rPr>
          <w:w w:val="100"/>
        </w:rPr>
        <w:t> </w:t>
      </w:r>
      <w:r>
        <w:rPr>
          <w:spacing w:val="-2"/>
        </w:rPr>
        <w:t>处置长期股权投资，其账面价值与实际取得价款的差额，计入当期损益。</w:t>
      </w:r>
    </w:p>
    <w:p>
      <w:pPr>
        <w:pStyle w:val="BodyText"/>
        <w:spacing w:line="273" w:lineRule="auto" w:before="22"/>
        <w:ind w:right="146" w:firstLine="420"/>
        <w:jc w:val="both"/>
      </w:pPr>
      <w:r>
        <w:rPr>
          <w:spacing w:val="-2"/>
        </w:rPr>
        <w:t>采用权益法核算的长期股权投资，在处置该项投资时，采用与被投资单位直接处置相关资产或负债相</w:t>
      </w:r>
      <w:r>
        <w:rPr>
          <w:w w:val="100"/>
        </w:rPr>
        <w:t> </w:t>
      </w:r>
      <w:r>
        <w:rPr>
          <w:spacing w:val="-2"/>
        </w:rPr>
        <w:t>同的基础，按相应比例对原计入其他综合收益的部分进行会计处理。因被投资单位除净损益、其他综合收</w:t>
      </w:r>
      <w:r>
        <w:rPr>
          <w:spacing w:val="-44"/>
        </w:rPr>
        <w:t> </w:t>
      </w:r>
      <w:r>
        <w:rPr>
          <w:spacing w:val="-44"/>
        </w:rPr>
      </w:r>
      <w:r>
        <w:rPr>
          <w:spacing w:val="-2"/>
        </w:rPr>
        <w:t>益和利润分配以外的其他所有者权益变动而确认的所有者权益，按比例结转入当期损益，由于被投资方重</w:t>
      </w:r>
      <w:r>
        <w:rPr>
          <w:spacing w:val="-44"/>
        </w:rPr>
        <w:t> </w:t>
      </w:r>
      <w:r>
        <w:rPr>
          <w:spacing w:val="-44"/>
        </w:rPr>
      </w:r>
      <w:r>
        <w:rPr/>
        <w:t>新计量设定受益计划净负债或净资产变动而产生的其他综合收益除外。</w:t>
      </w:r>
    </w:p>
    <w:p>
      <w:pPr>
        <w:pStyle w:val="BodyText"/>
        <w:spacing w:line="273" w:lineRule="auto" w:before="7"/>
        <w:ind w:right="146" w:firstLine="420"/>
        <w:jc w:val="both"/>
      </w:pPr>
      <w:r>
        <w:rPr>
          <w:spacing w:val="-2"/>
        </w:rPr>
        <w:t>因处置部分股权投资等原因丧失了对被投资单位的共同控制或重大影响的，处置后的剩余股权改按金</w:t>
      </w:r>
      <w:r>
        <w:rPr>
          <w:w w:val="100"/>
        </w:rPr>
        <w:t> </w:t>
      </w:r>
      <w:r>
        <w:rPr>
          <w:spacing w:val="-2"/>
        </w:rPr>
        <w:t>融工具确认和计量准则核算，其在丧失共同控制或重大影响之日的公允价值与账面价值之间的差额计入当</w:t>
      </w:r>
      <w:r>
        <w:rPr>
          <w:spacing w:val="-43"/>
        </w:rPr>
        <w:t> </w:t>
      </w:r>
      <w:r>
        <w:rPr>
          <w:spacing w:val="-43"/>
        </w:rPr>
      </w:r>
      <w:r>
        <w:rPr>
          <w:spacing w:val="-2"/>
        </w:rPr>
        <w:t>期损益。原股权投资因采用权益法核算而确认的其他综合收益，在终止采用权益法核算时采用与被投资单</w:t>
      </w:r>
      <w:r>
        <w:rPr>
          <w:spacing w:val="-44"/>
        </w:rPr>
        <w:t> </w:t>
      </w:r>
      <w:r>
        <w:rPr>
          <w:spacing w:val="-44"/>
        </w:rPr>
      </w:r>
      <w:r>
        <w:rPr>
          <w:spacing w:val="-2"/>
        </w:rPr>
        <w:t>位直接处置相关资产或负债相同的基础进行会计处理。因被投资方除净损益、其他综合收益和利润分配以</w:t>
      </w:r>
      <w:r>
        <w:rPr>
          <w:spacing w:val="-44"/>
        </w:rPr>
        <w:t> </w:t>
      </w:r>
      <w:r>
        <w:rPr>
          <w:spacing w:val="-44"/>
        </w:rPr>
      </w:r>
      <w:r>
        <w:rPr/>
        <w:t>外的其他所有者权益变动而确认的所有者权益，在终止采用权益法核算时全部转入当期损益。</w:t>
      </w:r>
    </w:p>
    <w:p>
      <w:pPr>
        <w:pStyle w:val="BodyText"/>
        <w:spacing w:line="273" w:lineRule="auto" w:before="7"/>
        <w:ind w:right="146" w:firstLine="420"/>
        <w:jc w:val="both"/>
      </w:pPr>
      <w:r>
        <w:rPr>
          <w:spacing w:val="-2"/>
        </w:rPr>
        <w:t>因处置部分股权投资、因其他投资方对子公司增资而导致本公司持股比例下降等原因丧失了对被投资</w:t>
      </w:r>
      <w:r>
        <w:rPr>
          <w:w w:val="100"/>
        </w:rPr>
        <w:t> </w:t>
      </w:r>
      <w:r>
        <w:rPr>
          <w:spacing w:val="-2"/>
        </w:rPr>
        <w:t>单位控制权的，在编制个别财务报表时，剩余股权能够对被投资单位实施共同控制或重大影响的，改按权</w:t>
      </w:r>
      <w:r>
        <w:rPr>
          <w:spacing w:val="-45"/>
        </w:rPr>
        <w:t> </w:t>
      </w:r>
      <w:r>
        <w:rPr>
          <w:spacing w:val="-45"/>
        </w:rPr>
      </w:r>
      <w:r>
        <w:rPr>
          <w:spacing w:val="-2"/>
        </w:rPr>
        <w:t>益法核算，并对该剩余股权视同自取得时即采用权益法核算进行调整；剩余股权不能对被投资单位实施共</w:t>
      </w:r>
      <w:r>
        <w:rPr>
          <w:spacing w:val="-42"/>
        </w:rPr>
        <w:t> </w:t>
      </w:r>
      <w:r>
        <w:rPr>
          <w:spacing w:val="-42"/>
        </w:rPr>
      </w:r>
      <w:r>
        <w:rPr>
          <w:spacing w:val="-2"/>
        </w:rPr>
        <w:t>同控制或施加重大影响的，改按金融工具确认和计量准则的有关规定进行会计处理，其在丧失控制之日的</w:t>
      </w:r>
      <w:r>
        <w:rPr>
          <w:spacing w:val="-44"/>
        </w:rPr>
        <w:t> </w:t>
      </w:r>
      <w:r>
        <w:rPr>
          <w:spacing w:val="-44"/>
        </w:rPr>
      </w:r>
      <w:r>
        <w:rPr/>
        <w:t>公允价值与账面价值间的差额计入当期损益。</w:t>
      </w:r>
    </w:p>
    <w:p>
      <w:pPr>
        <w:pStyle w:val="BodyText"/>
        <w:spacing w:line="273" w:lineRule="auto" w:before="7"/>
        <w:ind w:right="146" w:firstLine="420"/>
        <w:jc w:val="both"/>
      </w:pPr>
      <w:r>
        <w:rPr>
          <w:spacing w:val="-2"/>
        </w:rPr>
        <w:t>处置的股权是因追加投资等原因通过企业合并取得的，在编制个别财务报表时，处置后的剩余股权采</w:t>
      </w:r>
      <w:r>
        <w:rPr>
          <w:w w:val="100"/>
        </w:rPr>
        <w:t> </w:t>
      </w:r>
      <w:r>
        <w:rPr>
          <w:spacing w:val="-2"/>
        </w:rPr>
        <w:t>用成本法或权益法核算的，购买日之前持有的股权投资因采用权益法核算而确认的其他综合收益和其他所</w:t>
      </w:r>
      <w:r>
        <w:rPr>
          <w:spacing w:val="-43"/>
        </w:rPr>
        <w:t> </w:t>
      </w:r>
      <w:r>
        <w:rPr>
          <w:spacing w:val="-43"/>
        </w:rPr>
      </w:r>
      <w:r>
        <w:rPr>
          <w:spacing w:val="-2"/>
        </w:rPr>
        <w:t>有者权益按比例结转；处置后的剩余股权改按金融工具确认和计量准则进行会计处理的，其他综合收益和</w:t>
      </w:r>
      <w:r>
        <w:rPr>
          <w:spacing w:val="-44"/>
        </w:rPr>
        <w:t> </w:t>
      </w:r>
      <w:r>
        <w:rPr>
          <w:spacing w:val="-44"/>
        </w:rPr>
      </w:r>
      <w:r>
        <w:rPr/>
        <w:t>其他所有者权益全部结转。</w:t>
      </w:r>
    </w:p>
    <w:p>
      <w:pPr>
        <w:spacing w:line="600" w:lineRule="atLeast" w:before="0"/>
        <w:ind w:left="573" w:right="5216"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15</w:t>
      </w:r>
      <w:r>
        <w:rPr>
          <w:rFonts w:ascii="宋体" w:hAnsi="宋体" w:cs="宋体" w:eastAsia="宋体" w:hint="default"/>
          <w:b/>
          <w:bCs/>
          <w:sz w:val="21"/>
          <w:szCs w:val="21"/>
        </w:rPr>
        <w:t>、投资性房地产</w:t>
      </w:r>
      <w:r>
        <w:rPr>
          <w:rFonts w:ascii="宋体" w:hAnsi="宋体" w:cs="宋体" w:eastAsia="宋体" w:hint="default"/>
          <w:b/>
          <w:bCs/>
          <w:w w:val="100"/>
          <w:sz w:val="21"/>
          <w:szCs w:val="21"/>
        </w:rPr>
        <w:t> </w:t>
      </w:r>
      <w:r>
        <w:rPr>
          <w:rFonts w:ascii="宋体" w:hAnsi="宋体" w:cs="宋体" w:eastAsia="宋体" w:hint="default"/>
          <w:spacing w:val="-2"/>
          <w:sz w:val="21"/>
          <w:szCs w:val="21"/>
        </w:rPr>
        <w:t>投资性房地产计量模式：成本法</w:t>
      </w:r>
    </w:p>
    <w:p>
      <w:pPr>
        <w:pStyle w:val="BodyText"/>
        <w:spacing w:line="273" w:lineRule="auto" w:before="75"/>
        <w:ind w:right="146" w:firstLine="420"/>
        <w:jc w:val="both"/>
      </w:pPr>
      <w:r>
        <w:rPr>
          <w:spacing w:val="-2"/>
        </w:rPr>
        <w:t>折旧或摊销方法：对按照成本模式计量的投资性房地产－出租用建筑物采用与本公司固定资产相同的</w:t>
      </w:r>
      <w:r>
        <w:rPr>
          <w:w w:val="100"/>
        </w:rPr>
        <w:t> </w:t>
      </w:r>
      <w:r>
        <w:rPr/>
        <w:t>折旧政策，出租用土地使用权按与无形资产相同的摊销政策执行。</w:t>
      </w:r>
    </w:p>
    <w:p>
      <w:pPr>
        <w:spacing w:line="240" w:lineRule="auto" w:before="7"/>
        <w:rPr>
          <w:rFonts w:ascii="宋体" w:hAnsi="宋体" w:cs="宋体" w:eastAsia="宋体" w:hint="default"/>
          <w:sz w:val="23"/>
          <w:szCs w:val="23"/>
        </w:rPr>
      </w:pPr>
    </w:p>
    <w:p>
      <w:pPr>
        <w:pStyle w:val="Heading4"/>
        <w:spacing w:line="240" w:lineRule="auto"/>
        <w:ind w:right="0"/>
        <w:jc w:val="left"/>
        <w:rPr>
          <w:b w:val="0"/>
          <w:bCs w:val="0"/>
        </w:rPr>
      </w:pPr>
      <w:r>
        <w:rPr>
          <w:rFonts w:ascii="Times New Roman" w:hAnsi="Times New Roman" w:cs="Times New Roman" w:eastAsia="Times New Roman" w:hint="default"/>
        </w:rPr>
        <w:t>16</w:t>
      </w:r>
      <w:r>
        <w:rPr/>
        <w:t>、固定资产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24"/>
          <w:szCs w:val="24"/>
        </w:rPr>
      </w:pPr>
    </w:p>
    <w:p>
      <w:pPr>
        <w:pStyle w:val="BodyText"/>
        <w:spacing w:line="266" w:lineRule="auto"/>
        <w:ind w:right="127" w:firstLine="420"/>
        <w:jc w:val="both"/>
      </w:pPr>
      <w:r>
        <w:rPr>
          <w:spacing w:val="-2"/>
        </w:rPr>
        <w:t>固定资产指为生产商品、提供劳务、出租或经营管理而持有，并且使用寿命超过一个会计年度的有形</w:t>
      </w:r>
      <w:r>
        <w:rPr>
          <w:w w:val="100"/>
        </w:rPr>
        <w:t> </w:t>
      </w:r>
      <w:r>
        <w:rPr>
          <w:spacing w:val="-2"/>
        </w:rPr>
        <w:t>资产。固定资产在同时满足下列条件时予以确认：</w:t>
      </w:r>
      <w:r>
        <w:rPr>
          <w:rFonts w:ascii="Times New Roman" w:hAnsi="Times New Roman" w:cs="Times New Roman" w:eastAsia="Times New Roman" w:hint="default"/>
          <w:spacing w:val="-2"/>
        </w:rPr>
        <w:t>1</w:t>
      </w:r>
      <w:r>
        <w:rPr>
          <w:spacing w:val="-2"/>
        </w:rPr>
        <w:t>）与该固定资产有关的经济利益很可能流入企业；</w:t>
      </w:r>
      <w:r>
        <w:rPr>
          <w:rFonts w:ascii="Times New Roman" w:hAnsi="Times New Roman" w:cs="Times New Roman" w:eastAsia="Times New Roman" w:hint="default"/>
          <w:spacing w:val="-2"/>
        </w:rPr>
        <w:t>2</w:t>
      </w:r>
      <w:r>
        <w:rPr>
          <w:spacing w:val="-2"/>
        </w:rPr>
        <w:t>）</w:t>
      </w:r>
      <w:r>
        <w:rPr>
          <w:spacing w:val="-22"/>
        </w:rPr>
        <w:t> </w:t>
      </w:r>
      <w:r>
        <w:rPr/>
        <w:t>该固定资产的成本能够可靠地计量。</w:t>
      </w:r>
    </w:p>
    <w:p>
      <w:pPr>
        <w:spacing w:line="240" w:lineRule="auto" w:before="0"/>
        <w:rPr>
          <w:rFonts w:ascii="宋体" w:hAnsi="宋体" w:cs="宋体" w:eastAsia="宋体" w:hint="default"/>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5"/>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折旧方法</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32" w:right="0"/>
              <w:jc w:val="left"/>
              <w:rPr>
                <w:rFonts w:ascii="宋体" w:hAnsi="宋体" w:cs="宋体" w:eastAsia="宋体" w:hint="default"/>
                <w:sz w:val="21"/>
                <w:szCs w:val="21"/>
              </w:rPr>
            </w:pPr>
            <w:r>
              <w:rPr>
                <w:rFonts w:ascii="宋体" w:hAnsi="宋体" w:cs="宋体" w:eastAsia="宋体" w:hint="default"/>
                <w:sz w:val="21"/>
                <w:szCs w:val="21"/>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35" w:right="0"/>
              <w:jc w:val="left"/>
              <w:rPr>
                <w:rFonts w:ascii="宋体" w:hAnsi="宋体" w:cs="宋体" w:eastAsia="宋体" w:hint="default"/>
                <w:sz w:val="21"/>
                <w:szCs w:val="21"/>
              </w:rPr>
            </w:pPr>
            <w:r>
              <w:rPr>
                <w:rFonts w:ascii="宋体" w:hAnsi="宋体" w:cs="宋体" w:eastAsia="宋体" w:hint="default"/>
                <w:sz w:val="21"/>
                <w:szCs w:val="21"/>
              </w:rPr>
              <w:t>残值率</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32" w:right="0"/>
              <w:jc w:val="left"/>
              <w:rPr>
                <w:rFonts w:ascii="宋体" w:hAnsi="宋体" w:cs="宋体" w:eastAsia="宋体" w:hint="default"/>
                <w:sz w:val="21"/>
                <w:szCs w:val="21"/>
              </w:rPr>
            </w:pPr>
            <w:r>
              <w:rPr>
                <w:rFonts w:ascii="宋体" w:hAnsi="宋体" w:cs="宋体" w:eastAsia="宋体" w:hint="default"/>
                <w:sz w:val="21"/>
                <w:szCs w:val="21"/>
              </w:rPr>
              <w:t>年折旧率</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Times New Roman" w:hAnsi="Times New Roman" w:cs="Times New Roman" w:eastAsia="Times New Roman" w:hint="default"/>
                <w:sz w:val="21"/>
                <w:szCs w:val="21"/>
              </w:rPr>
            </w:pPr>
            <w:r>
              <w:rPr>
                <w:rFonts w:ascii="Times New Roman"/>
                <w:sz w:val="21"/>
              </w:rPr>
              <w:t>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10%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4.5%</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Times New Roman" w:hAnsi="Times New Roman" w:cs="Times New Roman" w:eastAsia="Times New Roman" w:hint="default"/>
                <w:sz w:val="21"/>
                <w:szCs w:val="21"/>
              </w:rPr>
            </w:pPr>
            <w:r>
              <w:rPr>
                <w:rFonts w:ascii="Times New Roman"/>
                <w:sz w:val="21"/>
              </w:rPr>
              <w:t>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10%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9%</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Times New Roman" w:hAnsi="Times New Roman" w:cs="Times New Roman" w:eastAsia="Times New Roman" w:hint="default"/>
                <w:sz w:val="21"/>
                <w:szCs w:val="21"/>
              </w:rPr>
            </w:pPr>
            <w:r>
              <w:rPr>
                <w:rFonts w:ascii="Times New Roman"/>
                <w:w w:val="100"/>
                <w:sz w:val="21"/>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10%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18%</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79" w:top="1100" w:bottom="1160" w:left="980" w:right="980"/>
        </w:sectPr>
      </w:pPr>
    </w:p>
    <w:p>
      <w:pPr>
        <w:spacing w:line="240" w:lineRule="auto" w:before="8"/>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5"/>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检测设备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20"/>
              <w:jc w:val="right"/>
              <w:rPr>
                <w:rFonts w:ascii="宋体" w:hAnsi="宋体" w:cs="宋体" w:eastAsia="宋体" w:hint="default"/>
                <w:sz w:val="21"/>
                <w:szCs w:val="21"/>
              </w:rPr>
            </w:pPr>
            <w:r>
              <w:rPr>
                <w:rFonts w:ascii="宋体" w:hAnsi="宋体" w:cs="宋体" w:eastAsia="宋体" w:hint="default"/>
                <w:spacing w:val="-1"/>
                <w:sz w:val="21"/>
                <w:szCs w:val="21"/>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Times New Roman" w:hAnsi="Times New Roman" w:cs="Times New Roman" w:eastAsia="Times New Roman" w:hint="default"/>
                <w:sz w:val="21"/>
                <w:szCs w:val="21"/>
              </w:rPr>
            </w:pPr>
            <w:r>
              <w:rPr>
                <w:rFonts w:ascii="Times New Roman"/>
                <w:w w:val="100"/>
                <w:sz w:val="21"/>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10%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18%</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办公设备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420"/>
              <w:jc w:val="right"/>
              <w:rPr>
                <w:rFonts w:ascii="宋体" w:hAnsi="宋体" w:cs="宋体" w:eastAsia="宋体" w:hint="default"/>
                <w:sz w:val="21"/>
                <w:szCs w:val="21"/>
              </w:rPr>
            </w:pPr>
            <w:r>
              <w:rPr>
                <w:rFonts w:ascii="宋体" w:hAnsi="宋体" w:cs="宋体" w:eastAsia="宋体" w:hint="default"/>
                <w:spacing w:val="-1"/>
                <w:sz w:val="21"/>
                <w:szCs w:val="21"/>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3"/>
              <w:jc w:val="right"/>
              <w:rPr>
                <w:rFonts w:ascii="Times New Roman" w:hAnsi="Times New Roman" w:cs="Times New Roman" w:eastAsia="Times New Roman" w:hint="default"/>
                <w:sz w:val="21"/>
                <w:szCs w:val="21"/>
              </w:rPr>
            </w:pPr>
            <w:r>
              <w:rPr>
                <w:rFonts w:ascii="Times New Roman"/>
                <w:w w:val="100"/>
                <w:sz w:val="21"/>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z w:val="21"/>
              </w:rPr>
              <w:t>10%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8"/>
              <w:jc w:val="right"/>
              <w:rPr>
                <w:rFonts w:ascii="Times New Roman" w:hAnsi="Times New Roman" w:cs="Times New Roman" w:eastAsia="Times New Roman" w:hint="default"/>
                <w:sz w:val="21"/>
                <w:szCs w:val="21"/>
              </w:rPr>
            </w:pPr>
            <w:r>
              <w:rPr>
                <w:rFonts w:ascii="Times New Roman"/>
                <w:sz w:val="21"/>
              </w:rPr>
              <w:t>18%</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工装模具</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20"/>
              <w:jc w:val="right"/>
              <w:rPr>
                <w:rFonts w:ascii="宋体" w:hAnsi="宋体" w:cs="宋体" w:eastAsia="宋体" w:hint="default"/>
                <w:sz w:val="21"/>
                <w:szCs w:val="21"/>
              </w:rPr>
            </w:pPr>
            <w:r>
              <w:rPr>
                <w:rFonts w:ascii="宋体" w:hAnsi="宋体" w:cs="宋体" w:eastAsia="宋体" w:hint="default"/>
                <w:spacing w:val="-1"/>
                <w:sz w:val="21"/>
                <w:szCs w:val="21"/>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Times New Roman" w:hAnsi="Times New Roman" w:cs="Times New Roman" w:eastAsia="Times New Roman" w:hint="default"/>
                <w:sz w:val="21"/>
                <w:szCs w:val="21"/>
              </w:rPr>
            </w:pPr>
            <w:r>
              <w:rPr>
                <w:rFonts w:ascii="Times New Roman"/>
                <w:w w:val="100"/>
                <w:sz w:val="21"/>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10%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18%</w:t>
            </w:r>
          </w:p>
        </w:tc>
      </w:tr>
    </w:tbl>
    <w:p>
      <w:pPr>
        <w:spacing w:line="240" w:lineRule="auto" w:before="3"/>
        <w:rPr>
          <w:rFonts w:ascii="宋体" w:hAnsi="宋体" w:cs="宋体" w:eastAsia="宋体" w:hint="default"/>
          <w:b/>
          <w:bCs/>
          <w:sz w:val="19"/>
          <w:szCs w:val="19"/>
        </w:rPr>
      </w:pPr>
    </w:p>
    <w:p>
      <w:pPr>
        <w:pStyle w:val="Heading4"/>
        <w:spacing w:line="240" w:lineRule="auto" w:before="36"/>
        <w:ind w:right="105"/>
        <w:jc w:val="left"/>
        <w:rPr>
          <w:b w:val="0"/>
          <w:bCs w:val="0"/>
        </w:rPr>
      </w:pP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7"/>
        <w:rPr>
          <w:rFonts w:ascii="宋体" w:hAnsi="宋体" w:cs="宋体" w:eastAsia="宋体" w:hint="default"/>
          <w:b/>
          <w:bCs/>
          <w:sz w:val="24"/>
          <w:szCs w:val="24"/>
        </w:rPr>
      </w:pPr>
    </w:p>
    <w:p>
      <w:pPr>
        <w:pStyle w:val="BodyText"/>
        <w:spacing w:line="266" w:lineRule="auto"/>
        <w:ind w:right="105" w:firstLine="420"/>
        <w:jc w:val="left"/>
      </w:pPr>
      <w:r>
        <w:rPr/>
        <w:t>公司与租赁方所签订的租赁协议条款中规定了下列条件之一的，确认为融资租入资产：</w:t>
      </w:r>
      <w:r>
        <w:rPr>
          <w:rFonts w:ascii="Times New Roman" w:hAnsi="Times New Roman" w:cs="Times New Roman" w:eastAsia="Times New Roman" w:hint="default"/>
        </w:rPr>
        <w:t>1</w:t>
      </w:r>
      <w:r>
        <w:rPr/>
        <w:t>）租赁期满</w:t>
      </w:r>
      <w:r>
        <w:rPr>
          <w:w w:val="100"/>
        </w:rPr>
        <w:t> </w:t>
      </w:r>
      <w:r>
        <w:rPr/>
        <w:t>后租赁资产的所有权归属于本公司；</w:t>
      </w:r>
      <w:r>
        <w:rPr>
          <w:rFonts w:ascii="Times New Roman" w:hAnsi="Times New Roman" w:cs="Times New Roman" w:eastAsia="Times New Roman" w:hint="default"/>
        </w:rPr>
        <w:t>2</w:t>
      </w:r>
      <w:r>
        <w:rPr/>
        <w:t>）公司具有购买资产的选择权，购买价款远低于行使选择权时该资</w:t>
      </w:r>
      <w:r>
        <w:rPr>
          <w:w w:val="100"/>
        </w:rPr>
        <w:t> </w:t>
      </w:r>
      <w:r>
        <w:rPr>
          <w:spacing w:val="-2"/>
        </w:rPr>
        <w:t>产的公允价值；</w:t>
      </w:r>
      <w:r>
        <w:rPr>
          <w:rFonts w:ascii="Times New Roman" w:hAnsi="Times New Roman" w:cs="Times New Roman" w:eastAsia="Times New Roman" w:hint="default"/>
          <w:spacing w:val="-2"/>
        </w:rPr>
        <w:t>3</w:t>
      </w:r>
      <w:r>
        <w:rPr>
          <w:spacing w:val="-2"/>
        </w:rPr>
        <w:t>）租赁期占所租赁资产使用寿命的大部分；</w:t>
      </w:r>
      <w:r>
        <w:rPr>
          <w:rFonts w:ascii="Times New Roman" w:hAnsi="Times New Roman" w:cs="Times New Roman" w:eastAsia="Times New Roman" w:hint="default"/>
          <w:spacing w:val="-2"/>
        </w:rPr>
        <w:t>4</w:t>
      </w:r>
      <w:r>
        <w:rPr>
          <w:spacing w:val="-2"/>
        </w:rPr>
        <w:t>）租赁开始日的最低租赁付款额现值，与该</w:t>
      </w:r>
      <w:r>
        <w:rPr>
          <w:spacing w:val="-43"/>
        </w:rPr>
        <w:t> </w:t>
      </w:r>
      <w:r>
        <w:rPr>
          <w:spacing w:val="-43"/>
        </w:rPr>
      </w:r>
      <w:r>
        <w:rPr>
          <w:spacing w:val="-2"/>
        </w:rPr>
        <w:t>资产的公允价值不存在较大的差异。公司在承租开始日，将租赁资产公允价值与最低租赁付款额现值两者</w:t>
      </w:r>
      <w:r>
        <w:rPr>
          <w:spacing w:val="-41"/>
        </w:rPr>
        <w:t> </w:t>
      </w:r>
      <w:r>
        <w:rPr>
          <w:spacing w:val="-41"/>
        </w:rPr>
      </w:r>
      <w:r>
        <w:rPr>
          <w:spacing w:val="-2"/>
        </w:rPr>
        <w:t>中较低者作为租入资产的入账价值，将最低租赁付款额作为长期应付款的入账价值，其差额作为未确认的</w:t>
      </w:r>
      <w:r>
        <w:rPr>
          <w:spacing w:val="-43"/>
        </w:rPr>
        <w:t> </w:t>
      </w:r>
      <w:r>
        <w:rPr>
          <w:spacing w:val="-43"/>
        </w:rPr>
      </w:r>
      <w:r>
        <w:rPr>
          <w:spacing w:val="-2"/>
        </w:rPr>
        <w:t>融资费。融资租赁方式租入的固定资产，能合理确定租赁期届满时将会取得租赁资产所有权的，在租赁资</w:t>
      </w:r>
      <w:r>
        <w:rPr>
          <w:spacing w:val="-43"/>
        </w:rPr>
        <w:t> </w:t>
      </w:r>
      <w:r>
        <w:rPr>
          <w:spacing w:val="-43"/>
        </w:rPr>
      </w:r>
      <w:r>
        <w:rPr>
          <w:spacing w:val="-2"/>
        </w:rPr>
        <w:t>产尚可使用年限内计提折旧；无法合理确定租赁期届满时能够取得租赁资产所有权的，在租赁期与租赁资</w:t>
      </w:r>
      <w:r>
        <w:rPr>
          <w:spacing w:val="-43"/>
        </w:rPr>
        <w:t> </w:t>
      </w:r>
      <w:r>
        <w:rPr>
          <w:spacing w:val="-43"/>
        </w:rPr>
      </w:r>
      <w:r>
        <w:rPr/>
        <w:t>产尚可使用年限两者中较短的期间内计提折旧。</w:t>
      </w:r>
    </w:p>
    <w:p>
      <w:pPr>
        <w:spacing w:line="240" w:lineRule="auto" w:before="0"/>
        <w:rPr>
          <w:rFonts w:ascii="宋体" w:hAnsi="宋体" w:cs="宋体" w:eastAsia="宋体" w:hint="default"/>
          <w:sz w:val="24"/>
          <w:szCs w:val="24"/>
        </w:rPr>
      </w:pPr>
    </w:p>
    <w:p>
      <w:pPr>
        <w:pStyle w:val="Heading4"/>
        <w:spacing w:line="240" w:lineRule="auto"/>
        <w:ind w:right="105"/>
        <w:jc w:val="left"/>
        <w:rPr>
          <w:b w:val="0"/>
          <w:bCs w:val="0"/>
        </w:rPr>
      </w:pPr>
      <w:r>
        <w:rPr>
          <w:rFonts w:ascii="Times New Roman" w:hAnsi="Times New Roman" w:cs="Times New Roman" w:eastAsia="Times New Roman" w:hint="default"/>
        </w:rPr>
        <w:t>17</w:t>
      </w:r>
      <w:r>
        <w:rPr/>
        <w:t>、在建工程</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right="105" w:firstLine="420"/>
        <w:jc w:val="left"/>
      </w:pPr>
      <w:r>
        <w:rPr/>
        <w:t>在建工程项目按建造该项资产达到预定可使用状态前所发生的必要支出，作为固定资产的入账价值。</w:t>
      </w:r>
      <w:r>
        <w:rPr>
          <w:w w:val="100"/>
        </w:rPr>
        <w:t> </w:t>
      </w:r>
      <w:r>
        <w:rPr>
          <w:spacing w:val="-5"/>
        </w:rPr>
        <w:t>所建造的固定资产在工程已达到预定可使用状态，但尚未办理竣工决算的，自达到预定可使用状态之日起，</w:t>
      </w:r>
      <w:r>
        <w:rPr>
          <w:spacing w:val="-3"/>
        </w:rPr>
        <w:t> </w:t>
      </w:r>
      <w:r>
        <w:rPr>
          <w:spacing w:val="-3"/>
        </w:rPr>
      </w:r>
      <w:r>
        <w:rPr>
          <w:spacing w:val="-2"/>
        </w:rPr>
        <w:t>根据工程预算、造价或者工程实际成本等，按估计的价值转入固定资产，并按本公司固定资产折旧政策计</w:t>
      </w:r>
      <w:r>
        <w:rPr>
          <w:spacing w:val="-45"/>
        </w:rPr>
        <w:t> </w:t>
      </w:r>
      <w:r>
        <w:rPr>
          <w:spacing w:val="-45"/>
        </w:rPr>
      </w:r>
      <w:r>
        <w:rPr>
          <w:spacing w:val="-5"/>
        </w:rPr>
        <w:t>提固定资产的折旧，待办理竣工决算后，再按实际成本调整原来的暂估价值，但不调整原已计提的折旧额。</w:t>
      </w:r>
    </w:p>
    <w:p>
      <w:pPr>
        <w:spacing w:line="240" w:lineRule="auto" w:before="7"/>
        <w:rPr>
          <w:rFonts w:ascii="宋体" w:hAnsi="宋体" w:cs="宋体" w:eastAsia="宋体" w:hint="default"/>
          <w:sz w:val="23"/>
          <w:szCs w:val="23"/>
        </w:rPr>
      </w:pPr>
    </w:p>
    <w:p>
      <w:pPr>
        <w:pStyle w:val="Heading4"/>
        <w:spacing w:line="240" w:lineRule="auto"/>
        <w:ind w:right="105"/>
        <w:jc w:val="left"/>
        <w:rPr>
          <w:b w:val="0"/>
          <w:bCs w:val="0"/>
        </w:rPr>
      </w:pPr>
      <w:r>
        <w:rPr>
          <w:rFonts w:ascii="Times New Roman" w:hAnsi="Times New Roman" w:cs="Times New Roman" w:eastAsia="Times New Roman" w:hint="default"/>
        </w:rPr>
        <w:t>18</w:t>
      </w:r>
      <w:r>
        <w:rPr/>
        <w:t>、借款费用</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573" w:right="105"/>
        <w:jc w:val="left"/>
      </w:pPr>
      <w:r>
        <w:rPr/>
        <w:t>本报告期未发生借款费用资本化事项。</w:t>
      </w:r>
    </w:p>
    <w:p>
      <w:pPr>
        <w:spacing w:line="240" w:lineRule="auto" w:before="10"/>
        <w:rPr>
          <w:rFonts w:ascii="宋体" w:hAnsi="宋体" w:cs="宋体" w:eastAsia="宋体" w:hint="default"/>
          <w:sz w:val="25"/>
          <w:szCs w:val="25"/>
        </w:rPr>
      </w:pPr>
    </w:p>
    <w:p>
      <w:pPr>
        <w:pStyle w:val="Heading4"/>
        <w:spacing w:line="240" w:lineRule="auto"/>
        <w:ind w:right="105"/>
        <w:jc w:val="left"/>
        <w:rPr>
          <w:b w:val="0"/>
          <w:bCs w:val="0"/>
        </w:rPr>
      </w:pPr>
      <w:r>
        <w:rPr>
          <w:rFonts w:ascii="Times New Roman" w:hAnsi="Times New Roman" w:cs="Times New Roman" w:eastAsia="Times New Roman" w:hint="default"/>
        </w:rPr>
        <w:t>19</w:t>
      </w:r>
      <w:r>
        <w:rPr/>
        <w:t>、无形资产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05"/>
        <w:jc w:val="left"/>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573" w:right="105"/>
        <w:jc w:val="left"/>
      </w:pPr>
      <w:r>
        <w:rPr>
          <w:rFonts w:ascii="Times New Roman" w:hAnsi="Times New Roman" w:cs="Times New Roman" w:eastAsia="Times New Roman" w:hint="default"/>
        </w:rPr>
        <w:t>1</w:t>
      </w:r>
      <w:r>
        <w:rPr/>
        <w:t>）无形资产的计价方法</w:t>
      </w:r>
    </w:p>
    <w:p>
      <w:pPr>
        <w:pStyle w:val="BodyText"/>
        <w:spacing w:line="256" w:lineRule="auto" w:before="21"/>
        <w:ind w:left="573" w:right="105"/>
        <w:jc w:val="left"/>
      </w:pPr>
      <w:r>
        <w:rPr>
          <w:rFonts w:ascii="Times New Roman" w:hAnsi="Times New Roman" w:cs="Times New Roman" w:eastAsia="Times New Roman" w:hint="default"/>
        </w:rPr>
        <w:t>a.</w:t>
      </w:r>
      <w:r>
        <w:rPr>
          <w:rFonts w:ascii="Times New Roman" w:hAnsi="Times New Roman" w:cs="Times New Roman" w:eastAsia="Times New Roman" w:hint="default"/>
          <w:spacing w:val="31"/>
        </w:rPr>
        <w:t> </w:t>
      </w:r>
      <w:r>
        <w:rPr/>
        <w:t>公司取得无形资产时按成本进行初始计量；</w:t>
      </w:r>
      <w:r>
        <w:rPr>
          <w:w w:val="100"/>
        </w:rPr>
        <w:t> </w:t>
      </w:r>
      <w:r>
        <w:rPr>
          <w:spacing w:val="-2"/>
        </w:rPr>
        <w:t>外购无形资产的成本，包括购买价款、相关税费以及直接归属于使该项资产达到预定用途所发生的其</w:t>
      </w:r>
    </w:p>
    <w:p>
      <w:pPr>
        <w:pStyle w:val="BodyText"/>
        <w:spacing w:line="273" w:lineRule="auto" w:before="23"/>
        <w:ind w:right="105"/>
        <w:jc w:val="left"/>
      </w:pPr>
      <w:r>
        <w:rPr>
          <w:spacing w:val="-2"/>
        </w:rPr>
        <w:t>他支出。购买无形资产的价款超过正常信用条件延期支付，实质上具有融资性质的，无形资产的成本以购</w:t>
      </w:r>
      <w:r>
        <w:rPr>
          <w:spacing w:val="-42"/>
        </w:rPr>
        <w:t> </w:t>
      </w:r>
      <w:r>
        <w:rPr>
          <w:spacing w:val="-42"/>
        </w:rPr>
      </w:r>
      <w:r>
        <w:rPr/>
        <w:t>买价款的现值为基础确定。</w:t>
      </w:r>
    </w:p>
    <w:p>
      <w:pPr>
        <w:pStyle w:val="BodyText"/>
        <w:spacing w:line="273" w:lineRule="auto" w:before="7"/>
        <w:ind w:right="105" w:firstLine="420"/>
        <w:jc w:val="left"/>
      </w:pPr>
      <w:r>
        <w:rPr>
          <w:spacing w:val="-2"/>
        </w:rPr>
        <w:t>债务重组取得债务人用以抵债的无形资产，以该无形资产的公允价值为基础确定其入账价值，并将重</w:t>
      </w:r>
      <w:r>
        <w:rPr>
          <w:w w:val="100"/>
        </w:rPr>
        <w:t> </w:t>
      </w:r>
      <w:r>
        <w:rPr/>
        <w:t>组债务的账面价值与该用以抵债的无形资产公允价值之间的差额，计入当期损益。</w:t>
      </w:r>
    </w:p>
    <w:p>
      <w:pPr>
        <w:pStyle w:val="BodyText"/>
        <w:spacing w:line="273" w:lineRule="auto" w:before="7"/>
        <w:ind w:right="206" w:firstLine="420"/>
        <w:jc w:val="both"/>
      </w:pPr>
      <w:r>
        <w:rPr>
          <w:spacing w:val="-2"/>
        </w:rPr>
        <w:t>在非货币性资产交换具备商业实质且换入资产或换出资产的公允价值能够可靠计量的前提下，非货币</w:t>
      </w:r>
      <w:r>
        <w:rPr>
          <w:w w:val="100"/>
        </w:rPr>
        <w:t> </w:t>
      </w:r>
      <w:r>
        <w:rPr>
          <w:spacing w:val="-2"/>
        </w:rPr>
        <w:t>性资产交换换入的无形资产以换出资产的公允价值为基础确定其入账价值，除非有确凿证据表明换入资产</w:t>
      </w:r>
      <w:r>
        <w:rPr>
          <w:spacing w:val="-43"/>
        </w:rPr>
        <w:t> </w:t>
      </w:r>
      <w:r>
        <w:rPr>
          <w:spacing w:val="-43"/>
        </w:rPr>
      </w:r>
      <w:r>
        <w:rPr>
          <w:spacing w:val="-2"/>
        </w:rPr>
        <w:t>的公允价值更加可靠；不满足上述前提的非货币性资产交换，以换出资产的账面价值和应支付的相关税费</w:t>
      </w:r>
      <w:r>
        <w:rPr>
          <w:spacing w:val="-43"/>
        </w:rPr>
        <w:t> </w:t>
      </w:r>
      <w:r>
        <w:rPr>
          <w:spacing w:val="-43"/>
        </w:rPr>
      </w:r>
      <w:r>
        <w:rPr/>
        <w:t>作为换入无形资产的成本，不确认损益。</w:t>
      </w:r>
    </w:p>
    <w:p>
      <w:pPr>
        <w:pStyle w:val="BodyText"/>
        <w:spacing w:line="256" w:lineRule="auto" w:before="7"/>
        <w:ind w:left="573" w:right="4628"/>
        <w:jc w:val="left"/>
      </w:pPr>
      <w:r>
        <w:rPr>
          <w:rFonts w:ascii="Times New Roman" w:hAnsi="Times New Roman" w:cs="Times New Roman" w:eastAsia="Times New Roman" w:hint="default"/>
        </w:rPr>
        <w:t>b.</w:t>
      </w:r>
      <w:r>
        <w:rPr>
          <w:rFonts w:ascii="Times New Roman" w:hAnsi="Times New Roman" w:cs="Times New Roman" w:eastAsia="Times New Roman" w:hint="default"/>
          <w:spacing w:val="31"/>
        </w:rPr>
        <w:t> </w:t>
      </w:r>
      <w:r>
        <w:rPr/>
        <w:t>后续计量</w:t>
      </w:r>
      <w:r>
        <w:rPr>
          <w:spacing w:val="-103"/>
        </w:rPr>
        <w:t> </w:t>
      </w:r>
      <w:r>
        <w:rPr>
          <w:spacing w:val="-103"/>
        </w:rPr>
      </w:r>
      <w:r>
        <w:rPr>
          <w:spacing w:val="-2"/>
        </w:rPr>
        <w:t>在取得无形资产时分析判断其使用寿命。</w:t>
      </w:r>
    </w:p>
    <w:p>
      <w:pPr>
        <w:pStyle w:val="BodyText"/>
        <w:spacing w:line="240" w:lineRule="auto" w:before="22"/>
        <w:ind w:left="573" w:right="105"/>
        <w:jc w:val="left"/>
      </w:pPr>
      <w:r>
        <w:rPr/>
        <w:t>对于使用寿命有限的无形资产，在为企业带来经济利益的期限内按直线法摊销；无法预见无形资产为</w:t>
      </w:r>
    </w:p>
    <w:p>
      <w:pPr>
        <w:spacing w:after="0" w:line="240" w:lineRule="auto"/>
        <w:jc w:val="left"/>
        <w:sectPr>
          <w:pgSz w:w="11910" w:h="16840"/>
          <w:pgMar w:header="877" w:footer="979" w:top="1100" w:bottom="1160" w:left="980" w:right="920"/>
        </w:sectPr>
      </w:pPr>
    </w:p>
    <w:p>
      <w:pPr>
        <w:spacing w:line="240" w:lineRule="auto" w:before="11"/>
        <w:rPr>
          <w:rFonts w:ascii="宋体" w:hAnsi="宋体" w:cs="宋体" w:eastAsia="宋体" w:hint="default"/>
          <w:sz w:val="20"/>
          <w:szCs w:val="20"/>
        </w:rPr>
      </w:pPr>
    </w:p>
    <w:p>
      <w:pPr>
        <w:pStyle w:val="BodyText"/>
        <w:spacing w:line="240" w:lineRule="auto" w:before="36"/>
        <w:ind w:right="0"/>
        <w:jc w:val="left"/>
      </w:pPr>
      <w:r>
        <w:rPr/>
        <w:t>企业带来经济利益期限的，视为使用寿命不确定的无形资产，不予摊销。</w:t>
      </w:r>
    </w:p>
    <w:p>
      <w:pPr>
        <w:pStyle w:val="BodyText"/>
        <w:spacing w:line="240" w:lineRule="auto" w:before="37"/>
        <w:ind w:left="573" w:right="0"/>
        <w:jc w:val="left"/>
      </w:pPr>
      <w:r>
        <w:rPr/>
        <w:pict>
          <v:shape style="position:absolute;margin-left:247.490005pt;margin-top:19.513645pt;width:.48pt;height:.12pt;mso-position-horizontal-relative:page;mso-position-vertical-relative:paragraph;z-index:-665776" type="#_x0000_t75" stroked="false">
            <v:imagedata r:id="rId20" o:title=""/>
          </v:shape>
        </w:pict>
      </w:r>
      <w:r>
        <w:rPr/>
        <w:pict>
          <v:shape style="position:absolute;margin-left:354.429993pt;margin-top:19.513645pt;width:.47998pt;height:.12pt;mso-position-horizontal-relative:page;mso-position-vertical-relative:paragraph;z-index:-665752" type="#_x0000_t75" stroked="false">
            <v:imagedata r:id="rId20" o:title=""/>
          </v:shape>
        </w:pict>
      </w:r>
      <w:r>
        <w:rPr/>
        <w:pict>
          <v:group style="position:absolute;margin-left:76.223999pt;margin-top:39.193665pt;width:442.9pt;height:.5pt;mso-position-horizontal-relative:page;mso-position-vertical-relative:paragraph;z-index:-665728" coordorigin="1524,784" coordsize="8858,10">
            <v:shape style="position:absolute;left:1524;top:784;width:3425;height:10" type="#_x0000_t75" stroked="false">
              <v:imagedata r:id="rId21" o:title=""/>
            </v:shape>
            <v:shape style="position:absolute;left:4945;top:784;width:5437;height:10" type="#_x0000_t75" stroked="false">
              <v:imagedata r:id="rId22" o:title=""/>
            </v:shape>
            <w10:wrap type="none"/>
          </v:group>
        </w:pict>
      </w:r>
      <w:r>
        <w:rPr>
          <w:rFonts w:ascii="Times New Roman" w:hAnsi="Times New Roman" w:cs="Times New Roman" w:eastAsia="Times New Roman" w:hint="default"/>
        </w:rPr>
        <w:t>2</w:t>
      </w:r>
      <w:r>
        <w:rPr/>
        <w:t>）使用寿命有限的无形资产的使用寿命估计情况：</w:t>
      </w:r>
    </w:p>
    <w:tbl>
      <w:tblPr>
        <w:tblW w:w="0" w:type="auto"/>
        <w:jc w:val="left"/>
        <w:tblInd w:w="530" w:type="dxa"/>
        <w:tblLayout w:type="fixed"/>
        <w:tblCellMar>
          <w:top w:w="0" w:type="dxa"/>
          <w:left w:w="0" w:type="dxa"/>
          <w:bottom w:w="0" w:type="dxa"/>
          <w:right w:w="0" w:type="dxa"/>
        </w:tblCellMar>
        <w:tblLook w:val="01E0"/>
      </w:tblPr>
      <w:tblGrid>
        <w:gridCol w:w="3445"/>
        <w:gridCol w:w="2139"/>
        <w:gridCol w:w="3288"/>
      </w:tblGrid>
      <w:tr>
        <w:trPr>
          <w:trHeight w:val="411" w:hRule="exact"/>
        </w:trPr>
        <w:tc>
          <w:tcPr>
            <w:tcW w:w="3445" w:type="dxa"/>
            <w:tcBorders>
              <w:top w:val="single" w:sz="12" w:space="0" w:color="000000"/>
              <w:left w:val="nil" w:sz="6" w:space="0" w:color="auto"/>
              <w:bottom w:val="nil" w:sz="6" w:space="0" w:color="auto"/>
              <w:right w:val="single" w:sz="4" w:space="0" w:color="000000"/>
            </w:tcBorders>
          </w:tcPr>
          <w:p>
            <w:pPr>
              <w:pStyle w:val="TableParagraph"/>
              <w:spacing w:line="240" w:lineRule="auto" w:before="61"/>
              <w:ind w:right="85"/>
              <w:jc w:val="center"/>
              <w:rPr>
                <w:rFonts w:ascii="宋体" w:hAnsi="宋体" w:cs="宋体" w:eastAsia="宋体" w:hint="default"/>
                <w:sz w:val="18"/>
                <w:szCs w:val="18"/>
              </w:rPr>
            </w:pPr>
            <w:r>
              <w:rPr>
                <w:rFonts w:ascii="宋体" w:hAnsi="宋体" w:cs="宋体" w:eastAsia="宋体" w:hint="default"/>
                <w:sz w:val="18"/>
                <w:szCs w:val="18"/>
              </w:rPr>
              <w:t>项  目</w:t>
            </w:r>
          </w:p>
        </w:tc>
        <w:tc>
          <w:tcPr>
            <w:tcW w:w="2139"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61"/>
              <w:ind w:right="93"/>
              <w:jc w:val="center"/>
              <w:rPr>
                <w:rFonts w:ascii="宋体" w:hAnsi="宋体" w:cs="宋体" w:eastAsia="宋体" w:hint="default"/>
                <w:sz w:val="18"/>
                <w:szCs w:val="18"/>
              </w:rPr>
            </w:pPr>
            <w:r>
              <w:rPr>
                <w:rFonts w:ascii="宋体" w:hAnsi="宋体" w:cs="宋体" w:eastAsia="宋体" w:hint="default"/>
                <w:sz w:val="18"/>
                <w:szCs w:val="18"/>
              </w:rPr>
              <w:t>预计使用寿命</w:t>
            </w:r>
          </w:p>
        </w:tc>
        <w:tc>
          <w:tcPr>
            <w:tcW w:w="3288" w:type="dxa"/>
            <w:tcBorders>
              <w:top w:val="single" w:sz="12" w:space="0" w:color="000000"/>
              <w:left w:val="single" w:sz="4" w:space="0" w:color="000000"/>
              <w:bottom w:val="nil" w:sz="6" w:space="0" w:color="auto"/>
              <w:right w:val="nil" w:sz="6" w:space="0" w:color="auto"/>
            </w:tcBorders>
          </w:tcPr>
          <w:p>
            <w:pPr>
              <w:pStyle w:val="TableParagraph"/>
              <w:spacing w:line="240" w:lineRule="auto" w:before="61"/>
              <w:ind w:right="102"/>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407" w:hRule="exact"/>
        </w:trPr>
        <w:tc>
          <w:tcPr>
            <w:tcW w:w="3445" w:type="dxa"/>
            <w:tcBorders>
              <w:top w:val="nil" w:sz="6" w:space="0" w:color="auto"/>
              <w:left w:val="nil" w:sz="6" w:space="0" w:color="auto"/>
              <w:bottom w:val="nil" w:sz="6" w:space="0" w:color="auto"/>
              <w:right w:val="single" w:sz="4" w:space="0" w:color="000000"/>
            </w:tcBorders>
          </w:tcPr>
          <w:p>
            <w:pPr>
              <w:pStyle w:val="TableParagraph"/>
              <w:spacing w:line="240" w:lineRule="auto" w:before="68"/>
              <w:ind w:right="85"/>
              <w:jc w:val="center"/>
              <w:rPr>
                <w:rFonts w:ascii="宋体" w:hAnsi="宋体" w:cs="宋体" w:eastAsia="宋体" w:hint="default"/>
                <w:sz w:val="18"/>
                <w:szCs w:val="18"/>
              </w:rPr>
            </w:pPr>
            <w:r>
              <w:rPr>
                <w:rFonts w:ascii="宋体" w:hAnsi="宋体" w:cs="宋体" w:eastAsia="宋体" w:hint="default"/>
                <w:sz w:val="18"/>
                <w:szCs w:val="18"/>
              </w:rPr>
              <w:t>土地使用权</w:t>
            </w:r>
          </w:p>
        </w:tc>
        <w:tc>
          <w:tcPr>
            <w:tcW w:w="2139" w:type="dxa"/>
            <w:tcBorders>
              <w:top w:val="nil" w:sz="6" w:space="0" w:color="auto"/>
              <w:left w:val="single" w:sz="4" w:space="0" w:color="000000"/>
              <w:bottom w:val="nil" w:sz="6" w:space="0" w:color="auto"/>
              <w:right w:val="single" w:sz="4" w:space="0" w:color="000000"/>
            </w:tcBorders>
          </w:tcPr>
          <w:p>
            <w:pPr>
              <w:pStyle w:val="TableParagraph"/>
              <w:spacing w:line="240" w:lineRule="auto" w:before="68"/>
              <w:ind w:right="93"/>
              <w:jc w:val="center"/>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88" w:type="dxa"/>
            <w:tcBorders>
              <w:top w:val="nil" w:sz="6" w:space="0" w:color="auto"/>
              <w:left w:val="single" w:sz="4" w:space="0" w:color="000000"/>
              <w:bottom w:val="nil" w:sz="6" w:space="0" w:color="auto"/>
              <w:right w:val="nil" w:sz="6" w:space="0" w:color="auto"/>
            </w:tcBorders>
          </w:tcPr>
          <w:p>
            <w:pPr>
              <w:pStyle w:val="TableParagraph"/>
              <w:spacing w:line="240" w:lineRule="auto" w:before="68"/>
              <w:ind w:right="101"/>
              <w:jc w:val="center"/>
              <w:rPr>
                <w:rFonts w:ascii="宋体" w:hAnsi="宋体" w:cs="宋体" w:eastAsia="宋体" w:hint="default"/>
                <w:sz w:val="18"/>
                <w:szCs w:val="18"/>
              </w:rPr>
            </w:pPr>
            <w:r>
              <w:rPr>
                <w:rFonts w:ascii="宋体" w:hAnsi="宋体" w:cs="宋体" w:eastAsia="宋体" w:hint="default"/>
                <w:sz w:val="18"/>
                <w:szCs w:val="18"/>
              </w:rPr>
              <w:t>土地使用权证规定的使用年限</w:t>
            </w:r>
          </w:p>
        </w:tc>
      </w:tr>
      <w:tr>
        <w:trPr>
          <w:trHeight w:val="402" w:hRule="exact"/>
        </w:trPr>
        <w:tc>
          <w:tcPr>
            <w:tcW w:w="3445" w:type="dxa"/>
            <w:tcBorders>
              <w:top w:val="nil" w:sz="6" w:space="0" w:color="auto"/>
              <w:left w:val="nil" w:sz="6" w:space="0" w:color="auto"/>
              <w:bottom w:val="nil" w:sz="6" w:space="0" w:color="auto"/>
              <w:right w:val="single" w:sz="4" w:space="0" w:color="000000"/>
            </w:tcBorders>
          </w:tcPr>
          <w:p>
            <w:pPr>
              <w:pStyle w:val="TableParagraph"/>
              <w:spacing w:line="240" w:lineRule="auto" w:before="62"/>
              <w:ind w:right="85"/>
              <w:jc w:val="center"/>
              <w:rPr>
                <w:rFonts w:ascii="宋体" w:hAnsi="宋体" w:cs="宋体" w:eastAsia="宋体" w:hint="default"/>
                <w:sz w:val="18"/>
                <w:szCs w:val="18"/>
              </w:rPr>
            </w:pPr>
            <w:r>
              <w:rPr>
                <w:rFonts w:ascii="宋体" w:hAnsi="宋体" w:cs="宋体" w:eastAsia="宋体" w:hint="default"/>
                <w:sz w:val="18"/>
                <w:szCs w:val="18"/>
              </w:rPr>
              <w:t>商标注册费</w:t>
            </w:r>
          </w:p>
        </w:tc>
        <w:tc>
          <w:tcPr>
            <w:tcW w:w="2139"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93"/>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88" w:type="dxa"/>
            <w:tcBorders>
              <w:top w:val="nil" w:sz="6" w:space="0" w:color="auto"/>
              <w:left w:val="single" w:sz="4" w:space="0" w:color="000000"/>
              <w:bottom w:val="nil" w:sz="6" w:space="0" w:color="auto"/>
              <w:right w:val="nil" w:sz="6" w:space="0" w:color="auto"/>
            </w:tcBorders>
          </w:tcPr>
          <w:p>
            <w:pPr>
              <w:pStyle w:val="TableParagraph"/>
              <w:spacing w:line="240" w:lineRule="auto" w:before="62"/>
              <w:ind w:right="102"/>
              <w:jc w:val="center"/>
              <w:rPr>
                <w:rFonts w:ascii="宋体" w:hAnsi="宋体" w:cs="宋体" w:eastAsia="宋体" w:hint="default"/>
                <w:sz w:val="18"/>
                <w:szCs w:val="18"/>
              </w:rPr>
            </w:pPr>
            <w:r>
              <w:rPr>
                <w:rFonts w:ascii="宋体" w:hAnsi="宋体" w:cs="宋体" w:eastAsia="宋体" w:hint="default"/>
                <w:sz w:val="18"/>
                <w:szCs w:val="18"/>
              </w:rPr>
              <w:t>合同</w:t>
            </w:r>
          </w:p>
        </w:tc>
      </w:tr>
      <w:tr>
        <w:trPr>
          <w:trHeight w:val="410" w:hRule="exact"/>
        </w:trPr>
        <w:tc>
          <w:tcPr>
            <w:tcW w:w="3445" w:type="dxa"/>
            <w:tcBorders>
              <w:top w:val="nil" w:sz="6" w:space="0" w:color="auto"/>
              <w:left w:val="nil" w:sz="6" w:space="0" w:color="auto"/>
              <w:bottom w:val="single" w:sz="12" w:space="0" w:color="000000"/>
              <w:right w:val="single" w:sz="4" w:space="0" w:color="000000"/>
            </w:tcBorders>
          </w:tcPr>
          <w:p>
            <w:pPr>
              <w:pStyle w:val="TableParagraph"/>
              <w:spacing w:line="240" w:lineRule="auto" w:before="63"/>
              <w:ind w:right="87"/>
              <w:jc w:val="center"/>
              <w:rPr>
                <w:rFonts w:ascii="宋体" w:hAnsi="宋体" w:cs="宋体" w:eastAsia="宋体" w:hint="default"/>
                <w:sz w:val="18"/>
                <w:szCs w:val="18"/>
              </w:rPr>
            </w:pPr>
            <w:r>
              <w:rPr>
                <w:rFonts w:ascii="宋体" w:hAnsi="宋体" w:cs="宋体" w:eastAsia="宋体" w:hint="default"/>
                <w:sz w:val="18"/>
                <w:szCs w:val="18"/>
              </w:rPr>
              <w:t>电脑软件</w:t>
            </w:r>
          </w:p>
        </w:tc>
        <w:tc>
          <w:tcPr>
            <w:tcW w:w="2139"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3"/>
              <w:ind w:right="93"/>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88" w:type="dxa"/>
            <w:tcBorders>
              <w:top w:val="nil" w:sz="6" w:space="0" w:color="auto"/>
              <w:left w:val="single" w:sz="4" w:space="0" w:color="000000"/>
              <w:bottom w:val="single" w:sz="12" w:space="0" w:color="000000"/>
              <w:right w:val="nil" w:sz="6" w:space="0" w:color="auto"/>
            </w:tcBorders>
          </w:tcPr>
          <w:p>
            <w:pPr>
              <w:pStyle w:val="TableParagraph"/>
              <w:spacing w:line="240" w:lineRule="auto" w:before="63"/>
              <w:ind w:right="105"/>
              <w:jc w:val="center"/>
              <w:rPr>
                <w:rFonts w:ascii="宋体" w:hAnsi="宋体" w:cs="宋体" w:eastAsia="宋体" w:hint="default"/>
                <w:sz w:val="18"/>
                <w:szCs w:val="18"/>
              </w:rPr>
            </w:pPr>
            <w:r>
              <w:rPr>
                <w:rFonts w:ascii="宋体" w:hAnsi="宋体" w:cs="宋体" w:eastAsia="宋体" w:hint="default"/>
                <w:sz w:val="18"/>
                <w:szCs w:val="18"/>
              </w:rPr>
              <w:t>合同、行业情况及企业历史经验</w:t>
            </w:r>
          </w:p>
        </w:tc>
      </w:tr>
    </w:tbl>
    <w:p>
      <w:pPr>
        <w:pStyle w:val="BodyText"/>
        <w:spacing w:line="268" w:lineRule="auto" w:before="21"/>
        <w:ind w:left="573" w:right="0"/>
        <w:jc w:val="left"/>
      </w:pPr>
      <w:r>
        <w:rPr/>
        <w:pict>
          <v:group style="position:absolute;margin-left:76.223999pt;margin-top:-40.086353pt;width:442.9pt;height:.5pt;mso-position-horizontal-relative:page;mso-position-vertical-relative:paragraph;z-index:-665704" coordorigin="1524,-802" coordsize="8858,10">
            <v:shape style="position:absolute;left:1524;top:-802;width:3425;height:10" type="#_x0000_t75" stroked="false">
              <v:imagedata r:id="rId21" o:title=""/>
            </v:shape>
            <v:shape style="position:absolute;left:4945;top:-802;width:5437;height:10" type="#_x0000_t75" stroked="false">
              <v:imagedata r:id="rId23" o:title=""/>
            </v:shape>
            <w10:wrap type="none"/>
          </v:group>
        </w:pict>
      </w:r>
      <w:r>
        <w:rPr/>
        <w:pict>
          <v:group style="position:absolute;margin-left:76.223999pt;margin-top:-19.926294pt;width:442.9pt;height:.5pt;mso-position-horizontal-relative:page;mso-position-vertical-relative:paragraph;z-index:-665680" coordorigin="1524,-399" coordsize="8858,10">
            <v:shape style="position:absolute;left:1524;top:-399;width:3425;height:10" type="#_x0000_t75" stroked="false">
              <v:imagedata r:id="rId21" o:title=""/>
            </v:shape>
            <v:shape style="position:absolute;left:4945;top:-399;width:5437;height:10" type="#_x0000_t75" stroked="false">
              <v:imagedata r:id="rId23" o:title=""/>
            </v:shape>
            <w10:wrap type="none"/>
          </v:group>
        </w:pict>
      </w:r>
      <w:r>
        <w:rPr/>
        <w:t>每年度终了，对使用寿命有限的无形资产的使用寿命及摊销方法进行复核。</w:t>
      </w:r>
      <w:r>
        <w:rPr>
          <w:w w:val="100"/>
        </w:rPr>
        <w:t> </w:t>
      </w:r>
      <w:r>
        <w:rPr/>
        <w:t>经复核，本年期末无形资产的使用寿命及摊销方法与以前估计未有不同。</w:t>
      </w:r>
      <w:r>
        <w:rPr>
          <w:w w:val="100"/>
        </w:rPr>
        <w:t> </w:t>
      </w:r>
      <w:r>
        <w:rPr>
          <w:rFonts w:ascii="Times New Roman" w:hAnsi="Times New Roman" w:cs="Times New Roman" w:eastAsia="Times New Roman" w:hint="default"/>
        </w:rPr>
        <w:t>3</w:t>
      </w:r>
      <w:r>
        <w:rPr/>
        <w:t>）使用寿命不确定的无形资产的判断依据以及对其使用寿命进行复核的程序</w:t>
      </w:r>
      <w:r>
        <w:rPr>
          <w:w w:val="100"/>
        </w:rPr>
        <w:t> </w:t>
      </w:r>
      <w:r>
        <w:rPr/>
        <w:t>每期末，对使用寿命不确定的无形资产的使用寿命进行复核。</w:t>
      </w:r>
      <w:r>
        <w:rPr>
          <w:w w:val="100"/>
        </w:rPr>
        <w:t> </w:t>
      </w:r>
      <w:r>
        <w:rPr>
          <w:spacing w:val="-2"/>
        </w:rPr>
        <w:t>经复核，该类无形资产的使用寿命仍为不确定，则在下一会计期间继续作为使用寿命不确定的无形资</w:t>
      </w:r>
    </w:p>
    <w:p>
      <w:pPr>
        <w:pStyle w:val="BodyText"/>
        <w:spacing w:line="240" w:lineRule="auto" w:before="12"/>
        <w:ind w:right="0"/>
        <w:jc w:val="left"/>
      </w:pPr>
      <w:r>
        <w:rPr/>
        <w:t>产核算。</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7"/>
        <w:rPr>
          <w:rFonts w:ascii="宋体" w:hAnsi="宋体" w:cs="宋体" w:eastAsia="宋体" w:hint="default"/>
          <w:b/>
          <w:bCs/>
          <w:sz w:val="24"/>
          <w:szCs w:val="24"/>
        </w:rPr>
      </w:pPr>
    </w:p>
    <w:p>
      <w:pPr>
        <w:pStyle w:val="BodyText"/>
        <w:spacing w:line="266" w:lineRule="auto"/>
        <w:ind w:left="573" w:right="0"/>
        <w:jc w:val="left"/>
      </w:pPr>
      <w:r>
        <w:rPr>
          <w:rFonts w:ascii="Times New Roman" w:hAnsi="Times New Roman" w:cs="Times New Roman" w:eastAsia="Times New Roman" w:hint="default"/>
        </w:rPr>
        <w:t>1</w:t>
      </w:r>
      <w:r>
        <w:rPr/>
        <w:t>）划分研究阶段和开发阶段的具体标准</w:t>
      </w:r>
      <w:r>
        <w:rPr>
          <w:w w:val="100"/>
        </w:rPr>
        <w:t> </w:t>
      </w:r>
      <w:r>
        <w:rPr/>
        <w:t>公司内部研究开发项目的支出分为研究阶段支出和开发阶段支出。</w:t>
      </w:r>
      <w:r>
        <w:rPr>
          <w:w w:val="100"/>
        </w:rPr>
        <w:t> </w:t>
      </w:r>
      <w:r>
        <w:rPr/>
        <w:t>研究阶段：为获取并理解新的科学或技术知识等而进行的独创性的有计划调查、研究活动的阶段。</w:t>
      </w:r>
      <w:r>
        <w:rPr>
          <w:w w:val="100"/>
        </w:rPr>
        <w:t> </w:t>
      </w:r>
      <w:r>
        <w:rPr>
          <w:spacing w:val="-2"/>
        </w:rPr>
        <w:t>开发阶段：在进行商业性生产或使用前，将研究成果或其他知识应用于某项计划或设计，以生产出新</w:t>
      </w:r>
    </w:p>
    <w:p>
      <w:pPr>
        <w:pStyle w:val="BodyText"/>
        <w:spacing w:line="268" w:lineRule="auto" w:before="14"/>
        <w:ind w:left="573" w:right="2383" w:hanging="421"/>
        <w:jc w:val="left"/>
      </w:pPr>
      <w:r>
        <w:rPr/>
        <w:t>的或具有实质性改进的材料、装置、产品等活动的阶段。</w:t>
      </w:r>
      <w:r>
        <w:rPr>
          <w:w w:val="100"/>
        </w:rPr>
        <w:t> </w:t>
      </w:r>
      <w:r>
        <w:rPr>
          <w:rFonts w:ascii="Times New Roman" w:hAnsi="Times New Roman" w:cs="Times New Roman" w:eastAsia="Times New Roman" w:hint="default"/>
        </w:rPr>
        <w:t>2</w:t>
      </w:r>
      <w:r>
        <w:rPr/>
        <w:t>）开发阶段支出资本化的具体条件</w:t>
      </w:r>
      <w:r>
        <w:rPr>
          <w:w w:val="100"/>
        </w:rPr>
        <w:t> </w:t>
      </w:r>
      <w:r>
        <w:rPr>
          <w:spacing w:val="-2"/>
        </w:rPr>
        <w:t>内部研究开发项目开发阶段的支出，同时满足下列条件时确认为无形资产：</w:t>
      </w:r>
      <w:r>
        <w:rPr>
          <w:w w:val="100"/>
        </w:rPr>
        <w:t> </w:t>
      </w:r>
      <w:r>
        <w:rPr>
          <w:rFonts w:ascii="Times New Roman" w:hAnsi="Times New Roman" w:cs="Times New Roman" w:eastAsia="Times New Roman" w:hint="default"/>
        </w:rPr>
        <w:t>a.</w:t>
      </w:r>
      <w:r>
        <w:rPr>
          <w:rFonts w:ascii="Times New Roman" w:hAnsi="Times New Roman" w:cs="Times New Roman" w:eastAsia="Times New Roman" w:hint="default"/>
          <w:spacing w:val="27"/>
        </w:rPr>
        <w:t> </w:t>
      </w:r>
      <w:r>
        <w:rPr/>
        <w:t>完成该无形资产以使其能够使用或出售在技术上具有可行性；</w:t>
      </w:r>
    </w:p>
    <w:p>
      <w:pPr>
        <w:pStyle w:val="BodyText"/>
        <w:spacing w:line="284" w:lineRule="exact"/>
        <w:ind w:left="573" w:right="0"/>
        <w:jc w:val="left"/>
      </w:pPr>
      <w:r>
        <w:rPr>
          <w:rFonts w:ascii="Times New Roman" w:hAnsi="Times New Roman" w:cs="Times New Roman" w:eastAsia="Times New Roman" w:hint="default"/>
        </w:rPr>
        <w:t>b.</w:t>
      </w:r>
      <w:r>
        <w:rPr>
          <w:rFonts w:ascii="Times New Roman" w:hAnsi="Times New Roman" w:cs="Times New Roman" w:eastAsia="Times New Roman" w:hint="default"/>
          <w:spacing w:val="31"/>
        </w:rPr>
        <w:t> </w:t>
      </w:r>
      <w:r>
        <w:rPr/>
        <w:t>具有完成该无形资产并使用或出售的意图；</w:t>
      </w:r>
    </w:p>
    <w:p>
      <w:pPr>
        <w:pStyle w:val="BodyText"/>
        <w:spacing w:line="256" w:lineRule="auto" w:before="21"/>
        <w:ind w:right="0" w:firstLine="420"/>
        <w:jc w:val="left"/>
      </w:pPr>
      <w:r>
        <w:rPr>
          <w:rFonts w:ascii="Times New Roman" w:hAnsi="Times New Roman" w:cs="Times New Roman" w:eastAsia="Times New Roman" w:hint="default"/>
        </w:rPr>
        <w:t>c.</w:t>
      </w:r>
      <w:r>
        <w:rPr>
          <w:rFonts w:ascii="Times New Roman" w:hAnsi="Times New Roman" w:cs="Times New Roman" w:eastAsia="Times New Roman" w:hint="default"/>
          <w:spacing w:val="42"/>
        </w:rPr>
        <w:t> </w:t>
      </w:r>
      <w:r>
        <w:rPr>
          <w:spacing w:val="-3"/>
        </w:rPr>
        <w:t>无形资产产生经济利益的方式，包括能够证明运用该无形资产生产的产品存在市场或无形资产自身</w:t>
      </w:r>
      <w:r>
        <w:rPr>
          <w:w w:val="100"/>
        </w:rPr>
        <w:t> </w:t>
      </w:r>
      <w:r>
        <w:rPr/>
        <w:t>存在市场，无形资产将在内部使用的，能够证明其有用性；</w:t>
      </w:r>
    </w:p>
    <w:p>
      <w:pPr>
        <w:pStyle w:val="BodyText"/>
        <w:spacing w:line="256" w:lineRule="auto" w:before="22"/>
        <w:ind w:right="0" w:firstLine="420"/>
        <w:jc w:val="left"/>
      </w:pPr>
      <w:r>
        <w:rPr>
          <w:rFonts w:ascii="Times New Roman" w:hAnsi="Times New Roman" w:cs="Times New Roman" w:eastAsia="Times New Roman" w:hint="default"/>
        </w:rPr>
        <w:t>d.</w:t>
      </w:r>
      <w:r>
        <w:rPr>
          <w:rFonts w:ascii="Times New Roman" w:hAnsi="Times New Roman" w:cs="Times New Roman" w:eastAsia="Times New Roman" w:hint="default"/>
          <w:spacing w:val="29"/>
        </w:rPr>
        <w:t> </w:t>
      </w:r>
      <w:r>
        <w:rPr>
          <w:spacing w:val="-3"/>
        </w:rPr>
        <w:t>有足够的技术、财务资源和其他资源支持，以完成该无形资产的开发，并有能力使用或出售该无形</w:t>
      </w:r>
      <w:r>
        <w:rPr>
          <w:w w:val="100"/>
        </w:rPr>
        <w:t> </w:t>
      </w:r>
      <w:r>
        <w:rPr/>
        <w:t>资产；</w:t>
      </w:r>
    </w:p>
    <w:p>
      <w:pPr>
        <w:pStyle w:val="BodyText"/>
        <w:spacing w:line="256" w:lineRule="auto" w:before="22"/>
        <w:ind w:left="573" w:right="0"/>
        <w:jc w:val="left"/>
      </w:pPr>
      <w:r>
        <w:rPr>
          <w:rFonts w:ascii="Times New Roman" w:hAnsi="Times New Roman" w:cs="Times New Roman" w:eastAsia="Times New Roman" w:hint="default"/>
        </w:rPr>
        <w:t>e.</w:t>
      </w:r>
      <w:r>
        <w:rPr>
          <w:rFonts w:ascii="Times New Roman" w:hAnsi="Times New Roman" w:cs="Times New Roman" w:eastAsia="Times New Roman" w:hint="default"/>
          <w:spacing w:val="31"/>
        </w:rPr>
        <w:t> </w:t>
      </w:r>
      <w:r>
        <w:rPr/>
        <w:t>归属于该无形资产开发阶段的支出能够可靠地计量。</w:t>
      </w:r>
      <w:r>
        <w:rPr>
          <w:w w:val="100"/>
        </w:rPr>
        <w:t> </w:t>
      </w:r>
      <w:r>
        <w:rPr>
          <w:spacing w:val="-3"/>
        </w:rPr>
        <w:t>开发阶段的支出，若不满足上列条件的，于发生时计入当期损益。研究阶段的支出，在发生时计入当</w:t>
      </w:r>
    </w:p>
    <w:p>
      <w:pPr>
        <w:pStyle w:val="BodyText"/>
        <w:spacing w:line="240" w:lineRule="auto" w:before="22"/>
        <w:ind w:right="0"/>
        <w:jc w:val="left"/>
      </w:pPr>
      <w:r>
        <w:rPr/>
        <w:t>期损益。</w:t>
      </w:r>
    </w:p>
    <w:p>
      <w:pPr>
        <w:pStyle w:val="BodyText"/>
        <w:spacing w:line="600" w:lineRule="atLeast" w:before="28"/>
        <w:ind w:left="573" w:right="0" w:hanging="421"/>
        <w:jc w:val="left"/>
      </w:pPr>
      <w:r>
        <w:rPr>
          <w:rFonts w:ascii="Times New Roman" w:hAnsi="Times New Roman" w:cs="Times New Roman" w:eastAsia="Times New Roman" w:hint="default"/>
          <w:b/>
          <w:bCs/>
        </w:rPr>
        <w:t>20</w:t>
      </w:r>
      <w:r>
        <w:rPr>
          <w:rFonts w:ascii="宋体" w:hAnsi="宋体" w:cs="宋体" w:eastAsia="宋体" w:hint="default"/>
          <w:b/>
          <w:bCs/>
        </w:rPr>
        <w:t>、长期资产减值</w:t>
      </w:r>
      <w:r>
        <w:rPr>
          <w:rFonts w:ascii="宋体" w:hAnsi="宋体" w:cs="宋体" w:eastAsia="宋体" w:hint="default"/>
          <w:b/>
          <w:bCs/>
          <w:w w:val="100"/>
        </w:rPr>
        <w:t> </w:t>
      </w:r>
      <w:r>
        <w:rPr>
          <w:spacing w:val="-2"/>
        </w:rPr>
        <w:t>长期股权投资、采用成本模式计量的投资性房地产、固定资产、在建工程、使用寿命有限的无形资产</w:t>
      </w:r>
    </w:p>
    <w:p>
      <w:pPr>
        <w:pStyle w:val="BodyText"/>
        <w:spacing w:line="273" w:lineRule="auto" w:before="37"/>
        <w:ind w:right="146"/>
        <w:jc w:val="both"/>
      </w:pPr>
      <w:r>
        <w:rPr>
          <w:spacing w:val="-2"/>
        </w:rPr>
        <w:t>等长期资产，于资产负债表日存在减值迹象的，进行减值测试。减值测试结果表明资产的可收回金额低于</w:t>
      </w:r>
      <w:r>
        <w:rPr>
          <w:spacing w:val="-43"/>
        </w:rPr>
        <w:t> </w:t>
      </w:r>
      <w:r>
        <w:rPr>
          <w:spacing w:val="-43"/>
        </w:rPr>
      </w:r>
      <w:r>
        <w:rPr>
          <w:spacing w:val="-2"/>
        </w:rPr>
        <w:t>其账面价值的，按其差额计提减值准备并计入减值损失。可收回金额为资产的公允价值减去处置费用后的</w:t>
      </w:r>
      <w:r>
        <w:rPr>
          <w:spacing w:val="-42"/>
        </w:rPr>
        <w:t> </w:t>
      </w:r>
      <w:r>
        <w:rPr>
          <w:spacing w:val="-42"/>
        </w:rPr>
      </w:r>
      <w:r>
        <w:rPr>
          <w:spacing w:val="-2"/>
        </w:rPr>
        <w:t>净额与资产预计未来现金流量的现值两者之间的较高者。资产减值准备按单项资产为基础计算并确认，如</w:t>
      </w:r>
      <w:r>
        <w:rPr>
          <w:spacing w:val="-43"/>
        </w:rPr>
        <w:t> </w:t>
      </w:r>
      <w:r>
        <w:rPr>
          <w:spacing w:val="-43"/>
        </w:rPr>
      </w:r>
      <w:r>
        <w:rPr>
          <w:spacing w:val="-2"/>
        </w:rPr>
        <w:t>果难以对单项资产的可收回金额进行估计的，以该资产所属的资产组确定资产组的可收回金额。资产组是</w:t>
      </w:r>
      <w:r>
        <w:rPr>
          <w:spacing w:val="-42"/>
        </w:rPr>
        <w:t> </w:t>
      </w:r>
      <w:r>
        <w:rPr>
          <w:spacing w:val="-42"/>
        </w:rPr>
      </w:r>
      <w:r>
        <w:rPr/>
        <w:t>能够独立产生现金流入的最小资产组合。</w:t>
      </w:r>
    </w:p>
    <w:p>
      <w:pPr>
        <w:pStyle w:val="BodyText"/>
        <w:spacing w:line="273" w:lineRule="auto" w:before="7"/>
        <w:ind w:left="573" w:right="0"/>
        <w:jc w:val="left"/>
      </w:pPr>
      <w:r>
        <w:rPr/>
        <w:t>商誉和使用寿命不确定的无形资产至少在每年年度终了进行减值测试。</w:t>
      </w:r>
      <w:r>
        <w:rPr>
          <w:w w:val="100"/>
        </w:rPr>
        <w:t> </w:t>
      </w:r>
      <w:r>
        <w:rPr>
          <w:spacing w:val="-2"/>
        </w:rPr>
        <w:t>本公司进行商誉减值测试，对于因企业合并形成的商誉的账面价值，自购买日起按照合理的方法分摊</w:t>
      </w:r>
    </w:p>
    <w:p>
      <w:pPr>
        <w:pStyle w:val="BodyText"/>
        <w:spacing w:line="240" w:lineRule="auto" w:before="7"/>
        <w:ind w:right="0"/>
        <w:jc w:val="left"/>
      </w:pPr>
      <w:r>
        <w:rPr/>
        <w:t>至相关的资产组；难以分摊至相关的资产组的，将其分摊至相关的资产组组合。在将商誉的账面价值分摊</w:t>
      </w:r>
    </w:p>
    <w:p>
      <w:pPr>
        <w:spacing w:after="0" w:line="240" w:lineRule="auto"/>
        <w:jc w:val="left"/>
        <w:sectPr>
          <w:pgSz w:w="11910" w:h="16840"/>
          <w:pgMar w:header="877" w:footer="979" w:top="1100" w:bottom="1160" w:left="980" w:right="980"/>
        </w:sectPr>
      </w:pPr>
    </w:p>
    <w:p>
      <w:pPr>
        <w:spacing w:line="240" w:lineRule="auto" w:before="11"/>
        <w:rPr>
          <w:rFonts w:ascii="宋体" w:hAnsi="宋体" w:cs="宋体" w:eastAsia="宋体" w:hint="default"/>
          <w:sz w:val="20"/>
          <w:szCs w:val="20"/>
        </w:rPr>
      </w:pPr>
    </w:p>
    <w:p>
      <w:pPr>
        <w:pStyle w:val="BodyText"/>
        <w:spacing w:line="273" w:lineRule="auto" w:before="36"/>
        <w:ind w:right="206"/>
        <w:jc w:val="both"/>
      </w:pPr>
      <w:r>
        <w:rPr>
          <w:spacing w:val="-2"/>
        </w:rPr>
        <w:t>至相关的资产组或者资产组组合时，按照各资产组或者资产组组合的公允价值占相关资产组或者资产组组</w:t>
      </w:r>
      <w:r>
        <w:rPr>
          <w:spacing w:val="-43"/>
        </w:rPr>
        <w:t> </w:t>
      </w:r>
      <w:r>
        <w:rPr>
          <w:spacing w:val="-43"/>
        </w:rPr>
      </w:r>
      <w:r>
        <w:rPr>
          <w:spacing w:val="-2"/>
        </w:rPr>
        <w:t>合公允价值总额的比例进行分摊。公允价值难以可靠计量的，按照各资产组或者资产组组合的账面价值占</w:t>
      </w:r>
      <w:r>
        <w:rPr>
          <w:spacing w:val="-43"/>
        </w:rPr>
        <w:t> </w:t>
      </w:r>
      <w:r>
        <w:rPr>
          <w:spacing w:val="-43"/>
        </w:rPr>
      </w:r>
      <w:r>
        <w:rPr/>
        <w:t>相关资产组或者资产组组合账面价值总额的比例进行分摊。</w:t>
      </w:r>
    </w:p>
    <w:p>
      <w:pPr>
        <w:pStyle w:val="BodyText"/>
        <w:spacing w:line="273" w:lineRule="auto" w:before="7"/>
        <w:ind w:right="97" w:firstLine="420"/>
        <w:jc w:val="left"/>
      </w:pPr>
      <w:r>
        <w:rPr/>
        <w:t>在对包含商誉的相关资产组或者资产组组合进行减值测试时，如与商誉相关的资产组或者资产组组合</w:t>
      </w:r>
      <w:r>
        <w:rPr>
          <w:w w:val="100"/>
        </w:rPr>
        <w:t> </w:t>
      </w:r>
      <w:r>
        <w:rPr>
          <w:spacing w:val="-2"/>
        </w:rPr>
        <w:t>存在减值迹象的，先对不包含商誉的资产组或者资产组组合进行减值测试，计算可收回金额，并与相关账</w:t>
      </w:r>
      <w:r>
        <w:rPr>
          <w:spacing w:val="-44"/>
        </w:rPr>
        <w:t> </w:t>
      </w:r>
      <w:r>
        <w:rPr>
          <w:spacing w:val="-44"/>
        </w:rPr>
      </w:r>
      <w:r>
        <w:rPr>
          <w:spacing w:val="-2"/>
        </w:rPr>
        <w:t>面价值相比较，确认相应的减值损失。再对包含商誉的资产组或者资产组组合进行减值测试，比较这些相</w:t>
      </w:r>
      <w:r>
        <w:rPr>
          <w:spacing w:val="-44"/>
        </w:rPr>
        <w:t> </w:t>
      </w:r>
      <w:r>
        <w:rPr>
          <w:spacing w:val="-44"/>
        </w:rPr>
      </w:r>
      <w:r>
        <w:rPr>
          <w:spacing w:val="-2"/>
        </w:rPr>
        <w:t>关资产组或者资产组组合的账面价值（包括所分摊的商誉的账面价值部分）与其可收回金额，如相关资产</w:t>
      </w:r>
      <w:r>
        <w:rPr>
          <w:spacing w:val="-43"/>
        </w:rPr>
        <w:t> </w:t>
      </w:r>
      <w:r>
        <w:rPr>
          <w:spacing w:val="-43"/>
        </w:rPr>
      </w:r>
      <w:r>
        <w:rPr/>
        <w:t>组或者资产组组合的可收回金额低于其账面价值的，确认商誉的减值损失。</w:t>
      </w:r>
      <w:r>
        <w:rPr>
          <w:spacing w:val="-28"/>
        </w:rPr>
        <w:t> </w:t>
      </w:r>
      <w:r>
        <w:rPr/>
        <w:t>上述资产减值损失一经确认，</w:t>
      </w:r>
      <w:r>
        <w:rPr>
          <w:w w:val="100"/>
        </w:rPr>
        <w:t> </w:t>
      </w:r>
      <w:r>
        <w:rPr/>
        <w:t>在以后会计期间不予转回。</w:t>
      </w:r>
    </w:p>
    <w:p>
      <w:pPr>
        <w:spacing w:line="616" w:lineRule="exact" w:before="60"/>
        <w:ind w:left="573" w:right="105"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21</w:t>
      </w:r>
      <w:r>
        <w:rPr>
          <w:rFonts w:ascii="宋体" w:hAnsi="宋体" w:cs="宋体" w:eastAsia="宋体" w:hint="default"/>
          <w:b/>
          <w:bCs/>
          <w:sz w:val="21"/>
          <w:szCs w:val="21"/>
        </w:rPr>
        <w:t>、长期待摊费用</w:t>
      </w:r>
      <w:r>
        <w:rPr>
          <w:rFonts w:ascii="宋体" w:hAnsi="宋体" w:cs="宋体" w:eastAsia="宋体" w:hint="default"/>
          <w:b/>
          <w:bCs/>
          <w:w w:val="100"/>
          <w:sz w:val="21"/>
          <w:szCs w:val="21"/>
        </w:rPr>
        <w:t> </w:t>
      </w:r>
      <w:r>
        <w:rPr>
          <w:rFonts w:ascii="宋体" w:hAnsi="宋体" w:cs="宋体" w:eastAsia="宋体" w:hint="default"/>
          <w:spacing w:val="-2"/>
          <w:sz w:val="21"/>
          <w:szCs w:val="21"/>
        </w:rPr>
        <w:t>长期待摊费用为已经发生但应由本期和以后各期负担的分摊期限在一年以上的各项费用。</w:t>
      </w:r>
    </w:p>
    <w:p>
      <w:pPr>
        <w:pStyle w:val="BodyText"/>
        <w:spacing w:line="234" w:lineRule="exact"/>
        <w:ind w:left="573" w:right="105"/>
        <w:jc w:val="left"/>
      </w:pPr>
      <w:r>
        <w:rPr/>
        <w:t>（</w:t>
      </w:r>
      <w:r>
        <w:rPr>
          <w:rFonts w:ascii="Times New Roman" w:hAnsi="Times New Roman" w:cs="Times New Roman" w:eastAsia="Times New Roman" w:hint="default"/>
        </w:rPr>
        <w:t>1</w:t>
      </w:r>
      <w:r>
        <w:rPr/>
        <w:t>）摊销方法</w:t>
      </w:r>
    </w:p>
    <w:p>
      <w:pPr>
        <w:pStyle w:val="BodyText"/>
        <w:spacing w:line="240" w:lineRule="auto" w:before="21"/>
        <w:ind w:left="573" w:right="105"/>
        <w:jc w:val="left"/>
      </w:pPr>
      <w:r>
        <w:rPr/>
        <w:t>长期待摊费用在受益期内平均摊销。</w:t>
      </w:r>
    </w:p>
    <w:p>
      <w:pPr>
        <w:pStyle w:val="BodyText"/>
        <w:spacing w:line="256" w:lineRule="auto" w:before="37"/>
        <w:ind w:left="573" w:right="105"/>
        <w:jc w:val="left"/>
      </w:pPr>
      <w:r>
        <w:rPr/>
        <w:t>（</w:t>
      </w:r>
      <w:r>
        <w:rPr>
          <w:rFonts w:ascii="Times New Roman" w:hAnsi="Times New Roman" w:cs="Times New Roman" w:eastAsia="Times New Roman" w:hint="default"/>
        </w:rPr>
        <w:t>2</w:t>
      </w:r>
      <w:r>
        <w:rPr/>
        <w:t>）摊销年限</w:t>
      </w:r>
      <w:r>
        <w:rPr>
          <w:w w:val="100"/>
        </w:rPr>
        <w:t> </w:t>
      </w:r>
      <w:r>
        <w:rPr>
          <w:spacing w:val="-2"/>
        </w:rPr>
        <w:t>长期待摊费用摊销年限为</w:t>
      </w:r>
      <w:r>
        <w:rPr>
          <w:rFonts w:ascii="Times New Roman" w:hAnsi="Times New Roman" w:cs="Times New Roman" w:eastAsia="Times New Roman" w:hint="default"/>
          <w:spacing w:val="-2"/>
        </w:rPr>
        <w:t>5</w:t>
      </w:r>
      <w:r>
        <w:rPr>
          <w:spacing w:val="-2"/>
        </w:rPr>
        <w:t>年，对不能使以后会计期间受益的长期待摊费用项目，其摊余价值全部计</w:t>
      </w:r>
    </w:p>
    <w:p>
      <w:pPr>
        <w:pStyle w:val="BodyText"/>
        <w:spacing w:line="240" w:lineRule="auto" w:before="5"/>
        <w:ind w:right="105"/>
        <w:jc w:val="left"/>
      </w:pPr>
      <w:r>
        <w:rPr/>
        <w:t>入当期损益。</w:t>
      </w:r>
    </w:p>
    <w:p>
      <w:pPr>
        <w:spacing w:line="240" w:lineRule="auto" w:before="10"/>
        <w:rPr>
          <w:rFonts w:ascii="宋体" w:hAnsi="宋体" w:cs="宋体" w:eastAsia="宋体" w:hint="default"/>
          <w:sz w:val="25"/>
          <w:szCs w:val="25"/>
        </w:rPr>
      </w:pPr>
    </w:p>
    <w:p>
      <w:pPr>
        <w:pStyle w:val="Heading4"/>
        <w:spacing w:line="240" w:lineRule="auto"/>
        <w:ind w:right="105"/>
        <w:jc w:val="left"/>
        <w:rPr>
          <w:b w:val="0"/>
          <w:bCs w:val="0"/>
        </w:rPr>
      </w:pPr>
      <w:r>
        <w:rPr>
          <w:rFonts w:ascii="Times New Roman" w:hAnsi="Times New Roman" w:cs="Times New Roman" w:eastAsia="Times New Roman" w:hint="default"/>
        </w:rPr>
        <w:t>22</w:t>
      </w:r>
      <w:r>
        <w:rPr/>
        <w:t>、职工薪酬</w:t>
      </w:r>
      <w:r>
        <w:rPr>
          <w:b w:val="0"/>
          <w:bCs w:val="0"/>
        </w:rPr>
      </w:r>
    </w:p>
    <w:p>
      <w:pPr>
        <w:spacing w:line="600" w:lineRule="atLeast" w:before="12"/>
        <w:ind w:left="573" w:right="105"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本公司在职工为本公司提供服务的会计期间，将实际发生的短期薪酬确认为负债，并计入当期损益或</w:t>
      </w:r>
    </w:p>
    <w:p>
      <w:pPr>
        <w:pStyle w:val="BodyText"/>
        <w:spacing w:line="273" w:lineRule="auto" w:before="37"/>
        <w:ind w:left="573" w:right="105" w:hanging="421"/>
        <w:jc w:val="left"/>
      </w:pPr>
      <w:r>
        <w:rPr/>
        <w:t>相关资产成本。</w:t>
      </w:r>
      <w:r>
        <w:rPr>
          <w:spacing w:val="-103"/>
        </w:rPr>
        <w:t> </w:t>
      </w:r>
      <w:r>
        <w:rPr>
          <w:spacing w:val="-103"/>
        </w:rPr>
      </w:r>
      <w:r>
        <w:rPr>
          <w:spacing w:val="-2"/>
        </w:rPr>
        <w:t>本公司为职工缴纳的社会保险费和住房公积金，以及按规定提取的工会经费和职工教育经费，在职工</w:t>
      </w:r>
    </w:p>
    <w:p>
      <w:pPr>
        <w:pStyle w:val="BodyText"/>
        <w:spacing w:line="273" w:lineRule="auto" w:before="7"/>
        <w:ind w:left="573" w:right="105" w:hanging="421"/>
        <w:jc w:val="left"/>
      </w:pPr>
      <w:r>
        <w:rPr>
          <w:spacing w:val="-2"/>
        </w:rPr>
        <w:t>为本公司提供服务的会计期间，根据规定的计提基础和计提比例计算确定相应的职工薪酬金额。</w:t>
      </w:r>
      <w:r>
        <w:rPr>
          <w:spacing w:val="-25"/>
        </w:rPr>
        <w:t> </w:t>
      </w:r>
      <w:r>
        <w:rPr>
          <w:spacing w:val="-25"/>
        </w:rPr>
      </w:r>
      <w:r>
        <w:rPr/>
        <w:t>职工福利费为非货币性福利的，如能够可靠计量的，按照公允价值计量。</w:t>
      </w:r>
    </w:p>
    <w:p>
      <w:pPr>
        <w:spacing w:line="240" w:lineRule="auto" w:before="7"/>
        <w:rPr>
          <w:rFonts w:ascii="宋体" w:hAnsi="宋体" w:cs="宋体" w:eastAsia="宋体" w:hint="default"/>
          <w:sz w:val="23"/>
          <w:szCs w:val="23"/>
        </w:rPr>
      </w:pPr>
    </w:p>
    <w:p>
      <w:pPr>
        <w:pStyle w:val="Heading4"/>
        <w:spacing w:line="240" w:lineRule="auto"/>
        <w:ind w:right="105"/>
        <w:jc w:val="left"/>
        <w:rPr>
          <w:b w:val="0"/>
          <w:bCs w:val="0"/>
        </w:rPr>
      </w:pP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7"/>
        <w:rPr>
          <w:rFonts w:ascii="宋体" w:hAnsi="宋体" w:cs="宋体" w:eastAsia="宋体" w:hint="default"/>
          <w:b/>
          <w:bCs/>
          <w:sz w:val="24"/>
          <w:szCs w:val="24"/>
        </w:rPr>
      </w:pPr>
    </w:p>
    <w:p>
      <w:pPr>
        <w:pStyle w:val="BodyText"/>
        <w:spacing w:line="256" w:lineRule="auto"/>
        <w:ind w:left="573" w:right="105"/>
        <w:jc w:val="left"/>
      </w:pPr>
      <w:r>
        <w:rPr>
          <w:rFonts w:ascii="Times New Roman" w:hAnsi="Times New Roman" w:cs="Times New Roman" w:eastAsia="Times New Roman" w:hint="default"/>
        </w:rPr>
        <w:t>1</w:t>
      </w:r>
      <w:r>
        <w:rPr/>
        <w:t>）设定提存计划</w:t>
      </w:r>
      <w:r>
        <w:rPr>
          <w:w w:val="100"/>
        </w:rPr>
        <w:t> </w:t>
      </w:r>
      <w:r>
        <w:rPr>
          <w:spacing w:val="-2"/>
        </w:rPr>
        <w:t>本公司按当地政府的相关规定为职工缴纳基本养老保险和失业保险，在职工为本公司提供服务的会计</w:t>
      </w:r>
    </w:p>
    <w:p>
      <w:pPr>
        <w:pStyle w:val="BodyText"/>
        <w:spacing w:line="273" w:lineRule="auto" w:before="22"/>
        <w:ind w:left="573" w:right="105" w:hanging="421"/>
        <w:jc w:val="left"/>
      </w:pPr>
      <w:r>
        <w:rPr>
          <w:spacing w:val="-2"/>
        </w:rPr>
        <w:t>期间，按以当地规定的缴纳基数和比例计算应缴纳金额，确认为负债，并计入当期损益或相关资产成本。</w:t>
      </w:r>
      <w:r>
        <w:rPr>
          <w:spacing w:val="-23"/>
        </w:rPr>
        <w:t> </w:t>
      </w:r>
      <w:r>
        <w:rPr>
          <w:spacing w:val="-23"/>
        </w:rPr>
      </w:r>
      <w:r>
        <w:rPr>
          <w:spacing w:val="-2"/>
        </w:rPr>
        <w:t>除基本养老保险外，本公司还依据国家企业年金制度的相关政策建立了企业年金缴费制度（补充养老</w:t>
      </w:r>
    </w:p>
    <w:p>
      <w:pPr>
        <w:pStyle w:val="BodyText"/>
        <w:spacing w:line="256" w:lineRule="auto" w:before="7"/>
        <w:ind w:right="278"/>
        <w:jc w:val="both"/>
      </w:pPr>
      <w:r>
        <w:rPr>
          <w:spacing w:val="-2"/>
        </w:rPr>
        <w:t>保险）</w:t>
      </w:r>
      <w:r>
        <w:rPr>
          <w:rFonts w:ascii="Times New Roman" w:hAnsi="Times New Roman" w:cs="Times New Roman" w:eastAsia="Times New Roman" w:hint="default"/>
          <w:spacing w:val="-2"/>
        </w:rPr>
        <w:t>/</w:t>
      </w:r>
      <w:r>
        <w:rPr>
          <w:spacing w:val="-2"/>
        </w:rPr>
        <w:t>企业年金计划。本公司按职工工资总额的一定比例向当地社会保险机构缴费</w:t>
      </w:r>
      <w:r>
        <w:rPr>
          <w:rFonts w:ascii="Times New Roman" w:hAnsi="Times New Roman" w:cs="Times New Roman" w:eastAsia="Times New Roman" w:hint="default"/>
          <w:spacing w:val="-2"/>
        </w:rPr>
        <w:t>/</w:t>
      </w:r>
      <w:r>
        <w:rPr>
          <w:spacing w:val="-2"/>
        </w:rPr>
        <w:t>年金计划缴费，相应</w:t>
      </w:r>
      <w:r>
        <w:rPr>
          <w:spacing w:val="-19"/>
        </w:rPr>
        <w:t> </w:t>
      </w:r>
      <w:r>
        <w:rPr>
          <w:spacing w:val="-19"/>
        </w:rPr>
      </w:r>
      <w:r>
        <w:rPr/>
        <w:t>支出计入当期损益或相关资产成本。</w:t>
      </w:r>
    </w:p>
    <w:p>
      <w:pPr>
        <w:pStyle w:val="BodyText"/>
        <w:spacing w:line="256" w:lineRule="auto" w:before="22"/>
        <w:ind w:left="573" w:right="105"/>
        <w:jc w:val="left"/>
      </w:pPr>
      <w:r>
        <w:rPr>
          <w:rFonts w:ascii="Times New Roman" w:hAnsi="Times New Roman" w:cs="Times New Roman" w:eastAsia="Times New Roman" w:hint="default"/>
        </w:rPr>
        <w:t>2</w:t>
      </w:r>
      <w:r>
        <w:rPr/>
        <w:t>）设定受益计划</w:t>
      </w:r>
      <w:r>
        <w:rPr>
          <w:w w:val="100"/>
        </w:rPr>
        <w:t> </w:t>
      </w:r>
      <w:r>
        <w:rPr>
          <w:spacing w:val="-2"/>
        </w:rPr>
        <w:t>本公司根据预期累计福利单位法确定的公式将设定受益计划产生的福利义务归属于职工提供服务的</w:t>
      </w:r>
    </w:p>
    <w:p>
      <w:pPr>
        <w:pStyle w:val="BodyText"/>
        <w:spacing w:line="273" w:lineRule="auto" w:before="22"/>
        <w:ind w:left="573" w:right="105" w:hanging="421"/>
        <w:jc w:val="left"/>
      </w:pPr>
      <w:r>
        <w:rPr/>
        <w:t>期间，并计入当期损益或相关资产成本。</w:t>
      </w:r>
      <w:r>
        <w:rPr>
          <w:w w:val="100"/>
        </w:rPr>
        <w:t> </w:t>
      </w:r>
      <w:r>
        <w:rPr>
          <w:spacing w:val="-2"/>
        </w:rPr>
        <w:t>设定受益计划义务现值减去设定受益计划资产公允价值所形成的赤字或盈余确认为一项设定受益计</w:t>
      </w:r>
    </w:p>
    <w:p>
      <w:pPr>
        <w:pStyle w:val="BodyText"/>
        <w:spacing w:line="273" w:lineRule="auto" w:before="7"/>
        <w:ind w:right="206"/>
        <w:jc w:val="both"/>
      </w:pPr>
      <w:r>
        <w:rPr>
          <w:spacing w:val="-2"/>
        </w:rPr>
        <w:t>划净负债或净资产。设定受益计划存在盈余的，本公司以设定受益计划的盈余和资产上限两项的孰低者计</w:t>
      </w:r>
      <w:r>
        <w:rPr>
          <w:spacing w:val="-42"/>
        </w:rPr>
        <w:t> </w:t>
      </w:r>
      <w:r>
        <w:rPr>
          <w:spacing w:val="-42"/>
        </w:rPr>
      </w:r>
      <w:r>
        <w:rPr/>
        <w:t>量设定受益计划净资产。</w:t>
      </w:r>
    </w:p>
    <w:p>
      <w:pPr>
        <w:pStyle w:val="BodyText"/>
        <w:spacing w:line="273" w:lineRule="auto" w:before="7"/>
        <w:ind w:right="105" w:firstLine="420"/>
        <w:jc w:val="left"/>
      </w:pPr>
      <w:r>
        <w:rPr>
          <w:spacing w:val="-2"/>
        </w:rPr>
        <w:t>所有设定受益计划义务，包括预期在职工提供服务的年度报告期间结束后的十二个月内支付的义务，</w:t>
      </w:r>
      <w:r>
        <w:rPr>
          <w:w w:val="100"/>
        </w:rPr>
        <w:t> </w:t>
      </w:r>
      <w:r>
        <w:rPr/>
        <w:t>根据资产负债表日与设定受益计划义务期限和币种相匹配的国债或活跃市场上的高质量公司债券的市场</w:t>
      </w:r>
    </w:p>
    <w:p>
      <w:pPr>
        <w:spacing w:after="0" w:line="273" w:lineRule="auto"/>
        <w:jc w:val="left"/>
        <w:sectPr>
          <w:pgSz w:w="11910" w:h="16840"/>
          <w:pgMar w:header="877" w:footer="979" w:top="1100" w:bottom="1160" w:left="980" w:right="920"/>
        </w:sectPr>
      </w:pPr>
    </w:p>
    <w:p>
      <w:pPr>
        <w:spacing w:line="240" w:lineRule="auto" w:before="11"/>
        <w:rPr>
          <w:rFonts w:ascii="宋体" w:hAnsi="宋体" w:cs="宋体" w:eastAsia="宋体" w:hint="default"/>
          <w:sz w:val="20"/>
          <w:szCs w:val="20"/>
        </w:rPr>
      </w:pPr>
    </w:p>
    <w:p>
      <w:pPr>
        <w:pStyle w:val="BodyText"/>
        <w:spacing w:line="273" w:lineRule="auto" w:before="36"/>
        <w:ind w:left="573" w:right="105" w:hanging="421"/>
        <w:jc w:val="left"/>
      </w:pPr>
      <w:r>
        <w:rPr/>
        <w:t>收益率予以折现。</w:t>
      </w:r>
      <w:r>
        <w:rPr>
          <w:w w:val="100"/>
        </w:rPr>
        <w:t> </w:t>
      </w:r>
      <w:r>
        <w:rPr>
          <w:spacing w:val="-2"/>
        </w:rPr>
        <w:t>设定受益计划产生的服务成本和设定受益计划净负债或净资产的利息净额计入当期损益或相关资产</w:t>
      </w:r>
    </w:p>
    <w:p>
      <w:pPr>
        <w:pStyle w:val="BodyText"/>
        <w:spacing w:line="273" w:lineRule="auto" w:before="7"/>
        <w:ind w:left="0" w:right="186"/>
        <w:jc w:val="right"/>
      </w:pPr>
      <w:r>
        <w:rPr>
          <w:spacing w:val="-2"/>
        </w:rPr>
        <w:t>成本；重新计量设定受益计划净负债或净资产所产生的变动计入其他综合收益，并且在后续会计期间不转</w:t>
      </w:r>
      <w:r>
        <w:rPr>
          <w:spacing w:val="-85"/>
        </w:rPr>
        <w:t> </w:t>
      </w:r>
      <w:r>
        <w:rPr>
          <w:spacing w:val="-85"/>
        </w:rPr>
      </w:r>
      <w:r>
        <w:rPr>
          <w:spacing w:val="-2"/>
        </w:rPr>
        <w:t>回至损益，在原设定受益计划终止时在权益范围内将原计入其他综合收益的部分全部结转至未分配利润。</w:t>
      </w:r>
      <w:r>
        <w:rPr>
          <w:spacing w:val="-45"/>
        </w:rPr>
        <w:t> </w:t>
      </w:r>
      <w:r>
        <w:rPr>
          <w:spacing w:val="-45"/>
        </w:rPr>
      </w:r>
      <w:r>
        <w:rPr>
          <w:spacing w:val="-2"/>
        </w:rPr>
        <w:t>在设定受益计划结算时，按在结算日确定的设定受益计划义务现值和结算价格两者的差额，确认结算</w:t>
      </w:r>
    </w:p>
    <w:p>
      <w:pPr>
        <w:pStyle w:val="BodyText"/>
        <w:spacing w:line="240" w:lineRule="auto" w:before="7"/>
        <w:ind w:right="105"/>
        <w:jc w:val="left"/>
      </w:pPr>
      <w:r>
        <w:rPr/>
        <w:t>利得或损失。</w:t>
      </w:r>
    </w:p>
    <w:p>
      <w:pPr>
        <w:pStyle w:val="BodyText"/>
        <w:spacing w:line="240" w:lineRule="auto" w:before="37"/>
        <w:ind w:left="573" w:right="105"/>
        <w:jc w:val="left"/>
      </w:pPr>
      <w:r>
        <w:rPr/>
        <w:t>详见本附注</w:t>
      </w:r>
      <w:r>
        <w:rPr>
          <w:rFonts w:ascii="Times New Roman" w:hAnsi="Times New Roman" w:cs="Times New Roman" w:eastAsia="Times New Roman" w:hint="default"/>
        </w:rPr>
        <w:t>“</w:t>
      </w:r>
      <w:r>
        <w:rPr/>
        <w:t>七、</w:t>
      </w:r>
      <w:r>
        <w:rPr>
          <w:rFonts w:ascii="Times New Roman" w:hAnsi="Times New Roman" w:cs="Times New Roman" w:eastAsia="Times New Roman" w:hint="default"/>
        </w:rPr>
        <w:t>18</w:t>
      </w:r>
      <w:r>
        <w:rPr/>
        <w:t>应付职工薪酬</w:t>
      </w:r>
      <w:r>
        <w:rPr>
          <w:rFonts w:ascii="Times New Roman" w:hAnsi="Times New Roman" w:cs="Times New Roman" w:eastAsia="Times New Roman" w:hint="default"/>
        </w:rPr>
        <w:t>”</w:t>
      </w:r>
      <w:r>
        <w:rPr/>
        <w:t>。</w:t>
      </w:r>
    </w:p>
    <w:p>
      <w:pPr>
        <w:spacing w:line="240" w:lineRule="auto" w:before="10"/>
        <w:rPr>
          <w:rFonts w:ascii="宋体" w:hAnsi="宋体" w:cs="宋体" w:eastAsia="宋体" w:hint="default"/>
          <w:sz w:val="24"/>
          <w:szCs w:val="24"/>
        </w:rPr>
      </w:pPr>
    </w:p>
    <w:p>
      <w:pPr>
        <w:spacing w:line="600" w:lineRule="atLeast" w:before="0"/>
        <w:ind w:left="573" w:right="105"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）辞退福利的会计处理方法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本公司在不能单方面撤回因解除劳动关系计划或裁减建议所提供的辞退福利时，或确认与涉及支付辞</w:t>
      </w:r>
    </w:p>
    <w:p>
      <w:pPr>
        <w:pStyle w:val="BodyText"/>
        <w:spacing w:line="240" w:lineRule="auto" w:before="37"/>
        <w:ind w:right="105"/>
        <w:jc w:val="left"/>
      </w:pPr>
      <w:r>
        <w:rPr/>
        <w:t>退福利的重组相关的成本或费用时（两者孰早），确认辞退福利产生的职工薪酬负债，并计入当期损益。</w:t>
      </w:r>
    </w:p>
    <w:p>
      <w:pPr>
        <w:spacing w:line="240" w:lineRule="auto" w:before="10"/>
        <w:rPr>
          <w:rFonts w:ascii="宋体" w:hAnsi="宋体" w:cs="宋体" w:eastAsia="宋体" w:hint="default"/>
          <w:sz w:val="25"/>
          <w:szCs w:val="25"/>
        </w:rPr>
      </w:pPr>
    </w:p>
    <w:p>
      <w:pPr>
        <w:pStyle w:val="Heading4"/>
        <w:spacing w:line="240" w:lineRule="auto"/>
        <w:ind w:right="105"/>
        <w:jc w:val="left"/>
        <w:rPr>
          <w:b w:val="0"/>
          <w:bCs w:val="0"/>
        </w:rPr>
      </w:pPr>
      <w:r>
        <w:rPr>
          <w:rFonts w:ascii="Times New Roman" w:hAnsi="Times New Roman" w:cs="Times New Roman" w:eastAsia="Times New Roman" w:hint="default"/>
        </w:rPr>
        <w:t>23</w:t>
      </w:r>
      <w:r>
        <w:rPr/>
        <w:t>、预计负债</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573" w:right="105"/>
        <w:jc w:val="left"/>
      </w:pPr>
      <w:r>
        <w:rPr/>
        <w:t>本报告期未发生预计负债事项。</w:t>
      </w:r>
    </w:p>
    <w:p>
      <w:pPr>
        <w:spacing w:line="240" w:lineRule="auto" w:before="10"/>
        <w:rPr>
          <w:rFonts w:ascii="宋体" w:hAnsi="宋体" w:cs="宋体" w:eastAsia="宋体" w:hint="default"/>
          <w:sz w:val="25"/>
          <w:szCs w:val="25"/>
        </w:rPr>
      </w:pPr>
    </w:p>
    <w:p>
      <w:pPr>
        <w:pStyle w:val="Heading4"/>
        <w:spacing w:line="240" w:lineRule="auto"/>
        <w:ind w:right="105"/>
        <w:jc w:val="left"/>
        <w:rPr>
          <w:b w:val="0"/>
          <w:bCs w:val="0"/>
        </w:rPr>
      </w:pPr>
      <w:r>
        <w:rPr>
          <w:rFonts w:ascii="Times New Roman" w:hAnsi="Times New Roman" w:cs="Times New Roman" w:eastAsia="Times New Roman" w:hint="default"/>
        </w:rPr>
        <w:t>24</w:t>
      </w:r>
      <w:r>
        <w:rPr/>
        <w:t>、股份支付</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left="573" w:right="105"/>
        <w:jc w:val="left"/>
      </w:pPr>
      <w:r>
        <w:rPr/>
        <w:t>本报告期未发生股份支付及权益工具事项。</w:t>
      </w:r>
    </w:p>
    <w:p>
      <w:pPr>
        <w:spacing w:line="240" w:lineRule="auto" w:before="10"/>
        <w:rPr>
          <w:rFonts w:ascii="宋体" w:hAnsi="宋体" w:cs="宋体" w:eastAsia="宋体" w:hint="default"/>
          <w:sz w:val="25"/>
          <w:szCs w:val="25"/>
        </w:rPr>
      </w:pPr>
    </w:p>
    <w:p>
      <w:pPr>
        <w:spacing w:line="506" w:lineRule="auto" w:before="0"/>
        <w:ind w:left="573" w:right="2702"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25</w:t>
      </w:r>
      <w:r>
        <w:rPr>
          <w:rFonts w:ascii="宋体" w:hAnsi="宋体" w:cs="宋体" w:eastAsia="宋体" w:hint="default"/>
          <w:b/>
          <w:bCs/>
          <w:sz w:val="21"/>
          <w:szCs w:val="21"/>
        </w:rPr>
        <w:t>、优先股、永续债等其他金融工具</w:t>
      </w:r>
      <w:r>
        <w:rPr>
          <w:rFonts w:ascii="宋体" w:hAnsi="宋体" w:cs="宋体" w:eastAsia="宋体" w:hint="default"/>
          <w:b/>
          <w:bCs/>
          <w:w w:val="100"/>
          <w:sz w:val="21"/>
          <w:szCs w:val="21"/>
        </w:rPr>
        <w:t> </w:t>
      </w:r>
      <w:r>
        <w:rPr>
          <w:rFonts w:ascii="宋体" w:hAnsi="宋体" w:cs="宋体" w:eastAsia="宋体" w:hint="default"/>
          <w:spacing w:val="-2"/>
          <w:sz w:val="21"/>
          <w:szCs w:val="21"/>
        </w:rPr>
        <w:t>本报告期未发生优先股、永续债等其他金融工具事项。</w:t>
      </w:r>
    </w:p>
    <w:p>
      <w:pPr>
        <w:pStyle w:val="Heading4"/>
        <w:spacing w:line="240" w:lineRule="auto" w:before="104"/>
        <w:ind w:right="105"/>
        <w:jc w:val="left"/>
        <w:rPr>
          <w:b w:val="0"/>
          <w:bCs w:val="0"/>
        </w:rPr>
      </w:pPr>
      <w:r>
        <w:rPr>
          <w:rFonts w:ascii="Times New Roman" w:hAnsi="Times New Roman" w:cs="Times New Roman" w:eastAsia="Times New Roman" w:hint="default"/>
        </w:rPr>
        <w:t>26</w:t>
      </w:r>
      <w:r>
        <w:rPr/>
        <w:t>、收入</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right="105" w:firstLine="420"/>
        <w:jc w:val="left"/>
      </w:pPr>
      <w:r>
        <w:rPr/>
        <w:t>公司已将商品所有权上的主要风险和报酬转移给购买方；公司既没有保留与所有权相联系的继续管理</w:t>
      </w:r>
      <w:r>
        <w:rPr>
          <w:w w:val="100"/>
        </w:rPr>
        <w:t> </w:t>
      </w:r>
      <w:r>
        <w:rPr>
          <w:spacing w:val="-5"/>
        </w:rPr>
        <w:t>权，也没有对已售出的商品实施有效控制；收入的金额能够可靠地计量；相关的经济利益很可能流入企业；</w:t>
      </w:r>
      <w:r>
        <w:rPr>
          <w:spacing w:val="-6"/>
        </w:rPr>
        <w:t> </w:t>
      </w:r>
      <w:r>
        <w:rPr>
          <w:spacing w:val="-6"/>
        </w:rPr>
      </w:r>
      <w:r>
        <w:rPr/>
        <w:t>相关的已发生或将发生的成本能够可靠地计量时，确认商品销售收入实现。</w:t>
      </w:r>
    </w:p>
    <w:p>
      <w:pPr>
        <w:pStyle w:val="BodyText"/>
        <w:spacing w:line="256" w:lineRule="auto" w:before="7"/>
        <w:ind w:right="105" w:firstLine="420"/>
        <w:jc w:val="left"/>
      </w:pPr>
      <w:r>
        <w:rPr>
          <w:spacing w:val="-2"/>
        </w:rPr>
        <w:t>（</w:t>
      </w:r>
      <w:r>
        <w:rPr>
          <w:rFonts w:ascii="Times New Roman" w:hAnsi="Times New Roman" w:cs="Times New Roman" w:eastAsia="Times New Roman" w:hint="default"/>
          <w:spacing w:val="-2"/>
        </w:rPr>
        <w:t>1</w:t>
      </w:r>
      <w:r>
        <w:rPr>
          <w:spacing w:val="-2"/>
        </w:rPr>
        <w:t>）内销：公司产品运往客户指定地点，交付客户并取得客户验收确认，价格已经确定，取得货款</w:t>
      </w:r>
      <w:r>
        <w:rPr>
          <w:w w:val="100"/>
        </w:rPr>
        <w:t> </w:t>
      </w:r>
      <w:r>
        <w:rPr/>
        <w:t>或索取货款的依据。</w:t>
      </w:r>
    </w:p>
    <w:p>
      <w:pPr>
        <w:pStyle w:val="BodyText"/>
        <w:spacing w:line="266" w:lineRule="auto" w:before="22"/>
        <w:ind w:right="105" w:firstLine="420"/>
        <w:jc w:val="left"/>
      </w:pPr>
      <w:r>
        <w:rPr/>
        <w:t>（</w:t>
      </w:r>
      <w:r>
        <w:rPr>
          <w:rFonts w:ascii="Times New Roman" w:hAnsi="Times New Roman" w:cs="Times New Roman" w:eastAsia="Times New Roman" w:hint="default"/>
        </w:rPr>
        <w:t>2</w:t>
      </w:r>
      <w:r>
        <w:rPr/>
        <w:t>）自营出口：出口专用发票已开出；已收款或取得索取货款的依据；已完成报关手续；海关已在</w:t>
      </w:r>
      <w:r>
        <w:rPr>
          <w:w w:val="100"/>
        </w:rPr>
        <w:t> </w:t>
      </w:r>
      <w:r>
        <w:rPr>
          <w:spacing w:val="-2"/>
        </w:rPr>
        <w:t>相关的《出口货物报关单》、《出口收汇核销单》上盖章确认；指定港船上交货，货物越过船舷（合同约</w:t>
      </w:r>
      <w:r>
        <w:rPr>
          <w:spacing w:val="-50"/>
        </w:rPr>
        <w:t> </w:t>
      </w:r>
      <w:r>
        <w:rPr>
          <w:spacing w:val="-50"/>
        </w:rPr>
      </w:r>
      <w:r>
        <w:rPr/>
        <w:t>定按离岸价成交）。</w:t>
      </w:r>
    </w:p>
    <w:p>
      <w:pPr>
        <w:pStyle w:val="BodyText"/>
        <w:spacing w:line="273" w:lineRule="auto" w:before="14"/>
        <w:ind w:right="304" w:firstLine="420"/>
        <w:jc w:val="left"/>
      </w:pPr>
      <w:r>
        <w:rPr/>
        <w:t>本公司按照从购货方已收或应收的合同或协议价款确定销售商品收入金额，</w:t>
      </w:r>
      <w:r>
        <w:rPr>
          <w:spacing w:val="-25"/>
        </w:rPr>
        <w:t> </w:t>
      </w:r>
      <w:r>
        <w:rPr/>
        <w:t>但已收或应收的合同或</w:t>
      </w:r>
      <w:r>
        <w:rPr>
          <w:w w:val="100"/>
        </w:rPr>
        <w:t> </w:t>
      </w:r>
      <w:r>
        <w:rPr/>
        <w:t>协议价款不公允的除外。</w:t>
      </w:r>
    </w:p>
    <w:p>
      <w:pPr>
        <w:pStyle w:val="BodyText"/>
        <w:spacing w:line="273" w:lineRule="auto" w:before="7"/>
        <w:ind w:right="105" w:firstLine="420"/>
        <w:jc w:val="left"/>
      </w:pPr>
      <w:r>
        <w:rPr/>
        <w:t>合同或协议价款的收取采用递延方式，实质上具有融资性质的，应当按照应收的合同或</w:t>
      </w:r>
      <w:r>
        <w:rPr>
          <w:spacing w:val="-25"/>
        </w:rPr>
        <w:t> </w:t>
      </w:r>
      <w:r>
        <w:rPr/>
        <w:t>协议价款的</w:t>
      </w:r>
      <w:r>
        <w:rPr>
          <w:w w:val="100"/>
        </w:rPr>
        <w:t> </w:t>
      </w:r>
      <w:r>
        <w:rPr>
          <w:spacing w:val="-2"/>
        </w:rPr>
        <w:t>公允价值确定销售商品收入金额。应收的合同或协议价款与其公允价值之间的差额，应当在合同或协议期</w:t>
      </w:r>
      <w:r>
        <w:rPr>
          <w:spacing w:val="-44"/>
        </w:rPr>
        <w:t> </w:t>
      </w:r>
      <w:r>
        <w:rPr>
          <w:spacing w:val="-44"/>
        </w:rPr>
      </w:r>
      <w:r>
        <w:rPr/>
        <w:t>间内采用实际利率法进行摊销，计入当期损益。</w:t>
      </w:r>
    </w:p>
    <w:p>
      <w:pPr>
        <w:spacing w:after="0" w:line="273" w:lineRule="auto"/>
        <w:jc w:val="left"/>
        <w:sectPr>
          <w:pgSz w:w="11910" w:h="16840"/>
          <w:pgMar w:header="877" w:footer="979" w:top="1100" w:bottom="1160" w:left="980" w:right="920"/>
        </w:sectPr>
      </w:pPr>
    </w:p>
    <w:p>
      <w:pPr>
        <w:spacing w:line="240" w:lineRule="auto" w:before="11"/>
        <w:rPr>
          <w:rFonts w:ascii="宋体" w:hAnsi="宋体" w:cs="宋体" w:eastAsia="宋体" w:hint="default"/>
          <w:sz w:val="20"/>
          <w:szCs w:val="20"/>
        </w:rPr>
      </w:pPr>
    </w:p>
    <w:p>
      <w:pPr>
        <w:pStyle w:val="Heading4"/>
        <w:spacing w:line="240" w:lineRule="auto" w:before="36"/>
        <w:ind w:right="105"/>
        <w:jc w:val="left"/>
        <w:rPr>
          <w:b w:val="0"/>
          <w:bCs w:val="0"/>
        </w:rPr>
      </w:pPr>
      <w:r>
        <w:rPr>
          <w:rFonts w:ascii="Times New Roman" w:hAnsi="Times New Roman" w:cs="Times New Roman" w:eastAsia="Times New Roman" w:hint="default"/>
        </w:rPr>
        <w:t>27</w:t>
      </w:r>
      <w:r>
        <w:rPr/>
        <w:t>、政府补助</w:t>
      </w:r>
      <w:r>
        <w:rPr>
          <w:b w:val="0"/>
          <w:bCs w:val="0"/>
        </w:rPr>
      </w:r>
    </w:p>
    <w:p>
      <w:pPr>
        <w:spacing w:line="590" w:lineRule="atLeast" w:before="25"/>
        <w:ind w:left="573" w:right="105"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）与资产相关的政府补助判断依据及会计处理方法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与资产相关的政府补助，是指本公司取得的、用于购建或以其他方式形成长期资产的政府补助，包括</w:t>
      </w:r>
    </w:p>
    <w:p>
      <w:pPr>
        <w:pStyle w:val="BodyText"/>
        <w:spacing w:line="273" w:lineRule="auto" w:before="37"/>
        <w:ind w:right="105"/>
        <w:jc w:val="left"/>
      </w:pPr>
      <w:r>
        <w:rPr>
          <w:spacing w:val="-2"/>
        </w:rPr>
        <w:t>购买固定资产或无形资产的财政拨款、固定资产专门借款的财政贴息等。本公司将政府补助划分为与资产</w:t>
      </w:r>
      <w:r>
        <w:rPr>
          <w:spacing w:val="-44"/>
        </w:rPr>
        <w:t> </w:t>
      </w:r>
      <w:r>
        <w:rPr>
          <w:spacing w:val="-44"/>
        </w:rPr>
      </w:r>
      <w:r>
        <w:rPr/>
        <w:t>相关的具体标准为：企业取得的，用于购建或以其他方式形成长期资产的政府补助。</w:t>
      </w:r>
    </w:p>
    <w:p>
      <w:pPr>
        <w:pStyle w:val="BodyText"/>
        <w:spacing w:line="273" w:lineRule="auto" w:before="7"/>
        <w:ind w:left="573" w:right="105"/>
        <w:jc w:val="left"/>
      </w:pPr>
      <w:r>
        <w:rPr/>
        <w:t>企业实际取得政府补助款项作为确认时点。</w:t>
      </w:r>
      <w:r>
        <w:rPr>
          <w:w w:val="100"/>
        </w:rPr>
        <w:t> </w:t>
      </w:r>
      <w:r>
        <w:rPr>
          <w:spacing w:val="-2"/>
        </w:rPr>
        <w:t>与资产相关的政府补助，确认为递延收益，按照所建造或购买的资产使用年限分期计入营业外收入。</w:t>
      </w:r>
    </w:p>
    <w:p>
      <w:pPr>
        <w:spacing w:line="616" w:lineRule="exact" w:before="60"/>
        <w:ind w:left="573" w:right="105"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）与收益相关的政府补助判断依据及会计处理方法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与收益相关的政府补助，是指除与资产相关的政府补助之外的政府补助。本公司将政府补助划分为与</w:t>
      </w:r>
    </w:p>
    <w:p>
      <w:pPr>
        <w:pStyle w:val="BodyText"/>
        <w:spacing w:line="218" w:lineRule="exact"/>
        <w:ind w:right="105"/>
        <w:jc w:val="left"/>
      </w:pPr>
      <w:r>
        <w:rPr/>
        <w:t>收益相关的具体标准为：除与资产相关的政府补助之外的政府补助。</w:t>
      </w:r>
    </w:p>
    <w:p>
      <w:pPr>
        <w:pStyle w:val="BodyText"/>
        <w:spacing w:line="273" w:lineRule="auto" w:before="37"/>
        <w:ind w:left="573" w:right="105"/>
        <w:jc w:val="left"/>
      </w:pPr>
      <w:r>
        <w:rPr/>
        <w:t>企业实际取得政府补助款项作为确认时点。</w:t>
      </w:r>
      <w:r>
        <w:rPr>
          <w:w w:val="100"/>
        </w:rPr>
        <w:t> </w:t>
      </w:r>
      <w:r>
        <w:rPr>
          <w:spacing w:val="-2"/>
        </w:rPr>
        <w:t>与收益相关的政府补助，用于补偿本公司以后期间的相关费用或损失的，取得时确认为递延收益，在</w:t>
      </w:r>
    </w:p>
    <w:p>
      <w:pPr>
        <w:pStyle w:val="BodyText"/>
        <w:spacing w:line="273" w:lineRule="auto" w:before="7"/>
        <w:ind w:right="105"/>
        <w:jc w:val="left"/>
      </w:pPr>
      <w:r>
        <w:rPr>
          <w:spacing w:val="-2"/>
        </w:rPr>
        <w:t>确认相关费用的期间计入当期营业外收入；用于补偿本公司已发生的相关费用或损失的，取得时直接计入</w:t>
      </w:r>
      <w:r>
        <w:rPr>
          <w:spacing w:val="-44"/>
        </w:rPr>
        <w:t> </w:t>
      </w:r>
      <w:r>
        <w:rPr>
          <w:spacing w:val="-44"/>
        </w:rPr>
      </w:r>
      <w:r>
        <w:rPr/>
        <w:t>当期营业外收入。</w:t>
      </w:r>
    </w:p>
    <w:p>
      <w:pPr>
        <w:spacing w:line="590" w:lineRule="atLeast" w:before="8"/>
        <w:ind w:left="573" w:right="105"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28</w:t>
      </w:r>
      <w:r>
        <w:rPr>
          <w:rFonts w:ascii="宋体" w:hAnsi="宋体" w:cs="宋体" w:eastAsia="宋体" w:hint="default"/>
          <w:b/>
          <w:bCs/>
          <w:sz w:val="21"/>
          <w:szCs w:val="21"/>
        </w:rPr>
        <w:t>、递延所得税资产</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b/>
          <w:bCs/>
          <w:w w:val="100"/>
          <w:sz w:val="21"/>
          <w:szCs w:val="21"/>
        </w:rPr>
        <w:t> </w:t>
      </w:r>
      <w:r>
        <w:rPr>
          <w:rFonts w:ascii="宋体" w:hAnsi="宋体" w:cs="宋体" w:eastAsia="宋体" w:hint="default"/>
          <w:spacing w:val="-2"/>
          <w:sz w:val="21"/>
          <w:szCs w:val="21"/>
        </w:rPr>
        <w:t>对于可抵扣暂时性差异确认递延所得税资产，以未来期间很可能取得的用来抵扣可抵扣暂时性差异的</w:t>
      </w:r>
    </w:p>
    <w:p>
      <w:pPr>
        <w:pStyle w:val="BodyText"/>
        <w:spacing w:line="273" w:lineRule="auto" w:before="37"/>
        <w:ind w:right="105"/>
        <w:jc w:val="left"/>
      </w:pPr>
      <w:r>
        <w:rPr>
          <w:spacing w:val="-2"/>
        </w:rPr>
        <w:t>应纳税所得额为限。对于能够结转以后年度的可抵扣亏损和税款抵减，以很可能获得用来抵扣可抵扣亏损</w:t>
      </w:r>
      <w:r>
        <w:rPr>
          <w:spacing w:val="-41"/>
        </w:rPr>
        <w:t> </w:t>
      </w:r>
      <w:r>
        <w:rPr>
          <w:spacing w:val="-41"/>
        </w:rPr>
      </w:r>
      <w:r>
        <w:rPr/>
        <w:t>和税款抵减的未来应纳税所得额为限，确认相应的递延所得税资产。</w:t>
      </w:r>
    </w:p>
    <w:p>
      <w:pPr>
        <w:pStyle w:val="BodyText"/>
        <w:spacing w:line="273" w:lineRule="auto" w:before="7"/>
        <w:ind w:left="573" w:right="105"/>
        <w:jc w:val="left"/>
      </w:pPr>
      <w:r>
        <w:rPr/>
        <w:t>对于应纳税暂时性差异，除特殊情况外，确认递延所得税负债。</w:t>
      </w:r>
      <w:r>
        <w:rPr>
          <w:w w:val="100"/>
        </w:rPr>
        <w:t> </w:t>
      </w:r>
      <w:r>
        <w:rPr>
          <w:spacing w:val="-2"/>
        </w:rPr>
        <w:t>不确认递延所得税资产或递延所得税负债的特殊情况包括：商誉的初始确认；除企业合并以外的发生</w:t>
      </w:r>
    </w:p>
    <w:p>
      <w:pPr>
        <w:pStyle w:val="BodyText"/>
        <w:spacing w:line="273" w:lineRule="auto" w:before="7"/>
        <w:ind w:left="573" w:right="105" w:hanging="421"/>
        <w:jc w:val="left"/>
      </w:pPr>
      <w:r>
        <w:rPr/>
        <w:t>时既不影响会计利润也不影响应纳税所得额（或可抵扣亏损）的其他交易或事项。</w:t>
      </w:r>
      <w:r>
        <w:rPr>
          <w:w w:val="100"/>
        </w:rPr>
        <w:t> </w:t>
      </w:r>
      <w:r>
        <w:rPr>
          <w:spacing w:val="-2"/>
        </w:rPr>
        <w:t>当拥有以净额结算的法定权利，且意图以净额结算或取得资产、清偿负债同时进行时，当期所得税资</w:t>
      </w:r>
    </w:p>
    <w:p>
      <w:pPr>
        <w:pStyle w:val="BodyText"/>
        <w:spacing w:line="273" w:lineRule="auto" w:before="7"/>
        <w:ind w:left="573" w:right="105" w:hanging="421"/>
        <w:jc w:val="left"/>
      </w:pPr>
      <w:r>
        <w:rPr/>
        <w:t>产及当期所得税负债以抵销后的净额列报。</w:t>
      </w:r>
      <w:r>
        <w:rPr>
          <w:w w:val="100"/>
        </w:rPr>
        <w:t> </w:t>
      </w:r>
      <w:r>
        <w:rPr>
          <w:spacing w:val="-2"/>
        </w:rPr>
        <w:t>当拥有以净额结算当期所得税资产及当期所得税负债的法定权利，且递延所得税资产及递延所得税负</w:t>
      </w:r>
    </w:p>
    <w:p>
      <w:pPr>
        <w:pStyle w:val="BodyText"/>
        <w:spacing w:line="273" w:lineRule="auto" w:before="7"/>
        <w:ind w:right="206"/>
        <w:jc w:val="both"/>
      </w:pPr>
      <w:r>
        <w:rPr>
          <w:spacing w:val="-2"/>
        </w:rPr>
        <w:t>债是与同一税收征管部门对同一纳税主体征收的所得税相关或者是对不同的纳税主体相关，但在未来每一</w:t>
      </w:r>
      <w:r>
        <w:rPr>
          <w:spacing w:val="-43"/>
        </w:rPr>
        <w:t> </w:t>
      </w:r>
      <w:r>
        <w:rPr>
          <w:spacing w:val="-43"/>
        </w:rPr>
      </w:r>
      <w:r>
        <w:rPr>
          <w:spacing w:val="-2"/>
        </w:rPr>
        <w:t>具有重要性的递延所得税资产及负债转回的期间内，涉及的纳税主体意图以净额结算当期所得税资产和负</w:t>
      </w:r>
      <w:r>
        <w:rPr>
          <w:spacing w:val="-43"/>
        </w:rPr>
        <w:t> </w:t>
      </w:r>
      <w:r>
        <w:rPr>
          <w:spacing w:val="-43"/>
        </w:rPr>
      </w:r>
      <w:r>
        <w:rPr/>
        <w:t>债或是同时取得资产、清偿负债时，递延所得税资产及递延所得税负债以抵销后的净额列报。</w:t>
      </w:r>
    </w:p>
    <w:p>
      <w:pPr>
        <w:spacing w:line="240" w:lineRule="auto" w:before="7"/>
        <w:rPr>
          <w:rFonts w:ascii="宋体" w:hAnsi="宋体" w:cs="宋体" w:eastAsia="宋体" w:hint="default"/>
          <w:sz w:val="23"/>
          <w:szCs w:val="23"/>
        </w:rPr>
      </w:pPr>
    </w:p>
    <w:p>
      <w:pPr>
        <w:pStyle w:val="Heading4"/>
        <w:spacing w:line="240" w:lineRule="auto"/>
        <w:ind w:right="105"/>
        <w:jc w:val="left"/>
        <w:rPr>
          <w:b w:val="0"/>
          <w:bCs w:val="0"/>
        </w:rPr>
      </w:pPr>
      <w:r>
        <w:rPr>
          <w:rFonts w:ascii="Times New Roman" w:hAnsi="Times New Roman" w:cs="Times New Roman" w:eastAsia="Times New Roman" w:hint="default"/>
        </w:rPr>
        <w:t>29</w:t>
      </w:r>
      <w:r>
        <w:rPr/>
        <w:t>、租赁</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05"/>
        <w:jc w:val="left"/>
        <w:rPr>
          <w:b w:val="0"/>
          <w:bCs w:val="0"/>
        </w:rPr>
      </w:pP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7"/>
        <w:rPr>
          <w:rFonts w:ascii="宋体" w:hAnsi="宋体" w:cs="宋体" w:eastAsia="宋体" w:hint="default"/>
          <w:b/>
          <w:bCs/>
          <w:sz w:val="24"/>
          <w:szCs w:val="24"/>
        </w:rPr>
      </w:pPr>
    </w:p>
    <w:p>
      <w:pPr>
        <w:pStyle w:val="BodyText"/>
        <w:spacing w:line="256" w:lineRule="auto"/>
        <w:ind w:right="105" w:firstLine="420"/>
        <w:jc w:val="left"/>
      </w:pPr>
      <w:r>
        <w:rPr>
          <w:rFonts w:ascii="Times New Roman" w:hAnsi="Times New Roman" w:cs="Times New Roman" w:eastAsia="Times New Roman" w:hint="default"/>
          <w:spacing w:val="-2"/>
        </w:rPr>
        <w:t>1</w:t>
      </w:r>
      <w:r>
        <w:rPr>
          <w:spacing w:val="-2"/>
        </w:rPr>
        <w:t>）公司租入资产所支付的租赁费，在不扣除免租期的整个租赁期内，按直线法进行分摊，计入当期</w:t>
      </w:r>
      <w:r>
        <w:rPr>
          <w:w w:val="100"/>
        </w:rPr>
        <w:t> </w:t>
      </w:r>
      <w:r>
        <w:rPr/>
        <w:t>费用。公司支付的与租赁交易相关的初始直接费用，计入当期费用。</w:t>
      </w:r>
    </w:p>
    <w:p>
      <w:pPr>
        <w:pStyle w:val="BodyText"/>
        <w:spacing w:line="273" w:lineRule="auto" w:before="22"/>
        <w:ind w:right="105" w:firstLine="420"/>
        <w:jc w:val="left"/>
      </w:pPr>
      <w:r>
        <w:rPr>
          <w:spacing w:val="-2"/>
        </w:rPr>
        <w:t>资产出租方承担了应由公司承担的与租赁相关的费用时，公司将该部分费用从租金总额中扣除，按扣</w:t>
      </w:r>
      <w:r>
        <w:rPr>
          <w:w w:val="100"/>
        </w:rPr>
        <w:t> </w:t>
      </w:r>
      <w:r>
        <w:rPr/>
        <w:t>除后的租金费用在租赁期内分摊，计入当期费用。</w:t>
      </w:r>
    </w:p>
    <w:p>
      <w:pPr>
        <w:pStyle w:val="BodyText"/>
        <w:spacing w:line="264" w:lineRule="auto" w:before="7"/>
        <w:ind w:right="105" w:firstLine="420"/>
        <w:jc w:val="left"/>
      </w:pPr>
      <w:r>
        <w:rPr>
          <w:rFonts w:ascii="Times New Roman" w:hAnsi="Times New Roman" w:cs="Times New Roman" w:eastAsia="Times New Roman" w:hint="default"/>
        </w:rPr>
        <w:t>2</w:t>
      </w:r>
      <w:r>
        <w:rPr/>
        <w:t>）公司出租资产所收取的租赁费，在不扣除免租期的整个租赁期内，按直线法进行分摊，确认为租</w:t>
      </w:r>
      <w:r>
        <w:rPr>
          <w:w w:val="100"/>
        </w:rPr>
        <w:t> </w:t>
      </w:r>
      <w:r>
        <w:rPr>
          <w:spacing w:val="-5"/>
        </w:rPr>
        <w:t>赁相关收入。公司支付的与租赁交易相关的初始直接费用，计入当期费用；如金额较大的，则予以资本化，</w:t>
      </w:r>
      <w:r>
        <w:rPr>
          <w:spacing w:val="-8"/>
        </w:rPr>
        <w:t> </w:t>
      </w:r>
      <w:r>
        <w:rPr>
          <w:spacing w:val="-8"/>
        </w:rPr>
      </w:r>
      <w:r>
        <w:rPr/>
        <w:t>在整个租赁期间内按照与租赁相关收入确认相同的基础分期计入当期收益。</w:t>
      </w:r>
    </w:p>
    <w:p>
      <w:pPr>
        <w:spacing w:after="0" w:line="264" w:lineRule="auto"/>
        <w:jc w:val="left"/>
        <w:sectPr>
          <w:pgSz w:w="11910" w:h="16840"/>
          <w:pgMar w:header="877" w:footer="979" w:top="1100" w:bottom="1160" w:left="980" w:right="920"/>
        </w:sectPr>
      </w:pPr>
    </w:p>
    <w:p>
      <w:pPr>
        <w:spacing w:line="240" w:lineRule="auto" w:before="11"/>
        <w:rPr>
          <w:rFonts w:ascii="宋体" w:hAnsi="宋体" w:cs="宋体" w:eastAsia="宋体" w:hint="default"/>
          <w:sz w:val="20"/>
          <w:szCs w:val="20"/>
        </w:rPr>
      </w:pPr>
    </w:p>
    <w:p>
      <w:pPr>
        <w:pStyle w:val="BodyText"/>
        <w:spacing w:line="273" w:lineRule="auto" w:before="36"/>
        <w:ind w:right="105" w:firstLine="420"/>
        <w:jc w:val="left"/>
      </w:pPr>
      <w:r>
        <w:rPr>
          <w:spacing w:val="-2"/>
        </w:rPr>
        <w:t>公司承担了应由承租方承担的与租赁相关的费用时，公司将该部分费用从租金收入总额中扣除，按扣</w:t>
      </w:r>
      <w:r>
        <w:rPr>
          <w:w w:val="100"/>
        </w:rPr>
        <w:t> </w:t>
      </w:r>
      <w:r>
        <w:rPr/>
        <w:t>除后的租金费用在租赁期内分配。</w:t>
      </w:r>
    </w:p>
    <w:p>
      <w:pPr>
        <w:spacing w:line="240" w:lineRule="auto" w:before="7"/>
        <w:rPr>
          <w:rFonts w:ascii="宋体" w:hAnsi="宋体" w:cs="宋体" w:eastAsia="宋体" w:hint="default"/>
          <w:sz w:val="23"/>
          <w:szCs w:val="23"/>
        </w:rPr>
      </w:pPr>
    </w:p>
    <w:p>
      <w:pPr>
        <w:spacing w:line="506" w:lineRule="auto" w:before="0"/>
        <w:ind w:left="573" w:right="4628"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）融资租赁的会计处理方法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本报告期未发生融资租赁事项。</w:t>
      </w:r>
    </w:p>
    <w:p>
      <w:pPr>
        <w:spacing w:line="506" w:lineRule="auto" w:before="104"/>
        <w:ind w:left="573" w:right="2702"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30</w:t>
      </w:r>
      <w:r>
        <w:rPr>
          <w:rFonts w:ascii="宋体" w:hAnsi="宋体" w:cs="宋体" w:eastAsia="宋体" w:hint="default"/>
          <w:b/>
          <w:bCs/>
          <w:sz w:val="21"/>
          <w:szCs w:val="21"/>
        </w:rPr>
        <w:t>、其他重要的会计政策和会计估计</w:t>
      </w:r>
      <w:r>
        <w:rPr>
          <w:rFonts w:ascii="宋体" w:hAnsi="宋体" w:cs="宋体" w:eastAsia="宋体" w:hint="default"/>
          <w:b/>
          <w:bCs/>
          <w:w w:val="100"/>
          <w:sz w:val="21"/>
          <w:szCs w:val="21"/>
        </w:rPr>
        <w:t> </w:t>
      </w:r>
      <w:r>
        <w:rPr>
          <w:rFonts w:ascii="宋体" w:hAnsi="宋体" w:cs="宋体" w:eastAsia="宋体" w:hint="default"/>
          <w:spacing w:val="-2"/>
          <w:sz w:val="21"/>
          <w:szCs w:val="21"/>
        </w:rPr>
        <w:t>本报告期无其他重要的会计政策和会计估计。</w:t>
      </w:r>
    </w:p>
    <w:p>
      <w:pPr>
        <w:pStyle w:val="Heading4"/>
        <w:spacing w:line="240" w:lineRule="auto" w:before="104"/>
        <w:ind w:right="105"/>
        <w:jc w:val="left"/>
        <w:rPr>
          <w:b w:val="0"/>
          <w:bCs w:val="0"/>
        </w:rPr>
      </w:pPr>
      <w:r>
        <w:rPr>
          <w:rFonts w:ascii="Times New Roman" w:hAnsi="Times New Roman" w:cs="Times New Roman" w:eastAsia="Times New Roman" w:hint="default"/>
        </w:rPr>
        <w:t>31</w:t>
      </w:r>
      <w:r>
        <w:rPr/>
        <w:t>、重要会计政策和会计估计变更</w:t>
      </w:r>
      <w:r>
        <w:rPr>
          <w:b w:val="0"/>
          <w:bCs w:val="0"/>
        </w:rPr>
      </w:r>
    </w:p>
    <w:p>
      <w:pPr>
        <w:spacing w:line="240" w:lineRule="auto" w:before="10"/>
        <w:rPr>
          <w:rFonts w:ascii="宋体" w:hAnsi="宋体" w:cs="宋体" w:eastAsia="宋体" w:hint="default"/>
          <w:b/>
          <w:bCs/>
          <w:sz w:val="24"/>
          <w:szCs w:val="24"/>
        </w:rPr>
      </w:pPr>
    </w:p>
    <w:p>
      <w:pPr>
        <w:tabs>
          <w:tab w:pos="8165" w:val="left" w:leader="none"/>
        </w:tabs>
        <w:spacing w:before="0"/>
        <w:ind w:left="152" w:right="105"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Times New Roman" w:hAnsi="Times New Roman" w:cs="Times New Roman" w:eastAsia="Times New Roman" w:hint="default"/>
          <w:b/>
          <w:bCs/>
          <w:spacing w:val="-1"/>
          <w:sz w:val="21"/>
          <w:szCs w:val="21"/>
        </w:rPr>
        <w:t>1</w:t>
      </w:r>
      <w:r>
        <w:rPr>
          <w:rFonts w:ascii="宋体" w:hAnsi="宋体" w:cs="宋体" w:eastAsia="宋体" w:hint="default"/>
          <w:b/>
          <w:bCs/>
          <w:spacing w:val="-1"/>
          <w:sz w:val="21"/>
          <w:szCs w:val="21"/>
        </w:rPr>
        <w:t>）重要会计政策变更</w:t>
        <w:tab/>
      </w:r>
      <w:r>
        <w:rPr>
          <w:rFonts w:ascii="Times New Roman" w:hAnsi="Times New Roman" w:cs="Times New Roman" w:eastAsia="Times New Roman" w:hint="default"/>
          <w:sz w:val="21"/>
          <w:szCs w:val="21"/>
        </w:rPr>
        <w:t>□  </w:t>
      </w:r>
      <w:r>
        <w:rPr>
          <w:rFonts w:ascii="宋体" w:hAnsi="宋体" w:cs="宋体" w:eastAsia="宋体" w:hint="default"/>
          <w:spacing w:val="-2"/>
          <w:sz w:val="21"/>
          <w:szCs w:val="21"/>
        </w:rPr>
        <w:t>适用</w:t>
      </w:r>
      <w:r>
        <w:rPr>
          <w:rFonts w:ascii="宋体" w:hAnsi="宋体" w:cs="宋体" w:eastAsia="宋体" w:hint="default"/>
          <w:sz w:val="21"/>
          <w:szCs w:val="21"/>
        </w:rPr>
        <w:t>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5"/>
          <w:sz w:val="21"/>
          <w:szCs w:val="21"/>
        </w:rPr>
        <w:t> </w:t>
      </w:r>
      <w:r>
        <w:rPr>
          <w:rFonts w:ascii="宋体" w:hAnsi="宋体" w:cs="宋体" w:eastAsia="宋体" w:hint="default"/>
          <w:spacing w:val="-1"/>
          <w:sz w:val="21"/>
          <w:szCs w:val="21"/>
        </w:rPr>
        <w:t>不适用</w:t>
      </w:r>
    </w:p>
    <w:p>
      <w:pPr>
        <w:spacing w:line="240" w:lineRule="auto" w:before="7"/>
        <w:rPr>
          <w:rFonts w:ascii="宋体" w:hAnsi="宋体" w:cs="宋体" w:eastAsia="宋体" w:hint="default"/>
          <w:sz w:val="24"/>
          <w:szCs w:val="24"/>
        </w:rPr>
      </w:pPr>
    </w:p>
    <w:p>
      <w:pPr>
        <w:tabs>
          <w:tab w:pos="8165" w:val="left" w:leader="none"/>
        </w:tabs>
        <w:spacing w:before="0"/>
        <w:ind w:left="152" w:right="105"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Times New Roman" w:hAnsi="Times New Roman" w:cs="Times New Roman" w:eastAsia="Times New Roman" w:hint="default"/>
          <w:b/>
          <w:bCs/>
          <w:spacing w:val="-1"/>
          <w:sz w:val="21"/>
          <w:szCs w:val="21"/>
        </w:rPr>
        <w:t>2</w:t>
      </w:r>
      <w:r>
        <w:rPr>
          <w:rFonts w:ascii="宋体" w:hAnsi="宋体" w:cs="宋体" w:eastAsia="宋体" w:hint="default"/>
          <w:b/>
          <w:bCs/>
          <w:spacing w:val="-1"/>
          <w:sz w:val="21"/>
          <w:szCs w:val="21"/>
        </w:rPr>
        <w:t>）重要会计估计变更</w:t>
        <w:tab/>
      </w:r>
      <w:r>
        <w:rPr>
          <w:rFonts w:ascii="Times New Roman" w:hAnsi="Times New Roman" w:cs="Times New Roman" w:eastAsia="Times New Roman" w:hint="default"/>
          <w:sz w:val="21"/>
          <w:szCs w:val="21"/>
        </w:rPr>
        <w:t>□  </w:t>
      </w:r>
      <w:r>
        <w:rPr>
          <w:rFonts w:ascii="宋体" w:hAnsi="宋体" w:cs="宋体" w:eastAsia="宋体" w:hint="default"/>
          <w:spacing w:val="-2"/>
          <w:sz w:val="21"/>
          <w:szCs w:val="21"/>
        </w:rPr>
        <w:t>适用</w:t>
      </w:r>
      <w:r>
        <w:rPr>
          <w:rFonts w:ascii="宋体" w:hAnsi="宋体" w:cs="宋体" w:eastAsia="宋体" w:hint="default"/>
          <w:sz w:val="21"/>
          <w:szCs w:val="21"/>
        </w:rPr>
        <w:t>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5"/>
          <w:sz w:val="21"/>
          <w:szCs w:val="21"/>
        </w:rPr>
        <w:t> </w:t>
      </w:r>
      <w:r>
        <w:rPr>
          <w:rFonts w:ascii="宋体" w:hAnsi="宋体" w:cs="宋体" w:eastAsia="宋体" w:hint="default"/>
          <w:spacing w:val="-1"/>
          <w:sz w:val="21"/>
          <w:szCs w:val="21"/>
        </w:rPr>
        <w:t>不适用</w:t>
      </w:r>
    </w:p>
    <w:p>
      <w:pPr>
        <w:spacing w:line="240" w:lineRule="auto" w:before="10"/>
        <w:rPr>
          <w:rFonts w:ascii="宋体" w:hAnsi="宋体" w:cs="宋体" w:eastAsia="宋体" w:hint="default"/>
          <w:sz w:val="22"/>
          <w:szCs w:val="22"/>
        </w:rPr>
      </w:pPr>
    </w:p>
    <w:p>
      <w:pPr>
        <w:pStyle w:val="Heading2"/>
        <w:spacing w:line="240" w:lineRule="auto"/>
        <w:ind w:right="105"/>
        <w:jc w:val="left"/>
        <w:rPr>
          <w:b w:val="0"/>
          <w:bCs w:val="0"/>
        </w:rPr>
      </w:pPr>
      <w:r>
        <w:rPr/>
        <w:t>六、税项</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05"/>
        <w:jc w:val="left"/>
        <w:rPr>
          <w:b w:val="0"/>
          <w:bCs w:val="0"/>
        </w:rPr>
      </w:pP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410"/>
        <w:gridCol w:w="5390"/>
        <w:gridCol w:w="1771"/>
      </w:tblGrid>
      <w:tr>
        <w:trPr>
          <w:trHeight w:val="401"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税种</w:t>
            </w:r>
          </w:p>
        </w:tc>
        <w:tc>
          <w:tcPr>
            <w:tcW w:w="5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17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317" w:hRule="exact"/>
        </w:trPr>
        <w:tc>
          <w:tcPr>
            <w:tcW w:w="2410" w:type="dxa"/>
            <w:tcBorders>
              <w:top w:val="single" w:sz="4" w:space="0" w:color="000000"/>
              <w:left w:val="single" w:sz="4" w:space="0" w:color="000000"/>
              <w:bottom w:val="nil" w:sz="6" w:space="0" w:color="auto"/>
              <w:right w:val="single" w:sz="4" w:space="0" w:color="000000"/>
            </w:tcBorders>
            <w:shd w:val="clear" w:color="auto" w:fill="D2D2D2"/>
          </w:tcPr>
          <w:p>
            <w:pPr/>
          </w:p>
        </w:tc>
        <w:tc>
          <w:tcPr>
            <w:tcW w:w="5390" w:type="dxa"/>
            <w:vMerge w:val="restart"/>
            <w:tcBorders>
              <w:top w:val="single" w:sz="4" w:space="0" w:color="000000"/>
              <w:left w:val="single" w:sz="10" w:space="0" w:color="D2D2D2"/>
              <w:right w:val="single" w:sz="4" w:space="0" w:color="000000"/>
            </w:tcBorders>
          </w:tcPr>
          <w:p>
            <w:pPr>
              <w:pStyle w:val="TableParagraph"/>
              <w:spacing w:line="273" w:lineRule="auto" w:before="28"/>
              <w:ind w:left="16" w:right="97"/>
              <w:jc w:val="both"/>
              <w:rPr>
                <w:rFonts w:ascii="宋体" w:hAnsi="宋体" w:cs="宋体" w:eastAsia="宋体" w:hint="default"/>
                <w:sz w:val="21"/>
                <w:szCs w:val="21"/>
              </w:rPr>
            </w:pPr>
            <w:r>
              <w:rPr>
                <w:rFonts w:ascii="宋体" w:hAnsi="宋体" w:cs="宋体" w:eastAsia="宋体" w:hint="default"/>
                <w:spacing w:val="-2"/>
                <w:sz w:val="21"/>
                <w:szCs w:val="21"/>
              </w:rPr>
              <w:t>按税法规定计算的销售货物和应税劳务收入为基础计算销</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2"/>
                <w:sz w:val="21"/>
                <w:szCs w:val="21"/>
              </w:rPr>
              <w:t>项税额，在扣除当期允许抵扣的进项税额后，差额部分为</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应交增值税</w:t>
            </w:r>
          </w:p>
        </w:tc>
        <w:tc>
          <w:tcPr>
            <w:tcW w:w="1771"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9"/>
                <w:szCs w:val="29"/>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17%</w:t>
            </w:r>
          </w:p>
        </w:tc>
      </w:tr>
      <w:tr>
        <w:trPr>
          <w:trHeight w:val="394" w:hRule="exact"/>
        </w:trPr>
        <w:tc>
          <w:tcPr>
            <w:tcW w:w="24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5390" w:type="dxa"/>
            <w:vMerge/>
            <w:tcBorders>
              <w:left w:val="single" w:sz="10" w:space="0" w:color="D2D2D2"/>
              <w:right w:val="single" w:sz="4" w:space="0" w:color="000000"/>
            </w:tcBorders>
          </w:tcPr>
          <w:p>
            <w:pPr/>
          </w:p>
        </w:tc>
        <w:tc>
          <w:tcPr>
            <w:tcW w:w="1771" w:type="dxa"/>
            <w:vMerge/>
            <w:tcBorders>
              <w:left w:val="single" w:sz="4" w:space="0" w:color="000000"/>
              <w:right w:val="single" w:sz="4" w:space="0" w:color="000000"/>
            </w:tcBorders>
          </w:tcPr>
          <w:p>
            <w:pPr/>
          </w:p>
        </w:tc>
      </w:tr>
      <w:tr>
        <w:trPr>
          <w:trHeight w:val="317" w:hRule="exact"/>
        </w:trPr>
        <w:tc>
          <w:tcPr>
            <w:tcW w:w="2410" w:type="dxa"/>
            <w:tcBorders>
              <w:top w:val="nil" w:sz="6" w:space="0" w:color="auto"/>
              <w:left w:val="single" w:sz="4" w:space="0" w:color="000000"/>
              <w:bottom w:val="single" w:sz="4" w:space="0" w:color="000000"/>
              <w:right w:val="single" w:sz="4" w:space="0" w:color="000000"/>
            </w:tcBorders>
            <w:shd w:val="clear" w:color="auto" w:fill="D2D2D2"/>
          </w:tcPr>
          <w:p>
            <w:pPr/>
          </w:p>
        </w:tc>
        <w:tc>
          <w:tcPr>
            <w:tcW w:w="5390" w:type="dxa"/>
            <w:vMerge/>
            <w:tcBorders>
              <w:left w:val="single" w:sz="10" w:space="0" w:color="D2D2D2"/>
              <w:bottom w:val="single" w:sz="4" w:space="0" w:color="000000"/>
              <w:right w:val="single" w:sz="4" w:space="0" w:color="000000"/>
            </w:tcBorders>
          </w:tcPr>
          <w:p>
            <w:pPr/>
          </w:p>
        </w:tc>
        <w:tc>
          <w:tcPr>
            <w:tcW w:w="1771" w:type="dxa"/>
            <w:vMerge/>
            <w:tcBorders>
              <w:left w:val="single" w:sz="4" w:space="0" w:color="000000"/>
              <w:bottom w:val="single" w:sz="4" w:space="0" w:color="000000"/>
              <w:right w:val="single" w:sz="4" w:space="0" w:color="000000"/>
            </w:tcBorders>
          </w:tcPr>
          <w:p>
            <w:pPr/>
          </w:p>
        </w:tc>
      </w:tr>
      <w:tr>
        <w:trPr>
          <w:trHeight w:val="401"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53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left="16" w:right="0"/>
              <w:jc w:val="left"/>
              <w:rPr>
                <w:rFonts w:ascii="宋体" w:hAnsi="宋体" w:cs="宋体" w:eastAsia="宋体" w:hint="default"/>
                <w:sz w:val="21"/>
                <w:szCs w:val="21"/>
              </w:rPr>
            </w:pPr>
            <w:r>
              <w:rPr>
                <w:rFonts w:ascii="宋体" w:hAnsi="宋体" w:cs="宋体" w:eastAsia="宋体" w:hint="default"/>
                <w:sz w:val="21"/>
                <w:szCs w:val="21"/>
              </w:rPr>
              <w:t>按实际缴纳的营业税、增值税及消费税计征</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 w:right="0"/>
              <w:jc w:val="center"/>
              <w:rPr>
                <w:rFonts w:ascii="Times New Roman" w:hAnsi="Times New Roman" w:cs="Times New Roman" w:eastAsia="Times New Roman" w:hint="default"/>
                <w:sz w:val="21"/>
                <w:szCs w:val="21"/>
              </w:rPr>
            </w:pPr>
            <w:r>
              <w:rPr>
                <w:rFonts w:ascii="Times New Roman"/>
                <w:sz w:val="21"/>
              </w:rPr>
              <w:t>7%</w:t>
            </w:r>
          </w:p>
        </w:tc>
      </w:tr>
      <w:tr>
        <w:trPr>
          <w:trHeight w:val="403"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53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left="16" w:right="0"/>
              <w:jc w:val="left"/>
              <w:rPr>
                <w:rFonts w:ascii="宋体" w:hAnsi="宋体" w:cs="宋体" w:eastAsia="宋体" w:hint="default"/>
                <w:sz w:val="21"/>
                <w:szCs w:val="21"/>
              </w:rPr>
            </w:pPr>
            <w:r>
              <w:rPr>
                <w:rFonts w:ascii="宋体" w:hAnsi="宋体" w:cs="宋体" w:eastAsia="宋体" w:hint="default"/>
                <w:sz w:val="21"/>
                <w:szCs w:val="21"/>
              </w:rPr>
              <w:t>按应纳税所得额计征</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15%</w:t>
            </w:r>
            <w:r>
              <w:rPr>
                <w:rFonts w:ascii="宋体" w:hAnsi="宋体" w:cs="宋体" w:eastAsia="宋体" w:hint="default"/>
                <w:sz w:val="21"/>
                <w:szCs w:val="21"/>
              </w:rPr>
              <w:t>、</w:t>
            </w:r>
            <w:r>
              <w:rPr>
                <w:rFonts w:ascii="Times New Roman" w:hAnsi="Times New Roman" w:cs="Times New Roman" w:eastAsia="Times New Roman" w:hint="default"/>
                <w:sz w:val="21"/>
                <w:szCs w:val="21"/>
              </w:rPr>
              <w:t>25%</w:t>
            </w:r>
          </w:p>
        </w:tc>
      </w:tr>
      <w:tr>
        <w:trPr>
          <w:trHeight w:val="401"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5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按实际缴纳的营业税、增值税及消费税计征</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 w:right="0"/>
              <w:jc w:val="center"/>
              <w:rPr>
                <w:rFonts w:ascii="Times New Roman" w:hAnsi="Times New Roman" w:cs="Times New Roman" w:eastAsia="Times New Roman" w:hint="default"/>
                <w:sz w:val="21"/>
                <w:szCs w:val="21"/>
              </w:rPr>
            </w:pPr>
            <w:r>
              <w:rPr>
                <w:rFonts w:ascii="Times New Roman"/>
                <w:sz w:val="21"/>
              </w:rPr>
              <w:t>3%</w:t>
            </w:r>
          </w:p>
        </w:tc>
      </w:tr>
      <w:tr>
        <w:trPr>
          <w:trHeight w:val="40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地方教育附加</w:t>
            </w:r>
          </w:p>
        </w:tc>
        <w:tc>
          <w:tcPr>
            <w:tcW w:w="5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按实际缴纳的营业税、增值税及消费税计征</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 w:right="0"/>
              <w:jc w:val="center"/>
              <w:rPr>
                <w:rFonts w:ascii="Times New Roman" w:hAnsi="Times New Roman" w:cs="Times New Roman" w:eastAsia="Times New Roman" w:hint="default"/>
                <w:sz w:val="21"/>
                <w:szCs w:val="21"/>
              </w:rPr>
            </w:pPr>
            <w:r>
              <w:rPr>
                <w:rFonts w:ascii="Times New Roman"/>
                <w:sz w:val="21"/>
              </w:rPr>
              <w:t>2%</w:t>
            </w:r>
          </w:p>
        </w:tc>
      </w:tr>
    </w:tbl>
    <w:p>
      <w:pPr>
        <w:pStyle w:val="BodyText"/>
        <w:spacing w:line="240" w:lineRule="auto" w:before="28"/>
        <w:ind w:right="105"/>
        <w:jc w:val="left"/>
      </w:pPr>
      <w:r>
        <w:rPr/>
        <w:t>存在不同企业所得税税率纳税主体的，披露情况说明</w:t>
      </w:r>
    </w:p>
    <w:p>
      <w:pPr>
        <w:spacing w:line="240" w:lineRule="auto" w:before="10"/>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4112"/>
        <w:gridCol w:w="5459"/>
      </w:tblGrid>
      <w:tr>
        <w:trPr>
          <w:trHeight w:val="403"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纳税主体名称</w:t>
            </w:r>
          </w:p>
        </w:tc>
        <w:tc>
          <w:tcPr>
            <w:tcW w:w="5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所得税税率</w:t>
            </w:r>
          </w:p>
        </w:tc>
      </w:tr>
      <w:tr>
        <w:trPr>
          <w:trHeight w:val="401"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广东华声电器股份有限公司</w:t>
            </w:r>
          </w:p>
        </w:tc>
        <w:tc>
          <w:tcPr>
            <w:tcW w:w="5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sz w:val="21"/>
              </w:rPr>
              <w:t>15%</w:t>
            </w:r>
          </w:p>
        </w:tc>
      </w:tr>
      <w:tr>
        <w:trPr>
          <w:trHeight w:val="403"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扬州华声电子实业有限公司</w:t>
            </w:r>
          </w:p>
        </w:tc>
        <w:tc>
          <w:tcPr>
            <w:tcW w:w="5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sz w:val="21"/>
              </w:rPr>
              <w:t>15%</w:t>
            </w:r>
          </w:p>
        </w:tc>
      </w:tr>
      <w:tr>
        <w:trPr>
          <w:trHeight w:val="401"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佛山市华声电子装配有限责任公司</w:t>
            </w:r>
          </w:p>
        </w:tc>
        <w:tc>
          <w:tcPr>
            <w:tcW w:w="5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sz w:val="21"/>
              </w:rPr>
              <w:t>25%</w:t>
            </w:r>
          </w:p>
        </w:tc>
      </w:tr>
    </w:tbl>
    <w:p>
      <w:pPr>
        <w:spacing w:line="240" w:lineRule="auto" w:before="3"/>
        <w:rPr>
          <w:rFonts w:ascii="宋体" w:hAnsi="宋体" w:cs="宋体" w:eastAsia="宋体" w:hint="default"/>
          <w:sz w:val="19"/>
          <w:szCs w:val="19"/>
        </w:rPr>
      </w:pPr>
    </w:p>
    <w:p>
      <w:pPr>
        <w:pStyle w:val="Heading4"/>
        <w:spacing w:line="240" w:lineRule="auto" w:before="36"/>
        <w:ind w:right="105"/>
        <w:jc w:val="left"/>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10"/>
        <w:rPr>
          <w:rFonts w:ascii="宋体" w:hAnsi="宋体" w:cs="宋体" w:eastAsia="宋体" w:hint="default"/>
          <w:b/>
          <w:bCs/>
          <w:sz w:val="24"/>
          <w:szCs w:val="24"/>
        </w:rPr>
      </w:pPr>
    </w:p>
    <w:p>
      <w:pPr>
        <w:pStyle w:val="BodyText"/>
        <w:spacing w:line="256" w:lineRule="auto"/>
        <w:ind w:right="105" w:firstLine="420"/>
        <w:jc w:val="left"/>
      </w:pPr>
      <w:r>
        <w:rPr>
          <w:spacing w:val="-3"/>
        </w:rPr>
        <w:t>（</w:t>
      </w:r>
      <w:r>
        <w:rPr>
          <w:rFonts w:ascii="Times New Roman" w:hAnsi="Times New Roman" w:cs="Times New Roman" w:eastAsia="Times New Roman" w:hint="default"/>
          <w:spacing w:val="-3"/>
        </w:rPr>
        <w:t>1</w:t>
      </w:r>
      <w:r>
        <w:rPr>
          <w:spacing w:val="-3"/>
        </w:rPr>
        <w:t>）公司</w:t>
      </w:r>
      <w:r>
        <w:rPr>
          <w:rFonts w:ascii="Times New Roman" w:hAnsi="Times New Roman" w:cs="Times New Roman" w:eastAsia="Times New Roman" w:hint="default"/>
          <w:spacing w:val="-3"/>
        </w:rPr>
        <w:t>2015</w:t>
      </w:r>
      <w:r>
        <w:rPr>
          <w:spacing w:val="-3"/>
        </w:rPr>
        <w:t>年开始重新认定高新技术企业，并已通过高新技术企业审核，证书号</w:t>
      </w:r>
      <w:r>
        <w:rPr>
          <w:rFonts w:ascii="Times New Roman" w:hAnsi="Times New Roman" w:cs="Times New Roman" w:eastAsia="Times New Roman" w:hint="default"/>
          <w:spacing w:val="-3"/>
        </w:rPr>
        <w:t>GF201544000171</w:t>
      </w:r>
      <w:r>
        <w:rPr>
          <w:spacing w:val="-3"/>
        </w:rPr>
        <w:t>，</w:t>
      </w:r>
      <w:r>
        <w:rPr>
          <w:w w:val="100"/>
        </w:rPr>
        <w:t> </w:t>
      </w:r>
      <w:r>
        <w:rPr/>
        <w:t>有效期</w:t>
      </w:r>
      <w:r>
        <w:rPr>
          <w:rFonts w:ascii="Times New Roman" w:hAnsi="Times New Roman" w:cs="Times New Roman" w:eastAsia="Times New Roman" w:hint="default"/>
        </w:rPr>
        <w:t>3</w:t>
      </w:r>
      <w:r>
        <w:rPr/>
        <w:t>年。截至审计报告日公司尚未获取税务局关于企业所得税减征批复，本报告期内企业所得税暂按</w:t>
      </w:r>
      <w:r>
        <w:rPr>
          <w:w w:val="100"/>
        </w:rPr>
        <w:t> </w:t>
      </w:r>
      <w:r>
        <w:rPr>
          <w:rFonts w:ascii="Times New Roman" w:hAnsi="Times New Roman" w:cs="Times New Roman" w:eastAsia="Times New Roman" w:hint="default"/>
        </w:rPr>
        <w:t>15%</w:t>
      </w:r>
      <w:r>
        <w:rPr/>
        <w:t>税率计算。</w:t>
      </w:r>
    </w:p>
    <w:p>
      <w:pPr>
        <w:pStyle w:val="BodyText"/>
        <w:spacing w:line="256" w:lineRule="auto" w:before="5"/>
        <w:ind w:right="105" w:firstLine="420"/>
        <w:jc w:val="left"/>
      </w:pPr>
      <w:r>
        <w:rPr>
          <w:spacing w:val="-6"/>
        </w:rPr>
        <w:t>（</w:t>
      </w:r>
      <w:r>
        <w:rPr>
          <w:rFonts w:ascii="Times New Roman" w:hAnsi="Times New Roman" w:cs="Times New Roman" w:eastAsia="Times New Roman" w:hint="default"/>
          <w:spacing w:val="-6"/>
        </w:rPr>
        <w:t>2</w:t>
      </w:r>
      <w:r>
        <w:rPr>
          <w:spacing w:val="-6"/>
        </w:rPr>
        <w:t>）根据苏高企协【</w:t>
      </w:r>
      <w:r>
        <w:rPr>
          <w:rFonts w:ascii="Times New Roman" w:hAnsi="Times New Roman" w:cs="Times New Roman" w:eastAsia="Times New Roman" w:hint="default"/>
          <w:spacing w:val="-6"/>
        </w:rPr>
        <w:t>2014</w:t>
      </w:r>
      <w:r>
        <w:rPr>
          <w:spacing w:val="-6"/>
        </w:rPr>
        <w:t>】</w:t>
      </w:r>
      <w:r>
        <w:rPr>
          <w:rFonts w:ascii="Times New Roman" w:hAnsi="Times New Roman" w:cs="Times New Roman" w:eastAsia="Times New Roman" w:hint="default"/>
          <w:spacing w:val="-6"/>
        </w:rPr>
        <w:t>12</w:t>
      </w:r>
      <w:r>
        <w:rPr>
          <w:spacing w:val="-6"/>
        </w:rPr>
        <w:t>号文</w:t>
      </w:r>
      <w:r>
        <w:rPr>
          <w:rFonts w:ascii="Times New Roman" w:hAnsi="Times New Roman" w:cs="Times New Roman" w:eastAsia="Times New Roman" w:hint="default"/>
          <w:spacing w:val="-6"/>
        </w:rPr>
        <w:t>“</w:t>
      </w:r>
      <w:r>
        <w:rPr>
          <w:spacing w:val="-6"/>
        </w:rPr>
        <w:t>关于公示江苏省</w:t>
      </w:r>
      <w:r>
        <w:rPr>
          <w:rFonts w:ascii="Times New Roman" w:hAnsi="Times New Roman" w:cs="Times New Roman" w:eastAsia="Times New Roman" w:hint="default"/>
          <w:spacing w:val="-6"/>
        </w:rPr>
        <w:t>2014</w:t>
      </w:r>
      <w:r>
        <w:rPr>
          <w:spacing w:val="-6"/>
        </w:rPr>
        <w:t>年第一批复审通过高新技术企业名单的通知</w:t>
      </w:r>
      <w:r>
        <w:rPr>
          <w:rFonts w:ascii="Times New Roman" w:hAnsi="Times New Roman" w:cs="Times New Roman" w:eastAsia="Times New Roman" w:hint="default"/>
          <w:spacing w:val="-6"/>
        </w:rPr>
        <w:t>”</w:t>
      </w:r>
      <w:r>
        <w:rPr>
          <w:spacing w:val="-6"/>
        </w:rPr>
        <w:t>，</w:t>
      </w:r>
      <w:r>
        <w:rPr>
          <w:w w:val="100"/>
        </w:rPr>
        <w:t> </w:t>
      </w:r>
      <w:r>
        <w:rPr/>
        <w:t>子公司扬州华声电子实业有限公司于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5</w:t>
      </w:r>
      <w:r>
        <w:rPr/>
        <w:t>日获得国家级高新技术企业证书，证书编号：</w:t>
      </w:r>
    </w:p>
    <w:p>
      <w:pPr>
        <w:spacing w:after="0" w:line="256" w:lineRule="auto"/>
        <w:jc w:val="left"/>
        <w:sectPr>
          <w:pgSz w:w="11910" w:h="16840"/>
          <w:pgMar w:header="877" w:footer="979" w:top="1100" w:bottom="1160" w:left="980" w:right="920"/>
        </w:sectPr>
      </w:pPr>
    </w:p>
    <w:p>
      <w:pPr>
        <w:spacing w:line="240" w:lineRule="auto" w:before="11"/>
        <w:rPr>
          <w:rFonts w:ascii="宋体" w:hAnsi="宋体" w:cs="宋体" w:eastAsia="宋体" w:hint="default"/>
          <w:sz w:val="20"/>
          <w:szCs w:val="20"/>
        </w:rPr>
      </w:pPr>
    </w:p>
    <w:p>
      <w:pPr>
        <w:pStyle w:val="BodyText"/>
        <w:spacing w:line="240" w:lineRule="auto" w:before="36"/>
        <w:ind w:right="0"/>
        <w:jc w:val="left"/>
      </w:pPr>
      <w:r>
        <w:rPr>
          <w:rFonts w:ascii="Times New Roman" w:hAnsi="Times New Roman" w:cs="Times New Roman" w:eastAsia="Times New Roman" w:hint="default"/>
          <w:spacing w:val="-1"/>
        </w:rPr>
        <w:t>GF201432000694</w:t>
      </w:r>
      <w:r>
        <w:rPr>
          <w:spacing w:val="-1"/>
        </w:rPr>
        <w:t>，有效期</w:t>
      </w:r>
      <w:r>
        <w:rPr>
          <w:rFonts w:ascii="Times New Roman" w:hAnsi="Times New Roman" w:cs="Times New Roman" w:eastAsia="Times New Roman" w:hint="default"/>
          <w:spacing w:val="-1"/>
        </w:rPr>
        <w:t>3</w:t>
      </w:r>
      <w:r>
        <w:rPr>
          <w:spacing w:val="-1"/>
        </w:rPr>
        <w:t>年，</w:t>
      </w:r>
      <w:r>
        <w:rPr>
          <w:spacing w:val="68"/>
        </w:rPr>
        <w:t> </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日至</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日期间企业所得税减按</w:t>
      </w:r>
      <w:r>
        <w:rPr>
          <w:rFonts w:ascii="Times New Roman" w:hAnsi="Times New Roman" w:cs="Times New Roman" w:eastAsia="Times New Roman" w:hint="default"/>
          <w:spacing w:val="-2"/>
        </w:rPr>
        <w:t>15%</w:t>
      </w:r>
      <w:r>
        <w:rPr>
          <w:spacing w:val="-2"/>
        </w:rPr>
        <w:t>的税率征收。</w:t>
      </w:r>
    </w:p>
    <w:p>
      <w:pPr>
        <w:spacing w:line="240" w:lineRule="auto" w:before="8"/>
        <w:rPr>
          <w:rFonts w:ascii="宋体" w:hAnsi="宋体" w:cs="宋体" w:eastAsia="宋体" w:hint="default"/>
          <w:sz w:val="22"/>
          <w:szCs w:val="22"/>
        </w:rPr>
      </w:pPr>
    </w:p>
    <w:p>
      <w:pPr>
        <w:pStyle w:val="Heading2"/>
        <w:spacing w:line="240" w:lineRule="auto"/>
        <w:ind w:right="0"/>
        <w:jc w:val="left"/>
        <w:rPr>
          <w:b w:val="0"/>
          <w:bCs w:val="0"/>
        </w:rPr>
      </w:pPr>
      <w:r>
        <w:rPr/>
        <w:t>七、合并财务报表项目注释</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0" w:right="240"/>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5"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库存现金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7,268.83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4,559.64</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40,742,609.32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39,322,362.38</w:t>
            </w:r>
          </w:p>
        </w:tc>
      </w:tr>
      <w:tr>
        <w:trPr>
          <w:trHeight w:val="40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23,375,632.29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54,565,520.52</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64,125,510.44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93,892,442.54</w:t>
            </w:r>
          </w:p>
        </w:tc>
      </w:tr>
    </w:tbl>
    <w:p>
      <w:pPr>
        <w:pStyle w:val="BodyText"/>
        <w:spacing w:line="262" w:lineRule="exact"/>
        <w:ind w:right="0"/>
        <w:jc w:val="left"/>
      </w:pPr>
      <w:r>
        <w:rPr/>
        <w:t>其中因抵押、质押或冻结等对使用有限制，以及放在境外且资金汇回受到限制的货币资金明细如下：</w:t>
      </w:r>
    </w:p>
    <w:p>
      <w:pPr>
        <w:pStyle w:val="BodyText"/>
        <w:spacing w:line="240" w:lineRule="auto" w:before="78"/>
        <w:ind w:left="0" w:right="240"/>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5"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银行承兑汇票保证金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23,374,654.86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50,966,744.16</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信用证保证金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977.43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3,526,192.90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保函保证金</w:t>
            </w:r>
          </w:p>
        </w:tc>
        <w:tc>
          <w:tcPr>
            <w:tcW w:w="3201"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72,583.46</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tabs>
                <w:tab w:pos="423" w:val="left" w:leader="none"/>
              </w:tabs>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23,375,632.29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54,565,520.52</w:t>
            </w:r>
          </w:p>
        </w:tc>
      </w:tr>
    </w:tbl>
    <w:p>
      <w:pPr>
        <w:spacing w:line="240" w:lineRule="auto" w:before="3"/>
        <w:rPr>
          <w:rFonts w:ascii="宋体" w:hAnsi="宋体" w:cs="宋体" w:eastAsia="宋体" w:hint="default"/>
          <w:sz w:val="19"/>
          <w:szCs w:val="19"/>
        </w:rPr>
      </w:pPr>
    </w:p>
    <w:p>
      <w:pPr>
        <w:tabs>
          <w:tab w:pos="8165" w:val="left" w:leader="none"/>
        </w:tabs>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2</w:t>
      </w:r>
      <w:r>
        <w:rPr>
          <w:rFonts w:ascii="宋体" w:hAnsi="宋体" w:cs="宋体" w:eastAsia="宋体" w:hint="default"/>
          <w:b/>
          <w:bCs/>
          <w:spacing w:val="-1"/>
          <w:sz w:val="21"/>
          <w:szCs w:val="21"/>
        </w:rPr>
        <w:t>、以公允价值计量且其变动计入当期损益的金融资产</w:t>
        <w:tab/>
      </w:r>
      <w:r>
        <w:rPr>
          <w:rFonts w:ascii="Times New Roman" w:hAnsi="Times New Roman" w:cs="Times New Roman" w:eastAsia="Times New Roman" w:hint="default"/>
          <w:sz w:val="21"/>
          <w:szCs w:val="21"/>
        </w:rPr>
        <w:t>□  </w:t>
      </w:r>
      <w:r>
        <w:rPr>
          <w:rFonts w:ascii="宋体" w:hAnsi="宋体" w:cs="宋体" w:eastAsia="宋体" w:hint="default"/>
          <w:spacing w:val="-2"/>
          <w:sz w:val="21"/>
          <w:szCs w:val="21"/>
        </w:rPr>
        <w:t>适用</w:t>
      </w:r>
      <w:r>
        <w:rPr>
          <w:rFonts w:ascii="宋体" w:hAnsi="宋体" w:cs="宋体" w:eastAsia="宋体" w:hint="default"/>
          <w:sz w:val="21"/>
          <w:szCs w:val="21"/>
        </w:rPr>
        <w:t>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5"/>
          <w:sz w:val="21"/>
          <w:szCs w:val="21"/>
        </w:rPr>
        <w:t> </w:t>
      </w:r>
      <w:r>
        <w:rPr>
          <w:rFonts w:ascii="宋体" w:hAnsi="宋体" w:cs="宋体" w:eastAsia="宋体" w:hint="default"/>
          <w:spacing w:val="-1"/>
          <w:sz w:val="21"/>
          <w:szCs w:val="21"/>
        </w:rPr>
        <w:t>不适用</w:t>
      </w:r>
    </w:p>
    <w:p>
      <w:pPr>
        <w:spacing w:line="240" w:lineRule="auto" w:before="10"/>
        <w:rPr>
          <w:rFonts w:ascii="宋体" w:hAnsi="宋体" w:cs="宋体" w:eastAsia="宋体" w:hint="default"/>
          <w:sz w:val="24"/>
          <w:szCs w:val="24"/>
        </w:rPr>
      </w:pPr>
    </w:p>
    <w:p>
      <w:pPr>
        <w:tabs>
          <w:tab w:pos="8165" w:val="left" w:leader="none"/>
        </w:tabs>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、衍生金融资产</w:t>
        <w:tab/>
      </w:r>
      <w:r>
        <w:rPr>
          <w:rFonts w:ascii="Times New Roman" w:hAnsi="Times New Roman" w:cs="Times New Roman" w:eastAsia="Times New Roman" w:hint="default"/>
          <w:sz w:val="21"/>
          <w:szCs w:val="21"/>
        </w:rPr>
        <w:t>□  </w:t>
      </w:r>
      <w:r>
        <w:rPr>
          <w:rFonts w:ascii="宋体" w:hAnsi="宋体" w:cs="宋体" w:eastAsia="宋体" w:hint="default"/>
          <w:spacing w:val="-2"/>
          <w:sz w:val="21"/>
          <w:szCs w:val="21"/>
        </w:rPr>
        <w:t>适用</w:t>
      </w:r>
      <w:r>
        <w:rPr>
          <w:rFonts w:ascii="宋体" w:hAnsi="宋体" w:cs="宋体" w:eastAsia="宋体" w:hint="default"/>
          <w:sz w:val="21"/>
          <w:szCs w:val="21"/>
        </w:rPr>
        <w:t>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5"/>
          <w:sz w:val="21"/>
          <w:szCs w:val="21"/>
        </w:rPr>
        <w:t> </w:t>
      </w:r>
      <w:r>
        <w:rPr>
          <w:rFonts w:ascii="宋体" w:hAnsi="宋体" w:cs="宋体" w:eastAsia="宋体" w:hint="default"/>
          <w:spacing w:val="-1"/>
          <w:sz w:val="21"/>
          <w:szCs w:val="21"/>
        </w:rPr>
        <w:t>不适用</w:t>
      </w:r>
    </w:p>
    <w:p>
      <w:pPr>
        <w:spacing w:line="240" w:lineRule="auto" w:before="7"/>
        <w:rPr>
          <w:rFonts w:ascii="宋体" w:hAnsi="宋体" w:cs="宋体" w:eastAsia="宋体" w:hint="default"/>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4</w:t>
      </w:r>
      <w:r>
        <w:rPr/>
        <w:t>、应收票据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）应收票据分类列示</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left="0" w:right="254"/>
        <w:jc w:val="right"/>
      </w:pPr>
      <w:r>
        <w:rPr/>
        <w:t>单位：</w:t>
      </w:r>
      <w:r>
        <w:rPr>
          <w:spacing w:val="2"/>
        </w:rPr>
        <w:t> </w:t>
      </w:r>
      <w:r>
        <w:rPr/>
        <w:t>元</w:t>
      </w:r>
    </w:p>
    <w:p>
      <w:pPr>
        <w:spacing w:line="240" w:lineRule="auto" w:before="10"/>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5"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190,430,774.17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288,888,119.30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190,430,774.17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288,888,119.30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）期末公司无已质押的应收票据。</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left="0" w:right="254"/>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61" w:right="0"/>
              <w:jc w:val="left"/>
              <w:rPr>
                <w:rFonts w:ascii="宋体" w:hAnsi="宋体" w:cs="宋体" w:eastAsia="宋体" w:hint="default"/>
                <w:sz w:val="21"/>
                <w:szCs w:val="21"/>
              </w:rPr>
            </w:pPr>
            <w:r>
              <w:rPr>
                <w:rFonts w:ascii="宋体" w:hAnsi="宋体" w:cs="宋体" w:eastAsia="宋体" w:hint="default"/>
                <w:sz w:val="21"/>
                <w:szCs w:val="21"/>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45" w:right="0"/>
              <w:jc w:val="left"/>
              <w:rPr>
                <w:rFonts w:ascii="宋体" w:hAnsi="宋体" w:cs="宋体" w:eastAsia="宋体" w:hint="default"/>
                <w:sz w:val="21"/>
                <w:szCs w:val="21"/>
              </w:rPr>
            </w:pPr>
            <w:r>
              <w:rPr>
                <w:rFonts w:ascii="宋体" w:hAnsi="宋体" w:cs="宋体" w:eastAsia="宋体" w:hint="default"/>
                <w:sz w:val="21"/>
                <w:szCs w:val="21"/>
              </w:rPr>
              <w:t>期末未终止确认金额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left="1845" w:right="0"/>
              <w:jc w:val="left"/>
              <w:rPr>
                <w:rFonts w:ascii="Times New Roman" w:hAnsi="Times New Roman" w:cs="Times New Roman" w:eastAsia="Times New Roman" w:hint="default"/>
                <w:sz w:val="21"/>
                <w:szCs w:val="21"/>
              </w:rPr>
            </w:pPr>
            <w:r>
              <w:rPr>
                <w:rFonts w:ascii="Times New Roman"/>
                <w:sz w:val="21"/>
              </w:rPr>
              <w:t>470,922,883.22</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46" w:type="dxa"/>
        <w:tblLayout w:type="fixed"/>
        <w:tblCellMar>
          <w:top w:w="0" w:type="dxa"/>
          <w:left w:w="0" w:type="dxa"/>
          <w:bottom w:w="0" w:type="dxa"/>
          <w:right w:w="0" w:type="dxa"/>
        </w:tblCellMar>
        <w:tblLook w:val="01E0"/>
      </w:tblPr>
      <w:tblGrid>
        <w:gridCol w:w="3192"/>
        <w:gridCol w:w="3190"/>
        <w:gridCol w:w="3190"/>
      </w:tblGrid>
      <w:tr>
        <w:trPr>
          <w:trHeight w:val="404" w:hRule="exact"/>
        </w:trPr>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845" w:right="0"/>
              <w:jc w:val="left"/>
              <w:rPr>
                <w:rFonts w:ascii="Times New Roman" w:hAnsi="Times New Roman" w:cs="Times New Roman" w:eastAsia="Times New Roman" w:hint="default"/>
                <w:sz w:val="21"/>
                <w:szCs w:val="21"/>
              </w:rPr>
            </w:pPr>
            <w:r>
              <w:rPr>
                <w:rFonts w:ascii="Times New Roman"/>
                <w:sz w:val="21"/>
              </w:rPr>
              <w:t>470,922,883.22</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4</w:t>
      </w:r>
      <w:r>
        <w:rPr/>
        <w:t>）期末公司无因出票人未履约而将其转应收账款的票据。</w:t>
      </w:r>
      <w:r>
        <w:rPr>
          <w:b w:val="0"/>
          <w:bCs w:val="0"/>
        </w:rPr>
      </w:r>
    </w:p>
    <w:p>
      <w:pPr>
        <w:spacing w:after="0" w:line="240" w:lineRule="auto"/>
        <w:jc w:val="left"/>
        <w:sectPr>
          <w:pgSz w:w="11910" w:h="16840"/>
          <w:pgMar w:header="877" w:footer="979" w:top="1100" w:bottom="1160" w:left="980" w:right="980"/>
        </w:sectPr>
      </w:pPr>
    </w:p>
    <w:p>
      <w:pPr>
        <w:spacing w:line="240" w:lineRule="auto" w:before="0"/>
        <w:rPr>
          <w:rFonts w:ascii="宋体" w:hAnsi="宋体" w:cs="宋体" w:eastAsia="宋体" w:hint="default"/>
          <w:b/>
          <w:bCs/>
          <w:sz w:val="24"/>
          <w:szCs w:val="24"/>
        </w:rPr>
      </w:pPr>
    </w:p>
    <w:p>
      <w:pPr>
        <w:pStyle w:val="Heading4"/>
        <w:spacing w:line="240" w:lineRule="auto"/>
        <w:ind w:left="140" w:right="-18"/>
        <w:jc w:val="left"/>
        <w:rPr>
          <w:b w:val="0"/>
          <w:bCs w:val="0"/>
        </w:rPr>
      </w:pPr>
      <w:r>
        <w:rPr/>
        <w:pict>
          <v:group style="position:absolute;margin-left:70.559998pt;margin-top:-.476309pt;width:700.9pt;height:.1pt;mso-position-horizontal-relative:page;mso-position-vertical-relative:paragraph;z-index:3184" coordorigin="1411,-10" coordsize="14018,2">
            <v:shape style="position:absolute;left:1411;top:-10;width:14018;height:2" coordorigin="1411,-10" coordsize="14018,0" path="m1411,-10l15429,-10e" filled="false" stroked="true" strokeweight=".72pt" strokecolor="#000000">
              <v:path arrowok="t"/>
            </v:shape>
            <w10:wrap type="none"/>
          </v:group>
        </w:pict>
      </w:r>
      <w:r>
        <w:rPr>
          <w:rFonts w:ascii="Times New Roman" w:hAnsi="Times New Roman" w:cs="Times New Roman" w:eastAsia="Times New Roman" w:hint="default"/>
        </w:rPr>
        <w:t>5</w:t>
      </w:r>
      <w:r>
        <w:rPr/>
        <w:t>、应收账款</w:t>
      </w:r>
      <w:r>
        <w:rPr>
          <w:b w:val="0"/>
          <w:bCs w:val="0"/>
        </w:rPr>
      </w:r>
    </w:p>
    <w:p>
      <w:pPr>
        <w:spacing w:before="15"/>
        <w:ind w:left="140"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广东华声电器股份有限公司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p>
      <w:pPr>
        <w:spacing w:after="0"/>
        <w:jc w:val="left"/>
        <w:rPr>
          <w:rFonts w:ascii="宋体" w:hAnsi="宋体" w:cs="宋体" w:eastAsia="宋体" w:hint="default"/>
          <w:sz w:val="18"/>
          <w:szCs w:val="18"/>
        </w:rPr>
        <w:sectPr>
          <w:headerReference w:type="default" r:id="rId24"/>
          <w:footerReference w:type="default" r:id="rId25"/>
          <w:pgSz w:w="16840" w:h="11910" w:orient="landscape"/>
          <w:pgMar w:header="0" w:footer="0" w:top="800" w:bottom="280" w:left="1300" w:right="1300"/>
          <w:cols w:num="2" w:equalWidth="0">
            <w:col w:w="1302" w:space="8966"/>
            <w:col w:w="3972"/>
          </w:cols>
        </w:sectPr>
      </w:pPr>
    </w:p>
    <w:p>
      <w:pPr>
        <w:spacing w:line="240" w:lineRule="auto" w:before="13"/>
        <w:rPr>
          <w:rFonts w:ascii="宋体" w:hAnsi="宋体" w:cs="宋体" w:eastAsia="宋体" w:hint="default"/>
          <w:sz w:val="21"/>
          <w:szCs w:val="21"/>
        </w:rPr>
      </w:pPr>
    </w:p>
    <w:p>
      <w:pPr>
        <w:tabs>
          <w:tab w:pos="13106" w:val="left" w:leader="none"/>
        </w:tabs>
        <w:spacing w:before="36"/>
        <w:ind w:left="140" w:right="0"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Times New Roman" w:hAnsi="Times New Roman" w:cs="Times New Roman" w:eastAsia="Times New Roman" w:hint="default"/>
          <w:b/>
          <w:bCs/>
          <w:spacing w:val="-1"/>
          <w:sz w:val="21"/>
          <w:szCs w:val="21"/>
        </w:rPr>
        <w:t>1</w:t>
      </w:r>
      <w:r>
        <w:rPr>
          <w:rFonts w:ascii="宋体" w:hAnsi="宋体" w:cs="宋体" w:eastAsia="宋体" w:hint="default"/>
          <w:b/>
          <w:bCs/>
          <w:spacing w:val="-1"/>
          <w:sz w:val="21"/>
          <w:szCs w:val="21"/>
        </w:rPr>
        <w:t>）应收账款分类披露</w:t>
        <w:tab/>
      </w:r>
      <w:r>
        <w:rPr>
          <w:rFonts w:ascii="宋体" w:hAnsi="宋体" w:cs="宋体" w:eastAsia="宋体" w:hint="default"/>
          <w:spacing w:val="-1"/>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9"/>
        <w:rPr>
          <w:rFonts w:ascii="宋体" w:hAnsi="宋体" w:cs="宋体" w:eastAsia="宋体" w:hint="default"/>
          <w:sz w:val="25"/>
          <w:szCs w:val="25"/>
        </w:rPr>
      </w:pPr>
    </w:p>
    <w:tbl>
      <w:tblPr>
        <w:tblW w:w="0" w:type="auto"/>
        <w:jc w:val="left"/>
        <w:tblInd w:w="147" w:type="dxa"/>
        <w:tblLayout w:type="fixed"/>
        <w:tblCellMar>
          <w:top w:w="0" w:type="dxa"/>
          <w:left w:w="0" w:type="dxa"/>
          <w:bottom w:w="0" w:type="dxa"/>
          <w:right w:w="0" w:type="dxa"/>
        </w:tblCellMar>
        <w:tblLook w:val="01E0"/>
      </w:tblPr>
      <w:tblGrid>
        <w:gridCol w:w="2529"/>
        <w:gridCol w:w="1430"/>
        <w:gridCol w:w="850"/>
        <w:gridCol w:w="1277"/>
        <w:gridCol w:w="708"/>
        <w:gridCol w:w="1419"/>
        <w:gridCol w:w="1416"/>
        <w:gridCol w:w="852"/>
        <w:gridCol w:w="1277"/>
        <w:gridCol w:w="708"/>
        <w:gridCol w:w="1416"/>
      </w:tblGrid>
      <w:tr>
        <w:trPr>
          <w:trHeight w:val="396" w:hRule="exact"/>
        </w:trPr>
        <w:tc>
          <w:tcPr>
            <w:tcW w:w="2529" w:type="dxa"/>
            <w:vMerge w:val="restart"/>
            <w:tcBorders>
              <w:top w:val="single" w:sz="4" w:space="0" w:color="000000"/>
              <w:left w:val="single" w:sz="4" w:space="0" w:color="000000"/>
              <w:right w:val="single" w:sz="4" w:space="0" w:color="000000"/>
            </w:tcBorders>
            <w:shd w:val="clear" w:color="auto" w:fill="D2D2D2"/>
          </w:tcPr>
          <w:p>
            <w:pPr/>
          </w:p>
        </w:tc>
        <w:tc>
          <w:tcPr>
            <w:tcW w:w="568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566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187" w:hRule="exact"/>
        </w:trPr>
        <w:tc>
          <w:tcPr>
            <w:tcW w:w="2529" w:type="dxa"/>
            <w:vMerge/>
            <w:tcBorders>
              <w:left w:val="single" w:sz="4" w:space="0" w:color="000000"/>
              <w:bottom w:val="nil" w:sz="6" w:space="0" w:color="auto"/>
              <w:right w:val="single" w:sz="4" w:space="0" w:color="000000"/>
            </w:tcBorders>
            <w:shd w:val="clear" w:color="auto" w:fill="D2D2D2"/>
          </w:tcPr>
          <w:p>
            <w:pPr/>
          </w:p>
        </w:tc>
        <w:tc>
          <w:tcPr>
            <w:tcW w:w="227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72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9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56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19" w:type="dxa"/>
            <w:vMerge w:val="restart"/>
            <w:tcBorders>
              <w:top w:val="single" w:sz="4" w:space="0" w:color="000000"/>
              <w:left w:val="single" w:sz="4" w:space="0" w:color="000000"/>
              <w:right w:val="single" w:sz="4" w:space="0" w:color="000000"/>
            </w:tcBorders>
            <w:shd w:val="clear" w:color="auto" w:fill="D2D2D2"/>
          </w:tcPr>
          <w:p>
            <w:pPr/>
          </w:p>
        </w:tc>
        <w:tc>
          <w:tcPr>
            <w:tcW w:w="226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71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9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56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16" w:type="dxa"/>
            <w:vMerge w:val="restart"/>
            <w:tcBorders>
              <w:top w:val="single" w:sz="4" w:space="0" w:color="000000"/>
              <w:left w:val="single" w:sz="4" w:space="0" w:color="000000"/>
              <w:right w:val="single" w:sz="4" w:space="0" w:color="000000"/>
            </w:tcBorders>
            <w:shd w:val="clear" w:color="auto" w:fill="D2D2D2"/>
          </w:tcPr>
          <w:p>
            <w:pPr/>
          </w:p>
        </w:tc>
      </w:tr>
      <w:tr>
        <w:trPr>
          <w:trHeight w:val="221" w:hRule="exact"/>
        </w:trPr>
        <w:tc>
          <w:tcPr>
            <w:tcW w:w="252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2279" w:type="dxa"/>
            <w:gridSpan w:val="2"/>
            <w:vMerge/>
            <w:tcBorders>
              <w:left w:val="single" w:sz="4" w:space="0" w:color="000000"/>
              <w:bottom w:val="single" w:sz="4" w:space="0" w:color="000000"/>
              <w:right w:val="single" w:sz="4" w:space="0" w:color="000000"/>
            </w:tcBorders>
            <w:shd w:val="clear" w:color="auto" w:fill="D2D2D2"/>
          </w:tcPr>
          <w:p>
            <w:pPr/>
          </w:p>
        </w:tc>
        <w:tc>
          <w:tcPr>
            <w:tcW w:w="1985" w:type="dxa"/>
            <w:gridSpan w:val="2"/>
            <w:vMerge/>
            <w:tcBorders>
              <w:left w:val="single" w:sz="4" w:space="0" w:color="000000"/>
              <w:bottom w:val="single" w:sz="4" w:space="0" w:color="000000"/>
              <w:right w:val="single" w:sz="4" w:space="0" w:color="000000"/>
            </w:tcBorders>
            <w:shd w:val="clear" w:color="auto" w:fill="D2D2D2"/>
          </w:tcPr>
          <w:p>
            <w:pPr/>
          </w:p>
        </w:tc>
        <w:tc>
          <w:tcPr>
            <w:tcW w:w="1419" w:type="dxa"/>
            <w:vMerge/>
            <w:tcBorders>
              <w:left w:val="single" w:sz="4" w:space="0" w:color="000000"/>
              <w:bottom w:val="nil" w:sz="6" w:space="0" w:color="auto"/>
              <w:right w:val="single" w:sz="4" w:space="0" w:color="000000"/>
            </w:tcBorders>
            <w:shd w:val="clear" w:color="auto" w:fill="D2D2D2"/>
          </w:tcPr>
          <w:p>
            <w:pPr/>
          </w:p>
        </w:tc>
        <w:tc>
          <w:tcPr>
            <w:tcW w:w="2268" w:type="dxa"/>
            <w:gridSpan w:val="2"/>
            <w:vMerge/>
            <w:tcBorders>
              <w:left w:val="single" w:sz="4" w:space="0" w:color="000000"/>
              <w:bottom w:val="single" w:sz="4" w:space="0" w:color="000000"/>
              <w:right w:val="single" w:sz="4" w:space="0" w:color="000000"/>
            </w:tcBorders>
            <w:shd w:val="clear" w:color="auto" w:fill="D2D2D2"/>
          </w:tcPr>
          <w:p>
            <w:pPr/>
          </w:p>
        </w:tc>
        <w:tc>
          <w:tcPr>
            <w:tcW w:w="1985" w:type="dxa"/>
            <w:gridSpan w:val="2"/>
            <w:vMerge/>
            <w:tcBorders>
              <w:left w:val="single" w:sz="4" w:space="0" w:color="000000"/>
              <w:bottom w:val="single" w:sz="4" w:space="0" w:color="000000"/>
              <w:right w:val="single" w:sz="4" w:space="0" w:color="000000"/>
            </w:tcBorders>
            <w:shd w:val="clear" w:color="auto" w:fill="D2D2D2"/>
          </w:tcPr>
          <w:p>
            <w:pPr/>
          </w:p>
        </w:tc>
        <w:tc>
          <w:tcPr>
            <w:tcW w:w="1416" w:type="dxa"/>
            <w:vMerge/>
            <w:tcBorders>
              <w:left w:val="single" w:sz="4" w:space="0" w:color="000000"/>
              <w:bottom w:val="nil" w:sz="6" w:space="0" w:color="auto"/>
              <w:right w:val="single" w:sz="4" w:space="0" w:color="000000"/>
            </w:tcBorders>
            <w:shd w:val="clear" w:color="auto" w:fill="D2D2D2"/>
          </w:tcPr>
          <w:p>
            <w:pPr/>
          </w:p>
        </w:tc>
      </w:tr>
      <w:tr>
        <w:trPr>
          <w:trHeight w:val="178" w:hRule="exact"/>
        </w:trPr>
        <w:tc>
          <w:tcPr>
            <w:tcW w:w="2529" w:type="dxa"/>
            <w:vMerge/>
            <w:tcBorders>
              <w:left w:val="single" w:sz="4" w:space="0" w:color="000000"/>
              <w:bottom w:val="single" w:sz="4" w:space="0" w:color="FFFFFF"/>
              <w:right w:val="single" w:sz="4" w:space="0" w:color="000000"/>
            </w:tcBorders>
            <w:shd w:val="clear" w:color="auto" w:fill="D2D2D2"/>
          </w:tcPr>
          <w:p>
            <w:pPr/>
          </w:p>
        </w:tc>
        <w:tc>
          <w:tcPr>
            <w:tcW w:w="1430"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850"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307" w:lineRule="auto" w:before="28"/>
              <w:ind w:left="139" w:right="134"/>
              <w:jc w:val="left"/>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pacing w:val="-103"/>
                <w:sz w:val="21"/>
                <w:szCs w:val="21"/>
              </w:rPr>
              <w:t> </w:t>
            </w:r>
            <w:r>
              <w:rPr>
                <w:rFonts w:ascii="宋体" w:hAnsi="宋体" w:cs="宋体" w:eastAsia="宋体" w:hint="default"/>
                <w:sz w:val="21"/>
                <w:szCs w:val="21"/>
              </w:rPr>
              <w:t>比例</w:t>
            </w:r>
          </w:p>
        </w:tc>
        <w:tc>
          <w:tcPr>
            <w:tcW w:w="14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
              <w:ind w:left="285"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4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52"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7"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307" w:lineRule="auto" w:before="28"/>
              <w:ind w:left="136" w:right="137"/>
              <w:jc w:val="left"/>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pacing w:val="-103"/>
                <w:sz w:val="21"/>
                <w:szCs w:val="21"/>
              </w:rPr>
              <w:t> </w:t>
            </w:r>
            <w:r>
              <w:rPr>
                <w:rFonts w:ascii="宋体" w:hAnsi="宋体" w:cs="宋体" w:eastAsia="宋体" w:hint="default"/>
                <w:sz w:val="21"/>
                <w:szCs w:val="21"/>
              </w:rPr>
              <w:t>比例</w:t>
            </w:r>
          </w:p>
        </w:tc>
        <w:tc>
          <w:tcPr>
            <w:tcW w:w="14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
              <w:ind w:left="283"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194" w:hRule="exact"/>
        </w:trPr>
        <w:tc>
          <w:tcPr>
            <w:tcW w:w="2529" w:type="dxa"/>
            <w:vMerge w:val="restart"/>
            <w:tcBorders>
              <w:top w:val="single" w:sz="4" w:space="0" w:color="FFFFFF"/>
              <w:left w:val="single" w:sz="4" w:space="0" w:color="000000"/>
              <w:right w:val="single" w:sz="4" w:space="0" w:color="000000"/>
            </w:tcBorders>
            <w:shd w:val="clear" w:color="auto" w:fill="D2D2D2"/>
          </w:tcPr>
          <w:p>
            <w:pPr/>
          </w:p>
        </w:tc>
        <w:tc>
          <w:tcPr>
            <w:tcW w:w="1430"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26"/>
              <w:ind w:left="1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50"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26"/>
              <w:ind w:left="208"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277"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26"/>
              <w:ind w:left="42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08"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bottom w:val="nil" w:sz="6" w:space="0" w:color="auto"/>
              <w:right w:val="single" w:sz="4" w:space="0" w:color="000000"/>
            </w:tcBorders>
            <w:shd w:val="clear" w:color="auto" w:fill="D2D2D2"/>
          </w:tcPr>
          <w:p>
            <w:pPr/>
          </w:p>
        </w:tc>
        <w:tc>
          <w:tcPr>
            <w:tcW w:w="14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5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left="211"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2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left="420"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08" w:type="dxa"/>
            <w:vMerge/>
            <w:tcBorders>
              <w:left w:val="single" w:sz="4" w:space="0" w:color="000000"/>
              <w:right w:val="single" w:sz="4" w:space="0" w:color="000000"/>
            </w:tcBorders>
            <w:shd w:val="clear" w:color="auto" w:fill="D2D2D2"/>
          </w:tcPr>
          <w:p>
            <w:pPr/>
          </w:p>
        </w:tc>
        <w:tc>
          <w:tcPr>
            <w:tcW w:w="1416"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2529" w:type="dxa"/>
            <w:vMerge/>
            <w:tcBorders>
              <w:left w:val="single" w:sz="4" w:space="0" w:color="000000"/>
              <w:right w:val="single" w:sz="4" w:space="0" w:color="000000"/>
            </w:tcBorders>
            <w:shd w:val="clear" w:color="auto" w:fill="D2D2D2"/>
          </w:tcPr>
          <w:p>
            <w:pPr/>
          </w:p>
        </w:tc>
        <w:tc>
          <w:tcPr>
            <w:tcW w:w="1430" w:type="dxa"/>
            <w:vMerge/>
            <w:tcBorders>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1419" w:type="dxa"/>
            <w:vMerge w:val="restart"/>
            <w:tcBorders>
              <w:top w:val="nil" w:sz="6" w:space="0" w:color="auto"/>
              <w:left w:val="single" w:sz="4" w:space="0" w:color="000000"/>
              <w:right w:val="single" w:sz="4" w:space="0" w:color="000000"/>
            </w:tcBorders>
            <w:shd w:val="clear" w:color="auto" w:fill="D2D2D2"/>
          </w:tcPr>
          <w:p>
            <w:pPr/>
          </w:p>
        </w:tc>
        <w:tc>
          <w:tcPr>
            <w:tcW w:w="1416" w:type="dxa"/>
            <w:vMerge/>
            <w:tcBorders>
              <w:left w:val="single" w:sz="4" w:space="0" w:color="000000"/>
              <w:bottom w:val="nil" w:sz="6" w:space="0" w:color="auto"/>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1416" w:type="dxa"/>
            <w:vMerge w:val="restart"/>
            <w:tcBorders>
              <w:top w:val="nil" w:sz="6" w:space="0" w:color="auto"/>
              <w:left w:val="single" w:sz="4" w:space="0" w:color="000000"/>
              <w:right w:val="single" w:sz="4" w:space="0" w:color="000000"/>
            </w:tcBorders>
            <w:shd w:val="clear" w:color="auto" w:fill="D2D2D2"/>
          </w:tcPr>
          <w:p>
            <w:pPr/>
          </w:p>
        </w:tc>
      </w:tr>
      <w:tr>
        <w:trPr>
          <w:trHeight w:val="182" w:hRule="exact"/>
        </w:trPr>
        <w:tc>
          <w:tcPr>
            <w:tcW w:w="2529" w:type="dxa"/>
            <w:vMerge/>
            <w:tcBorders>
              <w:left w:val="single" w:sz="4" w:space="0" w:color="000000"/>
              <w:bottom w:val="single" w:sz="4" w:space="0" w:color="000000"/>
              <w:right w:val="single" w:sz="4" w:space="0" w:color="000000"/>
            </w:tcBorders>
            <w:shd w:val="clear" w:color="auto" w:fill="D2D2D2"/>
          </w:tcPr>
          <w:p>
            <w:pPr/>
          </w:p>
        </w:tc>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1419" w:type="dxa"/>
            <w:vMerge/>
            <w:tcBorders>
              <w:left w:val="single" w:sz="4" w:space="0" w:color="000000"/>
              <w:bottom w:val="single" w:sz="4" w:space="0" w:color="000000"/>
              <w:right w:val="single" w:sz="4" w:space="0" w:color="000000"/>
            </w:tcBorders>
            <w:shd w:val="clear" w:color="auto" w:fill="D2D2D2"/>
          </w:tcPr>
          <w:p>
            <w:pPr/>
          </w:p>
        </w:tc>
        <w:tc>
          <w:tcPr>
            <w:tcW w:w="14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52"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1416"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1" w:right="191"/>
              <w:jc w:val="left"/>
              <w:rPr>
                <w:rFonts w:ascii="宋体" w:hAnsi="宋体" w:cs="宋体" w:eastAsia="宋体" w:hint="default"/>
                <w:sz w:val="21"/>
                <w:szCs w:val="21"/>
              </w:rPr>
            </w:pPr>
            <w:r>
              <w:rPr>
                <w:rFonts w:ascii="宋体" w:hAnsi="宋体" w:cs="宋体" w:eastAsia="宋体" w:hint="default"/>
                <w:spacing w:val="-2"/>
                <w:sz w:val="21"/>
                <w:szCs w:val="21"/>
              </w:rPr>
              <w:t>按信用风险特征组合计提</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坏账准备的应收账款</w:t>
            </w:r>
          </w:p>
        </w:tc>
        <w:tc>
          <w:tcPr>
            <w:tcW w:w="143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54" w:right="0"/>
              <w:jc w:val="center"/>
              <w:rPr>
                <w:rFonts w:ascii="Times New Roman" w:hAnsi="Times New Roman" w:cs="Times New Roman" w:eastAsia="Times New Roman" w:hint="default"/>
                <w:sz w:val="21"/>
                <w:szCs w:val="21"/>
              </w:rPr>
            </w:pPr>
            <w:r>
              <w:rPr>
                <w:rFonts w:ascii="Times New Roman"/>
                <w:sz w:val="21"/>
              </w:rPr>
              <w:t>299,277,548.08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41" w:right="0"/>
              <w:jc w:val="center"/>
              <w:rPr>
                <w:rFonts w:ascii="Times New Roman" w:hAnsi="Times New Roman" w:cs="Times New Roman" w:eastAsia="Times New Roman" w:hint="default"/>
                <w:sz w:val="21"/>
                <w:szCs w:val="21"/>
              </w:rPr>
            </w:pPr>
            <w:r>
              <w:rPr>
                <w:rFonts w:ascii="Times New Roman"/>
                <w:sz w:val="21"/>
              </w:rPr>
              <w:t>100.00%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1,095,890.31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0.37%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54" w:right="0"/>
              <w:jc w:val="center"/>
              <w:rPr>
                <w:rFonts w:ascii="Times New Roman" w:hAnsi="Times New Roman" w:cs="Times New Roman" w:eastAsia="Times New Roman" w:hint="default"/>
                <w:sz w:val="21"/>
                <w:szCs w:val="21"/>
              </w:rPr>
            </w:pPr>
            <w:r>
              <w:rPr>
                <w:rFonts w:ascii="Times New Roman"/>
                <w:sz w:val="21"/>
              </w:rPr>
              <w:t>298,181,657.77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358,764,497.64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z w:val="21"/>
              </w:rPr>
              <w:t>100.00%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1,222,386.13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z w:val="21"/>
              </w:rPr>
              <w:t>0.34%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69" w:right="0"/>
              <w:jc w:val="center"/>
              <w:rPr>
                <w:rFonts w:ascii="Times New Roman" w:hAnsi="Times New Roman" w:cs="Times New Roman" w:eastAsia="Times New Roman" w:hint="default"/>
                <w:sz w:val="21"/>
                <w:szCs w:val="21"/>
              </w:rPr>
            </w:pPr>
            <w:r>
              <w:rPr>
                <w:rFonts w:ascii="Times New Roman"/>
                <w:spacing w:val="-2"/>
                <w:sz w:val="21"/>
              </w:rPr>
              <w:t>357,542,111.51</w:t>
            </w:r>
          </w:p>
        </w:tc>
      </w:tr>
      <w:tr>
        <w:trPr>
          <w:trHeight w:val="40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3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left="54" w:right="0"/>
              <w:jc w:val="center"/>
              <w:rPr>
                <w:rFonts w:ascii="Times New Roman" w:hAnsi="Times New Roman" w:cs="Times New Roman" w:eastAsia="Times New Roman" w:hint="default"/>
                <w:sz w:val="21"/>
                <w:szCs w:val="21"/>
              </w:rPr>
            </w:pPr>
            <w:r>
              <w:rPr>
                <w:rFonts w:ascii="Times New Roman"/>
                <w:sz w:val="21"/>
              </w:rPr>
              <w:t>299,277,548.08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1" w:right="0"/>
              <w:jc w:val="center"/>
              <w:rPr>
                <w:rFonts w:ascii="Times New Roman" w:hAnsi="Times New Roman" w:cs="Times New Roman" w:eastAsia="Times New Roman" w:hint="default"/>
                <w:sz w:val="21"/>
                <w:szCs w:val="21"/>
              </w:rPr>
            </w:pPr>
            <w:r>
              <w:rPr>
                <w:rFonts w:ascii="Times New Roman"/>
                <w:sz w:val="21"/>
              </w:rPr>
              <w:t>100.00%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1,095,890.31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0.37%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4" w:right="0"/>
              <w:jc w:val="center"/>
              <w:rPr>
                <w:rFonts w:ascii="Times New Roman" w:hAnsi="Times New Roman" w:cs="Times New Roman" w:eastAsia="Times New Roman" w:hint="default"/>
                <w:sz w:val="21"/>
                <w:szCs w:val="21"/>
              </w:rPr>
            </w:pPr>
            <w:r>
              <w:rPr>
                <w:rFonts w:ascii="Times New Roman"/>
                <w:sz w:val="21"/>
              </w:rPr>
              <w:t>298,181,657.77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358,764,497.64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100.00%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1,222,386.13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0.34%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69" w:right="0"/>
              <w:jc w:val="center"/>
              <w:rPr>
                <w:rFonts w:ascii="Times New Roman" w:hAnsi="Times New Roman" w:cs="Times New Roman" w:eastAsia="Times New Roman" w:hint="default"/>
                <w:sz w:val="21"/>
                <w:szCs w:val="21"/>
              </w:rPr>
            </w:pPr>
            <w:r>
              <w:rPr>
                <w:rFonts w:ascii="Times New Roman"/>
                <w:spacing w:val="-2"/>
                <w:sz w:val="21"/>
              </w:rPr>
              <w:t>357,542,111.51</w:t>
            </w:r>
          </w:p>
        </w:tc>
      </w:tr>
    </w:tbl>
    <w:p>
      <w:pPr>
        <w:pStyle w:val="BodyText"/>
        <w:tabs>
          <w:tab w:pos="12289" w:val="left" w:leader="none"/>
        </w:tabs>
        <w:spacing w:line="240" w:lineRule="auto" w:before="28"/>
        <w:ind w:left="0" w:right="198"/>
        <w:jc w:val="right"/>
      </w:pPr>
      <w:r>
        <w:rPr>
          <w:spacing w:val="-2"/>
        </w:rPr>
        <w:t>期末单项金额重大并单项计提坏账准备的应收账款：</w:t>
        <w:tab/>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spacing w:val="-1"/>
        </w:rPr>
        <w:t>不适用</w:t>
      </w:r>
    </w:p>
    <w:p>
      <w:pPr>
        <w:pStyle w:val="BodyText"/>
        <w:tabs>
          <w:tab w:pos="12287" w:val="left" w:leader="none"/>
        </w:tabs>
        <w:spacing w:line="240" w:lineRule="auto" w:before="59"/>
        <w:ind w:left="0" w:right="200"/>
        <w:jc w:val="right"/>
      </w:pPr>
      <w:r>
        <w:rPr>
          <w:spacing w:val="-2"/>
        </w:rPr>
        <w:t>组合中，按账龄分析法计提坏账准备的应收账款：</w:t>
        <w:tab/>
      </w:r>
      <w:r>
        <w:rPr>
          <w:rFonts w:ascii="Times New Roman" w:hAnsi="Times New Roman" w:cs="Times New Roman" w:eastAsia="Times New Roman" w:hint="default"/>
        </w:rPr>
        <w:t>√  </w:t>
      </w:r>
      <w:r>
        <w:rPr>
          <w:spacing w:val="-2"/>
        </w:rPr>
        <w:t>适用</w:t>
      </w:r>
      <w:r>
        <w:rPr/>
        <w:t> </w:t>
      </w:r>
      <w:r>
        <w:rPr>
          <w:rFonts w:ascii="Times New Roman" w:hAnsi="Times New Roman" w:cs="Times New Roman" w:eastAsia="Times New Roman" w:hint="default"/>
        </w:rPr>
        <w:t>□ </w:t>
      </w:r>
      <w:r>
        <w:rPr>
          <w:rFonts w:ascii="Times New Roman" w:hAnsi="Times New Roman" w:cs="Times New Roman" w:eastAsia="Times New Roman" w:hint="default"/>
          <w:spacing w:val="4"/>
        </w:rPr>
        <w:t> </w:t>
      </w:r>
      <w:r>
        <w:rPr>
          <w:spacing w:val="-1"/>
        </w:rPr>
        <w:t>不适用</w:t>
      </w:r>
    </w:p>
    <w:p>
      <w:pPr>
        <w:pStyle w:val="BodyText"/>
        <w:spacing w:line="240" w:lineRule="auto" w:before="62"/>
        <w:ind w:left="0" w:right="239"/>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35" w:type="dxa"/>
        <w:tblLayout w:type="fixed"/>
        <w:tblCellMar>
          <w:top w:w="0" w:type="dxa"/>
          <w:left w:w="0" w:type="dxa"/>
          <w:bottom w:w="0" w:type="dxa"/>
          <w:right w:w="0" w:type="dxa"/>
        </w:tblCellMar>
        <w:tblLook w:val="01E0"/>
      </w:tblPr>
      <w:tblGrid>
        <w:gridCol w:w="2552"/>
        <w:gridCol w:w="1315"/>
        <w:gridCol w:w="2465"/>
        <w:gridCol w:w="3780"/>
        <w:gridCol w:w="3781"/>
      </w:tblGrid>
      <w:tr>
        <w:trPr>
          <w:trHeight w:val="401" w:hRule="exact"/>
        </w:trPr>
        <w:tc>
          <w:tcPr>
            <w:tcW w:w="25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1134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403" w:hRule="exact"/>
        </w:trPr>
        <w:tc>
          <w:tcPr>
            <w:tcW w:w="2552" w:type="dxa"/>
            <w:vMerge/>
            <w:tcBorders>
              <w:left w:val="single" w:sz="4" w:space="0" w:color="000000"/>
              <w:bottom w:val="single" w:sz="4" w:space="0" w:color="000000"/>
              <w:right w:val="single" w:sz="4" w:space="0" w:color="000000"/>
            </w:tcBorders>
            <w:shd w:val="clear" w:color="auto" w:fill="D2D2D2"/>
          </w:tcPr>
          <w:p>
            <w:pPr/>
          </w:p>
        </w:tc>
        <w:tc>
          <w:tcPr>
            <w:tcW w:w="37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应收账款</w:t>
            </w:r>
          </w:p>
        </w:tc>
        <w:tc>
          <w:tcPr>
            <w:tcW w:w="3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坏账准备</w:t>
            </w:r>
          </w:p>
        </w:tc>
        <w:tc>
          <w:tcPr>
            <w:tcW w:w="3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计提比例</w:t>
            </w:r>
          </w:p>
        </w:tc>
      </w:tr>
      <w:tr>
        <w:trPr>
          <w:trHeight w:val="401" w:hRule="exact"/>
        </w:trPr>
        <w:tc>
          <w:tcPr>
            <w:tcW w:w="138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年以内分项</w:t>
            </w: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个月以内（含</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个月）</w:t>
            </w:r>
          </w:p>
        </w:tc>
        <w:tc>
          <w:tcPr>
            <w:tcW w:w="37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436" w:right="0"/>
              <w:jc w:val="left"/>
              <w:rPr>
                <w:rFonts w:ascii="Times New Roman" w:hAnsi="Times New Roman" w:cs="Times New Roman" w:eastAsia="Times New Roman" w:hint="default"/>
                <w:sz w:val="21"/>
                <w:szCs w:val="21"/>
              </w:rPr>
            </w:pPr>
            <w:r>
              <w:rPr>
                <w:rFonts w:ascii="Times New Roman"/>
                <w:sz w:val="21"/>
              </w:rPr>
              <w:t>286,845,863.35</w:t>
            </w:r>
          </w:p>
        </w:tc>
        <w:tc>
          <w:tcPr>
            <w:tcW w:w="3780" w:type="dxa"/>
            <w:tcBorders>
              <w:top w:val="single" w:sz="4" w:space="0" w:color="000000"/>
              <w:left w:val="single" w:sz="4" w:space="0" w:color="000000"/>
              <w:bottom w:val="single" w:sz="4" w:space="0" w:color="000000"/>
              <w:right w:val="single" w:sz="4" w:space="0" w:color="000000"/>
            </w:tcBorders>
          </w:tcPr>
          <w:p>
            <w:pPr/>
          </w:p>
        </w:tc>
        <w:tc>
          <w:tcPr>
            <w:tcW w:w="378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52"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个月至</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pacing w:val="-20"/>
                <w:sz w:val="21"/>
                <w:szCs w:val="21"/>
              </w:rPr>
              <w:t>个月（含</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w:t>
            </w:r>
          </w:p>
        </w:tc>
        <w:tc>
          <w:tcPr>
            <w:tcW w:w="1315" w:type="dxa"/>
            <w:tcBorders>
              <w:top w:val="single" w:sz="4" w:space="0" w:color="000000"/>
              <w:left w:val="single" w:sz="10" w:space="0" w:color="FFFFFF"/>
              <w:bottom w:val="single" w:sz="4" w:space="0" w:color="000000"/>
              <w:right w:val="nil" w:sz="6" w:space="0" w:color="auto"/>
            </w:tcBorders>
          </w:tcPr>
          <w:p>
            <w:pPr/>
          </w:p>
        </w:tc>
        <w:tc>
          <w:tcPr>
            <w:tcW w:w="24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38" w:right="0"/>
              <w:jc w:val="left"/>
              <w:rPr>
                <w:rFonts w:ascii="Times New Roman" w:hAnsi="Times New Roman" w:cs="Times New Roman" w:eastAsia="Times New Roman" w:hint="default"/>
                <w:sz w:val="21"/>
                <w:szCs w:val="21"/>
              </w:rPr>
            </w:pPr>
            <w:r>
              <w:rPr>
                <w:rFonts w:ascii="Times New Roman"/>
                <w:sz w:val="21"/>
              </w:rPr>
              <w:t>11,806,861.38</w:t>
            </w: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590,343.07</w:t>
            </w:r>
          </w:p>
        </w:tc>
        <w:tc>
          <w:tcPr>
            <w:tcW w:w="3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5.00%</w:t>
            </w:r>
          </w:p>
        </w:tc>
      </w:tr>
      <w:tr>
        <w:trPr>
          <w:trHeight w:val="404"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个月至</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年（含</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37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238,552.22</w:t>
            </w: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3"/>
                <w:sz w:val="21"/>
              </w:rPr>
              <w:t>119,276.11</w:t>
            </w:r>
          </w:p>
        </w:tc>
        <w:tc>
          <w:tcPr>
            <w:tcW w:w="3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50.00%</w:t>
            </w: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年以内小计</w:t>
            </w:r>
          </w:p>
        </w:tc>
        <w:tc>
          <w:tcPr>
            <w:tcW w:w="37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436" w:right="0"/>
              <w:jc w:val="left"/>
              <w:rPr>
                <w:rFonts w:ascii="Times New Roman" w:hAnsi="Times New Roman" w:cs="Times New Roman" w:eastAsia="Times New Roman" w:hint="default"/>
                <w:sz w:val="21"/>
                <w:szCs w:val="21"/>
              </w:rPr>
            </w:pPr>
            <w:r>
              <w:rPr>
                <w:rFonts w:ascii="Times New Roman"/>
                <w:sz w:val="21"/>
              </w:rPr>
              <w:t>298,891,276.95</w:t>
            </w: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709,619.18</w:t>
            </w:r>
          </w:p>
        </w:tc>
        <w:tc>
          <w:tcPr>
            <w:tcW w:w="3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0.24%</w:t>
            </w: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37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386,271.13</w:t>
            </w: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386,271.13</w:t>
            </w:r>
          </w:p>
        </w:tc>
        <w:tc>
          <w:tcPr>
            <w:tcW w:w="3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100.00%</w:t>
            </w: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7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436" w:right="0"/>
              <w:jc w:val="left"/>
              <w:rPr>
                <w:rFonts w:ascii="Times New Roman" w:hAnsi="Times New Roman" w:cs="Times New Roman" w:eastAsia="Times New Roman" w:hint="default"/>
                <w:sz w:val="21"/>
                <w:szCs w:val="21"/>
              </w:rPr>
            </w:pPr>
            <w:r>
              <w:rPr>
                <w:rFonts w:ascii="Times New Roman"/>
                <w:sz w:val="21"/>
              </w:rPr>
              <w:t>299,277,548.08</w:t>
            </w: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1,095,890.31</w:t>
            </w:r>
          </w:p>
        </w:tc>
        <w:tc>
          <w:tcPr>
            <w:tcW w:w="3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0.37%</w:t>
            </w:r>
          </w:p>
        </w:tc>
      </w:tr>
    </w:tbl>
    <w:p>
      <w:pPr>
        <w:pStyle w:val="BodyText"/>
        <w:spacing w:line="273" w:lineRule="auto" w:before="28"/>
        <w:ind w:left="140" w:right="0"/>
        <w:jc w:val="left"/>
      </w:pPr>
      <w:r>
        <w:rPr/>
        <w:pict>
          <v:shape style="position:absolute;margin-left:172.100006pt;margin-top:-100.48233pt;width:215.2pt;height:19.6pt;mso-position-horizontal-relative:page;mso-position-vertical-relative:paragraph;z-index:-665656" type="#_x0000_t202" filled="false" stroked="false">
            <v:textbox inset="0,0,0,0">
              <w:txbxContent>
                <w:p>
                  <w:pPr>
                    <w:pStyle w:val="BodyText"/>
                    <w:spacing w:line="240" w:lineRule="auto" w:before="28"/>
                    <w:ind w:left="0" w:right="0"/>
                    <w:jc w:val="left"/>
                  </w:pPr>
                  <w:r>
                    <w:rPr>
                      <w:spacing w:val="-3"/>
                    </w:rPr>
                    <w:t>个月）</w:t>
                  </w:r>
                  <w:r>
                    <w:rPr/>
                  </w:r>
                </w:p>
              </w:txbxContent>
            </v:textbox>
            <w10:wrap type="none"/>
          </v:shape>
        </w:pict>
      </w:r>
      <w:r>
        <w:rPr/>
        <w:pict>
          <v:group style="position:absolute;margin-left:201.020004pt;margin-top:-100.48233pt;width:186.3pt;height:19.6pt;mso-position-horizontal-relative:page;mso-position-vertical-relative:paragraph;z-index:-665608" coordorigin="4020,-2010" coordsize="3726,392">
            <v:shape style="position:absolute;left:4020;top:-2010;width:3726;height:392" coordorigin="4020,-2010" coordsize="3726,392" path="m4020,-1618l7746,-1618,7746,-2010,4020,-2010,4020,-1618xe" filled="true" fillcolor="#ffffff" stroked="false">
              <v:path arrowok="t"/>
              <v:fill type="solid"/>
            </v:shape>
            <w10:wrap type="none"/>
          </v:group>
        </w:pict>
      </w:r>
      <w:r>
        <w:rPr>
          <w:spacing w:val="-2"/>
        </w:rPr>
        <w:t>确定该组合依据的说明：公司根据以前年度与之相同或相类似的、具有类似信用风险特征的应收款项组合的实际损失率为基础，结合现时情况确定本期</w:t>
      </w:r>
      <w:r>
        <w:rPr>
          <w:spacing w:val="19"/>
        </w:rPr>
        <w:t> </w:t>
      </w:r>
      <w:r>
        <w:rPr>
          <w:spacing w:val="19"/>
        </w:rPr>
      </w:r>
      <w:r>
        <w:rPr/>
        <w:t>各项组合计提坏账准备的比例。</w:t>
      </w:r>
    </w:p>
    <w:p>
      <w:pPr>
        <w:spacing w:line="240" w:lineRule="auto" w:before="3"/>
        <w:rPr>
          <w:rFonts w:ascii="宋体" w:hAnsi="宋体" w:cs="宋体" w:eastAsia="宋体" w:hint="default"/>
          <w:sz w:val="16"/>
          <w:szCs w:val="16"/>
        </w:rPr>
      </w:pPr>
    </w:p>
    <w:p>
      <w:pPr>
        <w:spacing w:before="76"/>
        <w:ind w:left="0" w:right="133" w:firstLine="0"/>
        <w:jc w:val="right"/>
        <w:rPr>
          <w:rFonts w:ascii="Times New Roman" w:hAnsi="Times New Roman" w:cs="Times New Roman" w:eastAsia="Times New Roman" w:hint="default"/>
          <w:sz w:val="18"/>
          <w:szCs w:val="18"/>
        </w:rPr>
      </w:pPr>
      <w:r>
        <w:rPr>
          <w:rFonts w:ascii="Times New Roman"/>
          <w:sz w:val="18"/>
        </w:rPr>
        <w:t>85</w:t>
      </w:r>
    </w:p>
    <w:p>
      <w:pPr>
        <w:spacing w:after="0"/>
        <w:jc w:val="right"/>
        <w:rPr>
          <w:rFonts w:ascii="Times New Roman" w:hAnsi="Times New Roman" w:cs="Times New Roman" w:eastAsia="Times New Roman" w:hint="default"/>
          <w:sz w:val="18"/>
          <w:szCs w:val="18"/>
        </w:rPr>
        <w:sectPr>
          <w:type w:val="continuous"/>
          <w:pgSz w:w="16840" w:h="11910" w:orient="landscape"/>
          <w:pgMar w:top="1060" w:bottom="1160" w:left="1300" w:right="1300"/>
        </w:sectPr>
      </w:pPr>
    </w:p>
    <w:p>
      <w:pPr>
        <w:spacing w:line="240" w:lineRule="auto" w:before="8"/>
        <w:rPr>
          <w:rFonts w:ascii="Times New Roman" w:hAnsi="Times New Roman" w:cs="Times New Roman" w:eastAsia="Times New Roman" w:hint="default"/>
          <w:sz w:val="23"/>
          <w:szCs w:val="23"/>
        </w:rPr>
      </w:pPr>
    </w:p>
    <w:p>
      <w:pPr>
        <w:pStyle w:val="BodyText"/>
        <w:spacing w:line="240" w:lineRule="auto" w:before="36"/>
        <w:ind w:right="0"/>
        <w:jc w:val="left"/>
      </w:pPr>
      <w:r>
        <w:rPr/>
        <w:t>组合中，采用余额百分比法计提坏账准备的应收账款：</w:t>
      </w:r>
    </w:p>
    <w:p>
      <w:pPr>
        <w:pStyle w:val="BodyText"/>
        <w:spacing w:line="290" w:lineRule="auto" w:before="37"/>
        <w:ind w:right="373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组合中，采用其他方法计提坏账准备的应收账款：</w:t>
      </w:r>
    </w:p>
    <w:p>
      <w:pPr>
        <w:pStyle w:val="BodyText"/>
        <w:spacing w:line="284" w:lineRule="exact"/>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）本期计提坏账准备金额</w:t>
      </w:r>
      <w:r>
        <w:rPr>
          <w:rFonts w:ascii="Times New Roman" w:hAnsi="Times New Roman" w:cs="Times New Roman" w:eastAsia="Times New Roman" w:hint="default"/>
        </w:rPr>
        <w:t>-126,495.82</w:t>
      </w:r>
      <w:r>
        <w:rPr>
          <w:rFonts w:ascii="Times New Roman" w:hAnsi="Times New Roman" w:cs="Times New Roman" w:eastAsia="Times New Roman" w:hint="default"/>
          <w:spacing w:val="-4"/>
        </w:rPr>
        <w:t> </w:t>
      </w:r>
      <w:r>
        <w:rPr/>
        <w:t>元；本期无收回或转回的坏账准备。</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）本期无实际核销的应收账款。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36"/>
        <w:ind w:left="0" w:right="254"/>
        <w:jc w:val="right"/>
      </w:pPr>
      <w:r>
        <w:rPr>
          <w:spacing w:val="-1"/>
        </w:rPr>
        <w:t>单位：元</w:t>
      </w:r>
    </w:p>
    <w:p>
      <w:pPr>
        <w:spacing w:line="240" w:lineRule="auto" w:before="13"/>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5"/>
      </w:tblGrid>
      <w:tr>
        <w:trPr>
          <w:trHeight w:val="119" w:hRule="exact"/>
        </w:trPr>
        <w:tc>
          <w:tcPr>
            <w:tcW w:w="18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42"/>
              <w:ind w:left="518"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42"/>
              <w:ind w:left="544"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61" w:lineRule="exact"/>
              <w:ind w:left="4" w:right="0"/>
              <w:jc w:val="center"/>
              <w:rPr>
                <w:rFonts w:ascii="宋体" w:hAnsi="宋体" w:cs="宋体" w:eastAsia="宋体" w:hint="default"/>
                <w:sz w:val="21"/>
                <w:szCs w:val="21"/>
              </w:rPr>
            </w:pPr>
            <w:r>
              <w:rPr>
                <w:rFonts w:ascii="宋体" w:hAnsi="宋体" w:cs="宋体" w:eastAsia="宋体" w:hint="default"/>
                <w:sz w:val="21"/>
                <w:szCs w:val="21"/>
              </w:rPr>
              <w:t>占应收账款合计数</w:t>
            </w:r>
          </w:p>
          <w:p>
            <w:pPr>
              <w:pStyle w:val="TableParagraph"/>
              <w:spacing w:line="240" w:lineRule="auto" w:before="37"/>
              <w:ind w:left="1" w:right="0"/>
              <w:jc w:val="center"/>
              <w:rPr>
                <w:rFonts w:ascii="宋体" w:hAnsi="宋体" w:cs="宋体" w:eastAsia="宋体" w:hint="default"/>
                <w:sz w:val="21"/>
                <w:szCs w:val="21"/>
              </w:rPr>
            </w:pPr>
            <w:r>
              <w:rPr>
                <w:rFonts w:ascii="宋体" w:hAnsi="宋体" w:cs="宋体" w:eastAsia="宋体" w:hint="default"/>
                <w:sz w:val="21"/>
                <w:szCs w:val="21"/>
              </w:rPr>
              <w:t>的比例</w:t>
            </w:r>
          </w:p>
        </w:tc>
        <w:tc>
          <w:tcPr>
            <w:tcW w:w="191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889" w:type="dxa"/>
            <w:vMerge/>
            <w:tcBorders>
              <w:left w:val="single" w:sz="4" w:space="0" w:color="000000"/>
              <w:right w:val="single" w:sz="4" w:space="0" w:color="000000"/>
            </w:tcBorders>
            <w:shd w:val="clear" w:color="auto" w:fill="D2D2D2"/>
          </w:tcPr>
          <w:p>
            <w:pPr/>
          </w:p>
        </w:tc>
        <w:tc>
          <w:tcPr>
            <w:tcW w:w="1928" w:type="dxa"/>
            <w:vMerge/>
            <w:tcBorders>
              <w:left w:val="single" w:sz="4" w:space="0" w:color="000000"/>
              <w:right w:val="single" w:sz="4" w:space="0" w:color="000000"/>
            </w:tcBorders>
            <w:shd w:val="clear" w:color="auto" w:fill="D2D2D2"/>
          </w:tcPr>
          <w:p>
            <w:pPr/>
          </w:p>
        </w:tc>
        <w:tc>
          <w:tcPr>
            <w:tcW w:w="19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532"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913" w:type="dxa"/>
            <w:vMerge/>
            <w:tcBorders>
              <w:left w:val="single" w:sz="4" w:space="0" w:color="000000"/>
              <w:right w:val="single" w:sz="4" w:space="0" w:color="000000"/>
            </w:tcBorders>
            <w:shd w:val="clear" w:color="auto" w:fill="D2D2D2"/>
          </w:tcPr>
          <w:p>
            <w:pPr/>
          </w:p>
        </w:tc>
        <w:tc>
          <w:tcPr>
            <w:tcW w:w="19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532"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161" w:hRule="exact"/>
        </w:trPr>
        <w:tc>
          <w:tcPr>
            <w:tcW w:w="1889" w:type="dxa"/>
            <w:vMerge/>
            <w:tcBorders>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559"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7"/>
              <w:ind w:left="12" w:right="0"/>
              <w:jc w:val="left"/>
              <w:rPr>
                <w:rFonts w:ascii="宋体" w:hAnsi="宋体" w:cs="宋体" w:eastAsia="宋体" w:hint="default"/>
                <w:sz w:val="21"/>
                <w:szCs w:val="21"/>
              </w:rPr>
            </w:pPr>
            <w:r>
              <w:rPr>
                <w:rFonts w:ascii="宋体" w:hAnsi="宋体" w:cs="宋体" w:eastAsia="宋体" w:hint="default"/>
                <w:sz w:val="21"/>
                <w:szCs w:val="21"/>
              </w:rPr>
              <w:t>第一名</w:t>
            </w:r>
          </w:p>
        </w:tc>
        <w:tc>
          <w:tcPr>
            <w:tcW w:w="1928" w:type="dxa"/>
            <w:tcBorders>
              <w:top w:val="single" w:sz="31" w:space="0" w:color="D2D2D2"/>
              <w:left w:val="single" w:sz="13" w:space="0" w:color="D2D2D2"/>
              <w:bottom w:val="single" w:sz="4" w:space="0" w:color="000000"/>
              <w:right w:val="single" w:sz="4" w:space="0" w:color="000000"/>
            </w:tcBorders>
          </w:tcPr>
          <w:p>
            <w:pPr>
              <w:pStyle w:val="TableParagraph"/>
              <w:spacing w:line="240" w:lineRule="auto" w:before="120"/>
              <w:ind w:right="17"/>
              <w:jc w:val="right"/>
              <w:rPr>
                <w:rFonts w:ascii="Times New Roman" w:hAnsi="Times New Roman" w:cs="Times New Roman" w:eastAsia="Times New Roman" w:hint="default"/>
                <w:sz w:val="21"/>
                <w:szCs w:val="21"/>
              </w:rPr>
            </w:pPr>
            <w:r>
              <w:rPr>
                <w:rFonts w:ascii="Times New Roman"/>
                <w:spacing w:val="-1"/>
                <w:sz w:val="21"/>
              </w:rPr>
              <w:t>213,392,569.77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7"/>
              <w:jc w:val="right"/>
              <w:rPr>
                <w:rFonts w:ascii="Times New Roman" w:hAnsi="Times New Roman" w:cs="Times New Roman" w:eastAsia="Times New Roman" w:hint="default"/>
                <w:sz w:val="21"/>
                <w:szCs w:val="21"/>
              </w:rPr>
            </w:pPr>
            <w:r>
              <w:rPr>
                <w:rFonts w:ascii="Times New Roman"/>
                <w:spacing w:val="-1"/>
                <w:sz w:val="21"/>
              </w:rPr>
              <w:t>213,436,254.00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6"/>
              <w:jc w:val="right"/>
              <w:rPr>
                <w:rFonts w:ascii="Times New Roman" w:hAnsi="Times New Roman" w:cs="Times New Roman" w:eastAsia="Times New Roman" w:hint="default"/>
                <w:sz w:val="21"/>
                <w:szCs w:val="21"/>
              </w:rPr>
            </w:pPr>
            <w:r>
              <w:rPr>
                <w:rFonts w:ascii="Times New Roman"/>
                <w:sz w:val="21"/>
              </w:rPr>
              <w:t>71.32%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7"/>
              <w:jc w:val="right"/>
              <w:rPr>
                <w:rFonts w:ascii="Times New Roman" w:hAnsi="Times New Roman" w:cs="Times New Roman" w:eastAsia="Times New Roman" w:hint="default"/>
                <w:sz w:val="21"/>
                <w:szCs w:val="21"/>
              </w:rPr>
            </w:pPr>
            <w:r>
              <w:rPr>
                <w:rFonts w:ascii="Times New Roman"/>
                <w:spacing w:val="-1"/>
                <w:sz w:val="21"/>
              </w:rPr>
              <w:t>43,684.23</w:t>
            </w:r>
          </w:p>
        </w:tc>
      </w:tr>
      <w:tr>
        <w:trPr>
          <w:trHeight w:val="557"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5"/>
              <w:ind w:left="12" w:right="0"/>
              <w:jc w:val="left"/>
              <w:rPr>
                <w:rFonts w:ascii="宋体" w:hAnsi="宋体" w:cs="宋体" w:eastAsia="宋体" w:hint="default"/>
                <w:sz w:val="21"/>
                <w:szCs w:val="21"/>
              </w:rPr>
            </w:pPr>
            <w:r>
              <w:rPr>
                <w:rFonts w:ascii="宋体" w:hAnsi="宋体" w:cs="宋体" w:eastAsia="宋体" w:hint="default"/>
                <w:sz w:val="21"/>
                <w:szCs w:val="21"/>
              </w:rPr>
              <w:t>第二名</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52"/>
              <w:ind w:right="17"/>
              <w:jc w:val="right"/>
              <w:rPr>
                <w:rFonts w:ascii="Times New Roman" w:hAnsi="Times New Roman" w:cs="Times New Roman" w:eastAsia="Times New Roman" w:hint="default"/>
                <w:sz w:val="21"/>
                <w:szCs w:val="21"/>
              </w:rPr>
            </w:pPr>
            <w:r>
              <w:rPr>
                <w:rFonts w:ascii="Times New Roman"/>
                <w:spacing w:val="-1"/>
                <w:sz w:val="21"/>
              </w:rPr>
              <w:t>12,903,199.99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7"/>
              <w:jc w:val="right"/>
              <w:rPr>
                <w:rFonts w:ascii="Times New Roman" w:hAnsi="Times New Roman" w:cs="Times New Roman" w:eastAsia="Times New Roman" w:hint="default"/>
                <w:sz w:val="21"/>
                <w:szCs w:val="21"/>
              </w:rPr>
            </w:pPr>
            <w:r>
              <w:rPr>
                <w:rFonts w:ascii="Times New Roman"/>
                <w:spacing w:val="-1"/>
                <w:sz w:val="21"/>
              </w:rPr>
              <w:t>13,145,997.68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6"/>
              <w:jc w:val="right"/>
              <w:rPr>
                <w:rFonts w:ascii="Times New Roman" w:hAnsi="Times New Roman" w:cs="Times New Roman" w:eastAsia="Times New Roman" w:hint="default"/>
                <w:sz w:val="21"/>
                <w:szCs w:val="21"/>
              </w:rPr>
            </w:pPr>
            <w:r>
              <w:rPr>
                <w:rFonts w:ascii="Times New Roman"/>
                <w:sz w:val="21"/>
              </w:rPr>
              <w:t>4.39%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7"/>
              <w:jc w:val="right"/>
              <w:rPr>
                <w:rFonts w:ascii="Times New Roman" w:hAnsi="Times New Roman" w:cs="Times New Roman" w:eastAsia="Times New Roman" w:hint="default"/>
                <w:sz w:val="21"/>
                <w:szCs w:val="21"/>
              </w:rPr>
            </w:pPr>
            <w:r>
              <w:rPr>
                <w:rFonts w:ascii="Times New Roman"/>
                <w:spacing w:val="-1"/>
                <w:sz w:val="21"/>
              </w:rPr>
              <w:t>242,797.69</w:t>
            </w:r>
          </w:p>
        </w:tc>
      </w:tr>
      <w:tr>
        <w:trPr>
          <w:trHeight w:val="559"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7"/>
              <w:ind w:left="12" w:right="0"/>
              <w:jc w:val="left"/>
              <w:rPr>
                <w:rFonts w:ascii="宋体" w:hAnsi="宋体" w:cs="宋体" w:eastAsia="宋体" w:hint="default"/>
                <w:sz w:val="21"/>
                <w:szCs w:val="21"/>
              </w:rPr>
            </w:pPr>
            <w:r>
              <w:rPr>
                <w:rFonts w:ascii="宋体" w:hAnsi="宋体" w:cs="宋体" w:eastAsia="宋体" w:hint="default"/>
                <w:sz w:val="21"/>
                <w:szCs w:val="21"/>
              </w:rPr>
              <w:t>第三名</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54"/>
              <w:ind w:right="17"/>
              <w:jc w:val="right"/>
              <w:rPr>
                <w:rFonts w:ascii="Times New Roman" w:hAnsi="Times New Roman" w:cs="Times New Roman" w:eastAsia="Times New Roman" w:hint="default"/>
                <w:sz w:val="21"/>
                <w:szCs w:val="21"/>
              </w:rPr>
            </w:pPr>
            <w:r>
              <w:rPr>
                <w:rFonts w:ascii="Times New Roman"/>
                <w:spacing w:val="-1"/>
                <w:sz w:val="21"/>
              </w:rPr>
              <w:t>12,876,674.75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7"/>
              <w:jc w:val="right"/>
              <w:rPr>
                <w:rFonts w:ascii="Times New Roman" w:hAnsi="Times New Roman" w:cs="Times New Roman" w:eastAsia="Times New Roman" w:hint="default"/>
                <w:sz w:val="21"/>
                <w:szCs w:val="21"/>
              </w:rPr>
            </w:pPr>
            <w:r>
              <w:rPr>
                <w:rFonts w:ascii="Times New Roman"/>
                <w:spacing w:val="-1"/>
                <w:sz w:val="21"/>
              </w:rPr>
              <w:t>12,876,774.75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6"/>
              <w:jc w:val="right"/>
              <w:rPr>
                <w:rFonts w:ascii="Times New Roman" w:hAnsi="Times New Roman" w:cs="Times New Roman" w:eastAsia="Times New Roman" w:hint="default"/>
                <w:sz w:val="21"/>
                <w:szCs w:val="21"/>
              </w:rPr>
            </w:pPr>
            <w:r>
              <w:rPr>
                <w:rFonts w:ascii="Times New Roman"/>
                <w:sz w:val="21"/>
              </w:rPr>
              <w:t>4.30%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7"/>
              <w:jc w:val="right"/>
              <w:rPr>
                <w:rFonts w:ascii="Times New Roman" w:hAnsi="Times New Roman" w:cs="Times New Roman" w:eastAsia="Times New Roman" w:hint="default"/>
                <w:sz w:val="21"/>
                <w:szCs w:val="21"/>
              </w:rPr>
            </w:pPr>
            <w:r>
              <w:rPr>
                <w:rFonts w:ascii="Times New Roman"/>
                <w:sz w:val="21"/>
              </w:rPr>
              <w:t>100.00</w:t>
            </w:r>
          </w:p>
        </w:tc>
      </w:tr>
      <w:tr>
        <w:trPr>
          <w:trHeight w:val="557"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5"/>
              <w:ind w:left="12" w:right="0"/>
              <w:jc w:val="left"/>
              <w:rPr>
                <w:rFonts w:ascii="宋体" w:hAnsi="宋体" w:cs="宋体" w:eastAsia="宋体" w:hint="default"/>
                <w:sz w:val="21"/>
                <w:szCs w:val="21"/>
              </w:rPr>
            </w:pPr>
            <w:r>
              <w:rPr>
                <w:rFonts w:ascii="宋体" w:hAnsi="宋体" w:cs="宋体" w:eastAsia="宋体" w:hint="default"/>
                <w:sz w:val="21"/>
                <w:szCs w:val="21"/>
              </w:rPr>
              <w:t>第四名</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52"/>
              <w:ind w:right="17"/>
              <w:jc w:val="right"/>
              <w:rPr>
                <w:rFonts w:ascii="Times New Roman" w:hAnsi="Times New Roman" w:cs="Times New Roman" w:eastAsia="Times New Roman" w:hint="default"/>
                <w:sz w:val="21"/>
                <w:szCs w:val="21"/>
              </w:rPr>
            </w:pPr>
            <w:r>
              <w:rPr>
                <w:rFonts w:ascii="Times New Roman"/>
                <w:spacing w:val="-1"/>
                <w:sz w:val="21"/>
              </w:rPr>
              <w:t>9,922,505.26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7"/>
              <w:jc w:val="right"/>
              <w:rPr>
                <w:rFonts w:ascii="Times New Roman" w:hAnsi="Times New Roman" w:cs="Times New Roman" w:eastAsia="Times New Roman" w:hint="default"/>
                <w:sz w:val="21"/>
                <w:szCs w:val="21"/>
              </w:rPr>
            </w:pPr>
            <w:r>
              <w:rPr>
                <w:rFonts w:ascii="Times New Roman"/>
                <w:spacing w:val="-1"/>
                <w:sz w:val="21"/>
              </w:rPr>
              <w:t>10,112,025.68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6"/>
              <w:jc w:val="right"/>
              <w:rPr>
                <w:rFonts w:ascii="Times New Roman" w:hAnsi="Times New Roman" w:cs="Times New Roman" w:eastAsia="Times New Roman" w:hint="default"/>
                <w:sz w:val="21"/>
                <w:szCs w:val="21"/>
              </w:rPr>
            </w:pPr>
            <w:r>
              <w:rPr>
                <w:rFonts w:ascii="Times New Roman"/>
                <w:sz w:val="21"/>
              </w:rPr>
              <w:t>3.38%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7"/>
              <w:jc w:val="right"/>
              <w:rPr>
                <w:rFonts w:ascii="Times New Roman" w:hAnsi="Times New Roman" w:cs="Times New Roman" w:eastAsia="Times New Roman" w:hint="default"/>
                <w:sz w:val="21"/>
                <w:szCs w:val="21"/>
              </w:rPr>
            </w:pPr>
            <w:r>
              <w:rPr>
                <w:rFonts w:ascii="Times New Roman"/>
                <w:spacing w:val="-1"/>
                <w:sz w:val="21"/>
              </w:rPr>
              <w:t>189,520.42</w:t>
            </w:r>
          </w:p>
        </w:tc>
      </w:tr>
      <w:tr>
        <w:trPr>
          <w:trHeight w:val="560"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7"/>
              <w:ind w:left="12" w:right="0"/>
              <w:jc w:val="left"/>
              <w:rPr>
                <w:rFonts w:ascii="宋体" w:hAnsi="宋体" w:cs="宋体" w:eastAsia="宋体" w:hint="default"/>
                <w:sz w:val="21"/>
                <w:szCs w:val="21"/>
              </w:rPr>
            </w:pPr>
            <w:r>
              <w:rPr>
                <w:rFonts w:ascii="宋体" w:hAnsi="宋体" w:cs="宋体" w:eastAsia="宋体" w:hint="default"/>
                <w:sz w:val="21"/>
                <w:szCs w:val="21"/>
              </w:rPr>
              <w:t>第五名</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54"/>
              <w:ind w:right="17"/>
              <w:jc w:val="right"/>
              <w:rPr>
                <w:rFonts w:ascii="Times New Roman" w:hAnsi="Times New Roman" w:cs="Times New Roman" w:eastAsia="Times New Roman" w:hint="default"/>
                <w:sz w:val="21"/>
                <w:szCs w:val="21"/>
              </w:rPr>
            </w:pPr>
            <w:r>
              <w:rPr>
                <w:rFonts w:ascii="Times New Roman"/>
                <w:spacing w:val="-1"/>
                <w:sz w:val="21"/>
              </w:rPr>
              <w:t>8,654,706.92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7"/>
              <w:jc w:val="right"/>
              <w:rPr>
                <w:rFonts w:ascii="Times New Roman" w:hAnsi="Times New Roman" w:cs="Times New Roman" w:eastAsia="Times New Roman" w:hint="default"/>
                <w:sz w:val="21"/>
                <w:szCs w:val="21"/>
              </w:rPr>
            </w:pPr>
            <w:r>
              <w:rPr>
                <w:rFonts w:ascii="Times New Roman"/>
                <w:spacing w:val="-1"/>
                <w:sz w:val="21"/>
              </w:rPr>
              <w:t>8,774,527.89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6"/>
              <w:jc w:val="right"/>
              <w:rPr>
                <w:rFonts w:ascii="Times New Roman" w:hAnsi="Times New Roman" w:cs="Times New Roman" w:eastAsia="Times New Roman" w:hint="default"/>
                <w:sz w:val="21"/>
                <w:szCs w:val="21"/>
              </w:rPr>
            </w:pPr>
            <w:r>
              <w:rPr>
                <w:rFonts w:ascii="Times New Roman"/>
                <w:sz w:val="21"/>
              </w:rPr>
              <w:t>2.93%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7"/>
              <w:jc w:val="right"/>
              <w:rPr>
                <w:rFonts w:ascii="Times New Roman" w:hAnsi="Times New Roman" w:cs="Times New Roman" w:eastAsia="Times New Roman" w:hint="default"/>
                <w:sz w:val="21"/>
                <w:szCs w:val="21"/>
              </w:rPr>
            </w:pPr>
            <w:r>
              <w:rPr>
                <w:rFonts w:ascii="Times New Roman"/>
                <w:spacing w:val="-1"/>
                <w:sz w:val="21"/>
              </w:rPr>
              <w:t>119,820.97</w:t>
            </w:r>
          </w:p>
        </w:tc>
      </w:tr>
      <w:tr>
        <w:trPr>
          <w:trHeight w:val="559"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5"/>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52"/>
              <w:ind w:right="17"/>
              <w:jc w:val="right"/>
              <w:rPr>
                <w:rFonts w:ascii="Times New Roman" w:hAnsi="Times New Roman" w:cs="Times New Roman" w:eastAsia="Times New Roman" w:hint="default"/>
                <w:sz w:val="21"/>
                <w:szCs w:val="21"/>
              </w:rPr>
            </w:pPr>
            <w:r>
              <w:rPr>
                <w:rFonts w:ascii="Times New Roman"/>
                <w:spacing w:val="-1"/>
                <w:sz w:val="21"/>
              </w:rPr>
              <w:t>257,749,656.69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7"/>
              <w:jc w:val="right"/>
              <w:rPr>
                <w:rFonts w:ascii="Times New Roman" w:hAnsi="Times New Roman" w:cs="Times New Roman" w:eastAsia="Times New Roman" w:hint="default"/>
                <w:sz w:val="21"/>
                <w:szCs w:val="21"/>
              </w:rPr>
            </w:pPr>
            <w:r>
              <w:rPr>
                <w:rFonts w:ascii="Times New Roman"/>
                <w:spacing w:val="-1"/>
                <w:sz w:val="21"/>
              </w:rPr>
              <w:t>258,345,580.00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6"/>
              <w:jc w:val="right"/>
              <w:rPr>
                <w:rFonts w:ascii="Times New Roman" w:hAnsi="Times New Roman" w:cs="Times New Roman" w:eastAsia="Times New Roman" w:hint="default"/>
                <w:sz w:val="21"/>
                <w:szCs w:val="21"/>
              </w:rPr>
            </w:pPr>
            <w:r>
              <w:rPr>
                <w:rFonts w:ascii="Times New Roman"/>
                <w:sz w:val="21"/>
              </w:rPr>
              <w:t>86.32%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7"/>
              <w:jc w:val="right"/>
              <w:rPr>
                <w:rFonts w:ascii="Times New Roman" w:hAnsi="Times New Roman" w:cs="Times New Roman" w:eastAsia="Times New Roman" w:hint="default"/>
                <w:sz w:val="21"/>
                <w:szCs w:val="21"/>
              </w:rPr>
            </w:pPr>
            <w:r>
              <w:rPr>
                <w:rFonts w:ascii="Times New Roman"/>
                <w:spacing w:val="-1"/>
                <w:sz w:val="21"/>
              </w:rPr>
              <w:t>595,923.31</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5</w:t>
      </w:r>
      <w:r>
        <w:rPr/>
        <w:t>）本期无因金融资产转移而终止确认的应收账款。</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6</w:t>
      </w:r>
      <w:r>
        <w:rPr/>
        <w:t>）本期无转移应收账款且继续涉入形成的资产、负债。</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6</w:t>
      </w:r>
      <w:r>
        <w:rPr/>
        <w:t>、预付款项</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0"/>
        <w:rPr>
          <w:rFonts w:ascii="宋体" w:hAnsi="宋体" w:cs="宋体" w:eastAsia="宋体" w:hint="default"/>
          <w:b/>
          <w:bCs/>
          <w:sz w:val="22"/>
          <w:szCs w:val="22"/>
        </w:rPr>
      </w:pPr>
    </w:p>
    <w:p>
      <w:pPr>
        <w:pStyle w:val="BodyText"/>
        <w:spacing w:line="240" w:lineRule="auto" w:before="36"/>
        <w:ind w:left="0" w:right="254"/>
        <w:jc w:val="right"/>
      </w:pPr>
      <w:r>
        <w:rPr/>
        <w:t>单位：</w:t>
      </w:r>
      <w:r>
        <w:rPr>
          <w:spacing w:val="2"/>
        </w:rPr>
        <w:t> </w:t>
      </w:r>
      <w:r>
        <w:rPr/>
        <w:t>元</w:t>
      </w:r>
    </w:p>
    <w:p>
      <w:pPr>
        <w:spacing w:line="240" w:lineRule="auto" w:before="10"/>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3"/>
        <w:gridCol w:w="1916"/>
        <w:gridCol w:w="1915"/>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5"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192"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right="7"/>
              <w:jc w:val="center"/>
              <w:rPr>
                <w:rFonts w:ascii="宋体" w:hAnsi="宋体" w:cs="宋体" w:eastAsia="宋体" w:hint="default"/>
                <w:sz w:val="21"/>
                <w:szCs w:val="21"/>
              </w:rPr>
            </w:pPr>
            <w:r>
              <w:rPr>
                <w:rFonts w:ascii="宋体" w:hAnsi="宋体" w:cs="宋体" w:eastAsia="宋体" w:hint="default"/>
                <w:sz w:val="21"/>
                <w:szCs w:val="21"/>
              </w:rPr>
              <w:t>账龄</w:t>
            </w:r>
          </w:p>
        </w:tc>
        <w:tc>
          <w:tcPr>
            <w:tcW w:w="3829" w:type="dxa"/>
            <w:gridSpan w:val="2"/>
            <w:vMerge/>
            <w:tcBorders>
              <w:left w:val="single" w:sz="4" w:space="0" w:color="000000"/>
              <w:bottom w:val="single" w:sz="4" w:space="0" w:color="000000"/>
              <w:right w:val="single" w:sz="4" w:space="0" w:color="000000"/>
            </w:tcBorders>
            <w:shd w:val="clear" w:color="auto" w:fill="D2D2D2"/>
          </w:tcPr>
          <w:p>
            <w:pPr/>
          </w:p>
        </w:tc>
        <w:tc>
          <w:tcPr>
            <w:tcW w:w="3831"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5"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2"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4" w:right="0"/>
              <w:jc w:val="center"/>
              <w:rPr>
                <w:rFonts w:ascii="宋体" w:hAnsi="宋体" w:cs="宋体" w:eastAsia="宋体" w:hint="default"/>
                <w:sz w:val="21"/>
                <w:szCs w:val="21"/>
              </w:rPr>
            </w:pPr>
            <w:r>
              <w:rPr>
                <w:rFonts w:ascii="宋体" w:hAnsi="宋体" w:cs="宋体" w:eastAsia="宋体" w:hint="default"/>
                <w:sz w:val="21"/>
                <w:szCs w:val="21"/>
              </w:rPr>
              <w:t>比例</w:t>
            </w:r>
          </w:p>
        </w:tc>
      </w:tr>
      <w:tr>
        <w:trPr>
          <w:trHeight w:val="204"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8,084,640.44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6"/>
              <w:jc w:val="right"/>
              <w:rPr>
                <w:rFonts w:ascii="Times New Roman" w:hAnsi="Times New Roman" w:cs="Times New Roman" w:eastAsia="Times New Roman" w:hint="default"/>
                <w:sz w:val="21"/>
                <w:szCs w:val="21"/>
              </w:rPr>
            </w:pPr>
            <w:r>
              <w:rPr>
                <w:rFonts w:ascii="Times New Roman"/>
                <w:sz w:val="21"/>
              </w:rPr>
              <w:t>99.76%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0"/>
              <w:jc w:val="right"/>
              <w:rPr>
                <w:rFonts w:ascii="Times New Roman" w:hAnsi="Times New Roman" w:cs="Times New Roman" w:eastAsia="Times New Roman" w:hint="default"/>
                <w:sz w:val="21"/>
                <w:szCs w:val="21"/>
              </w:rPr>
            </w:pPr>
            <w:r>
              <w:rPr>
                <w:rFonts w:ascii="Times New Roman"/>
                <w:spacing w:val="-2"/>
                <w:sz w:val="21"/>
              </w:rPr>
              <w:t>11,594,664.42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6"/>
              <w:jc w:val="right"/>
              <w:rPr>
                <w:rFonts w:ascii="Times New Roman" w:hAnsi="Times New Roman" w:cs="Times New Roman" w:eastAsia="Times New Roman" w:hint="default"/>
                <w:sz w:val="21"/>
                <w:szCs w:val="21"/>
              </w:rPr>
            </w:pPr>
            <w:r>
              <w:rPr>
                <w:rFonts w:ascii="Times New Roman"/>
                <w:sz w:val="21"/>
              </w:rPr>
              <w:t>99.93%</w:t>
            </w:r>
          </w:p>
        </w:tc>
      </w:tr>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19,603.58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0.24%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8,012.67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0.07%</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16"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77"/>
              <w:ind w:right="5"/>
              <w:jc w:val="right"/>
              <w:rPr>
                <w:rFonts w:ascii="Times New Roman" w:hAnsi="Times New Roman" w:cs="Times New Roman" w:eastAsia="Times New Roman" w:hint="default"/>
                <w:sz w:val="21"/>
                <w:szCs w:val="21"/>
              </w:rPr>
            </w:pPr>
            <w:r>
              <w:rPr>
                <w:rFonts w:ascii="Times New Roman"/>
                <w:spacing w:val="-1"/>
                <w:sz w:val="21"/>
              </w:rPr>
              <w:t>8,104,244.02</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left="1" w:right="0"/>
              <w:jc w:val="center"/>
              <w:rPr>
                <w:rFonts w:ascii="Times New Roman" w:hAnsi="Times New Roman" w:cs="Times New Roman" w:eastAsia="Times New Roman" w:hint="default"/>
                <w:sz w:val="21"/>
                <w:szCs w:val="21"/>
              </w:rPr>
            </w:pPr>
            <w:r>
              <w:rPr>
                <w:rFonts w:ascii="Times New Roman"/>
                <w:sz w:val="21"/>
              </w:rPr>
              <w:t>--</w:t>
            </w:r>
          </w:p>
        </w:tc>
        <w:tc>
          <w:tcPr>
            <w:tcW w:w="19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20"/>
              <w:jc w:val="right"/>
              <w:rPr>
                <w:rFonts w:ascii="Times New Roman" w:hAnsi="Times New Roman" w:cs="Times New Roman" w:eastAsia="Times New Roman" w:hint="default"/>
                <w:sz w:val="21"/>
                <w:szCs w:val="21"/>
              </w:rPr>
            </w:pPr>
            <w:r>
              <w:rPr>
                <w:rFonts w:ascii="Times New Roman"/>
                <w:spacing w:val="-2"/>
                <w:sz w:val="21"/>
              </w:rPr>
              <w:t>11,602,677.09</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right="0"/>
              <w:jc w:val="center"/>
              <w:rPr>
                <w:rFonts w:ascii="Times New Roman" w:hAnsi="Times New Roman" w:cs="Times New Roman" w:eastAsia="Times New Roman" w:hint="default"/>
                <w:sz w:val="21"/>
                <w:szCs w:val="21"/>
              </w:rPr>
            </w:pPr>
            <w:r>
              <w:rPr>
                <w:rFonts w:ascii="Times New Roman"/>
                <w:sz w:val="21"/>
              </w:rPr>
              <w:t>--</w:t>
            </w:r>
          </w:p>
        </w:tc>
      </w:tr>
    </w:tbl>
    <w:p>
      <w:pPr>
        <w:spacing w:after="0" w:line="240" w:lineRule="auto"/>
        <w:jc w:val="center"/>
        <w:rPr>
          <w:rFonts w:ascii="Times New Roman" w:hAnsi="Times New Roman" w:cs="Times New Roman" w:eastAsia="Times New Roman" w:hint="default"/>
          <w:sz w:val="21"/>
          <w:szCs w:val="21"/>
        </w:rPr>
        <w:sectPr>
          <w:footerReference w:type="default" r:id="rId26"/>
          <w:pgSz w:w="11910" w:h="16840"/>
          <w:pgMar w:footer="979" w:header="0" w:top="1100" w:bottom="1160" w:left="980" w:right="980"/>
          <w:pgNumType w:start="86"/>
        </w:sectPr>
      </w:pPr>
    </w:p>
    <w:p>
      <w:pPr>
        <w:spacing w:line="240" w:lineRule="auto" w:before="11"/>
        <w:rPr>
          <w:rFonts w:ascii="宋体" w:hAnsi="宋体" w:cs="宋体" w:eastAsia="宋体" w:hint="default"/>
          <w:sz w:val="20"/>
          <w:szCs w:val="20"/>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left="0" w:right="254"/>
        <w:jc w:val="right"/>
      </w:pPr>
      <w:r>
        <w:rPr>
          <w:spacing w:val="-1"/>
        </w:rPr>
        <w:t>单位：元</w:t>
      </w:r>
    </w:p>
    <w:p>
      <w:pPr>
        <w:spacing w:line="240" w:lineRule="auto" w:before="10"/>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182" w:hRule="exact"/>
        </w:trPr>
        <w:tc>
          <w:tcPr>
            <w:tcW w:w="3168" w:type="dxa"/>
            <w:tcBorders>
              <w:top w:val="single" w:sz="4" w:space="0" w:color="000000"/>
              <w:left w:val="single" w:sz="4" w:space="0" w:color="000000"/>
              <w:bottom w:val="nil" w:sz="6" w:space="0" w:color="auto"/>
              <w:right w:val="single" w:sz="4" w:space="0" w:color="000000"/>
            </w:tcBorders>
            <w:shd w:val="clear" w:color="auto" w:fill="D2D2D2"/>
          </w:tcPr>
          <w:p>
            <w:pPr/>
          </w:p>
        </w:tc>
        <w:tc>
          <w:tcPr>
            <w:tcW w:w="32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4" w:space="0" w:color="000000"/>
              <w:right w:val="single" w:sz="4" w:space="0" w:color="000000"/>
            </w:tcBorders>
            <w:shd w:val="clear" w:color="auto" w:fill="D2D2D2"/>
          </w:tcPr>
          <w:p>
            <w:pPr>
              <w:pStyle w:val="TableParagraph"/>
              <w:spacing w:line="309" w:lineRule="auto" w:before="4"/>
              <w:ind w:left="960" w:right="744" w:hanging="210"/>
              <w:jc w:val="left"/>
              <w:rPr>
                <w:rFonts w:ascii="宋体" w:hAnsi="宋体" w:cs="宋体" w:eastAsia="宋体" w:hint="default"/>
                <w:sz w:val="21"/>
                <w:szCs w:val="21"/>
              </w:rPr>
            </w:pPr>
            <w:r>
              <w:rPr>
                <w:rFonts w:ascii="宋体" w:hAnsi="宋体" w:cs="宋体" w:eastAsia="宋体" w:hint="default"/>
                <w:sz w:val="21"/>
                <w:szCs w:val="21"/>
              </w:rPr>
              <w:t>占预付款期末余额</w:t>
            </w:r>
            <w:r>
              <w:rPr>
                <w:rFonts w:ascii="宋体" w:hAnsi="宋体" w:cs="宋体" w:eastAsia="宋体" w:hint="default"/>
                <w:w w:val="100"/>
                <w:sz w:val="21"/>
                <w:szCs w:val="21"/>
              </w:rPr>
              <w:t> </w:t>
            </w:r>
            <w:r>
              <w:rPr>
                <w:rFonts w:ascii="宋体" w:hAnsi="宋体" w:cs="宋体" w:eastAsia="宋体" w:hint="default"/>
                <w:sz w:val="21"/>
                <w:szCs w:val="21"/>
              </w:rPr>
              <w:t>合计数的比例</w:t>
            </w:r>
          </w:p>
        </w:tc>
      </w:tr>
      <w:tr>
        <w:trPr>
          <w:trHeight w:val="394" w:hRule="exact"/>
        </w:trPr>
        <w:tc>
          <w:tcPr>
            <w:tcW w:w="31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
              <w:ind w:right="1"/>
              <w:jc w:val="center"/>
              <w:rPr>
                <w:rFonts w:ascii="宋体" w:hAnsi="宋体" w:cs="宋体" w:eastAsia="宋体" w:hint="default"/>
                <w:sz w:val="21"/>
                <w:szCs w:val="21"/>
              </w:rPr>
            </w:pPr>
            <w:r>
              <w:rPr>
                <w:rFonts w:ascii="宋体" w:hAnsi="宋体" w:cs="宋体" w:eastAsia="宋体" w:hint="default"/>
                <w:sz w:val="21"/>
                <w:szCs w:val="21"/>
              </w:rPr>
              <w:t>预付对象</w:t>
            </w:r>
          </w:p>
        </w:tc>
        <w:tc>
          <w:tcPr>
            <w:tcW w:w="32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
              <w:ind w:left="15"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0" w:type="dxa"/>
            <w:vMerge/>
            <w:tcBorders>
              <w:left w:val="single" w:sz="4" w:space="0" w:color="000000"/>
              <w:right w:val="single" w:sz="4" w:space="0" w:color="000000"/>
            </w:tcBorders>
            <w:shd w:val="clear" w:color="auto" w:fill="D2D2D2"/>
          </w:tcPr>
          <w:p>
            <w:pPr/>
          </w:p>
        </w:tc>
      </w:tr>
      <w:tr>
        <w:trPr>
          <w:trHeight w:val="180" w:hRule="exact"/>
        </w:trPr>
        <w:tc>
          <w:tcPr>
            <w:tcW w:w="3168" w:type="dxa"/>
            <w:tcBorders>
              <w:top w:val="nil" w:sz="6" w:space="0" w:color="auto"/>
              <w:left w:val="single" w:sz="4" w:space="0" w:color="000000"/>
              <w:bottom w:val="single" w:sz="4" w:space="0" w:color="000000"/>
              <w:right w:val="single" w:sz="4" w:space="0" w:color="000000"/>
            </w:tcBorders>
            <w:shd w:val="clear" w:color="auto" w:fill="D2D2D2"/>
          </w:tcPr>
          <w:p>
            <w:pPr/>
          </w:p>
        </w:tc>
        <w:tc>
          <w:tcPr>
            <w:tcW w:w="3201"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4" w:space="0" w:color="000000"/>
              <w:bottom w:val="single" w:sz="4" w:space="0" w:color="000000"/>
              <w:right w:val="single" w:sz="4" w:space="0" w:color="000000"/>
            </w:tcBorders>
            <w:shd w:val="clear" w:color="auto" w:fill="D2D2D2"/>
          </w:tcPr>
          <w:p>
            <w:pPr/>
          </w:p>
        </w:tc>
      </w:tr>
      <w:tr>
        <w:trPr>
          <w:trHeight w:val="559"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7"/>
              <w:ind w:left="12" w:right="0"/>
              <w:jc w:val="left"/>
              <w:rPr>
                <w:rFonts w:ascii="宋体" w:hAnsi="宋体" w:cs="宋体" w:eastAsia="宋体" w:hint="default"/>
                <w:sz w:val="21"/>
                <w:szCs w:val="21"/>
              </w:rPr>
            </w:pPr>
            <w:r>
              <w:rPr>
                <w:rFonts w:ascii="宋体" w:hAnsi="宋体" w:cs="宋体" w:eastAsia="宋体" w:hint="default"/>
                <w:sz w:val="21"/>
                <w:szCs w:val="21"/>
              </w:rPr>
              <w:t>第一名</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54"/>
              <w:ind w:right="17"/>
              <w:jc w:val="right"/>
              <w:rPr>
                <w:rFonts w:ascii="Times New Roman" w:hAnsi="Times New Roman" w:cs="Times New Roman" w:eastAsia="Times New Roman" w:hint="default"/>
                <w:sz w:val="21"/>
                <w:szCs w:val="21"/>
              </w:rPr>
            </w:pPr>
            <w:r>
              <w:rPr>
                <w:rFonts w:ascii="Times New Roman"/>
                <w:spacing w:val="-1"/>
                <w:sz w:val="21"/>
              </w:rPr>
              <w:t>6,220,848.62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6"/>
              <w:jc w:val="right"/>
              <w:rPr>
                <w:rFonts w:ascii="Times New Roman" w:hAnsi="Times New Roman" w:cs="Times New Roman" w:eastAsia="Times New Roman" w:hint="default"/>
                <w:sz w:val="21"/>
                <w:szCs w:val="21"/>
              </w:rPr>
            </w:pPr>
            <w:r>
              <w:rPr>
                <w:rFonts w:ascii="Times New Roman"/>
                <w:sz w:val="21"/>
              </w:rPr>
              <w:t>76.76%</w:t>
            </w:r>
          </w:p>
        </w:tc>
      </w:tr>
      <w:tr>
        <w:trPr>
          <w:trHeight w:val="557"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5"/>
              <w:ind w:left="12" w:right="0"/>
              <w:jc w:val="left"/>
              <w:rPr>
                <w:rFonts w:ascii="宋体" w:hAnsi="宋体" w:cs="宋体" w:eastAsia="宋体" w:hint="default"/>
                <w:sz w:val="21"/>
                <w:szCs w:val="21"/>
              </w:rPr>
            </w:pPr>
            <w:r>
              <w:rPr>
                <w:rFonts w:ascii="宋体" w:hAnsi="宋体" w:cs="宋体" w:eastAsia="宋体" w:hint="default"/>
                <w:sz w:val="21"/>
                <w:szCs w:val="21"/>
              </w:rPr>
              <w:t>第二名</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54"/>
              <w:ind w:right="17"/>
              <w:jc w:val="right"/>
              <w:rPr>
                <w:rFonts w:ascii="Times New Roman" w:hAnsi="Times New Roman" w:cs="Times New Roman" w:eastAsia="Times New Roman" w:hint="default"/>
                <w:sz w:val="21"/>
                <w:szCs w:val="21"/>
              </w:rPr>
            </w:pPr>
            <w:r>
              <w:rPr>
                <w:rFonts w:ascii="Times New Roman"/>
                <w:spacing w:val="-1"/>
                <w:sz w:val="21"/>
              </w:rPr>
              <w:t>720,720.00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6"/>
              <w:jc w:val="right"/>
              <w:rPr>
                <w:rFonts w:ascii="Times New Roman" w:hAnsi="Times New Roman" w:cs="Times New Roman" w:eastAsia="Times New Roman" w:hint="default"/>
                <w:sz w:val="21"/>
                <w:szCs w:val="21"/>
              </w:rPr>
            </w:pPr>
            <w:r>
              <w:rPr>
                <w:rFonts w:ascii="Times New Roman"/>
                <w:sz w:val="21"/>
              </w:rPr>
              <w:t>8.89%</w:t>
            </w:r>
          </w:p>
        </w:tc>
      </w:tr>
      <w:tr>
        <w:trPr>
          <w:trHeight w:val="559"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7"/>
              <w:ind w:left="12" w:right="0"/>
              <w:jc w:val="left"/>
              <w:rPr>
                <w:rFonts w:ascii="宋体" w:hAnsi="宋体" w:cs="宋体" w:eastAsia="宋体" w:hint="default"/>
                <w:sz w:val="21"/>
                <w:szCs w:val="21"/>
              </w:rPr>
            </w:pPr>
            <w:r>
              <w:rPr>
                <w:rFonts w:ascii="宋体" w:hAnsi="宋体" w:cs="宋体" w:eastAsia="宋体" w:hint="default"/>
                <w:sz w:val="21"/>
                <w:szCs w:val="21"/>
              </w:rPr>
              <w:t>第三名</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54"/>
              <w:ind w:right="17"/>
              <w:jc w:val="right"/>
              <w:rPr>
                <w:rFonts w:ascii="Times New Roman" w:hAnsi="Times New Roman" w:cs="Times New Roman" w:eastAsia="Times New Roman" w:hint="default"/>
                <w:sz w:val="21"/>
                <w:szCs w:val="21"/>
              </w:rPr>
            </w:pPr>
            <w:r>
              <w:rPr>
                <w:rFonts w:ascii="Times New Roman"/>
                <w:spacing w:val="-1"/>
                <w:sz w:val="21"/>
              </w:rPr>
              <w:t>401,173.33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6"/>
              <w:jc w:val="right"/>
              <w:rPr>
                <w:rFonts w:ascii="Times New Roman" w:hAnsi="Times New Roman" w:cs="Times New Roman" w:eastAsia="Times New Roman" w:hint="default"/>
                <w:sz w:val="21"/>
                <w:szCs w:val="21"/>
              </w:rPr>
            </w:pPr>
            <w:r>
              <w:rPr>
                <w:rFonts w:ascii="Times New Roman"/>
                <w:sz w:val="21"/>
              </w:rPr>
              <w:t>4.95%</w:t>
            </w:r>
          </w:p>
        </w:tc>
      </w:tr>
      <w:tr>
        <w:trPr>
          <w:trHeight w:val="557"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5"/>
              <w:ind w:left="12" w:right="0"/>
              <w:jc w:val="left"/>
              <w:rPr>
                <w:rFonts w:ascii="宋体" w:hAnsi="宋体" w:cs="宋体" w:eastAsia="宋体" w:hint="default"/>
                <w:sz w:val="21"/>
                <w:szCs w:val="21"/>
              </w:rPr>
            </w:pPr>
            <w:r>
              <w:rPr>
                <w:rFonts w:ascii="宋体" w:hAnsi="宋体" w:cs="宋体" w:eastAsia="宋体" w:hint="default"/>
                <w:sz w:val="21"/>
                <w:szCs w:val="21"/>
              </w:rPr>
              <w:t>第四名</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55"/>
              <w:ind w:right="17"/>
              <w:jc w:val="right"/>
              <w:rPr>
                <w:rFonts w:ascii="Times New Roman" w:hAnsi="Times New Roman" w:cs="Times New Roman" w:eastAsia="Times New Roman" w:hint="default"/>
                <w:sz w:val="21"/>
                <w:szCs w:val="21"/>
              </w:rPr>
            </w:pPr>
            <w:r>
              <w:rPr>
                <w:rFonts w:ascii="Times New Roman"/>
                <w:spacing w:val="-1"/>
                <w:sz w:val="21"/>
              </w:rPr>
              <w:t>266,580.00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6"/>
              <w:jc w:val="right"/>
              <w:rPr>
                <w:rFonts w:ascii="Times New Roman" w:hAnsi="Times New Roman" w:cs="Times New Roman" w:eastAsia="Times New Roman" w:hint="default"/>
                <w:sz w:val="21"/>
                <w:szCs w:val="21"/>
              </w:rPr>
            </w:pPr>
            <w:r>
              <w:rPr>
                <w:rFonts w:ascii="Times New Roman"/>
                <w:sz w:val="21"/>
              </w:rPr>
              <w:t>3.29%</w:t>
            </w:r>
          </w:p>
        </w:tc>
      </w:tr>
      <w:tr>
        <w:trPr>
          <w:trHeight w:val="559"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7"/>
              <w:ind w:left="12" w:right="0"/>
              <w:jc w:val="left"/>
              <w:rPr>
                <w:rFonts w:ascii="宋体" w:hAnsi="宋体" w:cs="宋体" w:eastAsia="宋体" w:hint="default"/>
                <w:sz w:val="21"/>
                <w:szCs w:val="21"/>
              </w:rPr>
            </w:pPr>
            <w:r>
              <w:rPr>
                <w:rFonts w:ascii="宋体" w:hAnsi="宋体" w:cs="宋体" w:eastAsia="宋体" w:hint="default"/>
                <w:sz w:val="21"/>
                <w:szCs w:val="21"/>
              </w:rPr>
              <w:t>第五名</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54"/>
              <w:ind w:right="17"/>
              <w:jc w:val="right"/>
              <w:rPr>
                <w:rFonts w:ascii="Times New Roman" w:hAnsi="Times New Roman" w:cs="Times New Roman" w:eastAsia="Times New Roman" w:hint="default"/>
                <w:sz w:val="21"/>
                <w:szCs w:val="21"/>
              </w:rPr>
            </w:pPr>
            <w:r>
              <w:rPr>
                <w:rFonts w:ascii="Times New Roman"/>
                <w:spacing w:val="-1"/>
                <w:sz w:val="21"/>
              </w:rPr>
              <w:t>104,276.08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6"/>
              <w:jc w:val="right"/>
              <w:rPr>
                <w:rFonts w:ascii="Times New Roman" w:hAnsi="Times New Roman" w:cs="Times New Roman" w:eastAsia="Times New Roman" w:hint="default"/>
                <w:sz w:val="21"/>
                <w:szCs w:val="21"/>
              </w:rPr>
            </w:pPr>
            <w:r>
              <w:rPr>
                <w:rFonts w:ascii="Times New Roman"/>
                <w:sz w:val="21"/>
              </w:rPr>
              <w:t>1.29%</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7,713,598.03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95.18%</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979" w:top="1100" w:bottom="1160" w:left="980" w:right="980"/>
        </w:sectPr>
      </w:pPr>
    </w:p>
    <w:p>
      <w:pPr>
        <w:spacing w:line="240" w:lineRule="auto" w:before="0"/>
        <w:rPr>
          <w:rFonts w:ascii="宋体" w:hAnsi="宋体" w:cs="宋体" w:eastAsia="宋体" w:hint="default"/>
          <w:sz w:val="24"/>
          <w:szCs w:val="24"/>
        </w:rPr>
      </w:pPr>
    </w:p>
    <w:p>
      <w:pPr>
        <w:pStyle w:val="Heading4"/>
        <w:spacing w:line="240" w:lineRule="auto"/>
        <w:ind w:left="140" w:right="-6"/>
        <w:jc w:val="left"/>
        <w:rPr>
          <w:b w:val="0"/>
          <w:bCs w:val="0"/>
        </w:rPr>
      </w:pPr>
      <w:r>
        <w:rPr/>
        <w:pict>
          <v:group style="position:absolute;margin-left:70.559998pt;margin-top:-.476309pt;width:700.9pt;height:.1pt;mso-position-horizontal-relative:page;mso-position-vertical-relative:paragraph;z-index:3232" coordorigin="1411,-10" coordsize="14018,2">
            <v:shape style="position:absolute;left:1411;top:-10;width:14018;height:2" coordorigin="1411,-10" coordsize="14018,0" path="m1411,-10l15429,-10e" filled="false" stroked="true" strokeweight=".72pt" strokecolor="#000000">
              <v:path arrowok="t"/>
            </v:shape>
            <w10:wrap type="none"/>
          </v:group>
        </w:pict>
      </w:r>
      <w:r>
        <w:rPr>
          <w:rFonts w:ascii="Times New Roman" w:hAnsi="Times New Roman" w:cs="Times New Roman" w:eastAsia="Times New Roman" w:hint="default"/>
        </w:rPr>
        <w:t>7</w:t>
      </w:r>
      <w:r>
        <w:rPr/>
        <w:t>、其他应收款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40" w:right="-6"/>
        <w:jc w:val="left"/>
        <w:rPr>
          <w:b w:val="0"/>
          <w:bCs w:val="0"/>
        </w:rPr>
      </w:pPr>
      <w:r>
        <w:rPr>
          <w:spacing w:val="-1"/>
        </w:rPr>
        <w:t>（</w:t>
      </w:r>
      <w:r>
        <w:rPr>
          <w:rFonts w:ascii="Times New Roman" w:hAnsi="Times New Roman" w:cs="Times New Roman" w:eastAsia="Times New Roman" w:hint="default"/>
          <w:spacing w:val="-1"/>
        </w:rPr>
        <w:t>1</w:t>
      </w:r>
      <w:r>
        <w:rPr>
          <w:spacing w:val="-1"/>
        </w:rPr>
        <w:t>）其他应收款分类披露</w:t>
      </w:r>
      <w:r>
        <w:rPr>
          <w:b w:val="0"/>
          <w:bCs w:val="0"/>
          <w:spacing w:val="-1"/>
        </w:rPr>
      </w:r>
    </w:p>
    <w:p>
      <w:pPr>
        <w:spacing w:before="15"/>
        <w:ind w:left="140"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广东华声电器股份有限公司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p>
      <w:pPr>
        <w:spacing w:after="0"/>
        <w:jc w:val="left"/>
        <w:rPr>
          <w:rFonts w:ascii="宋体" w:hAnsi="宋体" w:cs="宋体" w:eastAsia="宋体" w:hint="default"/>
          <w:sz w:val="18"/>
          <w:szCs w:val="18"/>
        </w:rPr>
        <w:sectPr>
          <w:headerReference w:type="default" r:id="rId27"/>
          <w:footerReference w:type="default" r:id="rId28"/>
          <w:pgSz w:w="16840" w:h="11910" w:orient="landscape"/>
          <w:pgMar w:header="0" w:footer="0" w:top="800" w:bottom="280" w:left="1300" w:right="1240"/>
          <w:cols w:num="2" w:equalWidth="0">
            <w:col w:w="2567" w:space="7701"/>
            <w:col w:w="4032"/>
          </w:cols>
        </w:sectPr>
      </w:pPr>
    </w:p>
    <w:p>
      <w:pPr>
        <w:spacing w:line="240" w:lineRule="auto" w:before="13"/>
        <w:rPr>
          <w:rFonts w:ascii="宋体" w:hAnsi="宋体" w:cs="宋体" w:eastAsia="宋体" w:hint="default"/>
          <w:sz w:val="21"/>
          <w:szCs w:val="21"/>
        </w:rPr>
      </w:pPr>
    </w:p>
    <w:p>
      <w:pPr>
        <w:pStyle w:val="BodyText"/>
        <w:spacing w:line="240" w:lineRule="auto" w:before="36"/>
        <w:ind w:left="0" w:right="193"/>
        <w:jc w:val="right"/>
      </w:pPr>
      <w:r>
        <w:rPr/>
        <w:t>单位：</w:t>
      </w:r>
      <w:r>
        <w:rPr>
          <w:spacing w:val="2"/>
        </w:rPr>
        <w:t> </w:t>
      </w:r>
      <w:r>
        <w:rPr/>
        <w:t>元</w:t>
      </w:r>
    </w:p>
    <w:p>
      <w:pPr>
        <w:spacing w:line="240" w:lineRule="auto" w:before="10"/>
        <w:rPr>
          <w:rFonts w:ascii="宋体" w:hAnsi="宋体" w:cs="宋体" w:eastAsia="宋体" w:hint="default"/>
          <w:sz w:val="6"/>
          <w:szCs w:val="6"/>
        </w:rPr>
      </w:pPr>
    </w:p>
    <w:tbl>
      <w:tblPr>
        <w:tblW w:w="0" w:type="auto"/>
        <w:jc w:val="left"/>
        <w:tblInd w:w="147" w:type="dxa"/>
        <w:tblLayout w:type="fixed"/>
        <w:tblCellMar>
          <w:top w:w="0" w:type="dxa"/>
          <w:left w:w="0" w:type="dxa"/>
          <w:bottom w:w="0" w:type="dxa"/>
          <w:right w:w="0" w:type="dxa"/>
        </w:tblCellMar>
        <w:tblLook w:val="01E0"/>
      </w:tblPr>
      <w:tblGrid>
        <w:gridCol w:w="3674"/>
        <w:gridCol w:w="1279"/>
        <w:gridCol w:w="850"/>
        <w:gridCol w:w="991"/>
        <w:gridCol w:w="994"/>
        <w:gridCol w:w="1274"/>
        <w:gridCol w:w="1135"/>
        <w:gridCol w:w="850"/>
        <w:gridCol w:w="850"/>
        <w:gridCol w:w="994"/>
        <w:gridCol w:w="1135"/>
      </w:tblGrid>
      <w:tr>
        <w:trPr>
          <w:trHeight w:val="403" w:hRule="exact"/>
        </w:trPr>
        <w:tc>
          <w:tcPr>
            <w:tcW w:w="3674" w:type="dxa"/>
            <w:tcBorders>
              <w:top w:val="single" w:sz="4" w:space="0" w:color="000000"/>
              <w:left w:val="single" w:sz="4" w:space="0" w:color="000000"/>
              <w:bottom w:val="nil" w:sz="6" w:space="0" w:color="auto"/>
              <w:right w:val="single" w:sz="4" w:space="0" w:color="000000"/>
            </w:tcBorders>
            <w:shd w:val="clear" w:color="auto" w:fill="D2D2D2"/>
          </w:tcPr>
          <w:p>
            <w:pPr/>
          </w:p>
        </w:tc>
        <w:tc>
          <w:tcPr>
            <w:tcW w:w="538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96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06" w:hRule="exact"/>
        </w:trPr>
        <w:tc>
          <w:tcPr>
            <w:tcW w:w="36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3"/>
              <w:ind w:right="3"/>
              <w:jc w:val="center"/>
              <w:rPr>
                <w:rFonts w:ascii="宋体" w:hAnsi="宋体" w:cs="宋体" w:eastAsia="宋体" w:hint="default"/>
                <w:sz w:val="21"/>
                <w:szCs w:val="21"/>
              </w:rPr>
            </w:pPr>
            <w:r>
              <w:rPr>
                <w:rFonts w:ascii="宋体" w:hAnsi="宋体" w:cs="宋体" w:eastAsia="宋体" w:hint="default"/>
                <w:sz w:val="21"/>
                <w:szCs w:val="21"/>
              </w:rPr>
              <w:t>类别</w:t>
            </w:r>
          </w:p>
        </w:tc>
        <w:tc>
          <w:tcPr>
            <w:tcW w:w="21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63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9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56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274" w:type="dxa"/>
            <w:tcBorders>
              <w:top w:val="single" w:sz="4" w:space="0" w:color="000000"/>
              <w:left w:val="single" w:sz="4" w:space="0" w:color="000000"/>
              <w:bottom w:val="nil" w:sz="6" w:space="0" w:color="auto"/>
              <w:right w:val="single" w:sz="4" w:space="0" w:color="000000"/>
            </w:tcBorders>
            <w:shd w:val="clear" w:color="auto" w:fill="D2D2D2"/>
          </w:tcPr>
          <w:p>
            <w:pPr/>
          </w:p>
        </w:tc>
        <w:tc>
          <w:tcPr>
            <w:tcW w:w="19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56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4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49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13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3674" w:type="dxa"/>
            <w:vMerge/>
            <w:tcBorders>
              <w:left w:val="single" w:sz="4" w:space="0" w:color="000000"/>
              <w:bottom w:val="nil" w:sz="6" w:space="0" w:color="auto"/>
              <w:right w:val="single" w:sz="4" w:space="0" w:color="000000"/>
            </w:tcBorders>
            <w:shd w:val="clear" w:color="auto" w:fill="D2D2D2"/>
          </w:tcPr>
          <w:p>
            <w:pPr/>
          </w:p>
        </w:tc>
        <w:tc>
          <w:tcPr>
            <w:tcW w:w="2128" w:type="dxa"/>
            <w:gridSpan w:val="2"/>
            <w:vMerge/>
            <w:tcBorders>
              <w:left w:val="single" w:sz="4" w:space="0" w:color="000000"/>
              <w:bottom w:val="single" w:sz="4" w:space="0" w:color="000000"/>
              <w:right w:val="single" w:sz="4" w:space="0" w:color="000000"/>
            </w:tcBorders>
            <w:shd w:val="clear" w:color="auto" w:fill="D2D2D2"/>
          </w:tcPr>
          <w:p>
            <w:pPr/>
          </w:p>
        </w:tc>
        <w:tc>
          <w:tcPr>
            <w:tcW w:w="1985" w:type="dxa"/>
            <w:gridSpan w:val="2"/>
            <w:vMerge/>
            <w:tcBorders>
              <w:left w:val="single" w:sz="4" w:space="0" w:color="000000"/>
              <w:bottom w:val="single" w:sz="4" w:space="0" w:color="000000"/>
              <w:right w:val="single" w:sz="4" w:space="0" w:color="000000"/>
            </w:tcBorders>
            <w:shd w:val="clear" w:color="auto" w:fill="D2D2D2"/>
          </w:tcPr>
          <w:p>
            <w:pPr/>
          </w:p>
        </w:tc>
        <w:tc>
          <w:tcPr>
            <w:tcW w:w="12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211"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985" w:type="dxa"/>
            <w:gridSpan w:val="2"/>
            <w:vMerge/>
            <w:tcBorders>
              <w:left w:val="single" w:sz="4" w:space="0" w:color="000000"/>
              <w:bottom w:val="single" w:sz="4" w:space="0" w:color="000000"/>
              <w:right w:val="single" w:sz="4" w:space="0" w:color="000000"/>
            </w:tcBorders>
            <w:shd w:val="clear" w:color="auto" w:fill="D2D2D2"/>
          </w:tcPr>
          <w:p>
            <w:pPr/>
          </w:p>
        </w:tc>
        <w:tc>
          <w:tcPr>
            <w:tcW w:w="1843" w:type="dxa"/>
            <w:gridSpan w:val="2"/>
            <w:vMerge/>
            <w:tcBorders>
              <w:left w:val="single" w:sz="4" w:space="0" w:color="000000"/>
              <w:bottom w:val="single" w:sz="4" w:space="0" w:color="000000"/>
              <w:right w:val="single" w:sz="4" w:space="0" w:color="000000"/>
            </w:tcBorders>
            <w:shd w:val="clear" w:color="auto" w:fill="D2D2D2"/>
          </w:tcPr>
          <w:p>
            <w:pPr/>
          </w:p>
        </w:tc>
        <w:tc>
          <w:tcPr>
            <w:tcW w:w="11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141"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02" w:hRule="exact"/>
        </w:trPr>
        <w:tc>
          <w:tcPr>
            <w:tcW w:w="3674" w:type="dxa"/>
            <w:vMerge w:val="restart"/>
            <w:tcBorders>
              <w:top w:val="nil" w:sz="6" w:space="0" w:color="auto"/>
              <w:left w:val="single" w:sz="4" w:space="0" w:color="000000"/>
              <w:right w:val="single" w:sz="4" w:space="0" w:color="000000"/>
            </w:tcBorders>
            <w:shd w:val="clear" w:color="auto" w:fill="D2D2D2"/>
          </w:tcPr>
          <w:p>
            <w:pPr/>
          </w:p>
        </w:tc>
        <w:tc>
          <w:tcPr>
            <w:tcW w:w="12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421"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208"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9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278"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71" w:right="0"/>
              <w:jc w:val="left"/>
              <w:rPr>
                <w:rFonts w:ascii="宋体" w:hAnsi="宋体" w:cs="宋体" w:eastAsia="宋体" w:hint="default"/>
                <w:sz w:val="21"/>
                <w:szCs w:val="21"/>
              </w:rPr>
            </w:pPr>
            <w:r>
              <w:rPr>
                <w:rFonts w:ascii="宋体" w:hAnsi="宋体" w:cs="宋体" w:eastAsia="宋体" w:hint="default"/>
                <w:sz w:val="21"/>
                <w:szCs w:val="21"/>
              </w:rPr>
              <w:t>计提比例</w:t>
            </w:r>
          </w:p>
        </w:tc>
        <w:tc>
          <w:tcPr>
            <w:tcW w:w="1274" w:type="dxa"/>
            <w:vMerge/>
            <w:tcBorders>
              <w:left w:val="single" w:sz="4" w:space="0" w:color="000000"/>
              <w:bottom w:val="nil" w:sz="6" w:space="0" w:color="auto"/>
              <w:right w:val="single" w:sz="4" w:space="0" w:color="000000"/>
            </w:tcBorders>
            <w:shd w:val="clear" w:color="auto" w:fill="D2D2D2"/>
          </w:tcPr>
          <w:p>
            <w:pPr/>
          </w:p>
        </w:tc>
        <w:tc>
          <w:tcPr>
            <w:tcW w:w="11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35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208"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211"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72" w:right="0"/>
              <w:jc w:val="left"/>
              <w:rPr>
                <w:rFonts w:ascii="宋体" w:hAnsi="宋体" w:cs="宋体" w:eastAsia="宋体" w:hint="default"/>
                <w:sz w:val="21"/>
                <w:szCs w:val="21"/>
              </w:rPr>
            </w:pPr>
            <w:r>
              <w:rPr>
                <w:rFonts w:ascii="宋体" w:hAnsi="宋体" w:cs="宋体" w:eastAsia="宋体" w:hint="default"/>
                <w:sz w:val="21"/>
                <w:szCs w:val="21"/>
              </w:rPr>
              <w:t>计提比例</w:t>
            </w:r>
          </w:p>
        </w:tc>
        <w:tc>
          <w:tcPr>
            <w:tcW w:w="1135"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3674" w:type="dxa"/>
            <w:vMerge/>
            <w:tcBorders>
              <w:left w:val="single" w:sz="4" w:space="0" w:color="000000"/>
              <w:bottom w:val="single" w:sz="4" w:space="0" w:color="000000"/>
              <w:right w:val="single" w:sz="4" w:space="0" w:color="000000"/>
            </w:tcBorders>
            <w:shd w:val="clear" w:color="auto" w:fill="D2D2D2"/>
          </w:tcPr>
          <w:p>
            <w:pPr/>
          </w:p>
        </w:tc>
        <w:tc>
          <w:tcPr>
            <w:tcW w:w="1279"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5"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3" w:hRule="exact"/>
        </w:trPr>
        <w:tc>
          <w:tcPr>
            <w:tcW w:w="3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1" w:right="75"/>
              <w:jc w:val="left"/>
              <w:rPr>
                <w:rFonts w:ascii="宋体" w:hAnsi="宋体" w:cs="宋体" w:eastAsia="宋体" w:hint="default"/>
                <w:sz w:val="21"/>
                <w:szCs w:val="21"/>
              </w:rPr>
            </w:pPr>
            <w:r>
              <w:rPr>
                <w:rFonts w:ascii="宋体" w:hAnsi="宋体" w:cs="宋体" w:eastAsia="宋体" w:hint="default"/>
                <w:spacing w:val="-2"/>
                <w:sz w:val="21"/>
                <w:szCs w:val="21"/>
              </w:rPr>
              <w:t>按信用风险特征组合计提坏账准备的其</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他应收款</w:t>
            </w:r>
          </w:p>
        </w:tc>
        <w:tc>
          <w:tcPr>
            <w:tcW w:w="12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1,873,241.04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41" w:right="0"/>
              <w:jc w:val="center"/>
              <w:rPr>
                <w:rFonts w:ascii="Times New Roman" w:hAnsi="Times New Roman" w:cs="Times New Roman" w:eastAsia="Times New Roman" w:hint="default"/>
                <w:sz w:val="21"/>
                <w:szCs w:val="21"/>
              </w:rPr>
            </w:pPr>
            <w:r>
              <w:rPr>
                <w:rFonts w:ascii="Times New Roman"/>
                <w:sz w:val="21"/>
              </w:rPr>
              <w:t>100.00%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62,006.46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z w:val="21"/>
              </w:rPr>
              <w:t>3.31%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2"/>
                <w:sz w:val="21"/>
              </w:rPr>
              <w:t>1,811,234.58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977,750.36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40" w:right="0"/>
              <w:jc w:val="center"/>
              <w:rPr>
                <w:rFonts w:ascii="Times New Roman" w:hAnsi="Times New Roman" w:cs="Times New Roman" w:eastAsia="Times New Roman" w:hint="default"/>
                <w:sz w:val="21"/>
                <w:szCs w:val="21"/>
              </w:rPr>
            </w:pPr>
            <w:r>
              <w:rPr>
                <w:rFonts w:ascii="Times New Roman"/>
                <w:sz w:val="21"/>
              </w:rPr>
              <w:t>100.00%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2,506.99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z w:val="21"/>
              </w:rPr>
              <w:t>0.26%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975,243.37</w:t>
            </w:r>
          </w:p>
        </w:tc>
      </w:tr>
      <w:tr>
        <w:trPr>
          <w:trHeight w:val="403" w:hRule="exact"/>
        </w:trPr>
        <w:tc>
          <w:tcPr>
            <w:tcW w:w="3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2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1,873,241.04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1" w:right="0"/>
              <w:jc w:val="center"/>
              <w:rPr>
                <w:rFonts w:ascii="Times New Roman" w:hAnsi="Times New Roman" w:cs="Times New Roman" w:eastAsia="Times New Roman" w:hint="default"/>
                <w:sz w:val="21"/>
                <w:szCs w:val="21"/>
              </w:rPr>
            </w:pPr>
            <w:r>
              <w:rPr>
                <w:rFonts w:ascii="Times New Roman"/>
                <w:sz w:val="21"/>
              </w:rPr>
              <w:t>100.00%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62,006.46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3.31%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2"/>
                <w:sz w:val="21"/>
              </w:rPr>
              <w:t>1,811,234.58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977,750.36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0" w:right="0"/>
              <w:jc w:val="center"/>
              <w:rPr>
                <w:rFonts w:ascii="Times New Roman" w:hAnsi="Times New Roman" w:cs="Times New Roman" w:eastAsia="Times New Roman" w:hint="default"/>
                <w:sz w:val="21"/>
                <w:szCs w:val="21"/>
              </w:rPr>
            </w:pPr>
            <w:r>
              <w:rPr>
                <w:rFonts w:ascii="Times New Roman"/>
                <w:sz w:val="21"/>
              </w:rPr>
              <w:t>100.00%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2,506.99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0.26%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975,243.37</w:t>
            </w:r>
          </w:p>
        </w:tc>
      </w:tr>
    </w:tbl>
    <w:p>
      <w:pPr>
        <w:pStyle w:val="BodyText"/>
        <w:tabs>
          <w:tab w:pos="12357" w:val="left" w:leader="none"/>
        </w:tabs>
        <w:spacing w:line="240" w:lineRule="auto" w:before="28"/>
        <w:ind w:left="0" w:right="193"/>
        <w:jc w:val="right"/>
      </w:pPr>
      <w:r>
        <w:rPr>
          <w:spacing w:val="-2"/>
        </w:rPr>
        <w:t>期末单项金额重大并单项计提坏账准备的其他应收款：</w:t>
        <w:tab/>
      </w:r>
      <w:r>
        <w:rPr>
          <w:rFonts w:ascii="Times New Roman" w:hAnsi="Times New Roman" w:cs="Times New Roman" w:eastAsia="Times New Roman" w:hint="default"/>
        </w:rPr>
        <w:t>□  </w:t>
      </w:r>
      <w:r>
        <w:rPr>
          <w:spacing w:val="-2"/>
        </w:rPr>
        <w:t>适用</w:t>
      </w:r>
      <w:r>
        <w:rPr/>
        <w:t>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spacing w:val="-1"/>
        </w:rPr>
        <w:t>不适用</w:t>
      </w:r>
    </w:p>
    <w:p>
      <w:pPr>
        <w:pStyle w:val="BodyText"/>
        <w:tabs>
          <w:tab w:pos="12354" w:val="left" w:leader="none"/>
        </w:tabs>
        <w:spacing w:line="240" w:lineRule="auto" w:before="59"/>
        <w:ind w:left="0" w:right="195"/>
        <w:jc w:val="right"/>
      </w:pPr>
      <w:r>
        <w:rPr>
          <w:spacing w:val="-3"/>
        </w:rPr>
        <w:t>组合中，按账龄分析法计提坏账准备的其他应收款：</w:t>
        <w:tab/>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不适用</w:t>
      </w:r>
    </w:p>
    <w:p>
      <w:pPr>
        <w:pStyle w:val="BodyText"/>
        <w:spacing w:line="240" w:lineRule="auto" w:before="62"/>
        <w:ind w:left="0" w:right="193"/>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35" w:type="dxa"/>
        <w:tblLayout w:type="fixed"/>
        <w:tblCellMar>
          <w:top w:w="0" w:type="dxa"/>
          <w:left w:w="0" w:type="dxa"/>
          <w:bottom w:w="0" w:type="dxa"/>
          <w:right w:w="0" w:type="dxa"/>
        </w:tblCellMar>
        <w:tblLook w:val="01E0"/>
      </w:tblPr>
      <w:tblGrid>
        <w:gridCol w:w="3687"/>
        <w:gridCol w:w="3449"/>
        <w:gridCol w:w="3449"/>
        <w:gridCol w:w="3452"/>
      </w:tblGrid>
      <w:tr>
        <w:trPr>
          <w:trHeight w:val="401" w:hRule="exact"/>
        </w:trPr>
        <w:tc>
          <w:tcPr>
            <w:tcW w:w="36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1035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403" w:hRule="exact"/>
        </w:trPr>
        <w:tc>
          <w:tcPr>
            <w:tcW w:w="3687" w:type="dxa"/>
            <w:vMerge/>
            <w:tcBorders>
              <w:left w:val="single" w:sz="4" w:space="0" w:color="000000"/>
              <w:bottom w:val="single" w:sz="4" w:space="0" w:color="000000"/>
              <w:right w:val="single" w:sz="4" w:space="0" w:color="000000"/>
            </w:tcBorders>
            <w:shd w:val="clear" w:color="auto" w:fill="D2D2D2"/>
          </w:tcPr>
          <w:p>
            <w:pPr/>
          </w:p>
        </w:tc>
        <w:tc>
          <w:tcPr>
            <w:tcW w:w="34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其他应收款</w:t>
            </w:r>
          </w:p>
        </w:tc>
        <w:tc>
          <w:tcPr>
            <w:tcW w:w="34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坏账准备</w:t>
            </w:r>
          </w:p>
        </w:tc>
        <w:tc>
          <w:tcPr>
            <w:tcW w:w="3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计提比例</w:t>
            </w:r>
          </w:p>
        </w:tc>
      </w:tr>
      <w:tr>
        <w:trPr>
          <w:trHeight w:val="401" w:hRule="exact"/>
        </w:trPr>
        <w:tc>
          <w:tcPr>
            <w:tcW w:w="1403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年以内分项</w:t>
            </w:r>
          </w:p>
        </w:tc>
      </w:tr>
      <w:tr>
        <w:trPr>
          <w:trHeight w:val="403"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个月以内（含</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个月）</w:t>
            </w:r>
          </w:p>
        </w:tc>
        <w:tc>
          <w:tcPr>
            <w:tcW w:w="3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567,869.90</w:t>
            </w:r>
          </w:p>
        </w:tc>
        <w:tc>
          <w:tcPr>
            <w:tcW w:w="3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30.31</w:t>
            </w:r>
          </w:p>
        </w:tc>
        <w:tc>
          <w:tcPr>
            <w:tcW w:w="345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个月至</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个月（含</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个月）</w:t>
            </w:r>
          </w:p>
        </w:tc>
        <w:tc>
          <w:tcPr>
            <w:tcW w:w="3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618,400.30</w:t>
            </w:r>
          </w:p>
        </w:tc>
        <w:tc>
          <w:tcPr>
            <w:tcW w:w="3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33.02</w:t>
            </w:r>
          </w:p>
        </w:tc>
        <w:tc>
          <w:tcPr>
            <w:tcW w:w="3452"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个月至</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年（含</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3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133,812.48</w:t>
            </w:r>
          </w:p>
        </w:tc>
        <w:tc>
          <w:tcPr>
            <w:tcW w:w="3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7.14</w:t>
            </w:r>
          </w:p>
        </w:tc>
        <w:tc>
          <w:tcPr>
            <w:tcW w:w="3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pacing w:val="-1"/>
                <w:sz w:val="21"/>
              </w:rPr>
              <w:t>6,690.62%</w:t>
            </w:r>
          </w:p>
        </w:tc>
      </w:tr>
      <w:tr>
        <w:trPr>
          <w:trHeight w:val="401"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年以内小计</w:t>
            </w:r>
          </w:p>
        </w:tc>
        <w:tc>
          <w:tcPr>
            <w:tcW w:w="3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1,320,082.68</w:t>
            </w:r>
          </w:p>
        </w:tc>
        <w:tc>
          <w:tcPr>
            <w:tcW w:w="3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70.47</w:t>
            </w:r>
          </w:p>
        </w:tc>
        <w:tc>
          <w:tcPr>
            <w:tcW w:w="3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pacing w:val="-1"/>
                <w:sz w:val="21"/>
              </w:rPr>
              <w:t>6,690.62%</w:t>
            </w:r>
          </w:p>
        </w:tc>
      </w:tr>
      <w:tr>
        <w:trPr>
          <w:trHeight w:val="403"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3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553,158.36</w:t>
            </w:r>
          </w:p>
        </w:tc>
        <w:tc>
          <w:tcPr>
            <w:tcW w:w="3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29.53</w:t>
            </w:r>
          </w:p>
        </w:tc>
        <w:tc>
          <w:tcPr>
            <w:tcW w:w="3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pacing w:val="-1"/>
                <w:sz w:val="21"/>
              </w:rPr>
              <w:t>55,315.84%</w:t>
            </w:r>
          </w:p>
        </w:tc>
      </w:tr>
      <w:tr>
        <w:trPr>
          <w:trHeight w:val="401"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1,873,241.04</w:t>
            </w:r>
          </w:p>
        </w:tc>
        <w:tc>
          <w:tcPr>
            <w:tcW w:w="3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100.00</w:t>
            </w:r>
          </w:p>
        </w:tc>
        <w:tc>
          <w:tcPr>
            <w:tcW w:w="3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pacing w:val="-1"/>
                <w:sz w:val="21"/>
              </w:rPr>
              <w:t>62,006.46%</w:t>
            </w:r>
          </w:p>
        </w:tc>
      </w:tr>
    </w:tbl>
    <w:p>
      <w:pPr>
        <w:pStyle w:val="BodyText"/>
        <w:spacing w:line="273" w:lineRule="auto" w:before="28"/>
        <w:ind w:left="140" w:right="0"/>
        <w:jc w:val="left"/>
      </w:pPr>
      <w:r>
        <w:rPr>
          <w:spacing w:val="-2"/>
        </w:rPr>
        <w:t>确定该组合依据的说明：公司根据以前年度与之相同或相类似的、具有类似信用风险特征的应收款项组合的实际损失率为基础，结合现时情况确定本期</w:t>
      </w:r>
      <w:r>
        <w:rPr>
          <w:spacing w:val="19"/>
        </w:rPr>
        <w:t> </w:t>
      </w:r>
      <w:r>
        <w:rPr>
          <w:spacing w:val="19"/>
        </w:rPr>
      </w:r>
      <w:r>
        <w:rPr/>
        <w:t>各项组合计提坏账准备的比例。</w:t>
      </w:r>
    </w:p>
    <w:p>
      <w:pPr>
        <w:spacing w:line="240" w:lineRule="auto" w:before="3"/>
        <w:rPr>
          <w:rFonts w:ascii="宋体" w:hAnsi="宋体" w:cs="宋体" w:eastAsia="宋体" w:hint="default"/>
          <w:sz w:val="16"/>
          <w:szCs w:val="16"/>
        </w:rPr>
      </w:pPr>
    </w:p>
    <w:p>
      <w:pPr>
        <w:spacing w:before="76"/>
        <w:ind w:left="0" w:right="193" w:firstLine="0"/>
        <w:jc w:val="right"/>
        <w:rPr>
          <w:rFonts w:ascii="Times New Roman" w:hAnsi="Times New Roman" w:cs="Times New Roman" w:eastAsia="Times New Roman" w:hint="default"/>
          <w:sz w:val="18"/>
          <w:szCs w:val="18"/>
        </w:rPr>
      </w:pPr>
      <w:r>
        <w:rPr>
          <w:rFonts w:ascii="Times New Roman"/>
          <w:sz w:val="18"/>
        </w:rPr>
        <w:t>88</w:t>
      </w:r>
    </w:p>
    <w:p>
      <w:pPr>
        <w:spacing w:after="0"/>
        <w:jc w:val="right"/>
        <w:rPr>
          <w:rFonts w:ascii="Times New Roman" w:hAnsi="Times New Roman" w:cs="Times New Roman" w:eastAsia="Times New Roman" w:hint="default"/>
          <w:sz w:val="18"/>
          <w:szCs w:val="18"/>
        </w:rPr>
        <w:sectPr>
          <w:type w:val="continuous"/>
          <w:pgSz w:w="16840" w:h="11910" w:orient="landscape"/>
          <w:pgMar w:top="1060" w:bottom="1160" w:left="1300" w:right="1240"/>
        </w:sectPr>
      </w:pPr>
    </w:p>
    <w:p>
      <w:pPr>
        <w:spacing w:line="240" w:lineRule="auto" w:before="8"/>
        <w:rPr>
          <w:rFonts w:ascii="Times New Roman" w:hAnsi="Times New Roman" w:cs="Times New Roman" w:eastAsia="Times New Roman" w:hint="default"/>
          <w:sz w:val="23"/>
          <w:szCs w:val="23"/>
        </w:rPr>
      </w:pPr>
    </w:p>
    <w:p>
      <w:pPr>
        <w:pStyle w:val="BodyText"/>
        <w:tabs>
          <w:tab w:pos="8139" w:val="left" w:leader="none"/>
        </w:tabs>
        <w:spacing w:line="240" w:lineRule="auto" w:before="36"/>
        <w:ind w:right="0"/>
        <w:jc w:val="left"/>
      </w:pPr>
      <w:r>
        <w:rPr>
          <w:spacing w:val="-2"/>
        </w:rPr>
        <w:t>组合中，采用余额百分比法计提坏账准备的其他应收款：</w:t>
        <w:tab/>
      </w:r>
      <w:r>
        <w:rPr>
          <w:rFonts w:ascii="Times New Roman" w:hAnsi="Times New Roman" w:cs="Times New Roman" w:eastAsia="Times New Roman" w:hint="default"/>
        </w:rPr>
        <w:t>□  </w:t>
      </w:r>
      <w:r>
        <w:rPr>
          <w:spacing w:val="-2"/>
        </w:rPr>
        <w:t>适用</w:t>
      </w:r>
      <w:r>
        <w:rPr/>
        <w:t>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spacing w:val="-1"/>
        </w:rPr>
        <w:t>不适用</w:t>
      </w:r>
    </w:p>
    <w:p>
      <w:pPr>
        <w:pStyle w:val="BodyText"/>
        <w:tabs>
          <w:tab w:pos="8139" w:val="left" w:leader="none"/>
        </w:tabs>
        <w:spacing w:line="240" w:lineRule="auto" w:before="62"/>
        <w:ind w:right="0"/>
        <w:jc w:val="left"/>
      </w:pPr>
      <w:r>
        <w:rPr>
          <w:spacing w:val="-2"/>
        </w:rPr>
        <w:t>组合中，采用其他方法计提坏账准备的其他应收款：</w:t>
        <w:tab/>
      </w:r>
      <w:r>
        <w:rPr>
          <w:rFonts w:ascii="Times New Roman" w:hAnsi="Times New Roman" w:cs="Times New Roman" w:eastAsia="Times New Roman" w:hint="default"/>
        </w:rPr>
        <w:t>□  </w:t>
      </w:r>
      <w:r>
        <w:rPr>
          <w:spacing w:val="-2"/>
        </w:rPr>
        <w:t>适用</w:t>
      </w:r>
      <w:r>
        <w:rPr/>
        <w:t>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spacing w:val="-1"/>
        </w:rPr>
        <w:t>不适用</w:t>
      </w:r>
    </w:p>
    <w:p>
      <w:pPr>
        <w:spacing w:line="240" w:lineRule="auto" w:before="5"/>
        <w:rPr>
          <w:rFonts w:ascii="宋体" w:hAnsi="宋体" w:cs="宋体" w:eastAsia="宋体" w:hint="default"/>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）本期计提坏账准备</w:t>
      </w:r>
      <w:r>
        <w:rPr>
          <w:spacing w:val="-53"/>
        </w:rPr>
        <w:t> </w:t>
      </w:r>
      <w:r>
        <w:rPr>
          <w:rFonts w:ascii="Times New Roman" w:hAnsi="Times New Roman" w:cs="Times New Roman" w:eastAsia="Times New Roman" w:hint="default"/>
        </w:rPr>
        <w:t>59,499.47</w:t>
      </w:r>
      <w:r>
        <w:rPr>
          <w:rFonts w:ascii="Times New Roman" w:hAnsi="Times New Roman" w:cs="Times New Roman" w:eastAsia="Times New Roman" w:hint="default"/>
          <w:spacing w:val="-1"/>
        </w:rPr>
        <w:t> </w:t>
      </w:r>
      <w:r>
        <w:rPr/>
        <w:t>元；本期无收回或转回的坏账准备。</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）本期无实际核销的其他应收款。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0" w:right="254"/>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60"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60"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4"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9"/>
              <w:jc w:val="right"/>
              <w:rPr>
                <w:rFonts w:ascii="Times New Roman" w:hAnsi="Times New Roman" w:cs="Times New Roman" w:eastAsia="Times New Roman" w:hint="default"/>
                <w:sz w:val="21"/>
                <w:szCs w:val="21"/>
              </w:rPr>
            </w:pPr>
            <w:r>
              <w:rPr>
                <w:rFonts w:ascii="Times New Roman"/>
                <w:spacing w:val="-1"/>
                <w:sz w:val="21"/>
              </w:rPr>
              <w:t>559,080.42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7"/>
              <w:jc w:val="right"/>
              <w:rPr>
                <w:rFonts w:ascii="Times New Roman" w:hAnsi="Times New Roman" w:cs="Times New Roman" w:eastAsia="Times New Roman" w:hint="default"/>
                <w:sz w:val="21"/>
                <w:szCs w:val="21"/>
              </w:rPr>
            </w:pPr>
            <w:r>
              <w:rPr>
                <w:rFonts w:ascii="Times New Roman"/>
                <w:spacing w:val="-1"/>
                <w:sz w:val="21"/>
              </w:rPr>
              <w:t>450,350.36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履约保证金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542,312.00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420,000.00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563,151.59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77,400.00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168,400.00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40,297.03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1,873,241.04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977,750.36</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36"/>
        <w:ind w:left="0" w:right="254"/>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268"/>
        <w:gridCol w:w="1419"/>
        <w:gridCol w:w="1277"/>
        <w:gridCol w:w="1841"/>
        <w:gridCol w:w="1844"/>
        <w:gridCol w:w="919"/>
      </w:tblGrid>
      <w:tr>
        <w:trPr>
          <w:trHeight w:val="71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710"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80" w:right="0"/>
              <w:jc w:val="left"/>
              <w:rPr>
                <w:rFonts w:ascii="宋体" w:hAnsi="宋体" w:cs="宋体" w:eastAsia="宋体" w:hint="default"/>
                <w:sz w:val="21"/>
                <w:szCs w:val="21"/>
              </w:rPr>
            </w:pPr>
            <w:r>
              <w:rPr>
                <w:rFonts w:ascii="宋体" w:hAnsi="宋体" w:cs="宋体" w:eastAsia="宋体" w:hint="default"/>
                <w:sz w:val="21"/>
                <w:szCs w:val="21"/>
              </w:rPr>
              <w:t>款项的性质</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13"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76" w:right="72"/>
              <w:jc w:val="left"/>
              <w:rPr>
                <w:rFonts w:ascii="宋体" w:hAnsi="宋体" w:cs="宋体" w:eastAsia="宋体" w:hint="default"/>
                <w:sz w:val="21"/>
                <w:szCs w:val="21"/>
              </w:rPr>
            </w:pPr>
            <w:r>
              <w:rPr>
                <w:rFonts w:ascii="宋体" w:hAnsi="宋体" w:cs="宋体" w:eastAsia="宋体" w:hint="default"/>
                <w:sz w:val="21"/>
                <w:szCs w:val="21"/>
              </w:rPr>
              <w:t>占其他应收款期末</w:t>
            </w:r>
            <w:r>
              <w:rPr>
                <w:rFonts w:ascii="宋体" w:hAnsi="宋体" w:cs="宋体" w:eastAsia="宋体" w:hint="default"/>
                <w:w w:val="100"/>
                <w:sz w:val="21"/>
                <w:szCs w:val="21"/>
              </w:rPr>
              <w:t> </w:t>
            </w:r>
            <w:r>
              <w:rPr>
                <w:rFonts w:ascii="宋体" w:hAnsi="宋体" w:cs="宋体" w:eastAsia="宋体" w:hint="default"/>
                <w:sz w:val="21"/>
                <w:szCs w:val="21"/>
              </w:rPr>
              <w:t>余额合计数的比例</w:t>
            </w:r>
          </w:p>
        </w:tc>
        <w:tc>
          <w:tcPr>
            <w:tcW w:w="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36" w:right="29"/>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p>
        </w:tc>
      </w:tr>
      <w:tr>
        <w:trPr>
          <w:trHeight w:val="715"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员工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559,080.42</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个月、</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个月</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29.85%</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8" w:right="0"/>
              <w:jc w:val="center"/>
              <w:rPr>
                <w:rFonts w:ascii="Times New Roman" w:hAnsi="Times New Roman" w:cs="Times New Roman" w:eastAsia="Times New Roman" w:hint="default"/>
                <w:sz w:val="21"/>
                <w:szCs w:val="21"/>
              </w:rPr>
            </w:pPr>
            <w:r>
              <w:rPr>
                <w:rFonts w:ascii="Times New Roman"/>
                <w:sz w:val="21"/>
              </w:rPr>
              <w:t>16,806.46</w:t>
            </w:r>
          </w:p>
        </w:tc>
      </w:tr>
      <w:tr>
        <w:trPr>
          <w:trHeight w:val="71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30"/>
              <w:jc w:val="left"/>
              <w:rPr>
                <w:rFonts w:ascii="宋体" w:hAnsi="宋体" w:cs="宋体" w:eastAsia="宋体" w:hint="default"/>
                <w:sz w:val="21"/>
                <w:szCs w:val="21"/>
              </w:rPr>
            </w:pPr>
            <w:r>
              <w:rPr>
                <w:rFonts w:ascii="宋体" w:hAnsi="宋体" w:cs="宋体" w:eastAsia="宋体" w:hint="default"/>
                <w:spacing w:val="-2"/>
                <w:sz w:val="21"/>
                <w:szCs w:val="21"/>
              </w:rPr>
              <w:t>扬州市国土资源局邗江</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分局</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履约保证金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420,000.00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22.42%</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8" w:right="0"/>
              <w:jc w:val="center"/>
              <w:rPr>
                <w:rFonts w:ascii="Times New Roman" w:hAnsi="Times New Roman" w:cs="Times New Roman" w:eastAsia="Times New Roman" w:hint="default"/>
                <w:sz w:val="21"/>
                <w:szCs w:val="21"/>
              </w:rPr>
            </w:pPr>
            <w:r>
              <w:rPr>
                <w:rFonts w:ascii="Times New Roman"/>
                <w:sz w:val="21"/>
              </w:rPr>
              <w:t>42,000.00</w:t>
            </w:r>
          </w:p>
        </w:tc>
      </w:tr>
      <w:tr>
        <w:trPr>
          <w:trHeight w:val="715"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30"/>
              <w:jc w:val="left"/>
              <w:rPr>
                <w:rFonts w:ascii="宋体" w:hAnsi="宋体" w:cs="宋体" w:eastAsia="宋体" w:hint="default"/>
                <w:sz w:val="21"/>
                <w:szCs w:val="21"/>
              </w:rPr>
            </w:pPr>
            <w:r>
              <w:rPr>
                <w:rFonts w:ascii="宋体" w:hAnsi="宋体" w:cs="宋体" w:eastAsia="宋体" w:hint="default"/>
                <w:spacing w:val="-2"/>
                <w:sz w:val="21"/>
                <w:szCs w:val="21"/>
              </w:rPr>
              <w:t>中国太平洋财产保险股</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份有限公司广东分公司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275,682.61</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个月</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14.72%</w:t>
            </w: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30"/>
              <w:jc w:val="left"/>
              <w:rPr>
                <w:rFonts w:ascii="宋体" w:hAnsi="宋体" w:cs="宋体" w:eastAsia="宋体" w:hint="default"/>
                <w:sz w:val="21"/>
                <w:szCs w:val="21"/>
              </w:rPr>
            </w:pPr>
            <w:r>
              <w:rPr>
                <w:rFonts w:ascii="宋体" w:hAnsi="宋体" w:cs="宋体" w:eastAsia="宋体" w:hint="default"/>
                <w:spacing w:val="-2"/>
                <w:sz w:val="21"/>
                <w:szCs w:val="21"/>
              </w:rPr>
              <w:t>上海泛微网络科技股份</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133,333.34</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个月以内、</w:t>
            </w:r>
            <w:r>
              <w:rPr>
                <w:rFonts w:ascii="Times New Roman" w:hAnsi="Times New Roman" w:cs="Times New Roman" w:eastAsia="Times New Roman" w:hint="default"/>
                <w:sz w:val="21"/>
                <w:szCs w:val="21"/>
              </w:rPr>
              <w:t>3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w:t>
            </w:r>
          </w:p>
          <w:p>
            <w:pPr>
              <w:pStyle w:val="TableParagraph"/>
              <w:spacing w:line="240" w:lineRule="auto" w:before="22"/>
              <w:ind w:left="23" w:right="0"/>
              <w:jc w:val="left"/>
              <w:rPr>
                <w:rFonts w:ascii="宋体" w:hAnsi="宋体" w:cs="宋体" w:eastAsia="宋体" w:hint="default"/>
                <w:sz w:val="21"/>
                <w:szCs w:val="21"/>
              </w:rPr>
            </w:pPr>
            <w:r>
              <w:rPr>
                <w:rFonts w:ascii="宋体" w:hAnsi="宋体" w:cs="宋体" w:eastAsia="宋体" w:hint="default"/>
                <w:sz w:val="21"/>
                <w:szCs w:val="21"/>
              </w:rPr>
              <w:t>个月</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7.12%</w:t>
            </w: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30"/>
              <w:jc w:val="left"/>
              <w:rPr>
                <w:rFonts w:ascii="宋体" w:hAnsi="宋体" w:cs="宋体" w:eastAsia="宋体" w:hint="default"/>
                <w:sz w:val="21"/>
                <w:szCs w:val="21"/>
              </w:rPr>
            </w:pPr>
            <w:r>
              <w:rPr>
                <w:rFonts w:ascii="宋体" w:hAnsi="宋体" w:cs="宋体" w:eastAsia="宋体" w:hint="default"/>
                <w:spacing w:val="-2"/>
                <w:sz w:val="21"/>
                <w:szCs w:val="21"/>
              </w:rPr>
              <w:t>中国移动通信集团广东</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有限公司佛山分公司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130,349.64</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个月</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6.96%</w:t>
            </w: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sz w:val="21"/>
              </w:rPr>
              <w:t>--</w:t>
            </w:r>
          </w:p>
        </w:tc>
        <w:tc>
          <w:tcPr>
            <w:tcW w:w="127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1,518,446.01</w:t>
            </w: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sz w:val="21"/>
              </w:rPr>
              <w:t>--</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81.07%</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8" w:right="0"/>
              <w:jc w:val="center"/>
              <w:rPr>
                <w:rFonts w:ascii="Times New Roman" w:hAnsi="Times New Roman" w:cs="Times New Roman" w:eastAsia="Times New Roman" w:hint="default"/>
                <w:sz w:val="21"/>
                <w:szCs w:val="21"/>
              </w:rPr>
            </w:pPr>
            <w:r>
              <w:rPr>
                <w:rFonts w:ascii="Times New Roman"/>
                <w:sz w:val="21"/>
              </w:rPr>
              <w:t>58,806.46</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6</w:t>
      </w:r>
      <w:r>
        <w:rPr/>
        <w:t>）本期无涉及政府补助的应收款项。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7</w:t>
      </w:r>
      <w:r>
        <w:rPr/>
        <w:t>）本期无因金融资产转移而终止确认的其他应收款。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8</w:t>
      </w:r>
      <w:r>
        <w:rPr/>
        <w:t>）本期无转移其他应收款且继续涉入形成的资产、负债。</w:t>
      </w:r>
      <w:r>
        <w:rPr>
          <w:b w:val="0"/>
          <w:bCs w:val="0"/>
        </w:rPr>
      </w:r>
    </w:p>
    <w:p>
      <w:pPr>
        <w:spacing w:after="0" w:line="240" w:lineRule="auto"/>
        <w:jc w:val="left"/>
        <w:sectPr>
          <w:footerReference w:type="default" r:id="rId29"/>
          <w:pgSz w:w="11910" w:h="16840"/>
          <w:pgMar w:footer="979" w:header="0" w:top="1100" w:bottom="1160" w:left="980" w:right="980"/>
          <w:pgNumType w:start="89"/>
        </w:sectPr>
      </w:pPr>
    </w:p>
    <w:p>
      <w:pPr>
        <w:spacing w:line="240" w:lineRule="auto" w:before="11"/>
        <w:rPr>
          <w:rFonts w:ascii="宋体" w:hAnsi="宋体" w:cs="宋体" w:eastAsia="宋体" w:hint="default"/>
          <w:b/>
          <w:bCs/>
          <w:sz w:val="20"/>
          <w:szCs w:val="20"/>
        </w:rPr>
      </w:pPr>
    </w:p>
    <w:p>
      <w:pPr>
        <w:pStyle w:val="Heading4"/>
        <w:spacing w:line="240" w:lineRule="auto" w:before="36"/>
        <w:ind w:right="0"/>
        <w:jc w:val="left"/>
        <w:rPr>
          <w:b w:val="0"/>
          <w:bCs w:val="0"/>
        </w:rPr>
      </w:pPr>
      <w:r>
        <w:rPr>
          <w:rFonts w:ascii="Times New Roman" w:hAnsi="Times New Roman" w:cs="Times New Roman" w:eastAsia="Times New Roman" w:hint="default"/>
        </w:rPr>
        <w:t>8</w:t>
      </w:r>
      <w:r>
        <w:rPr/>
        <w:t>、存货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36"/>
        <w:ind w:left="0" w:right="254"/>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1253"/>
        <w:gridCol w:w="1431"/>
        <w:gridCol w:w="1274"/>
        <w:gridCol w:w="1419"/>
        <w:gridCol w:w="1416"/>
        <w:gridCol w:w="1277"/>
        <w:gridCol w:w="1490"/>
      </w:tblGrid>
      <w:tr>
        <w:trPr>
          <w:trHeight w:val="206" w:hRule="exact"/>
        </w:trPr>
        <w:tc>
          <w:tcPr>
            <w:tcW w:w="1253" w:type="dxa"/>
            <w:tcBorders>
              <w:top w:val="single" w:sz="4" w:space="0" w:color="000000"/>
              <w:left w:val="single" w:sz="4" w:space="0" w:color="000000"/>
              <w:bottom w:val="nil" w:sz="6" w:space="0" w:color="auto"/>
              <w:right w:val="single" w:sz="4" w:space="0" w:color="000000"/>
            </w:tcBorders>
            <w:shd w:val="clear" w:color="auto" w:fill="D2D2D2"/>
          </w:tcPr>
          <w:p>
            <w:pPr/>
          </w:p>
        </w:tc>
        <w:tc>
          <w:tcPr>
            <w:tcW w:w="412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17"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18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190" w:hRule="exact"/>
        </w:trPr>
        <w:tc>
          <w:tcPr>
            <w:tcW w:w="125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410"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4124" w:type="dxa"/>
            <w:gridSpan w:val="3"/>
            <w:vMerge/>
            <w:tcBorders>
              <w:left w:val="single" w:sz="4" w:space="0" w:color="000000"/>
              <w:bottom w:val="single" w:sz="4" w:space="0" w:color="000000"/>
              <w:right w:val="single" w:sz="4" w:space="0" w:color="000000"/>
            </w:tcBorders>
            <w:shd w:val="clear" w:color="auto" w:fill="D2D2D2"/>
          </w:tcPr>
          <w:p>
            <w:pPr/>
          </w:p>
        </w:tc>
        <w:tc>
          <w:tcPr>
            <w:tcW w:w="4184"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253" w:type="dxa"/>
            <w:vMerge/>
            <w:tcBorders>
              <w:left w:val="single" w:sz="4" w:space="0" w:color="000000"/>
              <w:bottom w:val="nil" w:sz="6" w:space="0" w:color="auto"/>
              <w:right w:val="single" w:sz="4" w:space="0" w:color="000000"/>
            </w:tcBorders>
            <w:shd w:val="clear" w:color="auto" w:fill="D2D2D2"/>
          </w:tcPr>
          <w:p>
            <w:pPr/>
          </w:p>
        </w:tc>
        <w:tc>
          <w:tcPr>
            <w:tcW w:w="14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29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2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213"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4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285"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4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28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213"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4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321"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06" w:hRule="exact"/>
        </w:trPr>
        <w:tc>
          <w:tcPr>
            <w:tcW w:w="1253" w:type="dxa"/>
            <w:tcBorders>
              <w:top w:val="nil" w:sz="6" w:space="0" w:color="auto"/>
              <w:left w:val="single" w:sz="4" w:space="0" w:color="000000"/>
              <w:bottom w:val="single" w:sz="4" w:space="0" w:color="000000"/>
              <w:right w:val="single" w:sz="4" w:space="0" w:color="000000"/>
            </w:tcBorders>
            <w:shd w:val="clear" w:color="auto" w:fill="D2D2D2"/>
          </w:tcPr>
          <w:p>
            <w:pPr/>
          </w:p>
        </w:tc>
        <w:tc>
          <w:tcPr>
            <w:tcW w:w="1431" w:type="dxa"/>
            <w:vMerge/>
            <w:tcBorders>
              <w:left w:val="single" w:sz="4" w:space="0" w:color="000000"/>
              <w:bottom w:val="single" w:sz="4" w:space="0" w:color="000000"/>
              <w:right w:val="single" w:sz="4" w:space="0" w:color="000000"/>
            </w:tcBorders>
            <w:shd w:val="clear" w:color="auto" w:fill="D2D2D2"/>
          </w:tcPr>
          <w:p>
            <w:pPr/>
          </w:p>
        </w:tc>
        <w:tc>
          <w:tcPr>
            <w:tcW w:w="1274" w:type="dxa"/>
            <w:vMerge/>
            <w:tcBorders>
              <w:left w:val="single" w:sz="4" w:space="0" w:color="000000"/>
              <w:bottom w:val="single" w:sz="4" w:space="0" w:color="000000"/>
              <w:right w:val="single" w:sz="4" w:space="0" w:color="000000"/>
            </w:tcBorders>
            <w:shd w:val="clear" w:color="auto" w:fill="D2D2D2"/>
          </w:tcPr>
          <w:p>
            <w:pPr/>
          </w:p>
        </w:tc>
        <w:tc>
          <w:tcPr>
            <w:tcW w:w="1419" w:type="dxa"/>
            <w:vMerge/>
            <w:tcBorders>
              <w:left w:val="single" w:sz="4" w:space="0" w:color="000000"/>
              <w:bottom w:val="single" w:sz="4" w:space="0" w:color="000000"/>
              <w:right w:val="single" w:sz="4" w:space="0" w:color="000000"/>
            </w:tcBorders>
            <w:shd w:val="clear" w:color="auto" w:fill="D2D2D2"/>
          </w:tcPr>
          <w:p>
            <w:pPr/>
          </w:p>
        </w:tc>
        <w:tc>
          <w:tcPr>
            <w:tcW w:w="1416"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1490"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4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26,368,188.99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874,999.21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25,493,189.78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30,290,872.69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855,761.80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2"/>
                <w:sz w:val="21"/>
              </w:rPr>
              <w:t>29,435,110.89</w:t>
            </w:r>
          </w:p>
        </w:tc>
      </w:tr>
      <w:tr>
        <w:trPr>
          <w:trHeight w:val="40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14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16,961,841.12</w:t>
            </w: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16,961,841.12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23,435,678.46</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23,435,678.46</w:t>
            </w:r>
          </w:p>
        </w:tc>
      </w:tr>
      <w:tr>
        <w:trPr>
          <w:trHeight w:val="401"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4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62,746,324.29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1,464,384.69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61,281,939.60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146,699,210.10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1,130,715.99</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145,568,494.11</w:t>
            </w:r>
          </w:p>
        </w:tc>
      </w:tr>
      <w:tr>
        <w:trPr>
          <w:trHeight w:val="404"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宋体" w:hAnsi="宋体" w:cs="宋体" w:eastAsia="宋体" w:hint="default"/>
                <w:sz w:val="21"/>
                <w:szCs w:val="21"/>
              </w:rPr>
              <w:t>周转材料</w:t>
            </w:r>
          </w:p>
        </w:tc>
        <w:tc>
          <w:tcPr>
            <w:tcW w:w="14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2,594,873.51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438,803.27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2,156,070.24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2,127,904.31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444,426.45</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1,683,477.86</w:t>
            </w:r>
          </w:p>
        </w:tc>
      </w:tr>
      <w:tr>
        <w:trPr>
          <w:trHeight w:val="401"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半成品</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16,378,232.81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159,472.57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16,218,760.24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25,938,677.27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193,081.62</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25,745,595.65</w:t>
            </w:r>
          </w:p>
        </w:tc>
      </w:tr>
      <w:tr>
        <w:trPr>
          <w:trHeight w:val="715"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2" w:right="175"/>
              <w:jc w:val="left"/>
              <w:rPr>
                <w:rFonts w:ascii="宋体" w:hAnsi="宋体" w:cs="宋体" w:eastAsia="宋体" w:hint="default"/>
                <w:sz w:val="21"/>
                <w:szCs w:val="21"/>
              </w:rPr>
            </w:pPr>
            <w:r>
              <w:rPr>
                <w:rFonts w:ascii="宋体" w:hAnsi="宋体" w:cs="宋体" w:eastAsia="宋体" w:hint="default"/>
                <w:sz w:val="21"/>
                <w:szCs w:val="21"/>
              </w:rPr>
              <w:t>委托加工物</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资</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401,828.40</w:t>
            </w: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401,828.40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2"/>
                <w:sz w:val="21"/>
              </w:rPr>
              <w:t>1,114,345.30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2"/>
                <w:sz w:val="21"/>
              </w:rPr>
              <w:t>1,114,345.30</w:t>
            </w:r>
          </w:p>
        </w:tc>
      </w:tr>
      <w:tr>
        <w:trPr>
          <w:trHeight w:val="401"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125,451,289.12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2,937,659.74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122,513,629.38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229,606,688.13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2,623,985.86</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226,982,702.27</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left="0" w:right="254"/>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277"/>
        <w:gridCol w:w="1419"/>
        <w:gridCol w:w="1274"/>
        <w:gridCol w:w="1419"/>
        <w:gridCol w:w="1416"/>
        <w:gridCol w:w="1277"/>
        <w:gridCol w:w="1490"/>
      </w:tblGrid>
      <w:tr>
        <w:trPr>
          <w:trHeight w:val="206" w:hRule="exact"/>
        </w:trPr>
        <w:tc>
          <w:tcPr>
            <w:tcW w:w="1277"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9" w:type="dxa"/>
            <w:tcBorders>
              <w:top w:val="single" w:sz="4" w:space="0" w:color="000000"/>
              <w:left w:val="single" w:sz="4" w:space="0" w:color="000000"/>
              <w:bottom w:val="nil" w:sz="6" w:space="0" w:color="auto"/>
              <w:right w:val="single" w:sz="4" w:space="0" w:color="000000"/>
            </w:tcBorders>
            <w:shd w:val="clear" w:color="auto" w:fill="D2D2D2"/>
          </w:tcPr>
          <w:p>
            <w:pPr/>
          </w:p>
        </w:tc>
        <w:tc>
          <w:tcPr>
            <w:tcW w:w="269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712" w:right="0"/>
              <w:jc w:val="left"/>
              <w:rPr>
                <w:rFonts w:ascii="宋体" w:hAnsi="宋体" w:cs="宋体" w:eastAsia="宋体" w:hint="default"/>
                <w:sz w:val="21"/>
                <w:szCs w:val="21"/>
              </w:rPr>
            </w:pPr>
            <w:r>
              <w:rPr>
                <w:rFonts w:ascii="宋体" w:hAnsi="宋体" w:cs="宋体" w:eastAsia="宋体" w:hint="default"/>
                <w:sz w:val="21"/>
                <w:szCs w:val="21"/>
              </w:rPr>
              <w:t>本期增加金额</w:t>
            </w:r>
          </w:p>
        </w:tc>
        <w:tc>
          <w:tcPr>
            <w:tcW w:w="269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712" w:right="0"/>
              <w:jc w:val="left"/>
              <w:rPr>
                <w:rFonts w:ascii="宋体" w:hAnsi="宋体" w:cs="宋体" w:eastAsia="宋体" w:hint="default"/>
                <w:sz w:val="21"/>
                <w:szCs w:val="21"/>
              </w:rPr>
            </w:pPr>
            <w:r>
              <w:rPr>
                <w:rFonts w:ascii="宋体" w:hAnsi="宋体" w:cs="宋体" w:eastAsia="宋体" w:hint="default"/>
                <w:sz w:val="21"/>
                <w:szCs w:val="21"/>
              </w:rPr>
              <w:t>本期减少金额</w:t>
            </w:r>
          </w:p>
        </w:tc>
        <w:tc>
          <w:tcPr>
            <w:tcW w:w="149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5" w:hRule="exact"/>
        </w:trPr>
        <w:tc>
          <w:tcPr>
            <w:tcW w:w="12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422"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4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28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693" w:type="dxa"/>
            <w:gridSpan w:val="2"/>
            <w:vMerge/>
            <w:tcBorders>
              <w:left w:val="single" w:sz="4" w:space="0" w:color="000000"/>
              <w:bottom w:val="single" w:sz="4" w:space="0" w:color="000000"/>
              <w:right w:val="single" w:sz="4" w:space="0" w:color="000000"/>
            </w:tcBorders>
            <w:shd w:val="clear" w:color="auto" w:fill="D2D2D2"/>
          </w:tcPr>
          <w:p>
            <w:pPr/>
          </w:p>
        </w:tc>
        <w:tc>
          <w:tcPr>
            <w:tcW w:w="2693" w:type="dxa"/>
            <w:gridSpan w:val="2"/>
            <w:vMerge/>
            <w:tcBorders>
              <w:left w:val="single" w:sz="4" w:space="0" w:color="000000"/>
              <w:bottom w:val="single" w:sz="4" w:space="0" w:color="000000"/>
              <w:right w:val="single" w:sz="4" w:space="0" w:color="000000"/>
            </w:tcBorders>
            <w:shd w:val="clear" w:color="auto" w:fill="D2D2D2"/>
          </w:tcPr>
          <w:p>
            <w:pPr/>
          </w:p>
        </w:tc>
        <w:tc>
          <w:tcPr>
            <w:tcW w:w="14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321"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197" w:hRule="exact"/>
        </w:trPr>
        <w:tc>
          <w:tcPr>
            <w:tcW w:w="1277" w:type="dxa"/>
            <w:vMerge/>
            <w:tcBorders>
              <w:left w:val="single" w:sz="4" w:space="0" w:color="000000"/>
              <w:bottom w:val="nil" w:sz="6" w:space="0" w:color="auto"/>
              <w:right w:val="single" w:sz="4" w:space="0" w:color="000000"/>
            </w:tcBorders>
            <w:shd w:val="clear" w:color="auto" w:fill="D2D2D2"/>
          </w:tcPr>
          <w:p>
            <w:pPr/>
          </w:p>
        </w:tc>
        <w:tc>
          <w:tcPr>
            <w:tcW w:w="1419" w:type="dxa"/>
            <w:vMerge/>
            <w:tcBorders>
              <w:left w:val="single" w:sz="4" w:space="0" w:color="000000"/>
              <w:bottom w:val="nil" w:sz="6" w:space="0" w:color="auto"/>
              <w:right w:val="single" w:sz="4" w:space="0" w:color="000000"/>
            </w:tcBorders>
            <w:shd w:val="clear" w:color="auto" w:fill="D2D2D2"/>
          </w:tcPr>
          <w:p>
            <w:pPr/>
          </w:p>
        </w:tc>
        <w:tc>
          <w:tcPr>
            <w:tcW w:w="12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422" w:right="0"/>
              <w:jc w:val="left"/>
              <w:rPr>
                <w:rFonts w:ascii="宋体" w:hAnsi="宋体" w:cs="宋体" w:eastAsia="宋体" w:hint="default"/>
                <w:sz w:val="21"/>
                <w:szCs w:val="21"/>
              </w:rPr>
            </w:pPr>
            <w:r>
              <w:rPr>
                <w:rFonts w:ascii="宋体" w:hAnsi="宋体" w:cs="宋体" w:eastAsia="宋体" w:hint="default"/>
                <w:sz w:val="21"/>
                <w:szCs w:val="21"/>
              </w:rPr>
              <w:t>计提</w:t>
            </w:r>
          </w:p>
        </w:tc>
        <w:tc>
          <w:tcPr>
            <w:tcW w:w="14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4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177" w:right="0"/>
              <w:jc w:val="left"/>
              <w:rPr>
                <w:rFonts w:ascii="宋体" w:hAnsi="宋体" w:cs="宋体" w:eastAsia="宋体" w:hint="default"/>
                <w:sz w:val="21"/>
                <w:szCs w:val="21"/>
              </w:rPr>
            </w:pPr>
            <w:r>
              <w:rPr>
                <w:rFonts w:ascii="宋体" w:hAnsi="宋体" w:cs="宋体" w:eastAsia="宋体" w:hint="default"/>
                <w:sz w:val="21"/>
                <w:szCs w:val="21"/>
              </w:rPr>
              <w:t>转回或转销</w:t>
            </w:r>
          </w:p>
        </w:tc>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4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90"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277"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4" w:type="dxa"/>
            <w:vMerge/>
            <w:tcBorders>
              <w:left w:val="single" w:sz="4" w:space="0" w:color="000000"/>
              <w:bottom w:val="single" w:sz="4" w:space="0" w:color="000000"/>
              <w:right w:val="single" w:sz="4" w:space="0" w:color="000000"/>
            </w:tcBorders>
            <w:shd w:val="clear" w:color="auto" w:fill="D2D2D2"/>
          </w:tcPr>
          <w:p>
            <w:pPr/>
          </w:p>
        </w:tc>
        <w:tc>
          <w:tcPr>
            <w:tcW w:w="1419" w:type="dxa"/>
            <w:vMerge/>
            <w:tcBorders>
              <w:left w:val="single" w:sz="4" w:space="0" w:color="000000"/>
              <w:bottom w:val="single" w:sz="4" w:space="0" w:color="000000"/>
              <w:right w:val="single" w:sz="4" w:space="0" w:color="000000"/>
            </w:tcBorders>
            <w:shd w:val="clear" w:color="auto" w:fill="D2D2D2"/>
          </w:tcPr>
          <w:p>
            <w:pPr/>
          </w:p>
        </w:tc>
        <w:tc>
          <w:tcPr>
            <w:tcW w:w="1416"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149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41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855,761.80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274,723.52</w:t>
            </w:r>
          </w:p>
        </w:tc>
        <w:tc>
          <w:tcPr>
            <w:tcW w:w="141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2"/>
                <w:sz w:val="21"/>
              </w:rPr>
              <w:t>255,486.11</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874,999.21</w:t>
            </w: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41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1,130,715.99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2,206,776.79</w:t>
            </w:r>
          </w:p>
        </w:tc>
        <w:tc>
          <w:tcPr>
            <w:tcW w:w="141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1,873,108.09</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1,464,384.69</w:t>
            </w:r>
          </w:p>
        </w:tc>
      </w:tr>
      <w:tr>
        <w:trPr>
          <w:trHeight w:val="401"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周转材料</w:t>
            </w:r>
          </w:p>
        </w:tc>
        <w:tc>
          <w:tcPr>
            <w:tcW w:w="141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444,426.45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77,038.85</w:t>
            </w:r>
          </w:p>
        </w:tc>
        <w:tc>
          <w:tcPr>
            <w:tcW w:w="141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82,662.03</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438,803.27</w:t>
            </w: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半成品</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193,081.62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297,531.95</w:t>
            </w:r>
          </w:p>
        </w:tc>
        <w:tc>
          <w:tcPr>
            <w:tcW w:w="141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331,141.00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159,472.57</w:t>
            </w:r>
          </w:p>
        </w:tc>
      </w:tr>
      <w:tr>
        <w:trPr>
          <w:trHeight w:val="401"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2,623,985.86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2"/>
                <w:sz w:val="21"/>
              </w:rPr>
              <w:t>2,856,071.11</w:t>
            </w:r>
          </w:p>
        </w:tc>
        <w:tc>
          <w:tcPr>
            <w:tcW w:w="141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2,542,397.23</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2,937,659.74</w:t>
            </w:r>
          </w:p>
        </w:tc>
      </w:tr>
    </w:tbl>
    <w:p>
      <w:pPr>
        <w:pStyle w:val="BodyText"/>
        <w:spacing w:line="273" w:lineRule="auto"/>
        <w:ind w:right="245"/>
        <w:jc w:val="left"/>
      </w:pPr>
      <w:r>
        <w:rPr/>
        <w:t>确定可变现净值的具体依据：</w:t>
      </w:r>
      <w:r>
        <w:rPr>
          <w:spacing w:val="-26"/>
        </w:rPr>
        <w:t> </w:t>
      </w:r>
      <w:r>
        <w:rPr/>
        <w:t>确定呆滞存货范围；根据呆滞存货实际品质状况、消化处理成本以及市场</w:t>
      </w:r>
      <w:r>
        <w:rPr>
          <w:w w:val="100"/>
        </w:rPr>
        <w:t> </w:t>
      </w:r>
      <w:r>
        <w:rPr/>
        <w:t>价格确定该部分呆滞存货的可变现净值。</w:t>
      </w:r>
    </w:p>
    <w:p>
      <w:pPr>
        <w:spacing w:line="240" w:lineRule="auto" w:before="7"/>
        <w:rPr>
          <w:rFonts w:ascii="宋体" w:hAnsi="宋体" w:cs="宋体" w:eastAsia="宋体" w:hint="default"/>
          <w:sz w:val="23"/>
          <w:szCs w:val="23"/>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）存货期末余额不含借款费用资本化情况。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）期末无建造合同形成的已完工未结算资产。</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9</w:t>
      </w:r>
      <w:r>
        <w:rPr/>
        <w:t>、其他流动资产</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left="0" w:right="254"/>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待抵扣增值税进项税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672,917.07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951" w:right="0"/>
              <w:jc w:val="left"/>
              <w:rPr>
                <w:rFonts w:ascii="Times New Roman" w:hAnsi="Times New Roman" w:cs="Times New Roman" w:eastAsia="Times New Roman" w:hint="default"/>
                <w:sz w:val="21"/>
                <w:szCs w:val="21"/>
              </w:rPr>
            </w:pPr>
            <w:r>
              <w:rPr>
                <w:rFonts w:ascii="Times New Roman"/>
                <w:sz w:val="21"/>
              </w:rPr>
              <w:t>12,957,389.72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预缴企业所得税及营业税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3,476,900.12</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057" w:right="0"/>
              <w:jc w:val="left"/>
              <w:rPr>
                <w:rFonts w:ascii="Times New Roman" w:hAnsi="Times New Roman" w:cs="Times New Roman" w:eastAsia="Times New Roman" w:hint="default"/>
                <w:sz w:val="21"/>
                <w:szCs w:val="21"/>
              </w:rPr>
            </w:pPr>
            <w:r>
              <w:rPr>
                <w:rFonts w:ascii="Times New Roman"/>
                <w:sz w:val="21"/>
              </w:rPr>
              <w:t>4,149,817.19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951" w:right="0"/>
              <w:jc w:val="left"/>
              <w:rPr>
                <w:rFonts w:ascii="Times New Roman" w:hAnsi="Times New Roman" w:cs="Times New Roman" w:eastAsia="Times New Roman" w:hint="default"/>
                <w:sz w:val="21"/>
                <w:szCs w:val="21"/>
              </w:rPr>
            </w:pPr>
            <w:r>
              <w:rPr>
                <w:rFonts w:ascii="Times New Roman"/>
                <w:sz w:val="21"/>
              </w:rPr>
              <w:t>12,957,389.72</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10</w:t>
      </w:r>
      <w:r>
        <w:rPr/>
        <w:t>、投资性房地产</w:t>
      </w:r>
      <w:r>
        <w:rPr>
          <w:b w:val="0"/>
          <w:bCs w:val="0"/>
        </w:rPr>
      </w:r>
    </w:p>
    <w:p>
      <w:pPr>
        <w:spacing w:line="240" w:lineRule="auto" w:before="7"/>
        <w:rPr>
          <w:rFonts w:ascii="宋体" w:hAnsi="宋体" w:cs="宋体" w:eastAsia="宋体" w:hint="default"/>
          <w:b/>
          <w:bCs/>
          <w:sz w:val="24"/>
          <w:szCs w:val="24"/>
        </w:rPr>
      </w:pPr>
    </w:p>
    <w:p>
      <w:pPr>
        <w:tabs>
          <w:tab w:pos="8165" w:val="left" w:leader="none"/>
        </w:tabs>
        <w:spacing w:before="0"/>
        <w:ind w:left="152" w:right="0"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Times New Roman" w:hAnsi="Times New Roman" w:cs="Times New Roman" w:eastAsia="Times New Roman" w:hint="default"/>
          <w:b/>
          <w:bCs/>
          <w:spacing w:val="-1"/>
          <w:sz w:val="21"/>
          <w:szCs w:val="21"/>
        </w:rPr>
        <w:t>1</w:t>
      </w:r>
      <w:r>
        <w:rPr>
          <w:rFonts w:ascii="宋体" w:hAnsi="宋体" w:cs="宋体" w:eastAsia="宋体" w:hint="default"/>
          <w:b/>
          <w:bCs/>
          <w:spacing w:val="-1"/>
          <w:sz w:val="21"/>
          <w:szCs w:val="21"/>
        </w:rPr>
        <w:t>）采用成本计量模式的投资性房地产</w:t>
        <w:tab/>
      </w:r>
      <w:r>
        <w:rPr>
          <w:rFonts w:ascii="Times New Roman" w:hAnsi="Times New Roman" w:cs="Times New Roman" w:eastAsia="Times New Roman" w:hint="default"/>
          <w:sz w:val="21"/>
          <w:szCs w:val="21"/>
        </w:rPr>
        <w:t>□  </w:t>
      </w:r>
      <w:r>
        <w:rPr>
          <w:rFonts w:ascii="宋体" w:hAnsi="宋体" w:cs="宋体" w:eastAsia="宋体" w:hint="default"/>
          <w:spacing w:val="-2"/>
          <w:sz w:val="21"/>
          <w:szCs w:val="21"/>
        </w:rPr>
        <w:t>适用</w:t>
      </w:r>
      <w:r>
        <w:rPr>
          <w:rFonts w:ascii="宋体" w:hAnsi="宋体" w:cs="宋体" w:eastAsia="宋体" w:hint="default"/>
          <w:sz w:val="21"/>
          <w:szCs w:val="21"/>
        </w:rPr>
        <w:t>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5"/>
          <w:sz w:val="21"/>
          <w:szCs w:val="21"/>
        </w:rPr>
        <w:t> </w:t>
      </w:r>
      <w:r>
        <w:rPr>
          <w:rFonts w:ascii="宋体" w:hAnsi="宋体" w:cs="宋体" w:eastAsia="宋体" w:hint="default"/>
          <w:spacing w:val="-1"/>
          <w:sz w:val="21"/>
          <w:szCs w:val="21"/>
        </w:rPr>
        <w:t>不适用</w:t>
      </w:r>
    </w:p>
    <w:p>
      <w:pPr>
        <w:spacing w:line="240" w:lineRule="auto" w:before="10"/>
        <w:rPr>
          <w:rFonts w:ascii="宋体" w:hAnsi="宋体" w:cs="宋体" w:eastAsia="宋体" w:hint="default"/>
          <w:sz w:val="24"/>
          <w:szCs w:val="24"/>
        </w:rPr>
      </w:pPr>
    </w:p>
    <w:p>
      <w:pPr>
        <w:tabs>
          <w:tab w:pos="8165" w:val="left" w:leader="none"/>
        </w:tabs>
        <w:spacing w:before="0"/>
        <w:ind w:left="152" w:right="0"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Times New Roman" w:hAnsi="Times New Roman" w:cs="Times New Roman" w:eastAsia="Times New Roman" w:hint="default"/>
          <w:b/>
          <w:bCs/>
          <w:spacing w:val="-1"/>
          <w:sz w:val="21"/>
          <w:szCs w:val="21"/>
        </w:rPr>
        <w:t>2</w:t>
      </w:r>
      <w:r>
        <w:rPr>
          <w:rFonts w:ascii="宋体" w:hAnsi="宋体" w:cs="宋体" w:eastAsia="宋体" w:hint="default"/>
          <w:b/>
          <w:bCs/>
          <w:spacing w:val="-1"/>
          <w:sz w:val="21"/>
          <w:szCs w:val="21"/>
        </w:rPr>
        <w:t>）采用公允价值计量模式的投资性房地产</w:t>
        <w:tab/>
      </w:r>
      <w:r>
        <w:rPr>
          <w:rFonts w:ascii="Times New Roman" w:hAnsi="Times New Roman" w:cs="Times New Roman" w:eastAsia="Times New Roman" w:hint="default"/>
          <w:sz w:val="21"/>
          <w:szCs w:val="21"/>
        </w:rPr>
        <w:t>□  </w:t>
      </w:r>
      <w:r>
        <w:rPr>
          <w:rFonts w:ascii="宋体" w:hAnsi="宋体" w:cs="宋体" w:eastAsia="宋体" w:hint="default"/>
          <w:spacing w:val="-2"/>
          <w:sz w:val="21"/>
          <w:szCs w:val="21"/>
        </w:rPr>
        <w:t>适用</w:t>
      </w:r>
      <w:r>
        <w:rPr>
          <w:rFonts w:ascii="宋体" w:hAnsi="宋体" w:cs="宋体" w:eastAsia="宋体" w:hint="default"/>
          <w:sz w:val="21"/>
          <w:szCs w:val="21"/>
        </w:rPr>
        <w:t>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5"/>
          <w:sz w:val="21"/>
          <w:szCs w:val="21"/>
        </w:rPr>
        <w:t> </w:t>
      </w:r>
      <w:r>
        <w:rPr>
          <w:rFonts w:ascii="宋体" w:hAnsi="宋体" w:cs="宋体" w:eastAsia="宋体" w:hint="default"/>
          <w:spacing w:val="-1"/>
          <w:sz w:val="21"/>
          <w:szCs w:val="21"/>
        </w:rPr>
        <w:t>不适用</w:t>
      </w:r>
    </w:p>
    <w:p>
      <w:pPr>
        <w:spacing w:line="240" w:lineRule="auto" w:before="7"/>
        <w:rPr>
          <w:rFonts w:ascii="宋体" w:hAnsi="宋体" w:cs="宋体" w:eastAsia="宋体" w:hint="default"/>
          <w:sz w:val="24"/>
          <w:szCs w:val="24"/>
        </w:rPr>
      </w:pPr>
    </w:p>
    <w:p>
      <w:pPr>
        <w:tabs>
          <w:tab w:pos="8165" w:val="left" w:leader="none"/>
        </w:tabs>
        <w:spacing w:before="0"/>
        <w:ind w:left="152" w:right="0"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Times New Roman" w:hAnsi="Times New Roman" w:cs="Times New Roman" w:eastAsia="Times New Roman" w:hint="default"/>
          <w:b/>
          <w:bCs/>
          <w:spacing w:val="-1"/>
          <w:sz w:val="21"/>
          <w:szCs w:val="21"/>
        </w:rPr>
        <w:t>3</w:t>
      </w:r>
      <w:r>
        <w:rPr>
          <w:rFonts w:ascii="宋体" w:hAnsi="宋体" w:cs="宋体" w:eastAsia="宋体" w:hint="default"/>
          <w:b/>
          <w:bCs/>
          <w:spacing w:val="-1"/>
          <w:sz w:val="21"/>
          <w:szCs w:val="21"/>
        </w:rPr>
        <w:t>）未办妥产权证书的投资性房地产情况</w:t>
        <w:tab/>
      </w:r>
      <w:r>
        <w:rPr>
          <w:rFonts w:ascii="Times New Roman" w:hAnsi="Times New Roman" w:cs="Times New Roman" w:eastAsia="Times New Roman" w:hint="default"/>
          <w:sz w:val="21"/>
          <w:szCs w:val="21"/>
        </w:rPr>
        <w:t>□  </w:t>
      </w:r>
      <w:r>
        <w:rPr>
          <w:rFonts w:ascii="宋体" w:hAnsi="宋体" w:cs="宋体" w:eastAsia="宋体" w:hint="default"/>
          <w:spacing w:val="-2"/>
          <w:sz w:val="21"/>
          <w:szCs w:val="21"/>
        </w:rPr>
        <w:t>适用</w:t>
      </w:r>
      <w:r>
        <w:rPr>
          <w:rFonts w:ascii="宋体" w:hAnsi="宋体" w:cs="宋体" w:eastAsia="宋体" w:hint="default"/>
          <w:sz w:val="21"/>
          <w:szCs w:val="21"/>
        </w:rPr>
        <w:t>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5"/>
          <w:sz w:val="21"/>
          <w:szCs w:val="21"/>
        </w:rPr>
        <w:t> </w:t>
      </w:r>
      <w:r>
        <w:rPr>
          <w:rFonts w:ascii="宋体" w:hAnsi="宋体" w:cs="宋体" w:eastAsia="宋体" w:hint="default"/>
          <w:spacing w:val="-1"/>
          <w:sz w:val="21"/>
          <w:szCs w:val="21"/>
        </w:rPr>
        <w:t>不适用</w:t>
      </w:r>
    </w:p>
    <w:p>
      <w:pPr>
        <w:spacing w:after="0"/>
        <w:jc w:val="left"/>
        <w:rPr>
          <w:rFonts w:ascii="宋体" w:hAnsi="宋体" w:cs="宋体" w:eastAsia="宋体" w:hint="default"/>
          <w:sz w:val="21"/>
          <w:szCs w:val="21"/>
        </w:rPr>
        <w:sectPr>
          <w:pgSz w:w="11910" w:h="16840"/>
          <w:pgMar w:header="0" w:footer="979" w:top="1100" w:bottom="1160" w:left="980" w:right="980"/>
        </w:sectPr>
      </w:pPr>
    </w:p>
    <w:p>
      <w:pPr>
        <w:spacing w:line="240" w:lineRule="auto" w:before="0"/>
        <w:rPr>
          <w:rFonts w:ascii="宋体" w:hAnsi="宋体" w:cs="宋体" w:eastAsia="宋体" w:hint="default"/>
          <w:sz w:val="24"/>
          <w:szCs w:val="24"/>
        </w:rPr>
      </w:pPr>
    </w:p>
    <w:p>
      <w:pPr>
        <w:pStyle w:val="Heading4"/>
        <w:spacing w:line="240" w:lineRule="auto"/>
        <w:ind w:left="140" w:right="-13"/>
        <w:jc w:val="left"/>
        <w:rPr>
          <w:b w:val="0"/>
          <w:bCs w:val="0"/>
        </w:rPr>
      </w:pPr>
      <w:r>
        <w:rPr/>
        <w:pict>
          <v:group style="position:absolute;margin-left:70.559998pt;margin-top:-.476309pt;width:700.9pt;height:.1pt;mso-position-horizontal-relative:page;mso-position-vertical-relative:paragraph;z-index:3256" coordorigin="1411,-10" coordsize="14018,2">
            <v:shape style="position:absolute;left:1411;top:-10;width:14018;height:2" coordorigin="1411,-10" coordsize="14018,0" path="m1411,-10l15429,-10e" filled="false" stroked="true" strokeweight=".72pt" strokecolor="#000000">
              <v:path arrowok="t"/>
            </v:shape>
            <w10:wrap type="none"/>
          </v:group>
        </w:pict>
      </w:r>
      <w:r>
        <w:rPr>
          <w:rFonts w:ascii="Times New Roman" w:hAnsi="Times New Roman" w:cs="Times New Roman" w:eastAsia="Times New Roman" w:hint="default"/>
          <w:spacing w:val="-1"/>
        </w:rPr>
        <w:t>11</w:t>
      </w:r>
      <w:r>
        <w:rPr>
          <w:spacing w:val="-1"/>
        </w:rPr>
        <w:t>、固定资产</w:t>
      </w:r>
      <w:r>
        <w:rPr>
          <w:b w:val="0"/>
          <w:bCs w:val="0"/>
          <w:spacing w:val="-1"/>
        </w:rPr>
      </w:r>
    </w:p>
    <w:p>
      <w:pPr>
        <w:spacing w:before="15"/>
        <w:ind w:left="140"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广东华声电器股份有限公司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p>
      <w:pPr>
        <w:spacing w:after="0"/>
        <w:jc w:val="left"/>
        <w:rPr>
          <w:rFonts w:ascii="宋体" w:hAnsi="宋体" w:cs="宋体" w:eastAsia="宋体" w:hint="default"/>
          <w:sz w:val="18"/>
          <w:szCs w:val="18"/>
        </w:rPr>
        <w:sectPr>
          <w:headerReference w:type="default" r:id="rId30"/>
          <w:footerReference w:type="default" r:id="rId31"/>
          <w:pgSz w:w="16840" w:h="11910" w:orient="landscape"/>
          <w:pgMar w:header="0" w:footer="0" w:top="800" w:bottom="280" w:left="1300" w:right="1300"/>
          <w:cols w:num="2" w:equalWidth="0">
            <w:col w:w="1405" w:space="8863"/>
            <w:col w:w="3972"/>
          </w:cols>
        </w:sectPr>
      </w:pPr>
    </w:p>
    <w:p>
      <w:pPr>
        <w:spacing w:line="240" w:lineRule="auto" w:before="13"/>
        <w:rPr>
          <w:rFonts w:ascii="宋体" w:hAnsi="宋体" w:cs="宋体" w:eastAsia="宋体" w:hint="default"/>
          <w:sz w:val="21"/>
          <w:szCs w:val="21"/>
        </w:rPr>
      </w:pPr>
    </w:p>
    <w:p>
      <w:pPr>
        <w:tabs>
          <w:tab w:pos="13106" w:val="left" w:leader="none"/>
        </w:tabs>
        <w:spacing w:before="36"/>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）固定资产情况</w:t>
        <w:tab/>
      </w:r>
      <w:r>
        <w:rPr>
          <w:rFonts w:ascii="宋体" w:hAnsi="宋体" w:cs="宋体" w:eastAsia="宋体" w:hint="default"/>
          <w:spacing w:val="-1"/>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9"/>
        <w:rPr>
          <w:rFonts w:ascii="宋体" w:hAnsi="宋体" w:cs="宋体" w:eastAsia="宋体" w:hint="default"/>
          <w:sz w:val="25"/>
          <w:szCs w:val="25"/>
        </w:rPr>
      </w:pPr>
    </w:p>
    <w:tbl>
      <w:tblPr>
        <w:tblW w:w="0" w:type="auto"/>
        <w:jc w:val="left"/>
        <w:tblInd w:w="135" w:type="dxa"/>
        <w:tblLayout w:type="fixed"/>
        <w:tblCellMar>
          <w:top w:w="0" w:type="dxa"/>
          <w:left w:w="0" w:type="dxa"/>
          <w:bottom w:w="0" w:type="dxa"/>
          <w:right w:w="0" w:type="dxa"/>
        </w:tblCellMar>
        <w:tblLook w:val="01E0"/>
      </w:tblPr>
      <w:tblGrid>
        <w:gridCol w:w="2694"/>
        <w:gridCol w:w="1600"/>
        <w:gridCol w:w="1598"/>
        <w:gridCol w:w="1601"/>
        <w:gridCol w:w="1598"/>
        <w:gridCol w:w="1601"/>
        <w:gridCol w:w="1601"/>
        <w:gridCol w:w="1598"/>
      </w:tblGrid>
      <w:tr>
        <w:trPr>
          <w:trHeight w:val="401"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0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28"/>
              <w:ind w:left="164"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59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28"/>
              <w:ind w:left="371"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601"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28"/>
              <w:ind w:left="374"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59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28"/>
              <w:ind w:left="374" w:right="0"/>
              <w:jc w:val="left"/>
              <w:rPr>
                <w:rFonts w:ascii="宋体" w:hAnsi="宋体" w:cs="宋体" w:eastAsia="宋体" w:hint="default"/>
                <w:sz w:val="21"/>
                <w:szCs w:val="21"/>
              </w:rPr>
            </w:pPr>
            <w:r>
              <w:rPr>
                <w:rFonts w:ascii="宋体" w:hAnsi="宋体" w:cs="宋体" w:eastAsia="宋体" w:hint="default"/>
                <w:sz w:val="21"/>
                <w:szCs w:val="21"/>
              </w:rPr>
              <w:t>检测设备</w:t>
            </w:r>
          </w:p>
        </w:tc>
        <w:tc>
          <w:tcPr>
            <w:tcW w:w="1601"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28"/>
              <w:ind w:left="374" w:right="0"/>
              <w:jc w:val="left"/>
              <w:rPr>
                <w:rFonts w:ascii="宋体" w:hAnsi="宋体" w:cs="宋体" w:eastAsia="宋体" w:hint="default"/>
                <w:sz w:val="21"/>
                <w:szCs w:val="21"/>
              </w:rPr>
            </w:pPr>
            <w:r>
              <w:rPr>
                <w:rFonts w:ascii="宋体" w:hAnsi="宋体" w:cs="宋体" w:eastAsia="宋体" w:hint="default"/>
                <w:sz w:val="21"/>
                <w:szCs w:val="21"/>
              </w:rPr>
              <w:t>办公设备</w:t>
            </w:r>
          </w:p>
        </w:tc>
        <w:tc>
          <w:tcPr>
            <w:tcW w:w="1601"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28"/>
              <w:ind w:left="374" w:right="0"/>
              <w:jc w:val="left"/>
              <w:rPr>
                <w:rFonts w:ascii="宋体" w:hAnsi="宋体" w:cs="宋体" w:eastAsia="宋体" w:hint="default"/>
                <w:sz w:val="21"/>
                <w:szCs w:val="21"/>
              </w:rPr>
            </w:pPr>
            <w:r>
              <w:rPr>
                <w:rFonts w:ascii="宋体" w:hAnsi="宋体" w:cs="宋体" w:eastAsia="宋体" w:hint="default"/>
                <w:sz w:val="21"/>
                <w:szCs w:val="21"/>
              </w:rPr>
              <w:t>工装模具</w:t>
            </w:r>
          </w:p>
        </w:tc>
        <w:tc>
          <w:tcPr>
            <w:tcW w:w="1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403"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600"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183,834,485.16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216,850,600.13</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4,158,931.66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8,518,825.09</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4,180,620.80</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6,989,083.67</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424,532,546.51</w:t>
            </w:r>
          </w:p>
        </w:tc>
      </w:tr>
      <w:tr>
        <w:trPr>
          <w:trHeight w:val="404"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本期增加金额</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1,945,266.00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2"/>
                <w:sz w:val="21"/>
              </w:rPr>
              <w:t>11,656,050.35</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3,179,465.31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3,284,307.72</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4,343,618.51</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379,948.77</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24,788,656.66</w:t>
            </w:r>
          </w:p>
        </w:tc>
      </w:tr>
      <w:tr>
        <w:trPr>
          <w:trHeight w:val="401"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）购置</w:t>
            </w:r>
          </w:p>
        </w:tc>
        <w:tc>
          <w:tcPr>
            <w:tcW w:w="1600"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2,928,473.86</w:t>
            </w:r>
          </w:p>
        </w:tc>
        <w:tc>
          <w:tcPr>
            <w:tcW w:w="1598"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1,463,994.28</w:t>
            </w:r>
          </w:p>
        </w:tc>
        <w:tc>
          <w:tcPr>
            <w:tcW w:w="1601"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4,392,468.14</w:t>
            </w:r>
          </w:p>
        </w:tc>
      </w:tr>
      <w:tr>
        <w:trPr>
          <w:trHeight w:val="403"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）在建工程转入</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1,945,266.00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2"/>
                <w:sz w:val="21"/>
              </w:rPr>
              <w:t>11,656,050.35</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250,991.45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3,284,307.72</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2,879,624.23</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379,948.77</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20,396,188.52</w:t>
            </w:r>
          </w:p>
        </w:tc>
      </w:tr>
      <w:tr>
        <w:trPr>
          <w:trHeight w:val="401"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本期减少金额</w:t>
            </w:r>
          </w:p>
        </w:tc>
        <w:tc>
          <w:tcPr>
            <w:tcW w:w="1600"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5,924,728.13</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172,867.10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219,212.50</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122,747.10</w:t>
            </w:r>
          </w:p>
        </w:tc>
        <w:tc>
          <w:tcPr>
            <w:tcW w:w="1601"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6,439,554.83</w:t>
            </w:r>
          </w:p>
        </w:tc>
      </w:tr>
      <w:tr>
        <w:trPr>
          <w:trHeight w:val="403"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）处置或报废</w:t>
            </w:r>
          </w:p>
        </w:tc>
        <w:tc>
          <w:tcPr>
            <w:tcW w:w="1600"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5,924,728.13</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172,867.10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219,212.50</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122,747.10</w:t>
            </w:r>
          </w:p>
        </w:tc>
        <w:tc>
          <w:tcPr>
            <w:tcW w:w="1601"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6,439,554.83</w:t>
            </w:r>
          </w:p>
        </w:tc>
      </w:tr>
      <w:tr>
        <w:trPr>
          <w:trHeight w:val="401"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185,779,751.16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222,581,922.35</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7,165,529.87</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2"/>
                <w:sz w:val="21"/>
              </w:rPr>
              <w:t>11,583,920.31</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8,401,492.21</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7,369,032.44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442,881,648.34</w:t>
            </w:r>
          </w:p>
        </w:tc>
      </w:tr>
      <w:tr>
        <w:trPr>
          <w:trHeight w:val="404"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二、累计折旧</w:t>
            </w:r>
          </w:p>
        </w:tc>
        <w:tc>
          <w:tcPr>
            <w:tcW w:w="1600"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30,976,458.18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72,156,482.25</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1,973,762.54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4,885,964.34</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2,455,157.01</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3,348,200.21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115,796,024.53</w:t>
            </w:r>
          </w:p>
        </w:tc>
      </w:tr>
      <w:tr>
        <w:trPr>
          <w:trHeight w:val="403"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本期增加金额</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8,275,900.77</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18,434,051.67</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948,776.98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1,208,280.31</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865,269.62</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1,035,543.24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30,767,822.59</w:t>
            </w:r>
          </w:p>
        </w:tc>
      </w:tr>
      <w:tr>
        <w:trPr>
          <w:trHeight w:val="401"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）计提</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8,275,900.77</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18,434,051.67</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948,776.98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1,208,280.31</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865,269.62</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1,035,543.24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30,767,822.59</w:t>
            </w:r>
          </w:p>
        </w:tc>
      </w:tr>
      <w:tr>
        <w:trPr>
          <w:trHeight w:val="403"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本期减少金额</w:t>
            </w:r>
          </w:p>
        </w:tc>
        <w:tc>
          <w:tcPr>
            <w:tcW w:w="1600"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4,865,825.93</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142,057.62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127,526.26</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2"/>
                <w:sz w:val="21"/>
              </w:rPr>
              <w:t>113,055.80</w:t>
            </w:r>
          </w:p>
        </w:tc>
        <w:tc>
          <w:tcPr>
            <w:tcW w:w="1601"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5,248,465.61</w:t>
            </w:r>
          </w:p>
        </w:tc>
      </w:tr>
      <w:tr>
        <w:trPr>
          <w:trHeight w:val="401"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）处置或报废</w:t>
            </w:r>
          </w:p>
        </w:tc>
        <w:tc>
          <w:tcPr>
            <w:tcW w:w="1600"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4,865,825.93</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142,057.62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127,526.26</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2"/>
                <w:sz w:val="21"/>
              </w:rPr>
              <w:t>113,055.80</w:t>
            </w:r>
          </w:p>
        </w:tc>
        <w:tc>
          <w:tcPr>
            <w:tcW w:w="1601"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5,248,465.61</w:t>
            </w:r>
          </w:p>
        </w:tc>
      </w:tr>
      <w:tr>
        <w:trPr>
          <w:trHeight w:val="404"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39,252,358.95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85,724,707.99</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2,780,481.90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5,966,718.39</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3,207,370.83</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4,383,743.45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141,950,105.55</w:t>
            </w:r>
          </w:p>
        </w:tc>
      </w:tr>
      <w:tr>
        <w:trPr>
          <w:trHeight w:val="401"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600"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600"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期末账面价值</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146,527,392.21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136,857,214.36</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4,385,047.97</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5,617,201.92</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5,194,121.38</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2,985,288.99</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301,566,266.83</w:t>
            </w:r>
          </w:p>
        </w:tc>
      </w:tr>
      <w:tr>
        <w:trPr>
          <w:trHeight w:val="403"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期初账面价值</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152,858,026.98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144,694,117.88</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2,185,169.12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3,632,860.75</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1,725,463.79</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3,640,883.46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308,736,521.98</w:t>
            </w:r>
          </w:p>
        </w:tc>
      </w:tr>
    </w:tbl>
    <w:p>
      <w:pPr>
        <w:spacing w:line="240" w:lineRule="auto" w:before="5"/>
        <w:rPr>
          <w:rFonts w:ascii="宋体" w:hAnsi="宋体" w:cs="宋体" w:eastAsia="宋体" w:hint="default"/>
          <w:sz w:val="16"/>
          <w:szCs w:val="16"/>
        </w:rPr>
      </w:pPr>
    </w:p>
    <w:p>
      <w:pPr>
        <w:spacing w:before="76"/>
        <w:ind w:left="0" w:right="133" w:firstLine="0"/>
        <w:jc w:val="right"/>
        <w:rPr>
          <w:rFonts w:ascii="Times New Roman" w:hAnsi="Times New Roman" w:cs="Times New Roman" w:eastAsia="Times New Roman" w:hint="default"/>
          <w:sz w:val="18"/>
          <w:szCs w:val="18"/>
        </w:rPr>
      </w:pPr>
      <w:r>
        <w:rPr>
          <w:rFonts w:ascii="Times New Roman"/>
          <w:sz w:val="18"/>
        </w:rPr>
        <w:t>92</w:t>
      </w:r>
    </w:p>
    <w:p>
      <w:pPr>
        <w:spacing w:after="0"/>
        <w:jc w:val="right"/>
        <w:rPr>
          <w:rFonts w:ascii="Times New Roman" w:hAnsi="Times New Roman" w:cs="Times New Roman" w:eastAsia="Times New Roman" w:hint="default"/>
          <w:sz w:val="18"/>
          <w:szCs w:val="18"/>
        </w:rPr>
        <w:sectPr>
          <w:type w:val="continuous"/>
          <w:pgSz w:w="16840" w:h="11910" w:orient="landscape"/>
          <w:pgMar w:top="1060" w:bottom="1160" w:left="1300" w:right="1300"/>
        </w:sectPr>
      </w:pPr>
    </w:p>
    <w:p>
      <w:pPr>
        <w:spacing w:line="240" w:lineRule="auto" w:before="8"/>
        <w:rPr>
          <w:rFonts w:ascii="Times New Roman" w:hAnsi="Times New Roman" w:cs="Times New Roman" w:eastAsia="Times New Roman" w:hint="default"/>
          <w:sz w:val="23"/>
          <w:szCs w:val="23"/>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）本期无暂时闲置的固定资产。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）本期无通过融资租赁租入的固定资产。</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）本期无通过经营租赁租出的固定资产。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36"/>
        <w:ind w:left="0" w:right="254"/>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未办妥产权证书的原因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扬州华声宿舍</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2"/>
                <w:sz w:val="21"/>
              </w:rPr>
              <w:t>2,117,572.37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产权证书正在办理中</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sz w:val="21"/>
                <w:szCs w:val="21"/>
              </w:rPr>
              <w:t>扬州华声饭堂</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1,301,332.96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21"/>
                <w:szCs w:val="21"/>
              </w:rPr>
            </w:pPr>
            <w:r>
              <w:rPr>
                <w:rFonts w:ascii="宋体" w:hAnsi="宋体" w:cs="宋体" w:eastAsia="宋体" w:hint="default"/>
                <w:sz w:val="21"/>
                <w:szCs w:val="21"/>
              </w:rPr>
              <w:t>产权证书正在办理中</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12</w:t>
      </w:r>
      <w:r>
        <w:rPr/>
        <w:t>、在建工程</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left="0" w:right="254"/>
        <w:jc w:val="right"/>
      </w:pPr>
      <w:r>
        <w:rPr/>
        <w:t>单位：</w:t>
      </w:r>
      <w:r>
        <w:rPr>
          <w:spacing w:val="2"/>
        </w:rPr>
        <w:t> </w:t>
      </w:r>
      <w:r>
        <w:rPr/>
        <w:t>元</w:t>
      </w:r>
    </w:p>
    <w:p>
      <w:pPr>
        <w:spacing w:line="240" w:lineRule="auto" w:before="10"/>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268"/>
        <w:gridCol w:w="1419"/>
        <w:gridCol w:w="991"/>
        <w:gridCol w:w="1277"/>
        <w:gridCol w:w="1277"/>
        <w:gridCol w:w="992"/>
        <w:gridCol w:w="1349"/>
      </w:tblGrid>
      <w:tr>
        <w:trPr>
          <w:trHeight w:val="403" w:hRule="exact"/>
        </w:trPr>
        <w:tc>
          <w:tcPr>
            <w:tcW w:w="22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68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61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1" w:hRule="exact"/>
        </w:trPr>
        <w:tc>
          <w:tcPr>
            <w:tcW w:w="2268" w:type="dxa"/>
            <w:vMerge/>
            <w:tcBorders>
              <w:left w:val="single" w:sz="4" w:space="0" w:color="000000"/>
              <w:bottom w:val="single" w:sz="4" w:space="0" w:color="000000"/>
              <w:right w:val="single" w:sz="4" w:space="0" w:color="000000"/>
            </w:tcBorders>
            <w:shd w:val="clear" w:color="auto" w:fill="D2D2D2"/>
          </w:tcPr>
          <w:p>
            <w:pP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8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1"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1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2"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9"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广东华声未验收设备</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86" w:right="0"/>
              <w:jc w:val="left"/>
              <w:rPr>
                <w:rFonts w:ascii="Times New Roman" w:hAnsi="Times New Roman" w:cs="Times New Roman" w:eastAsia="Times New Roman" w:hint="default"/>
                <w:sz w:val="21"/>
                <w:szCs w:val="21"/>
              </w:rPr>
            </w:pPr>
            <w:r>
              <w:rPr>
                <w:rFonts w:ascii="Times New Roman"/>
                <w:sz w:val="21"/>
              </w:rPr>
              <w:t>3,327,823.65</w:t>
            </w: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19" w:right="0"/>
              <w:jc w:val="center"/>
              <w:rPr>
                <w:rFonts w:ascii="Times New Roman" w:hAnsi="Times New Roman" w:cs="Times New Roman" w:eastAsia="Times New Roman" w:hint="default"/>
                <w:sz w:val="21"/>
                <w:szCs w:val="21"/>
              </w:rPr>
            </w:pPr>
            <w:r>
              <w:rPr>
                <w:rFonts w:ascii="Times New Roman"/>
                <w:sz w:val="21"/>
              </w:rPr>
              <w:t>3,327,823.65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2"/>
                <w:sz w:val="21"/>
              </w:rPr>
              <w:t>11,699,000.68</w:t>
            </w:r>
          </w:p>
        </w:tc>
        <w:tc>
          <w:tcPr>
            <w:tcW w:w="992"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2"/>
                <w:sz w:val="21"/>
              </w:rPr>
              <w:t>11,699,000.68</w:t>
            </w: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扬州华声土地平整工程</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86" w:right="0"/>
              <w:jc w:val="left"/>
              <w:rPr>
                <w:rFonts w:ascii="Times New Roman" w:hAnsi="Times New Roman" w:cs="Times New Roman" w:eastAsia="Times New Roman" w:hint="default"/>
                <w:sz w:val="21"/>
                <w:szCs w:val="21"/>
              </w:rPr>
            </w:pPr>
            <w:r>
              <w:rPr>
                <w:rFonts w:ascii="Times New Roman"/>
                <w:sz w:val="21"/>
              </w:rPr>
              <w:t>1,030,000.00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19" w:right="0"/>
              <w:jc w:val="center"/>
              <w:rPr>
                <w:rFonts w:ascii="Times New Roman" w:hAnsi="Times New Roman" w:cs="Times New Roman" w:eastAsia="Times New Roman" w:hint="default"/>
                <w:sz w:val="21"/>
                <w:szCs w:val="21"/>
              </w:rPr>
            </w:pPr>
            <w:r>
              <w:rPr>
                <w:rFonts w:ascii="Times New Roman"/>
                <w:sz w:val="21"/>
              </w:rPr>
              <w:t>1,030,000.00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1,030,000.00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1,030,000.00</w:t>
            </w: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扬州华声未验收设备</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86" w:right="0"/>
              <w:jc w:val="left"/>
              <w:rPr>
                <w:rFonts w:ascii="Times New Roman" w:hAnsi="Times New Roman" w:cs="Times New Roman" w:eastAsia="Times New Roman" w:hint="default"/>
                <w:sz w:val="21"/>
                <w:szCs w:val="21"/>
              </w:rPr>
            </w:pPr>
            <w:r>
              <w:rPr>
                <w:rFonts w:ascii="Times New Roman"/>
                <w:sz w:val="21"/>
              </w:rPr>
              <w:t>3,797,136.75</w:t>
            </w: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19" w:right="0"/>
              <w:jc w:val="center"/>
              <w:rPr>
                <w:rFonts w:ascii="Times New Roman" w:hAnsi="Times New Roman" w:cs="Times New Roman" w:eastAsia="Times New Roman" w:hint="default"/>
                <w:sz w:val="21"/>
                <w:szCs w:val="21"/>
              </w:rPr>
            </w:pPr>
            <w:r>
              <w:rPr>
                <w:rFonts w:ascii="Times New Roman"/>
                <w:sz w:val="21"/>
              </w:rPr>
              <w:t>3,797,136.75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44,666.67</w:t>
            </w:r>
          </w:p>
        </w:tc>
        <w:tc>
          <w:tcPr>
            <w:tcW w:w="992"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44,666.67</w:t>
            </w: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广东电缆未验收设备</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86" w:right="0"/>
              <w:jc w:val="left"/>
              <w:rPr>
                <w:rFonts w:ascii="Times New Roman" w:hAnsi="Times New Roman" w:cs="Times New Roman" w:eastAsia="Times New Roman" w:hint="default"/>
                <w:sz w:val="21"/>
                <w:szCs w:val="21"/>
              </w:rPr>
            </w:pPr>
            <w:r>
              <w:rPr>
                <w:rFonts w:ascii="Times New Roman"/>
                <w:sz w:val="21"/>
              </w:rPr>
              <w:t>1,172,991.45</w:t>
            </w: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19" w:right="0"/>
              <w:jc w:val="center"/>
              <w:rPr>
                <w:rFonts w:ascii="Times New Roman" w:hAnsi="Times New Roman" w:cs="Times New Roman" w:eastAsia="Times New Roman" w:hint="default"/>
                <w:sz w:val="21"/>
                <w:szCs w:val="21"/>
              </w:rPr>
            </w:pPr>
            <w:r>
              <w:rPr>
                <w:rFonts w:ascii="Times New Roman"/>
                <w:sz w:val="21"/>
              </w:rPr>
              <w:t>1,172,991.45</w:t>
            </w:r>
          </w:p>
        </w:tc>
        <w:tc>
          <w:tcPr>
            <w:tcW w:w="127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86" w:right="0"/>
              <w:jc w:val="left"/>
              <w:rPr>
                <w:rFonts w:ascii="Times New Roman" w:hAnsi="Times New Roman" w:cs="Times New Roman" w:eastAsia="Times New Roman" w:hint="default"/>
                <w:sz w:val="21"/>
                <w:szCs w:val="21"/>
              </w:rPr>
            </w:pPr>
            <w:r>
              <w:rPr>
                <w:rFonts w:ascii="Times New Roman"/>
                <w:sz w:val="21"/>
              </w:rPr>
              <w:t>9,327,951.85</w:t>
            </w: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19" w:right="0"/>
              <w:jc w:val="center"/>
              <w:rPr>
                <w:rFonts w:ascii="Times New Roman" w:hAnsi="Times New Roman" w:cs="Times New Roman" w:eastAsia="Times New Roman" w:hint="default"/>
                <w:sz w:val="21"/>
                <w:szCs w:val="21"/>
              </w:rPr>
            </w:pPr>
            <w:r>
              <w:rPr>
                <w:rFonts w:ascii="Times New Roman"/>
                <w:sz w:val="21"/>
              </w:rPr>
              <w:t>9,327,951.85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12,773,667.35</w:t>
            </w:r>
          </w:p>
        </w:tc>
        <w:tc>
          <w:tcPr>
            <w:tcW w:w="992"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12,773,667.35</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）本期无新增的重要在建工程项目。</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）在建工程本期未发生减值情况，故未提取减值准备。</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1"/>
          <w:szCs w:val="21"/>
        </w:rPr>
      </w:pPr>
    </w:p>
    <w:p>
      <w:pPr>
        <w:spacing w:before="76"/>
        <w:ind w:left="0" w:right="148" w:firstLine="0"/>
        <w:jc w:val="right"/>
        <w:rPr>
          <w:rFonts w:ascii="Times New Roman" w:hAnsi="Times New Roman" w:cs="Times New Roman" w:eastAsia="Times New Roman" w:hint="default"/>
          <w:sz w:val="18"/>
          <w:szCs w:val="18"/>
        </w:rPr>
      </w:pPr>
      <w:r>
        <w:rPr>
          <w:rFonts w:ascii="Times New Roman"/>
          <w:sz w:val="18"/>
        </w:rPr>
        <w:t>93</w:t>
      </w:r>
    </w:p>
    <w:p>
      <w:pPr>
        <w:spacing w:after="0"/>
        <w:jc w:val="right"/>
        <w:rPr>
          <w:rFonts w:ascii="Times New Roman" w:hAnsi="Times New Roman" w:cs="Times New Roman" w:eastAsia="Times New Roman" w:hint="default"/>
          <w:sz w:val="18"/>
          <w:szCs w:val="18"/>
        </w:rPr>
        <w:sectPr>
          <w:headerReference w:type="default" r:id="rId32"/>
          <w:footerReference w:type="default" r:id="rId33"/>
          <w:pgSz w:w="11910" w:h="16840"/>
          <w:pgMar w:header="877" w:footer="0" w:top="1100" w:bottom="280" w:left="980" w:right="980"/>
        </w:sectPr>
      </w:pPr>
    </w:p>
    <w:p>
      <w:pPr>
        <w:spacing w:line="240" w:lineRule="auto" w:before="4"/>
        <w:rPr>
          <w:rFonts w:ascii="Times New Roman" w:hAnsi="Times New Roman" w:cs="Times New Roman" w:eastAsia="Times New Roman" w:hint="default"/>
          <w:sz w:val="27"/>
          <w:szCs w:val="27"/>
        </w:rPr>
      </w:pPr>
    </w:p>
    <w:p>
      <w:pPr>
        <w:pStyle w:val="Heading4"/>
        <w:spacing w:line="240" w:lineRule="auto"/>
        <w:ind w:left="140" w:right="-16"/>
        <w:jc w:val="left"/>
        <w:rPr>
          <w:b w:val="0"/>
          <w:bCs w:val="0"/>
        </w:rPr>
      </w:pPr>
      <w:r>
        <w:rPr/>
        <w:pict>
          <v:group style="position:absolute;margin-left:70.559998pt;margin-top:-.476309pt;width:700.9pt;height:.1pt;mso-position-horizontal-relative:page;mso-position-vertical-relative:paragraph;z-index:3280" coordorigin="1411,-10" coordsize="14018,2">
            <v:shape style="position:absolute;left:1411;top:-10;width:14018;height:2" coordorigin="1411,-10" coordsize="14018,0" path="m1411,-10l15429,-10e" filled="false" stroked="true" strokeweight=".72pt" strokecolor="#000000">
              <v:path arrowok="t"/>
            </v:shape>
            <w10:wrap type="none"/>
          </v:group>
        </w:pict>
      </w:r>
      <w:r>
        <w:rPr>
          <w:rFonts w:ascii="Times New Roman" w:hAnsi="Times New Roman" w:cs="Times New Roman" w:eastAsia="Times New Roman" w:hint="default"/>
        </w:rPr>
        <w:t>13</w:t>
      </w:r>
      <w:r>
        <w:rPr/>
        <w:t>、无形资产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40" w:right="-16"/>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before="15"/>
        <w:ind w:left="140"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广东华声电器股份有限公司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p>
      <w:pPr>
        <w:spacing w:after="0"/>
        <w:jc w:val="left"/>
        <w:rPr>
          <w:rFonts w:ascii="宋体" w:hAnsi="宋体" w:cs="宋体" w:eastAsia="宋体" w:hint="default"/>
          <w:sz w:val="18"/>
          <w:szCs w:val="18"/>
        </w:rPr>
        <w:sectPr>
          <w:headerReference w:type="default" r:id="rId34"/>
          <w:footerReference w:type="default" r:id="rId35"/>
          <w:pgSz w:w="16840" w:h="11910" w:orient="landscape"/>
          <w:pgMar w:header="0" w:footer="0" w:top="800" w:bottom="280" w:left="1300" w:right="1240"/>
          <w:cols w:num="2" w:equalWidth="0">
            <w:col w:w="1936" w:space="8332"/>
            <w:col w:w="4032"/>
          </w:cols>
        </w:sectPr>
      </w:pPr>
    </w:p>
    <w:p>
      <w:pPr>
        <w:spacing w:line="240" w:lineRule="auto" w:before="13"/>
        <w:rPr>
          <w:rFonts w:ascii="宋体" w:hAnsi="宋体" w:cs="宋体" w:eastAsia="宋体" w:hint="default"/>
          <w:sz w:val="21"/>
          <w:szCs w:val="21"/>
        </w:rPr>
      </w:pPr>
    </w:p>
    <w:p>
      <w:pPr>
        <w:pStyle w:val="BodyText"/>
        <w:spacing w:line="240" w:lineRule="auto" w:before="36"/>
        <w:ind w:left="0" w:right="299"/>
        <w:jc w:val="right"/>
      </w:pPr>
      <w:r>
        <w:rPr/>
        <w:t>单位：</w:t>
      </w:r>
      <w:r>
        <w:rPr>
          <w:spacing w:val="2"/>
        </w:rPr>
        <w:t> </w:t>
      </w:r>
      <w:r>
        <w:rPr/>
        <w:t>元</w:t>
      </w:r>
    </w:p>
    <w:p>
      <w:pPr>
        <w:spacing w:line="240" w:lineRule="auto" w:before="10"/>
        <w:rPr>
          <w:rFonts w:ascii="宋体" w:hAnsi="宋体" w:cs="宋体" w:eastAsia="宋体" w:hint="default"/>
          <w:sz w:val="6"/>
          <w:szCs w:val="6"/>
        </w:rPr>
      </w:pPr>
    </w:p>
    <w:tbl>
      <w:tblPr>
        <w:tblW w:w="0" w:type="auto"/>
        <w:jc w:val="left"/>
        <w:tblInd w:w="147" w:type="dxa"/>
        <w:tblLayout w:type="fixed"/>
        <w:tblCellMar>
          <w:top w:w="0" w:type="dxa"/>
          <w:left w:w="0" w:type="dxa"/>
          <w:bottom w:w="0" w:type="dxa"/>
          <w:right w:w="0" w:type="dxa"/>
        </w:tblCellMar>
        <w:tblLook w:val="01E0"/>
      </w:tblPr>
      <w:tblGrid>
        <w:gridCol w:w="3947"/>
        <w:gridCol w:w="1690"/>
        <w:gridCol w:w="1678"/>
        <w:gridCol w:w="1675"/>
        <w:gridCol w:w="1681"/>
        <w:gridCol w:w="1675"/>
        <w:gridCol w:w="1680"/>
      </w:tblGrid>
      <w:tr>
        <w:trPr>
          <w:trHeight w:val="161" w:hRule="exact"/>
        </w:trPr>
        <w:tc>
          <w:tcPr>
            <w:tcW w:w="3947" w:type="dxa"/>
            <w:tcBorders>
              <w:top w:val="single" w:sz="4" w:space="0" w:color="000000"/>
              <w:left w:val="single" w:sz="4" w:space="0" w:color="000000"/>
              <w:bottom w:val="nil" w:sz="6" w:space="0" w:color="auto"/>
              <w:right w:val="single" w:sz="4" w:space="0" w:color="000000"/>
            </w:tcBorders>
            <w:shd w:val="clear" w:color="auto" w:fill="D2D2D2"/>
          </w:tcPr>
          <w:p>
            <w:pPr/>
          </w:p>
        </w:tc>
        <w:tc>
          <w:tcPr>
            <w:tcW w:w="1690" w:type="dxa"/>
            <w:vMerge w:val="restart"/>
            <w:tcBorders>
              <w:top w:val="single" w:sz="4" w:space="0" w:color="000000"/>
              <w:left w:val="single" w:sz="4" w:space="0" w:color="000000"/>
              <w:right w:val="single" w:sz="9" w:space="0" w:color="E0FFFF"/>
            </w:tcBorders>
            <w:shd w:val="clear" w:color="auto" w:fill="D2D2D2"/>
          </w:tcPr>
          <w:p>
            <w:pPr>
              <w:pStyle w:val="TableParagraph"/>
              <w:spacing w:line="273" w:lineRule="auto" w:before="28"/>
              <w:ind w:left="633" w:right="90" w:hanging="526"/>
              <w:jc w:val="left"/>
              <w:rPr>
                <w:rFonts w:ascii="宋体" w:hAnsi="宋体" w:cs="宋体" w:eastAsia="宋体" w:hint="default"/>
                <w:sz w:val="21"/>
                <w:szCs w:val="21"/>
              </w:rPr>
            </w:pPr>
            <w:r>
              <w:rPr>
                <w:rFonts w:ascii="宋体" w:hAnsi="宋体" w:cs="宋体" w:eastAsia="宋体" w:hint="default"/>
                <w:sz w:val="21"/>
                <w:szCs w:val="21"/>
              </w:rPr>
              <w:t>广东华声土地使</w:t>
            </w:r>
            <w:r>
              <w:rPr>
                <w:rFonts w:ascii="宋体" w:hAnsi="宋体" w:cs="宋体" w:eastAsia="宋体" w:hint="default"/>
                <w:w w:val="100"/>
                <w:sz w:val="21"/>
                <w:szCs w:val="21"/>
              </w:rPr>
              <w:t> </w:t>
            </w:r>
            <w:r>
              <w:rPr>
                <w:rFonts w:ascii="宋体" w:hAnsi="宋体" w:cs="宋体" w:eastAsia="宋体" w:hint="default"/>
                <w:sz w:val="21"/>
                <w:szCs w:val="21"/>
              </w:rPr>
              <w:t>用权</w:t>
            </w:r>
          </w:p>
        </w:tc>
        <w:tc>
          <w:tcPr>
            <w:tcW w:w="1678" w:type="dxa"/>
            <w:vMerge w:val="restart"/>
            <w:tcBorders>
              <w:top w:val="single" w:sz="4" w:space="0" w:color="000000"/>
              <w:left w:val="single" w:sz="13" w:space="0" w:color="D2D2D2"/>
              <w:right w:val="single" w:sz="4" w:space="0" w:color="000000"/>
            </w:tcBorders>
            <w:shd w:val="clear" w:color="auto" w:fill="E0FFFF"/>
          </w:tcPr>
          <w:p>
            <w:pPr>
              <w:pStyle w:val="TableParagraph"/>
              <w:spacing w:line="273" w:lineRule="auto" w:before="28"/>
              <w:ind w:left="609" w:right="96" w:hanging="526"/>
              <w:jc w:val="left"/>
              <w:rPr>
                <w:rFonts w:ascii="宋体" w:hAnsi="宋体" w:cs="宋体" w:eastAsia="宋体" w:hint="default"/>
                <w:sz w:val="21"/>
                <w:szCs w:val="21"/>
              </w:rPr>
            </w:pPr>
            <w:r>
              <w:rPr>
                <w:rFonts w:ascii="宋体" w:hAnsi="宋体" w:cs="宋体" w:eastAsia="宋体" w:hint="default"/>
                <w:sz w:val="21"/>
                <w:szCs w:val="21"/>
              </w:rPr>
              <w:t>扬州华声土地使</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用权</w:t>
            </w:r>
          </w:p>
        </w:tc>
        <w:tc>
          <w:tcPr>
            <w:tcW w:w="1675" w:type="dxa"/>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04" w:right="0"/>
              <w:jc w:val="left"/>
              <w:rPr>
                <w:rFonts w:ascii="宋体" w:hAnsi="宋体" w:cs="宋体" w:eastAsia="宋体" w:hint="default"/>
                <w:sz w:val="21"/>
                <w:szCs w:val="21"/>
              </w:rPr>
            </w:pPr>
            <w:r>
              <w:rPr>
                <w:rFonts w:ascii="宋体" w:hAnsi="宋体" w:cs="宋体" w:eastAsia="宋体" w:hint="default"/>
                <w:sz w:val="21"/>
                <w:szCs w:val="21"/>
              </w:rPr>
              <w:t>商标注册费</w:t>
            </w:r>
          </w:p>
        </w:tc>
        <w:tc>
          <w:tcPr>
            <w:tcW w:w="1681" w:type="dxa"/>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before="184"/>
              <w:ind w:left="25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K3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金蝶软件</w:t>
            </w:r>
          </w:p>
        </w:tc>
        <w:tc>
          <w:tcPr>
            <w:tcW w:w="1675" w:type="dxa"/>
            <w:vMerge w:val="restart"/>
            <w:tcBorders>
              <w:top w:val="single" w:sz="4" w:space="0" w:color="000000"/>
              <w:left w:val="single" w:sz="4" w:space="0" w:color="000000"/>
              <w:right w:val="single" w:sz="4" w:space="0" w:color="000000"/>
            </w:tcBorders>
            <w:shd w:val="clear" w:color="auto" w:fill="E0FFFF"/>
          </w:tcPr>
          <w:p>
            <w:pPr>
              <w:pStyle w:val="TableParagraph"/>
              <w:spacing w:line="273" w:lineRule="auto" w:before="28"/>
              <w:ind w:left="621" w:right="93" w:hanging="526"/>
              <w:jc w:val="left"/>
              <w:rPr>
                <w:rFonts w:ascii="宋体" w:hAnsi="宋体" w:cs="宋体" w:eastAsia="宋体" w:hint="default"/>
                <w:sz w:val="21"/>
                <w:szCs w:val="21"/>
              </w:rPr>
            </w:pPr>
            <w:r>
              <w:rPr>
                <w:rFonts w:ascii="宋体" w:hAnsi="宋体" w:cs="宋体" w:eastAsia="宋体" w:hint="default"/>
                <w:sz w:val="21"/>
                <w:szCs w:val="21"/>
              </w:rPr>
              <w:t>网络知识产权保</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护费</w:t>
            </w:r>
          </w:p>
        </w:tc>
        <w:tc>
          <w:tcPr>
            <w:tcW w:w="16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394" w:hRule="exact"/>
        </w:trPr>
        <w:tc>
          <w:tcPr>
            <w:tcW w:w="394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90" w:type="dxa"/>
            <w:vMerge/>
            <w:tcBorders>
              <w:left w:val="single" w:sz="4" w:space="0" w:color="000000"/>
              <w:right w:val="single" w:sz="9" w:space="0" w:color="E0FFFF"/>
            </w:tcBorders>
            <w:shd w:val="clear" w:color="auto" w:fill="D2D2D2"/>
          </w:tcPr>
          <w:p>
            <w:pPr/>
          </w:p>
        </w:tc>
        <w:tc>
          <w:tcPr>
            <w:tcW w:w="1678" w:type="dxa"/>
            <w:vMerge/>
            <w:tcBorders>
              <w:left w:val="single" w:sz="13" w:space="0" w:color="D2D2D2"/>
              <w:right w:val="single" w:sz="4" w:space="0" w:color="000000"/>
            </w:tcBorders>
            <w:shd w:val="clear" w:color="auto" w:fill="E0FFFF"/>
          </w:tcPr>
          <w:p>
            <w:pPr/>
          </w:p>
        </w:tc>
        <w:tc>
          <w:tcPr>
            <w:tcW w:w="1675" w:type="dxa"/>
            <w:vMerge/>
            <w:tcBorders>
              <w:left w:val="single" w:sz="4" w:space="0" w:color="000000"/>
              <w:right w:val="single" w:sz="4" w:space="0" w:color="000000"/>
            </w:tcBorders>
            <w:shd w:val="clear" w:color="auto" w:fill="E0FFFF"/>
          </w:tcPr>
          <w:p>
            <w:pPr/>
          </w:p>
        </w:tc>
        <w:tc>
          <w:tcPr>
            <w:tcW w:w="1681" w:type="dxa"/>
            <w:vMerge/>
            <w:tcBorders>
              <w:left w:val="single" w:sz="4" w:space="0" w:color="000000"/>
              <w:right w:val="single" w:sz="4" w:space="0" w:color="000000"/>
            </w:tcBorders>
            <w:shd w:val="clear" w:color="auto" w:fill="E0FFFF"/>
          </w:tcPr>
          <w:p>
            <w:pPr/>
          </w:p>
        </w:tc>
        <w:tc>
          <w:tcPr>
            <w:tcW w:w="1675" w:type="dxa"/>
            <w:vMerge/>
            <w:tcBorders>
              <w:left w:val="single" w:sz="4" w:space="0" w:color="000000"/>
              <w:right w:val="single" w:sz="4" w:space="0" w:color="000000"/>
            </w:tcBorders>
            <w:shd w:val="clear" w:color="auto" w:fill="E0FFFF"/>
          </w:tcPr>
          <w:p>
            <w:pPr/>
          </w:p>
        </w:tc>
        <w:tc>
          <w:tcPr>
            <w:tcW w:w="1680" w:type="dxa"/>
            <w:vMerge/>
            <w:tcBorders>
              <w:left w:val="single" w:sz="4" w:space="0" w:color="000000"/>
              <w:right w:val="single" w:sz="4" w:space="0" w:color="000000"/>
            </w:tcBorders>
            <w:shd w:val="clear" w:color="auto" w:fill="D2D2D2"/>
          </w:tcPr>
          <w:p>
            <w:pPr/>
          </w:p>
        </w:tc>
      </w:tr>
      <w:tr>
        <w:trPr>
          <w:trHeight w:val="161" w:hRule="exact"/>
        </w:trPr>
        <w:tc>
          <w:tcPr>
            <w:tcW w:w="3947" w:type="dxa"/>
            <w:tcBorders>
              <w:top w:val="nil" w:sz="6" w:space="0" w:color="auto"/>
              <w:left w:val="single" w:sz="4" w:space="0" w:color="000000"/>
              <w:bottom w:val="single" w:sz="4" w:space="0" w:color="000000"/>
              <w:right w:val="single" w:sz="4" w:space="0" w:color="000000"/>
            </w:tcBorders>
            <w:shd w:val="clear" w:color="auto" w:fill="D2D2D2"/>
          </w:tcPr>
          <w:p>
            <w:pPr/>
          </w:p>
        </w:tc>
        <w:tc>
          <w:tcPr>
            <w:tcW w:w="1690" w:type="dxa"/>
            <w:vMerge/>
            <w:tcBorders>
              <w:left w:val="single" w:sz="4" w:space="0" w:color="000000"/>
              <w:bottom w:val="single" w:sz="4" w:space="0" w:color="000000"/>
              <w:right w:val="single" w:sz="9" w:space="0" w:color="E0FFFF"/>
            </w:tcBorders>
            <w:shd w:val="clear" w:color="auto" w:fill="D2D2D2"/>
          </w:tcPr>
          <w:p>
            <w:pPr/>
          </w:p>
        </w:tc>
        <w:tc>
          <w:tcPr>
            <w:tcW w:w="1678" w:type="dxa"/>
            <w:vMerge/>
            <w:tcBorders>
              <w:left w:val="single" w:sz="13" w:space="0" w:color="D2D2D2"/>
              <w:bottom w:val="single" w:sz="4" w:space="0" w:color="000000"/>
              <w:right w:val="single" w:sz="4" w:space="0" w:color="000000"/>
            </w:tcBorders>
            <w:shd w:val="clear" w:color="auto" w:fill="E0FFFF"/>
          </w:tcPr>
          <w:p>
            <w:pPr/>
          </w:p>
        </w:tc>
        <w:tc>
          <w:tcPr>
            <w:tcW w:w="1675" w:type="dxa"/>
            <w:vMerge/>
            <w:tcBorders>
              <w:left w:val="single" w:sz="4" w:space="0" w:color="000000"/>
              <w:bottom w:val="single" w:sz="4" w:space="0" w:color="000000"/>
              <w:right w:val="single" w:sz="4" w:space="0" w:color="000000"/>
            </w:tcBorders>
            <w:shd w:val="clear" w:color="auto" w:fill="E0FFFF"/>
          </w:tcPr>
          <w:p>
            <w:pPr/>
          </w:p>
        </w:tc>
        <w:tc>
          <w:tcPr>
            <w:tcW w:w="1681" w:type="dxa"/>
            <w:vMerge/>
            <w:tcBorders>
              <w:left w:val="single" w:sz="4" w:space="0" w:color="000000"/>
              <w:bottom w:val="single" w:sz="4" w:space="0" w:color="000000"/>
              <w:right w:val="single" w:sz="4" w:space="0" w:color="000000"/>
            </w:tcBorders>
            <w:shd w:val="clear" w:color="auto" w:fill="E0FFFF"/>
          </w:tcPr>
          <w:p>
            <w:pPr/>
          </w:p>
        </w:tc>
        <w:tc>
          <w:tcPr>
            <w:tcW w:w="1675" w:type="dxa"/>
            <w:vMerge/>
            <w:tcBorders>
              <w:left w:val="single" w:sz="4" w:space="0" w:color="000000"/>
              <w:bottom w:val="single" w:sz="4" w:space="0" w:color="000000"/>
              <w:right w:val="single" w:sz="4" w:space="0" w:color="000000"/>
            </w:tcBorders>
            <w:shd w:val="clear" w:color="auto" w:fill="E0FFFF"/>
          </w:tcPr>
          <w:p>
            <w:pPr/>
          </w:p>
        </w:tc>
        <w:tc>
          <w:tcPr>
            <w:tcW w:w="1680"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1"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690" w:type="dxa"/>
            <w:tcBorders>
              <w:top w:val="single" w:sz="4" w:space="0" w:color="000000"/>
              <w:left w:val="single" w:sz="13" w:space="0" w:color="D2D2D2"/>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6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10,945,840.80</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32,369,257.80</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515,092.00</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429,609.16</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50,000.00</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44,309,799.76</w:t>
            </w:r>
          </w:p>
        </w:tc>
      </w:tr>
      <w:tr>
        <w:trPr>
          <w:trHeight w:val="401"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本期增加金额</w:t>
            </w:r>
          </w:p>
        </w:tc>
        <w:tc>
          <w:tcPr>
            <w:tcW w:w="1690" w:type="dxa"/>
            <w:tcBorders>
              <w:top w:val="single" w:sz="4" w:space="0" w:color="000000"/>
              <w:left w:val="single" w:sz="13" w:space="0" w:color="D2D2D2"/>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本期减少金额</w:t>
            </w:r>
          </w:p>
        </w:tc>
        <w:tc>
          <w:tcPr>
            <w:tcW w:w="1690" w:type="dxa"/>
            <w:tcBorders>
              <w:top w:val="single" w:sz="4" w:space="0" w:color="000000"/>
              <w:left w:val="single" w:sz="13" w:space="0" w:color="D2D2D2"/>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6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10,945,840.80</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32,369,257.80</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515,092.00</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429,609.16</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50,000.00</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44,309,799.76</w:t>
            </w:r>
          </w:p>
        </w:tc>
      </w:tr>
      <w:tr>
        <w:trPr>
          <w:trHeight w:val="403"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二、累计摊销</w:t>
            </w:r>
          </w:p>
        </w:tc>
        <w:tc>
          <w:tcPr>
            <w:tcW w:w="1690" w:type="dxa"/>
            <w:tcBorders>
              <w:top w:val="single" w:sz="4" w:space="0" w:color="000000"/>
              <w:left w:val="single" w:sz="13" w:space="0" w:color="D2D2D2"/>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6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2,868,783.20</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4,096,410.63</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320,822.85</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182,035.21</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20,000.15</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7,488,052.04</w:t>
            </w:r>
          </w:p>
        </w:tc>
      </w:tr>
      <w:tr>
        <w:trPr>
          <w:trHeight w:val="403"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本期增加金额</w:t>
            </w:r>
          </w:p>
        </w:tc>
        <w:tc>
          <w:tcPr>
            <w:tcW w:w="16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218,916.84</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647,385.24</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56,510.80</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85,921.92</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5,000.04</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1,013,734.84</w:t>
            </w:r>
          </w:p>
        </w:tc>
      </w:tr>
      <w:tr>
        <w:trPr>
          <w:trHeight w:val="401"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4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）计提</w:t>
            </w:r>
          </w:p>
        </w:tc>
        <w:tc>
          <w:tcPr>
            <w:tcW w:w="16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218,916.84</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647,385.24</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56,510.80</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85,921.92</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5,000.04</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1,013,734.84</w:t>
            </w:r>
          </w:p>
        </w:tc>
      </w:tr>
      <w:tr>
        <w:trPr>
          <w:trHeight w:val="403"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本期减少金额</w:t>
            </w:r>
          </w:p>
        </w:tc>
        <w:tc>
          <w:tcPr>
            <w:tcW w:w="1690" w:type="dxa"/>
            <w:tcBorders>
              <w:top w:val="single" w:sz="4" w:space="0" w:color="000000"/>
              <w:left w:val="single" w:sz="13" w:space="0" w:color="D2D2D2"/>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6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3,087,700.04</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4,743,795.87</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377,333.65</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267,957.13</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25,000.19</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8,501,786.88</w:t>
            </w:r>
          </w:p>
        </w:tc>
      </w:tr>
      <w:tr>
        <w:trPr>
          <w:trHeight w:val="403"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690" w:type="dxa"/>
            <w:tcBorders>
              <w:top w:val="single" w:sz="4" w:space="0" w:color="000000"/>
              <w:left w:val="single" w:sz="13" w:space="0" w:color="D2D2D2"/>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1"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690" w:type="dxa"/>
            <w:tcBorders>
              <w:top w:val="single" w:sz="4" w:space="0" w:color="000000"/>
              <w:left w:val="single" w:sz="13" w:space="0" w:color="D2D2D2"/>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期末账面价值</w:t>
            </w:r>
          </w:p>
        </w:tc>
        <w:tc>
          <w:tcPr>
            <w:tcW w:w="16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7,858,140.76</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27,625,461.93</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137,758.35</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161,652.03</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24,999.81</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35,808,012.88</w:t>
            </w:r>
          </w:p>
        </w:tc>
      </w:tr>
      <w:tr>
        <w:trPr>
          <w:trHeight w:val="401"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期初账面价值</w:t>
            </w:r>
          </w:p>
        </w:tc>
        <w:tc>
          <w:tcPr>
            <w:tcW w:w="16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8,077,057.60</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28,272,847.17</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194,269.15</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247,573.95</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29,999.85</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36,821,747.72</w:t>
            </w:r>
          </w:p>
        </w:tc>
      </w:tr>
    </w:tbl>
    <w:p>
      <w:pPr>
        <w:pStyle w:val="BodyText"/>
        <w:spacing w:line="240" w:lineRule="auto" w:before="28"/>
        <w:ind w:left="140" w:right="0"/>
        <w:jc w:val="left"/>
      </w:pPr>
      <w:r>
        <w:rPr/>
        <w:t>期末无形资产中无通过公司内部研发形成的无形资产。</w:t>
      </w:r>
    </w:p>
    <w:p>
      <w:pPr>
        <w:spacing w:line="240" w:lineRule="auto" w:before="10"/>
        <w:rPr>
          <w:rFonts w:ascii="宋体" w:hAnsi="宋体" w:cs="宋体" w:eastAsia="宋体" w:hint="default"/>
          <w:sz w:val="25"/>
          <w:szCs w:val="25"/>
        </w:rPr>
      </w:pPr>
    </w:p>
    <w:p>
      <w:pPr>
        <w:pStyle w:val="Heading4"/>
        <w:spacing w:line="240" w:lineRule="auto"/>
        <w:ind w:left="140" w:right="0"/>
        <w:jc w:val="left"/>
        <w:rPr>
          <w:b w:val="0"/>
          <w:bCs w:val="0"/>
        </w:rPr>
      </w:pPr>
      <w:r>
        <w:rPr/>
        <w:t>（</w:t>
      </w:r>
      <w:r>
        <w:rPr>
          <w:rFonts w:ascii="Times New Roman" w:hAnsi="Times New Roman" w:cs="Times New Roman" w:eastAsia="Times New Roman" w:hint="default"/>
        </w:rPr>
        <w:t>2</w:t>
      </w:r>
      <w:r>
        <w:rPr/>
        <w:t>）期末无未办妥产权证书的土地使用权。</w:t>
      </w:r>
      <w:r>
        <w:rPr>
          <w:b w:val="0"/>
          <w:bCs w:val="0"/>
        </w:rPr>
      </w:r>
    </w:p>
    <w:p>
      <w:pPr>
        <w:spacing w:line="240" w:lineRule="auto" w:before="6"/>
        <w:rPr>
          <w:rFonts w:ascii="宋体" w:hAnsi="宋体" w:cs="宋体" w:eastAsia="宋体" w:hint="default"/>
          <w:b/>
          <w:bCs/>
          <w:sz w:val="17"/>
          <w:szCs w:val="17"/>
        </w:rPr>
      </w:pPr>
    </w:p>
    <w:p>
      <w:pPr>
        <w:spacing w:before="76"/>
        <w:ind w:left="0" w:right="193" w:firstLine="0"/>
        <w:jc w:val="right"/>
        <w:rPr>
          <w:rFonts w:ascii="Times New Roman" w:hAnsi="Times New Roman" w:cs="Times New Roman" w:eastAsia="Times New Roman" w:hint="default"/>
          <w:sz w:val="18"/>
          <w:szCs w:val="18"/>
        </w:rPr>
      </w:pPr>
      <w:r>
        <w:rPr>
          <w:rFonts w:ascii="Times New Roman"/>
          <w:sz w:val="18"/>
        </w:rPr>
        <w:t>94</w:t>
      </w:r>
    </w:p>
    <w:p>
      <w:pPr>
        <w:spacing w:after="0"/>
        <w:jc w:val="right"/>
        <w:rPr>
          <w:rFonts w:ascii="Times New Roman" w:hAnsi="Times New Roman" w:cs="Times New Roman" w:eastAsia="Times New Roman" w:hint="default"/>
          <w:sz w:val="18"/>
          <w:szCs w:val="18"/>
        </w:rPr>
        <w:sectPr>
          <w:type w:val="continuous"/>
          <w:pgSz w:w="16840" w:h="11910" w:orient="landscape"/>
          <w:pgMar w:top="1060" w:bottom="1160" w:left="1300" w:right="1240"/>
        </w:sectPr>
      </w:pPr>
    </w:p>
    <w:p>
      <w:pPr>
        <w:spacing w:line="240" w:lineRule="auto" w:before="8"/>
        <w:rPr>
          <w:rFonts w:ascii="Times New Roman" w:hAnsi="Times New Roman" w:cs="Times New Roman" w:eastAsia="Times New Roman" w:hint="default"/>
          <w:sz w:val="23"/>
          <w:szCs w:val="23"/>
        </w:rPr>
      </w:pPr>
    </w:p>
    <w:p>
      <w:pPr>
        <w:pStyle w:val="Heading4"/>
        <w:spacing w:line="240" w:lineRule="auto" w:before="36"/>
        <w:ind w:right="0"/>
        <w:jc w:val="left"/>
        <w:rPr>
          <w:b w:val="0"/>
          <w:bCs w:val="0"/>
        </w:rPr>
      </w:pPr>
      <w:r>
        <w:rPr>
          <w:rFonts w:ascii="Times New Roman" w:hAnsi="Times New Roman" w:cs="Times New Roman" w:eastAsia="Times New Roman" w:hint="default"/>
        </w:rPr>
        <w:t>14</w:t>
      </w:r>
      <w:r>
        <w:rPr/>
        <w:t>、长期待摊费用</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left="0" w:right="240"/>
        <w:jc w:val="right"/>
      </w:pPr>
      <w:r>
        <w:rPr/>
        <w:t>单位：</w:t>
      </w:r>
      <w:r>
        <w:rPr>
          <w:spacing w:val="2"/>
        </w:rPr>
        <w:t> </w:t>
      </w:r>
      <w:r>
        <w:rPr/>
        <w:t>元</w:t>
      </w:r>
    </w:p>
    <w:p>
      <w:pPr>
        <w:spacing w:line="240" w:lineRule="auto" w:before="10"/>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263"/>
        <w:gridCol w:w="1274"/>
        <w:gridCol w:w="1419"/>
        <w:gridCol w:w="1417"/>
        <w:gridCol w:w="994"/>
        <w:gridCol w:w="1202"/>
      </w:tblGrid>
      <w:tr>
        <w:trPr>
          <w:trHeight w:val="715"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1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70"/>
              <w:jc w:val="right"/>
              <w:rPr>
                <w:rFonts w:ascii="宋体" w:hAnsi="宋体" w:cs="宋体" w:eastAsia="宋体" w:hint="default"/>
                <w:sz w:val="21"/>
                <w:szCs w:val="21"/>
              </w:rPr>
            </w:pPr>
            <w:r>
              <w:rPr>
                <w:rFonts w:ascii="宋体" w:hAnsi="宋体" w:cs="宋体" w:eastAsia="宋体" w:hint="default"/>
                <w:spacing w:val="-1"/>
                <w:sz w:val="21"/>
                <w:szCs w:val="21"/>
              </w:rPr>
              <w:t>本期增加金额</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74" w:right="0"/>
              <w:jc w:val="left"/>
              <w:rPr>
                <w:rFonts w:ascii="宋体" w:hAnsi="宋体" w:cs="宋体" w:eastAsia="宋体" w:hint="default"/>
                <w:sz w:val="21"/>
                <w:szCs w:val="21"/>
              </w:rPr>
            </w:pPr>
            <w:r>
              <w:rPr>
                <w:rFonts w:ascii="宋体" w:hAnsi="宋体" w:cs="宋体" w:eastAsia="宋体" w:hint="default"/>
                <w:sz w:val="21"/>
                <w:szCs w:val="21"/>
              </w:rPr>
              <w:t>本期摊销金额</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80" w:right="67" w:hanging="209"/>
              <w:jc w:val="left"/>
              <w:rPr>
                <w:rFonts w:ascii="宋体" w:hAnsi="宋体" w:cs="宋体" w:eastAsia="宋体" w:hint="default"/>
                <w:sz w:val="21"/>
                <w:szCs w:val="21"/>
              </w:rPr>
            </w:pPr>
            <w:r>
              <w:rPr>
                <w:rFonts w:ascii="宋体" w:hAnsi="宋体" w:cs="宋体" w:eastAsia="宋体" w:hint="default"/>
                <w:sz w:val="21"/>
                <w:szCs w:val="21"/>
              </w:rPr>
              <w:t>其他减少</w:t>
            </w:r>
            <w:r>
              <w:rPr>
                <w:rFonts w:ascii="宋体" w:hAnsi="宋体" w:cs="宋体" w:eastAsia="宋体" w:hint="default"/>
                <w:w w:val="100"/>
                <w:sz w:val="21"/>
                <w:szCs w:val="21"/>
              </w:rPr>
              <w:t> </w:t>
            </w:r>
            <w:r>
              <w:rPr>
                <w:rFonts w:ascii="宋体" w:hAnsi="宋体" w:cs="宋体" w:eastAsia="宋体" w:hint="default"/>
                <w:sz w:val="21"/>
                <w:szCs w:val="21"/>
              </w:rPr>
              <w:t>金额</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77"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广东华声研发大楼配套工程</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1,694,540.83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1,741,277.80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574,500.20</w:t>
            </w:r>
          </w:p>
        </w:tc>
        <w:tc>
          <w:tcPr>
            <w:tcW w:w="994"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2,861,318.43</w:t>
            </w: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广东华声总厂车间配套工程</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191,623.93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1,555,384.63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255,070.49</w:t>
            </w:r>
          </w:p>
        </w:tc>
        <w:tc>
          <w:tcPr>
            <w:tcW w:w="994"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1,491,938.07</w:t>
            </w: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广东华声分厂车间改造工程</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275,431.80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241,675.20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98,323.88</w:t>
            </w:r>
          </w:p>
        </w:tc>
        <w:tc>
          <w:tcPr>
            <w:tcW w:w="994"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418,783.12</w:t>
            </w:r>
          </w:p>
        </w:tc>
      </w:tr>
      <w:tr>
        <w:trPr>
          <w:trHeight w:val="715"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72"/>
              <w:jc w:val="left"/>
              <w:rPr>
                <w:rFonts w:ascii="宋体" w:hAnsi="宋体" w:cs="宋体" w:eastAsia="宋体" w:hint="default"/>
                <w:sz w:val="21"/>
                <w:szCs w:val="21"/>
              </w:rPr>
            </w:pPr>
            <w:r>
              <w:rPr>
                <w:rFonts w:ascii="宋体" w:hAnsi="宋体" w:cs="宋体" w:eastAsia="宋体" w:hint="default"/>
                <w:spacing w:val="-2"/>
                <w:sz w:val="21"/>
                <w:szCs w:val="21"/>
              </w:rPr>
              <w:t>广东华声总厂和研发大楼投入使用</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搬迁工程</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204,250.72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126,495.72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66,570.18</w:t>
            </w:r>
          </w:p>
        </w:tc>
        <w:tc>
          <w:tcPr>
            <w:tcW w:w="994"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264,176.26</w:t>
            </w: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sz w:val="21"/>
                <w:szCs w:val="21"/>
              </w:rPr>
              <w:t>广东华声数据服务费</w:t>
            </w: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83,547.17</w:t>
            </w:r>
          </w:p>
        </w:tc>
        <w:tc>
          <w:tcPr>
            <w:tcW w:w="141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83,547.17</w:t>
            </w: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扬州华声办公配套工程</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37,500.68</w:t>
            </w:r>
          </w:p>
        </w:tc>
        <w:tc>
          <w:tcPr>
            <w:tcW w:w="141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37,500.68</w:t>
            </w:r>
          </w:p>
        </w:tc>
        <w:tc>
          <w:tcPr>
            <w:tcW w:w="994"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扬州华声车间改造工程</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361,261.61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130,000.00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104,759.80</w:t>
            </w:r>
          </w:p>
        </w:tc>
        <w:tc>
          <w:tcPr>
            <w:tcW w:w="994"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386,501.81</w:t>
            </w: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广东电缆车间改造工程</w:t>
            </w: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329,424.19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4,367.23</w:t>
            </w:r>
          </w:p>
        </w:tc>
        <w:tc>
          <w:tcPr>
            <w:tcW w:w="994"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325,056.96</w:t>
            </w: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2,764,609.57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4,207,804.71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1,141,092.46</w:t>
            </w:r>
          </w:p>
        </w:tc>
        <w:tc>
          <w:tcPr>
            <w:tcW w:w="994"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5,831,321.82</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15</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36"/>
        <w:ind w:left="0" w:right="254"/>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553"/>
        <w:gridCol w:w="1753"/>
        <w:gridCol w:w="1755"/>
        <w:gridCol w:w="1755"/>
        <w:gridCol w:w="1757"/>
      </w:tblGrid>
      <w:tr>
        <w:trPr>
          <w:trHeight w:val="206" w:hRule="exact"/>
        </w:trPr>
        <w:tc>
          <w:tcPr>
            <w:tcW w:w="2553" w:type="dxa"/>
            <w:tcBorders>
              <w:top w:val="single" w:sz="4" w:space="0" w:color="000000"/>
              <w:left w:val="single" w:sz="4" w:space="0" w:color="000000"/>
              <w:bottom w:val="nil" w:sz="6" w:space="0" w:color="auto"/>
              <w:right w:val="single" w:sz="4" w:space="0" w:color="000000"/>
            </w:tcBorders>
            <w:shd w:val="clear" w:color="auto" w:fill="D2D2D2"/>
          </w:tcPr>
          <w:p>
            <w:pPr/>
          </w:p>
        </w:tc>
        <w:tc>
          <w:tcPr>
            <w:tcW w:w="350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51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192" w:hRule="exact"/>
        </w:trPr>
        <w:tc>
          <w:tcPr>
            <w:tcW w:w="255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508" w:type="dxa"/>
            <w:gridSpan w:val="2"/>
            <w:vMerge/>
            <w:tcBorders>
              <w:left w:val="single" w:sz="4" w:space="0" w:color="000000"/>
              <w:bottom w:val="single" w:sz="4" w:space="0" w:color="000000"/>
              <w:right w:val="single" w:sz="4" w:space="0" w:color="000000"/>
            </w:tcBorders>
            <w:shd w:val="clear" w:color="auto" w:fill="D2D2D2"/>
          </w:tcPr>
          <w:p>
            <w:pPr/>
          </w:p>
        </w:tc>
        <w:tc>
          <w:tcPr>
            <w:tcW w:w="3512" w:type="dxa"/>
            <w:gridSpan w:val="2"/>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2553" w:type="dxa"/>
            <w:vMerge/>
            <w:tcBorders>
              <w:left w:val="single" w:sz="4" w:space="0" w:color="000000"/>
              <w:bottom w:val="nil" w:sz="6" w:space="0" w:color="auto"/>
              <w:right w:val="single" w:sz="4" w:space="0" w:color="000000"/>
            </w:tcBorders>
            <w:shd w:val="clear" w:color="auto" w:fill="D2D2D2"/>
          </w:tcPr>
          <w:p>
            <w:pPr/>
          </w:p>
        </w:tc>
        <w:tc>
          <w:tcPr>
            <w:tcW w:w="17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29" w:right="0"/>
              <w:jc w:val="left"/>
              <w:rPr>
                <w:rFonts w:ascii="宋体" w:hAnsi="宋体" w:cs="宋体" w:eastAsia="宋体" w:hint="default"/>
                <w:sz w:val="21"/>
                <w:szCs w:val="21"/>
              </w:rPr>
            </w:pPr>
            <w:r>
              <w:rPr>
                <w:rFonts w:ascii="宋体" w:hAnsi="宋体" w:cs="宋体" w:eastAsia="宋体" w:hint="default"/>
                <w:sz w:val="21"/>
                <w:szCs w:val="21"/>
              </w:rPr>
              <w:t>可抵扣暂时性差异</w:t>
            </w:r>
          </w:p>
        </w:tc>
        <w:tc>
          <w:tcPr>
            <w:tcW w:w="175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136"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75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33" w:right="0"/>
              <w:jc w:val="left"/>
              <w:rPr>
                <w:rFonts w:ascii="宋体" w:hAnsi="宋体" w:cs="宋体" w:eastAsia="宋体" w:hint="default"/>
                <w:sz w:val="21"/>
                <w:szCs w:val="21"/>
              </w:rPr>
            </w:pPr>
            <w:r>
              <w:rPr>
                <w:rFonts w:ascii="宋体" w:hAnsi="宋体" w:cs="宋体" w:eastAsia="宋体" w:hint="default"/>
                <w:sz w:val="21"/>
                <w:szCs w:val="21"/>
              </w:rPr>
              <w:t>可抵扣暂时性差异</w:t>
            </w:r>
          </w:p>
        </w:tc>
        <w:tc>
          <w:tcPr>
            <w:tcW w:w="175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136"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r>
      <w:tr>
        <w:trPr>
          <w:trHeight w:val="206" w:hRule="exact"/>
        </w:trPr>
        <w:tc>
          <w:tcPr>
            <w:tcW w:w="2553" w:type="dxa"/>
            <w:tcBorders>
              <w:top w:val="nil" w:sz="6" w:space="0" w:color="auto"/>
              <w:left w:val="single" w:sz="4" w:space="0" w:color="000000"/>
              <w:bottom w:val="single" w:sz="4" w:space="0" w:color="000000"/>
              <w:right w:val="single" w:sz="4" w:space="0" w:color="000000"/>
            </w:tcBorders>
            <w:shd w:val="clear" w:color="auto" w:fill="D2D2D2"/>
          </w:tcPr>
          <w:p>
            <w:pPr/>
          </w:p>
        </w:tc>
        <w:tc>
          <w:tcPr>
            <w:tcW w:w="1753" w:type="dxa"/>
            <w:vMerge/>
            <w:tcBorders>
              <w:left w:val="single" w:sz="4" w:space="0" w:color="000000"/>
              <w:bottom w:val="single" w:sz="4" w:space="0" w:color="000000"/>
              <w:right w:val="single" w:sz="4" w:space="0" w:color="000000"/>
            </w:tcBorders>
            <w:shd w:val="clear" w:color="auto" w:fill="D2D2D2"/>
          </w:tcPr>
          <w:p>
            <w:pPr/>
          </w:p>
        </w:tc>
        <w:tc>
          <w:tcPr>
            <w:tcW w:w="1755" w:type="dxa"/>
            <w:vMerge/>
            <w:tcBorders>
              <w:left w:val="single" w:sz="4" w:space="0" w:color="000000"/>
              <w:bottom w:val="single" w:sz="4" w:space="0" w:color="000000"/>
              <w:right w:val="single" w:sz="4" w:space="0" w:color="000000"/>
            </w:tcBorders>
            <w:shd w:val="clear" w:color="auto" w:fill="D2D2D2"/>
          </w:tcPr>
          <w:p>
            <w:pPr/>
          </w:p>
        </w:tc>
        <w:tc>
          <w:tcPr>
            <w:tcW w:w="1755" w:type="dxa"/>
            <w:vMerge/>
            <w:tcBorders>
              <w:left w:val="single" w:sz="4" w:space="0" w:color="000000"/>
              <w:bottom w:val="single" w:sz="4" w:space="0" w:color="000000"/>
              <w:right w:val="single" w:sz="4" w:space="0" w:color="000000"/>
            </w:tcBorders>
            <w:shd w:val="clear" w:color="auto" w:fill="D2D2D2"/>
          </w:tcPr>
          <w:p>
            <w:pPr/>
          </w:p>
        </w:tc>
        <w:tc>
          <w:tcPr>
            <w:tcW w:w="175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17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4,095,556.51</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614,333.47</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3,848,878.98</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577,331.85</w:t>
            </w:r>
          </w:p>
        </w:tc>
      </w:tr>
      <w:tr>
        <w:trPr>
          <w:trHeight w:val="401"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内部交易未实现利润</w:t>
            </w:r>
          </w:p>
        </w:tc>
        <w:tc>
          <w:tcPr>
            <w:tcW w:w="17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508,436.56</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76,265.48</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579,387.44</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86,908.12</w:t>
            </w:r>
          </w:p>
        </w:tc>
      </w:tr>
      <w:tr>
        <w:trPr>
          <w:trHeight w:val="403"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1,670,000.00</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250,500.00</w:t>
            </w:r>
          </w:p>
        </w:tc>
        <w:tc>
          <w:tcPr>
            <w:tcW w:w="1755"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6,273,993.07</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941,098.95</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4,428,266.42</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664,239.97</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0"/>
        <w:rPr>
          <w:rFonts w:ascii="宋体" w:hAnsi="宋体" w:cs="宋体" w:eastAsia="宋体" w:hint="default"/>
          <w:b/>
          <w:bCs/>
          <w:sz w:val="22"/>
          <w:szCs w:val="22"/>
        </w:rPr>
      </w:pPr>
    </w:p>
    <w:p>
      <w:pPr>
        <w:pStyle w:val="BodyText"/>
        <w:spacing w:line="240" w:lineRule="auto" w:before="36"/>
        <w:ind w:left="0" w:right="254"/>
        <w:jc w:val="right"/>
      </w:pPr>
      <w:r>
        <w:rPr/>
        <w:t>单位：</w:t>
      </w:r>
      <w:r>
        <w:rPr>
          <w:spacing w:val="2"/>
        </w:rPr>
        <w:t> </w:t>
      </w:r>
      <w:r>
        <w:rPr/>
        <w:t>元</w:t>
      </w:r>
    </w:p>
    <w:p>
      <w:pPr>
        <w:spacing w:line="240" w:lineRule="auto" w:before="11"/>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552"/>
        <w:gridCol w:w="1754"/>
        <w:gridCol w:w="1755"/>
        <w:gridCol w:w="1755"/>
        <w:gridCol w:w="1757"/>
      </w:tblGrid>
      <w:tr>
        <w:trPr>
          <w:trHeight w:val="402" w:hRule="exact"/>
        </w:trPr>
        <w:tc>
          <w:tcPr>
            <w:tcW w:w="25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50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51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5"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1" w:hRule="exact"/>
        </w:trPr>
        <w:tc>
          <w:tcPr>
            <w:tcW w:w="2552" w:type="dxa"/>
            <w:vMerge/>
            <w:tcBorders>
              <w:left w:val="single" w:sz="4" w:space="0" w:color="000000"/>
              <w:bottom w:val="single" w:sz="4" w:space="0" w:color="000000"/>
              <w:right w:val="single" w:sz="4" w:space="0" w:color="000000"/>
            </w:tcBorders>
            <w:shd w:val="clear" w:color="auto" w:fill="D2D2D2"/>
          </w:tcPr>
          <w:p>
            <w:pPr/>
          </w:p>
        </w:tc>
        <w:tc>
          <w:tcPr>
            <w:tcW w:w="17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8"/>
              <w:jc w:val="right"/>
              <w:rPr>
                <w:rFonts w:ascii="宋体" w:hAnsi="宋体" w:cs="宋体" w:eastAsia="宋体" w:hint="default"/>
                <w:sz w:val="21"/>
                <w:szCs w:val="21"/>
              </w:rPr>
            </w:pPr>
            <w:r>
              <w:rPr>
                <w:rFonts w:ascii="宋体" w:hAnsi="宋体" w:cs="宋体" w:eastAsia="宋体" w:hint="default"/>
                <w:spacing w:val="-2"/>
                <w:sz w:val="21"/>
                <w:szCs w:val="21"/>
              </w:rPr>
              <w:t>应纳税暂时性差异</w:t>
            </w:r>
          </w:p>
        </w:tc>
        <w:tc>
          <w:tcPr>
            <w:tcW w:w="17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36"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7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7"/>
              <w:jc w:val="right"/>
              <w:rPr>
                <w:rFonts w:ascii="宋体" w:hAnsi="宋体" w:cs="宋体" w:eastAsia="宋体" w:hint="default"/>
                <w:sz w:val="21"/>
                <w:szCs w:val="21"/>
              </w:rPr>
            </w:pPr>
            <w:r>
              <w:rPr>
                <w:rFonts w:ascii="宋体" w:hAnsi="宋体" w:cs="宋体" w:eastAsia="宋体" w:hint="default"/>
                <w:spacing w:val="-2"/>
                <w:sz w:val="21"/>
                <w:szCs w:val="21"/>
              </w:rPr>
              <w:t>应纳税暂时性差异</w:t>
            </w:r>
          </w:p>
        </w:tc>
        <w:tc>
          <w:tcPr>
            <w:tcW w:w="1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36"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固定资产折旧年限</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4,393,123.73</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658,968.56</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4,461,313.43</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669,197.01</w:t>
            </w: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4,393,123.73</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658,968.56</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4,461,313.43</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669,197.01</w:t>
            </w:r>
          </w:p>
        </w:tc>
      </w:tr>
    </w:tbl>
    <w:p>
      <w:pPr>
        <w:spacing w:after="0" w:line="240" w:lineRule="auto"/>
        <w:jc w:val="right"/>
        <w:rPr>
          <w:rFonts w:ascii="Times New Roman" w:hAnsi="Times New Roman" w:cs="Times New Roman" w:eastAsia="Times New Roman" w:hint="default"/>
          <w:sz w:val="21"/>
          <w:szCs w:val="21"/>
        </w:rPr>
        <w:sectPr>
          <w:footerReference w:type="default" r:id="rId36"/>
          <w:pgSz w:w="11910" w:h="16840"/>
          <w:pgMar w:footer="979" w:header="0" w:top="1100" w:bottom="1160" w:left="980" w:right="980"/>
          <w:pgNumType w:start="95"/>
        </w:sectPr>
      </w:pPr>
    </w:p>
    <w:p>
      <w:pPr>
        <w:spacing w:line="240" w:lineRule="auto" w:before="11"/>
        <w:rPr>
          <w:rFonts w:ascii="宋体" w:hAnsi="宋体" w:cs="宋体" w:eastAsia="宋体" w:hint="default"/>
          <w:sz w:val="20"/>
          <w:szCs w:val="20"/>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left="0" w:right="254"/>
        <w:jc w:val="right"/>
      </w:pPr>
      <w:r>
        <w:rPr/>
        <w:t>单位：</w:t>
      </w:r>
      <w:r>
        <w:rPr>
          <w:spacing w:val="2"/>
        </w:rPr>
        <w:t> </w:t>
      </w:r>
      <w:r>
        <w:rPr/>
        <w:t>元</w:t>
      </w:r>
    </w:p>
    <w:p>
      <w:pPr>
        <w:spacing w:line="240" w:lineRule="auto" w:before="10"/>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845"/>
        <w:gridCol w:w="1843"/>
        <w:gridCol w:w="1985"/>
        <w:gridCol w:w="1841"/>
        <w:gridCol w:w="2059"/>
      </w:tblGrid>
      <w:tr>
        <w:trPr>
          <w:trHeight w:val="161" w:hRule="exact"/>
        </w:trPr>
        <w:tc>
          <w:tcPr>
            <w:tcW w:w="1845" w:type="dxa"/>
            <w:tcBorders>
              <w:top w:val="single" w:sz="4" w:space="0" w:color="000000"/>
              <w:left w:val="single" w:sz="4" w:space="0" w:color="000000"/>
              <w:bottom w:val="nil" w:sz="6" w:space="0" w:color="auto"/>
              <w:right w:val="single" w:sz="4" w:space="0" w:color="000000"/>
            </w:tcBorders>
            <w:shd w:val="clear" w:color="auto" w:fill="D2D2D2"/>
          </w:tcPr>
          <w:p>
            <w:pPr/>
          </w:p>
        </w:tc>
        <w:tc>
          <w:tcPr>
            <w:tcW w:w="1843"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8"/>
              <w:ind w:left="75" w:right="72"/>
              <w:jc w:val="left"/>
              <w:rPr>
                <w:rFonts w:ascii="宋体" w:hAnsi="宋体" w:cs="宋体" w:eastAsia="宋体" w:hint="default"/>
                <w:sz w:val="21"/>
                <w:szCs w:val="21"/>
              </w:rPr>
            </w:pPr>
            <w:r>
              <w:rPr>
                <w:rFonts w:ascii="宋体" w:hAnsi="宋体" w:cs="宋体" w:eastAsia="宋体" w:hint="default"/>
                <w:sz w:val="21"/>
                <w:szCs w:val="21"/>
              </w:rPr>
              <w:t>递延所得税资产和</w:t>
            </w:r>
            <w:r>
              <w:rPr>
                <w:rFonts w:ascii="宋体" w:hAnsi="宋体" w:cs="宋体" w:eastAsia="宋体" w:hint="default"/>
                <w:w w:val="100"/>
                <w:sz w:val="21"/>
                <w:szCs w:val="21"/>
              </w:rPr>
              <w:t> </w:t>
            </w:r>
            <w:r>
              <w:rPr>
                <w:rFonts w:ascii="宋体" w:hAnsi="宋体" w:cs="宋体" w:eastAsia="宋体" w:hint="default"/>
                <w:sz w:val="21"/>
                <w:szCs w:val="21"/>
              </w:rPr>
              <w:t>负债期末互抵金额</w:t>
            </w:r>
          </w:p>
        </w:tc>
        <w:tc>
          <w:tcPr>
            <w:tcW w:w="1985"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8"/>
              <w:ind w:left="146" w:right="38" w:hanging="106"/>
              <w:jc w:val="left"/>
              <w:rPr>
                <w:rFonts w:ascii="宋体" w:hAnsi="宋体" w:cs="宋体" w:eastAsia="宋体" w:hint="default"/>
                <w:sz w:val="21"/>
                <w:szCs w:val="21"/>
              </w:rPr>
            </w:pPr>
            <w:r>
              <w:rPr>
                <w:rFonts w:ascii="宋体" w:hAnsi="宋体" w:cs="宋体" w:eastAsia="宋体" w:hint="default"/>
                <w:sz w:val="21"/>
                <w:szCs w:val="21"/>
              </w:rPr>
              <w:t>抵销后递延所得税资</w:t>
            </w:r>
            <w:r>
              <w:rPr>
                <w:rFonts w:ascii="宋体" w:hAnsi="宋体" w:cs="宋体" w:eastAsia="宋体" w:hint="default"/>
                <w:w w:val="100"/>
                <w:sz w:val="21"/>
                <w:szCs w:val="21"/>
              </w:rPr>
              <w:t> </w:t>
            </w:r>
            <w:r>
              <w:rPr>
                <w:rFonts w:ascii="宋体" w:hAnsi="宋体" w:cs="宋体" w:eastAsia="宋体" w:hint="default"/>
                <w:sz w:val="21"/>
                <w:szCs w:val="21"/>
              </w:rPr>
              <w:t>产或负债期末余额</w:t>
            </w:r>
          </w:p>
        </w:tc>
        <w:tc>
          <w:tcPr>
            <w:tcW w:w="1841"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8"/>
              <w:ind w:left="76" w:right="70"/>
              <w:jc w:val="left"/>
              <w:rPr>
                <w:rFonts w:ascii="宋体" w:hAnsi="宋体" w:cs="宋体" w:eastAsia="宋体" w:hint="default"/>
                <w:sz w:val="21"/>
                <w:szCs w:val="21"/>
              </w:rPr>
            </w:pPr>
            <w:r>
              <w:rPr>
                <w:rFonts w:ascii="宋体" w:hAnsi="宋体" w:cs="宋体" w:eastAsia="宋体" w:hint="default"/>
                <w:sz w:val="21"/>
                <w:szCs w:val="21"/>
              </w:rPr>
              <w:t>递延所得税资产和</w:t>
            </w:r>
            <w:r>
              <w:rPr>
                <w:rFonts w:ascii="宋体" w:hAnsi="宋体" w:cs="宋体" w:eastAsia="宋体" w:hint="default"/>
                <w:w w:val="100"/>
                <w:sz w:val="21"/>
                <w:szCs w:val="21"/>
              </w:rPr>
              <w:t> </w:t>
            </w:r>
            <w:r>
              <w:rPr>
                <w:rFonts w:ascii="宋体" w:hAnsi="宋体" w:cs="宋体" w:eastAsia="宋体" w:hint="default"/>
                <w:sz w:val="21"/>
                <w:szCs w:val="21"/>
              </w:rPr>
              <w:t>负债期初互抵金额</w:t>
            </w:r>
          </w:p>
        </w:tc>
        <w:tc>
          <w:tcPr>
            <w:tcW w:w="2059"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8"/>
              <w:ind w:left="187" w:right="72" w:hanging="106"/>
              <w:jc w:val="left"/>
              <w:rPr>
                <w:rFonts w:ascii="宋体" w:hAnsi="宋体" w:cs="宋体" w:eastAsia="宋体" w:hint="default"/>
                <w:sz w:val="21"/>
                <w:szCs w:val="21"/>
              </w:rPr>
            </w:pPr>
            <w:r>
              <w:rPr>
                <w:rFonts w:ascii="宋体" w:hAnsi="宋体" w:cs="宋体" w:eastAsia="宋体" w:hint="default"/>
                <w:sz w:val="21"/>
                <w:szCs w:val="21"/>
              </w:rPr>
              <w:t>抵销后递延所得税资</w:t>
            </w:r>
            <w:r>
              <w:rPr>
                <w:rFonts w:ascii="宋体" w:hAnsi="宋体" w:cs="宋体" w:eastAsia="宋体" w:hint="default"/>
                <w:w w:val="100"/>
                <w:sz w:val="21"/>
                <w:szCs w:val="21"/>
              </w:rPr>
              <w:t> </w:t>
            </w:r>
            <w:r>
              <w:rPr>
                <w:rFonts w:ascii="宋体" w:hAnsi="宋体" w:cs="宋体" w:eastAsia="宋体" w:hint="default"/>
                <w:sz w:val="21"/>
                <w:szCs w:val="21"/>
              </w:rPr>
              <w:t>产或负债期初余额</w:t>
            </w:r>
          </w:p>
        </w:tc>
      </w:tr>
      <w:tr>
        <w:trPr>
          <w:trHeight w:val="394" w:hRule="exact"/>
        </w:trPr>
        <w:tc>
          <w:tcPr>
            <w:tcW w:w="184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43" w:type="dxa"/>
            <w:vMerge/>
            <w:tcBorders>
              <w:left w:val="single" w:sz="4" w:space="0" w:color="000000"/>
              <w:right w:val="single" w:sz="4" w:space="0" w:color="000000"/>
            </w:tcBorders>
            <w:shd w:val="clear" w:color="auto" w:fill="D2D2D2"/>
          </w:tcPr>
          <w:p>
            <w:pPr/>
          </w:p>
        </w:tc>
        <w:tc>
          <w:tcPr>
            <w:tcW w:w="1985" w:type="dxa"/>
            <w:vMerge/>
            <w:tcBorders>
              <w:left w:val="single" w:sz="4" w:space="0" w:color="000000"/>
              <w:right w:val="single" w:sz="4" w:space="0" w:color="000000"/>
            </w:tcBorders>
            <w:shd w:val="clear" w:color="auto" w:fill="D2D2D2"/>
          </w:tcPr>
          <w:p>
            <w:pPr/>
          </w:p>
        </w:tc>
        <w:tc>
          <w:tcPr>
            <w:tcW w:w="1841" w:type="dxa"/>
            <w:vMerge/>
            <w:tcBorders>
              <w:left w:val="single" w:sz="4" w:space="0" w:color="000000"/>
              <w:right w:val="single" w:sz="4" w:space="0" w:color="000000"/>
            </w:tcBorders>
            <w:shd w:val="clear" w:color="auto" w:fill="D2D2D2"/>
          </w:tcPr>
          <w:p>
            <w:pPr/>
          </w:p>
        </w:tc>
        <w:tc>
          <w:tcPr>
            <w:tcW w:w="2059" w:type="dxa"/>
            <w:vMerge/>
            <w:tcBorders>
              <w:left w:val="single" w:sz="4" w:space="0" w:color="000000"/>
              <w:right w:val="single" w:sz="4" w:space="0" w:color="000000"/>
            </w:tcBorders>
            <w:shd w:val="clear" w:color="auto" w:fill="D2D2D2"/>
          </w:tcPr>
          <w:p>
            <w:pPr/>
          </w:p>
        </w:tc>
      </w:tr>
      <w:tr>
        <w:trPr>
          <w:trHeight w:val="161" w:hRule="exact"/>
        </w:trPr>
        <w:tc>
          <w:tcPr>
            <w:tcW w:w="1845" w:type="dxa"/>
            <w:tcBorders>
              <w:top w:val="nil" w:sz="6" w:space="0" w:color="auto"/>
              <w:left w:val="single" w:sz="4" w:space="0" w:color="000000"/>
              <w:bottom w:val="single" w:sz="4" w:space="0" w:color="000000"/>
              <w:right w:val="single" w:sz="4" w:space="0" w:color="000000"/>
            </w:tcBorders>
            <w:shd w:val="clear" w:color="auto" w:fill="D2D2D2"/>
          </w:tcPr>
          <w:p>
            <w:pPr/>
          </w:p>
        </w:tc>
        <w:tc>
          <w:tcPr>
            <w:tcW w:w="1843" w:type="dxa"/>
            <w:vMerge/>
            <w:tcBorders>
              <w:left w:val="single" w:sz="4" w:space="0" w:color="000000"/>
              <w:bottom w:val="single" w:sz="4" w:space="0" w:color="000000"/>
              <w:right w:val="single" w:sz="4" w:space="0" w:color="000000"/>
            </w:tcBorders>
            <w:shd w:val="clear" w:color="auto" w:fill="D2D2D2"/>
          </w:tcPr>
          <w:p>
            <w:pPr/>
          </w:p>
        </w:tc>
        <w:tc>
          <w:tcPr>
            <w:tcW w:w="1985" w:type="dxa"/>
            <w:vMerge/>
            <w:tcBorders>
              <w:left w:val="single" w:sz="4" w:space="0" w:color="000000"/>
              <w:bottom w:val="single" w:sz="4" w:space="0" w:color="000000"/>
              <w:right w:val="single" w:sz="4" w:space="0" w:color="000000"/>
            </w:tcBorders>
            <w:shd w:val="clear" w:color="auto" w:fill="D2D2D2"/>
          </w:tcPr>
          <w:p>
            <w:pPr/>
          </w:p>
        </w:tc>
        <w:tc>
          <w:tcPr>
            <w:tcW w:w="1841" w:type="dxa"/>
            <w:vMerge/>
            <w:tcBorders>
              <w:left w:val="single" w:sz="4" w:space="0" w:color="000000"/>
              <w:bottom w:val="single" w:sz="4" w:space="0" w:color="000000"/>
              <w:right w:val="single" w:sz="4" w:space="0" w:color="000000"/>
            </w:tcBorders>
            <w:shd w:val="clear" w:color="auto" w:fill="D2D2D2"/>
          </w:tcPr>
          <w:p>
            <w:pPr/>
          </w:p>
        </w:tc>
        <w:tc>
          <w:tcPr>
            <w:tcW w:w="2059"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843" w:type="dxa"/>
            <w:tcBorders>
              <w:top w:val="single" w:sz="4" w:space="0" w:color="000000"/>
              <w:left w:val="single" w:sz="9" w:space="0" w:color="D2D2D2"/>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941,098.95</w:t>
            </w:r>
          </w:p>
        </w:tc>
        <w:tc>
          <w:tcPr>
            <w:tcW w:w="1841" w:type="dxa"/>
            <w:tcBorders>
              <w:top w:val="single" w:sz="4" w:space="0" w:color="000000"/>
              <w:left w:val="single" w:sz="4" w:space="0" w:color="000000"/>
              <w:bottom w:val="single" w:sz="4" w:space="0" w:color="000000"/>
              <w:right w:val="single" w:sz="4" w:space="0" w:color="000000"/>
            </w:tcBorders>
          </w:tcPr>
          <w:p>
            <w:pP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664,239.97</w:t>
            </w:r>
          </w:p>
        </w:tc>
      </w:tr>
      <w:tr>
        <w:trPr>
          <w:trHeight w:val="403" w:hRule="exact"/>
        </w:trPr>
        <w:tc>
          <w:tcPr>
            <w:tcW w:w="1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843" w:type="dxa"/>
            <w:tcBorders>
              <w:top w:val="single" w:sz="4" w:space="0" w:color="000000"/>
              <w:left w:val="single" w:sz="9" w:space="0" w:color="D2D2D2"/>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658,968.56</w:t>
            </w:r>
          </w:p>
        </w:tc>
        <w:tc>
          <w:tcPr>
            <w:tcW w:w="1841" w:type="dxa"/>
            <w:tcBorders>
              <w:top w:val="single" w:sz="4" w:space="0" w:color="000000"/>
              <w:left w:val="single" w:sz="4" w:space="0" w:color="000000"/>
              <w:bottom w:val="single" w:sz="4" w:space="0" w:color="000000"/>
              <w:right w:val="single" w:sz="4" w:space="0" w:color="000000"/>
            </w:tcBorders>
          </w:tcPr>
          <w:p>
            <w:pP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669,197.01</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4</w:t>
      </w:r>
      <w:r>
        <w:rPr/>
        <w:t>）期末无未确认递延所得税资产。</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5</w:t>
      </w:r>
      <w:r>
        <w:rPr/>
        <w:t>）期末无未确认递延所得税资产的可抵扣亏损将于以下年度到期的情况。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16</w:t>
      </w:r>
      <w:r>
        <w:rPr/>
        <w:t>、其他非流动资产</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36"/>
        <w:ind w:left="0" w:right="254"/>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预付设备及工程款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2,090,012.25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3,733,705.68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2,090,012.25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3,733,705.68</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17</w:t>
      </w:r>
      <w:r>
        <w:rPr/>
        <w:t>、短期借款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left="0" w:right="254"/>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122,500,000.00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122,500,000.00</w:t>
            </w:r>
          </w:p>
        </w:tc>
      </w:tr>
    </w:tbl>
    <w:p>
      <w:pPr>
        <w:pStyle w:val="BodyText"/>
        <w:spacing w:line="256" w:lineRule="auto"/>
        <w:ind w:right="0" w:firstLine="420"/>
        <w:jc w:val="left"/>
      </w:pPr>
      <w:r>
        <w:rPr>
          <w:spacing w:val="-2"/>
        </w:rPr>
        <w:t>截止至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日公司尚未归还的短期借款形成原因：子公司扬州华声与交通银行股份有限公司</w:t>
      </w:r>
      <w:r>
        <w:rPr>
          <w:w w:val="100"/>
        </w:rPr>
        <w:t> </w:t>
      </w:r>
      <w:r>
        <w:rPr/>
        <w:t>扬州分行签订编号为</w:t>
      </w:r>
      <w:r>
        <w:rPr>
          <w:rFonts w:ascii="Times New Roman" w:hAnsi="Times New Roman" w:cs="Times New Roman" w:eastAsia="Times New Roman" w:hint="default"/>
        </w:rPr>
        <w:t>Z1506LN15631780</w:t>
      </w:r>
      <w:r>
        <w:rPr/>
        <w:t>的借款合同，以信用方式取得人民币</w:t>
      </w:r>
      <w:r>
        <w:rPr>
          <w:rFonts w:ascii="Times New Roman" w:hAnsi="Times New Roman" w:cs="Times New Roman" w:eastAsia="Times New Roman" w:hint="default"/>
        </w:rPr>
        <w:t>3,000.00</w:t>
      </w:r>
      <w:r>
        <w:rPr/>
        <w:t>万元借款，利率为固</w:t>
      </w:r>
      <w:r>
        <w:rPr>
          <w:w w:val="100"/>
        </w:rPr>
        <w:t> </w:t>
      </w:r>
      <w:r>
        <w:rPr>
          <w:spacing w:val="-2"/>
        </w:rPr>
        <w:t>定利率</w:t>
      </w:r>
      <w:r>
        <w:rPr>
          <w:rFonts w:ascii="Times New Roman" w:hAnsi="Times New Roman" w:cs="Times New Roman" w:eastAsia="Times New Roman" w:hint="default"/>
          <w:spacing w:val="-2"/>
        </w:rPr>
        <w:t>4.852425%</w:t>
      </w:r>
      <w:r>
        <w:rPr>
          <w:spacing w:val="-2"/>
        </w:rPr>
        <w:t>，期限为</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29</w:t>
      </w:r>
      <w:r>
        <w:rPr>
          <w:spacing w:val="-2"/>
        </w:rPr>
        <w:t>日至</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28</w:t>
      </w:r>
      <w:r>
        <w:rPr>
          <w:spacing w:val="-2"/>
        </w:rPr>
        <w:t>日。截止</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日该合同项下借款余额为</w:t>
      </w:r>
      <w:r>
        <w:rPr>
          <w:spacing w:val="6"/>
        </w:rPr>
        <w:t> </w:t>
      </w:r>
      <w:r>
        <w:rPr>
          <w:spacing w:val="6"/>
        </w:rPr>
      </w:r>
      <w:r>
        <w:rPr>
          <w:rFonts w:ascii="Times New Roman" w:hAnsi="Times New Roman" w:cs="Times New Roman" w:eastAsia="Times New Roman" w:hint="default"/>
        </w:rPr>
        <w:t>3,000.00</w:t>
      </w:r>
      <w:r>
        <w:rPr/>
        <w:t>万元。</w:t>
      </w:r>
    </w:p>
    <w:p>
      <w:pPr>
        <w:spacing w:line="240" w:lineRule="auto" w:before="5"/>
        <w:rPr>
          <w:rFonts w:ascii="宋体" w:hAnsi="宋体" w:cs="宋体" w:eastAsia="宋体" w:hint="default"/>
          <w:sz w:val="23"/>
          <w:szCs w:val="23"/>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）期末无已逾期未偿还的短期借款。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18</w:t>
      </w:r>
      <w:r>
        <w:rPr/>
        <w:t>、应付票据</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0" w:right="254"/>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7"/>
              <w:ind w:left="1855" w:right="0"/>
              <w:jc w:val="left"/>
              <w:rPr>
                <w:rFonts w:ascii="Times New Roman" w:hAnsi="Times New Roman" w:cs="Times New Roman" w:eastAsia="Times New Roman" w:hint="default"/>
                <w:sz w:val="21"/>
                <w:szCs w:val="21"/>
              </w:rPr>
            </w:pPr>
            <w:r>
              <w:rPr>
                <w:rFonts w:ascii="Times New Roman"/>
                <w:sz w:val="21"/>
              </w:rPr>
              <w:t>116,873,274.27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167,026,821.06</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信用证</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27,618,295.91</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855" w:right="0"/>
              <w:jc w:val="left"/>
              <w:rPr>
                <w:rFonts w:ascii="Times New Roman" w:hAnsi="Times New Roman" w:cs="Times New Roman" w:eastAsia="Times New Roman" w:hint="default"/>
                <w:sz w:val="21"/>
                <w:szCs w:val="21"/>
              </w:rPr>
            </w:pPr>
            <w:r>
              <w:rPr>
                <w:rFonts w:ascii="Times New Roman"/>
                <w:sz w:val="21"/>
              </w:rPr>
              <w:t>116,873,274.27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850" w:right="0"/>
              <w:jc w:val="left"/>
              <w:rPr>
                <w:rFonts w:ascii="Times New Roman" w:hAnsi="Times New Roman" w:cs="Times New Roman" w:eastAsia="Times New Roman" w:hint="default"/>
                <w:sz w:val="21"/>
                <w:szCs w:val="21"/>
              </w:rPr>
            </w:pPr>
            <w:r>
              <w:rPr>
                <w:rFonts w:ascii="Times New Roman"/>
                <w:sz w:val="21"/>
              </w:rPr>
              <w:t>194,645,116.97</w:t>
            </w:r>
          </w:p>
        </w:tc>
      </w:tr>
    </w:tbl>
    <w:p>
      <w:pPr>
        <w:pStyle w:val="BodyText"/>
        <w:spacing w:line="240" w:lineRule="auto" w:before="28"/>
        <w:ind w:left="573" w:right="0"/>
        <w:jc w:val="left"/>
      </w:pPr>
      <w:r>
        <w:rPr/>
        <w:t>期末无已到期未支付的应付票据。</w:t>
      </w:r>
    </w:p>
    <w:p>
      <w:pPr>
        <w:spacing w:line="240" w:lineRule="auto" w:before="8"/>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19</w:t>
      </w:r>
      <w:r>
        <w:rPr/>
        <w:t>、应付账款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）应付账款列示</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36"/>
        <w:ind w:left="0" w:right="254"/>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年以内（含</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74,601,619.32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126,947,543.72</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年（含</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3,821,714.06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345,610.13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年（含</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75,242.80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184,530.74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2"/>
                <w:sz w:val="21"/>
              </w:rPr>
              <w:t>936,911.38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831,806.14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79,435,487.56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128,309,490.73</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）期末无账龄超过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年的重要应付账款。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20</w:t>
      </w:r>
      <w:r>
        <w:rPr/>
        <w:t>、预收款项</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left="0" w:right="254"/>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年以内（含</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2,349,802.35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1,577,339.55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2,352,802.35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1,577,339.55</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）期末无账龄超过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年的重要预收款项。</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）期末无建造合同形成的已结算未完工项目。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21</w:t>
      </w:r>
      <w:r>
        <w:rPr/>
        <w:t>、应付职工薪酬</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left="0" w:right="254"/>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097"/>
        <w:gridCol w:w="1622"/>
        <w:gridCol w:w="1613"/>
        <w:gridCol w:w="1613"/>
        <w:gridCol w:w="1615"/>
      </w:tblGrid>
      <w:tr>
        <w:trPr>
          <w:trHeight w:val="401"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9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8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8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83"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403"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一、短期薪酬</w:t>
            </w:r>
          </w:p>
        </w:tc>
        <w:tc>
          <w:tcPr>
            <w:tcW w:w="16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2"/>
                <w:sz w:val="21"/>
              </w:rPr>
              <w:t>16,645,311.82</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93,828,659.98</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99,221,935.98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2"/>
                <w:sz w:val="21"/>
              </w:rPr>
              <w:t>11,252,035.82</w:t>
            </w:r>
          </w:p>
        </w:tc>
      </w:tr>
      <w:tr>
        <w:trPr>
          <w:trHeight w:val="401"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二、离职后福利</w:t>
            </w:r>
            <w:r>
              <w:rPr>
                <w:rFonts w:ascii="Times New Roman" w:hAnsi="Times New Roman" w:cs="Times New Roman" w:eastAsia="Times New Roman" w:hint="default"/>
                <w:sz w:val="21"/>
                <w:szCs w:val="21"/>
              </w:rPr>
              <w:t>-</w:t>
            </w:r>
            <w:r>
              <w:rPr>
                <w:rFonts w:ascii="宋体" w:hAnsi="宋体" w:cs="宋体" w:eastAsia="宋体" w:hint="default"/>
                <w:sz w:val="21"/>
                <w:szCs w:val="21"/>
              </w:rPr>
              <w:t>设定提存计划</w:t>
            </w:r>
          </w:p>
        </w:tc>
        <w:tc>
          <w:tcPr>
            <w:tcW w:w="16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2,176.90</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3,707,067.94</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3,709,244.84</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三、辞退福利</w:t>
            </w:r>
          </w:p>
        </w:tc>
        <w:tc>
          <w:tcPr>
            <w:tcW w:w="1622" w:type="dxa"/>
            <w:tcBorders>
              <w:top w:val="single" w:sz="4" w:space="0" w:color="000000"/>
              <w:left w:val="single" w:sz="13" w:space="0" w:color="D2D2D2"/>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544,494.00</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458,494.00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86,000.00</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20"/>
        <w:gridCol w:w="1610"/>
        <w:gridCol w:w="1613"/>
        <w:gridCol w:w="1613"/>
        <w:gridCol w:w="1615"/>
      </w:tblGrid>
      <w:tr>
        <w:trPr>
          <w:trHeight w:val="404" w:hRule="exact"/>
        </w:trPr>
        <w:tc>
          <w:tcPr>
            <w:tcW w:w="3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71" w:right="0"/>
              <w:jc w:val="left"/>
              <w:rPr>
                <w:rFonts w:ascii="Times New Roman" w:hAnsi="Times New Roman" w:cs="Times New Roman" w:eastAsia="Times New Roman" w:hint="default"/>
                <w:sz w:val="21"/>
                <w:szCs w:val="21"/>
              </w:rPr>
            </w:pPr>
            <w:r>
              <w:rPr>
                <w:rFonts w:ascii="Times New Roman"/>
                <w:sz w:val="21"/>
              </w:rPr>
              <w:t>16,647,488.72</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74" w:right="0"/>
              <w:jc w:val="left"/>
              <w:rPr>
                <w:rFonts w:ascii="Times New Roman" w:hAnsi="Times New Roman" w:cs="Times New Roman" w:eastAsia="Times New Roman" w:hint="default"/>
                <w:sz w:val="21"/>
                <w:szCs w:val="21"/>
              </w:rPr>
            </w:pPr>
            <w:r>
              <w:rPr>
                <w:rFonts w:ascii="Times New Roman"/>
                <w:sz w:val="21"/>
              </w:rPr>
              <w:t>98,080,221.92</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68" w:right="0"/>
              <w:jc w:val="left"/>
              <w:rPr>
                <w:rFonts w:ascii="Times New Roman" w:hAnsi="Times New Roman" w:cs="Times New Roman" w:eastAsia="Times New Roman" w:hint="default"/>
                <w:sz w:val="21"/>
                <w:szCs w:val="21"/>
              </w:rPr>
            </w:pPr>
            <w:r>
              <w:rPr>
                <w:rFonts w:ascii="Times New Roman"/>
                <w:sz w:val="21"/>
              </w:rPr>
              <w:t>103,389,674.82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83" w:right="0"/>
              <w:jc w:val="left"/>
              <w:rPr>
                <w:rFonts w:ascii="Times New Roman" w:hAnsi="Times New Roman" w:cs="Times New Roman" w:eastAsia="Times New Roman" w:hint="default"/>
                <w:sz w:val="21"/>
                <w:szCs w:val="21"/>
              </w:rPr>
            </w:pPr>
            <w:r>
              <w:rPr>
                <w:rFonts w:ascii="Times New Roman"/>
                <w:sz w:val="21"/>
              </w:rPr>
              <w:t>11,338,035.82</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36"/>
        <w:ind w:left="0" w:right="254"/>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097"/>
        <w:gridCol w:w="1622"/>
        <w:gridCol w:w="1613"/>
        <w:gridCol w:w="1613"/>
        <w:gridCol w:w="1615"/>
      </w:tblGrid>
      <w:tr>
        <w:trPr>
          <w:trHeight w:val="401"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9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8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8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83"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403"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、工资、奖金、津贴和补贴</w:t>
            </w:r>
          </w:p>
        </w:tc>
        <w:tc>
          <w:tcPr>
            <w:tcW w:w="16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14,901,744.37</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83,911,563.61</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88,178,633.50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10,634,674.48</w:t>
            </w:r>
          </w:p>
        </w:tc>
      </w:tr>
      <w:tr>
        <w:trPr>
          <w:trHeight w:val="401"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、职工福利费</w:t>
            </w:r>
          </w:p>
        </w:tc>
        <w:tc>
          <w:tcPr>
            <w:tcW w:w="16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1,718,824.30</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6,067,430.81</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7,218,595.77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567,659.34</w:t>
            </w:r>
          </w:p>
        </w:tc>
      </w:tr>
      <w:tr>
        <w:trPr>
          <w:trHeight w:val="403"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、社会保险费</w:t>
            </w:r>
          </w:p>
        </w:tc>
        <w:tc>
          <w:tcPr>
            <w:tcW w:w="16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24,743.15</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2,621,000.76</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2,645,743.91</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其中：医疗保险费</w:t>
            </w:r>
          </w:p>
        </w:tc>
        <w:tc>
          <w:tcPr>
            <w:tcW w:w="16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2"/>
                <w:sz w:val="21"/>
              </w:rPr>
              <w:t>911.25</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1,873,304.66</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1,874,215.91</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left="1063" w:right="0"/>
              <w:jc w:val="left"/>
              <w:rPr>
                <w:rFonts w:ascii="宋体" w:hAnsi="宋体" w:cs="宋体" w:eastAsia="宋体" w:hint="default"/>
                <w:sz w:val="21"/>
                <w:szCs w:val="21"/>
              </w:rPr>
            </w:pPr>
            <w:r>
              <w:rPr>
                <w:rFonts w:ascii="宋体" w:hAnsi="宋体" w:cs="宋体" w:eastAsia="宋体" w:hint="default"/>
                <w:sz w:val="21"/>
                <w:szCs w:val="21"/>
              </w:rPr>
              <w:t>工伤保险费</w:t>
            </w:r>
          </w:p>
        </w:tc>
        <w:tc>
          <w:tcPr>
            <w:tcW w:w="16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8"/>
              <w:ind w:right="17"/>
              <w:jc w:val="right"/>
              <w:rPr>
                <w:rFonts w:ascii="Times New Roman" w:hAnsi="Times New Roman" w:cs="Times New Roman" w:eastAsia="Times New Roman" w:hint="default"/>
                <w:sz w:val="21"/>
                <w:szCs w:val="21"/>
              </w:rPr>
            </w:pPr>
            <w:r>
              <w:rPr>
                <w:rFonts w:ascii="Times New Roman"/>
                <w:spacing w:val="-1"/>
                <w:sz w:val="21"/>
              </w:rPr>
              <w:t>23,730.65</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7"/>
              <w:jc w:val="right"/>
              <w:rPr>
                <w:rFonts w:ascii="Times New Roman" w:hAnsi="Times New Roman" w:cs="Times New Roman" w:eastAsia="Times New Roman" w:hint="default"/>
                <w:sz w:val="21"/>
                <w:szCs w:val="21"/>
              </w:rPr>
            </w:pPr>
            <w:r>
              <w:rPr>
                <w:rFonts w:ascii="Times New Roman"/>
                <w:spacing w:val="-1"/>
                <w:sz w:val="21"/>
              </w:rPr>
              <w:t>512,476.79</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7"/>
              <w:jc w:val="right"/>
              <w:rPr>
                <w:rFonts w:ascii="Times New Roman" w:hAnsi="Times New Roman" w:cs="Times New Roman" w:eastAsia="Times New Roman" w:hint="default"/>
                <w:sz w:val="21"/>
                <w:szCs w:val="21"/>
              </w:rPr>
            </w:pPr>
            <w:r>
              <w:rPr>
                <w:rFonts w:ascii="Times New Roman"/>
                <w:spacing w:val="-1"/>
                <w:sz w:val="21"/>
              </w:rPr>
              <w:t>536,207.44</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63" w:right="0"/>
              <w:jc w:val="left"/>
              <w:rPr>
                <w:rFonts w:ascii="宋体" w:hAnsi="宋体" w:cs="宋体" w:eastAsia="宋体" w:hint="default"/>
                <w:sz w:val="21"/>
                <w:szCs w:val="21"/>
              </w:rPr>
            </w:pPr>
            <w:r>
              <w:rPr>
                <w:rFonts w:ascii="宋体" w:hAnsi="宋体" w:cs="宋体" w:eastAsia="宋体" w:hint="default"/>
                <w:sz w:val="21"/>
                <w:szCs w:val="21"/>
              </w:rPr>
              <w:t>生育保险费</w:t>
            </w:r>
          </w:p>
        </w:tc>
        <w:tc>
          <w:tcPr>
            <w:tcW w:w="16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101.25</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235,219.31</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235,320.56</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、住房公积金</w:t>
            </w:r>
          </w:p>
        </w:tc>
        <w:tc>
          <w:tcPr>
            <w:tcW w:w="1622" w:type="dxa"/>
            <w:tcBorders>
              <w:top w:val="single" w:sz="4" w:space="0" w:color="000000"/>
              <w:left w:val="single" w:sz="13" w:space="0" w:color="D2D2D2"/>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1,143,291.80</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1,093,589.80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49,702.00</w:t>
            </w:r>
          </w:p>
        </w:tc>
      </w:tr>
      <w:tr>
        <w:trPr>
          <w:trHeight w:val="401"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、工会经费和职工教育经费</w:t>
            </w:r>
          </w:p>
        </w:tc>
        <w:tc>
          <w:tcPr>
            <w:tcW w:w="1622" w:type="dxa"/>
            <w:tcBorders>
              <w:top w:val="single" w:sz="4" w:space="0" w:color="000000"/>
              <w:left w:val="single" w:sz="13" w:space="0" w:color="D2D2D2"/>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85,373.00</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85,373.00</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2"/>
                <w:sz w:val="21"/>
              </w:rPr>
              <w:t>16,645,311.82</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93,828,659.98</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99,221,935.98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2"/>
                <w:sz w:val="21"/>
              </w:rPr>
              <w:t>11,252,035.82</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left="0" w:right="254"/>
        <w:jc w:val="right"/>
      </w:pPr>
      <w:r>
        <w:rPr/>
        <w:t>单位：</w:t>
      </w:r>
      <w:r>
        <w:rPr>
          <w:spacing w:val="2"/>
        </w:rPr>
        <w:t> </w:t>
      </w:r>
      <w:r>
        <w:rPr/>
        <w:t>元</w:t>
      </w:r>
    </w:p>
    <w:p>
      <w:pPr>
        <w:spacing w:line="240" w:lineRule="auto" w:before="10"/>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097"/>
        <w:gridCol w:w="1622"/>
        <w:gridCol w:w="1613"/>
        <w:gridCol w:w="1613"/>
        <w:gridCol w:w="1615"/>
      </w:tblGrid>
      <w:tr>
        <w:trPr>
          <w:trHeight w:val="404"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9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8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8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83"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401"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、基本养老保险</w:t>
            </w:r>
          </w:p>
        </w:tc>
        <w:tc>
          <w:tcPr>
            <w:tcW w:w="16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2,025.00</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3,528,831.13</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3,530,856.13</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、失业保险费</w:t>
            </w:r>
          </w:p>
        </w:tc>
        <w:tc>
          <w:tcPr>
            <w:tcW w:w="16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151.90</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178,236.81</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178,388.71</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2,176.90</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3,707,067.94</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3,709,244.84</w:t>
            </w:r>
          </w:p>
        </w:tc>
        <w:tc>
          <w:tcPr>
            <w:tcW w:w="161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22</w:t>
      </w:r>
      <w:r>
        <w:rPr/>
        <w:t>、应交税费</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left="0" w:right="254"/>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176"/>
        <w:gridCol w:w="3192"/>
        <w:gridCol w:w="3190"/>
      </w:tblGrid>
      <w:tr>
        <w:trPr>
          <w:trHeight w:val="401"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5"/>
              <w:jc w:val="center"/>
              <w:rPr>
                <w:rFonts w:ascii="宋体" w:hAnsi="宋体" w:cs="宋体" w:eastAsia="宋体" w:hint="default"/>
                <w:sz w:val="21"/>
                <w:szCs w:val="21"/>
              </w:rPr>
            </w:pPr>
            <w:r>
              <w:rPr>
                <w:rFonts w:ascii="宋体" w:hAnsi="宋体" w:cs="宋体" w:eastAsia="宋体" w:hint="default"/>
                <w:sz w:val="21"/>
                <w:szCs w:val="21"/>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4"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12,093,740.95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6,960,052.17</w:t>
            </w:r>
          </w:p>
        </w:tc>
      </w:tr>
      <w:tr>
        <w:trPr>
          <w:trHeight w:val="401"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1,181,329.81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2,835,447.78</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59,965.49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65,596.47</w:t>
            </w:r>
          </w:p>
        </w:tc>
      </w:tr>
      <w:tr>
        <w:trPr>
          <w:trHeight w:val="401"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866,535.99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522,929.34</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2"/>
                <w:sz w:val="21"/>
              </w:rPr>
              <w:t>1,115,716.21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783,997.89</w:t>
            </w:r>
          </w:p>
        </w:tc>
      </w:tr>
      <w:tr>
        <w:trPr>
          <w:trHeight w:val="401"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618,954.29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373,520.95</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406,630.31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387,207.30</w:t>
            </w:r>
          </w:p>
        </w:tc>
      </w:tr>
      <w:tr>
        <w:trPr>
          <w:trHeight w:val="401"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堤围防护费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121,348.90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184,654.22</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16,464,221.95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2"/>
                <w:sz w:val="21"/>
              </w:rPr>
              <w:t>12,113,406.12</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979" w:top="1100" w:bottom="1160" w:left="980" w:right="980"/>
        </w:sectPr>
      </w:pPr>
    </w:p>
    <w:p>
      <w:pPr>
        <w:spacing w:line="240" w:lineRule="auto" w:before="11"/>
        <w:rPr>
          <w:rFonts w:ascii="宋体" w:hAnsi="宋体" w:cs="宋体" w:eastAsia="宋体" w:hint="default"/>
          <w:sz w:val="20"/>
          <w:szCs w:val="20"/>
        </w:rPr>
      </w:pPr>
    </w:p>
    <w:p>
      <w:pPr>
        <w:pStyle w:val="Heading4"/>
        <w:spacing w:line="240" w:lineRule="auto" w:before="36"/>
        <w:ind w:right="0"/>
        <w:jc w:val="left"/>
        <w:rPr>
          <w:b w:val="0"/>
          <w:bCs w:val="0"/>
        </w:rPr>
      </w:pPr>
      <w:r>
        <w:rPr>
          <w:rFonts w:ascii="Times New Roman" w:hAnsi="Times New Roman" w:cs="Times New Roman" w:eastAsia="Times New Roman" w:hint="default"/>
        </w:rPr>
        <w:t>23</w:t>
      </w:r>
      <w:r>
        <w:rPr/>
        <w:t>、应付利息</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left="0" w:right="254"/>
        <w:jc w:val="right"/>
      </w:pPr>
      <w:r>
        <w:rPr/>
        <w:t>单位：</w:t>
      </w:r>
      <w:r>
        <w:rPr>
          <w:spacing w:val="2"/>
        </w:rPr>
        <w:t> </w:t>
      </w:r>
      <w:r>
        <w:rPr/>
        <w:t>元</w:t>
      </w:r>
    </w:p>
    <w:p>
      <w:pPr>
        <w:spacing w:line="240" w:lineRule="auto" w:before="10"/>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380"/>
        <w:gridCol w:w="3094"/>
        <w:gridCol w:w="3085"/>
      </w:tblGrid>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分期付息到期还本的长期借款利息</w:t>
            </w:r>
          </w:p>
        </w:tc>
        <w:tc>
          <w:tcPr>
            <w:tcW w:w="3094" w:type="dxa"/>
            <w:tcBorders>
              <w:top w:val="single" w:sz="4" w:space="0" w:color="000000"/>
              <w:left w:val="single" w:sz="13" w:space="0" w:color="D2D2D2"/>
              <w:bottom w:val="single" w:sz="4" w:space="0" w:color="000000"/>
              <w:right w:val="single" w:sz="4" w:space="0" w:color="000000"/>
            </w:tcBorders>
          </w:tcPr>
          <w:p>
            <w:pPr/>
          </w:p>
        </w:tc>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226,183.33</w:t>
            </w: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短期借款应付利息</w:t>
            </w:r>
          </w:p>
        </w:tc>
        <w:tc>
          <w:tcPr>
            <w:tcW w:w="30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40,437.00</w:t>
            </w:r>
          </w:p>
        </w:tc>
        <w:tc>
          <w:tcPr>
            <w:tcW w:w="30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0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40,437.00</w:t>
            </w:r>
          </w:p>
        </w:tc>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226,183.33</w:t>
            </w:r>
          </w:p>
        </w:tc>
      </w:tr>
    </w:tbl>
    <w:p>
      <w:pPr>
        <w:pStyle w:val="BodyText"/>
        <w:spacing w:line="240" w:lineRule="auto" w:before="28"/>
        <w:ind w:left="573" w:right="0"/>
        <w:jc w:val="left"/>
      </w:pPr>
      <w:r>
        <w:rPr/>
        <w:t>期末无重要的已逾期未支付的利息。</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24</w:t>
      </w:r>
      <w:r>
        <w:rPr/>
        <w:t>、其他应付款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36"/>
        <w:ind w:left="0" w:right="254"/>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5,550,327.97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2,065,239.86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保证金</w:t>
            </w:r>
            <w:r>
              <w:rPr>
                <w:rFonts w:ascii="Times New Roman" w:hAnsi="Times New Roman" w:cs="Times New Roman" w:eastAsia="Times New Roman" w:hint="default"/>
                <w:sz w:val="21"/>
                <w:szCs w:val="21"/>
              </w:rPr>
              <w:t>/</w:t>
            </w:r>
            <w:r>
              <w:rPr>
                <w:rFonts w:ascii="宋体" w:hAnsi="宋体" w:cs="宋体" w:eastAsia="宋体" w:hint="default"/>
                <w:sz w:val="21"/>
                <w:szCs w:val="21"/>
              </w:rPr>
              <w:t>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1,075,128.00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2,880,064.00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个人报销款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449,253.07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车间基金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239,245.43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136,768.58</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代缴社保及公积金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233,862.88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助学扶贫基金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30,589.53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140,185.56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7,578,406.88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5,222,258.00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）期末无账龄超过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年的重要其他应付款。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25</w:t>
      </w:r>
      <w:r>
        <w:rPr/>
        <w:t>、一年内到期的非流动负债</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left="0" w:right="254"/>
        <w:jc w:val="right"/>
      </w:pPr>
      <w:r>
        <w:rPr/>
        <w:t>单位：</w:t>
      </w:r>
      <w:r>
        <w:rPr>
          <w:spacing w:val="2"/>
        </w:rPr>
        <w:t> </w:t>
      </w:r>
      <w:r>
        <w:rPr/>
        <w:t>元</w:t>
      </w:r>
    </w:p>
    <w:p>
      <w:pPr>
        <w:spacing w:line="240" w:lineRule="auto" w:before="10"/>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一年内到期的长期借款</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25,000,000.00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25,000,000.00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26</w:t>
      </w:r>
      <w:r>
        <w:rPr/>
        <w:t>、长期借款</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）长期借款分类</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left="0" w:right="254"/>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bl>
    <w:p>
      <w:pPr>
        <w:spacing w:after="0" w:line="240" w:lineRule="auto"/>
        <w:jc w:val="center"/>
        <w:rPr>
          <w:rFonts w:ascii="宋体" w:hAnsi="宋体" w:cs="宋体" w:eastAsia="宋体" w:hint="default"/>
          <w:sz w:val="21"/>
          <w:szCs w:val="21"/>
        </w:rPr>
        <w:sectPr>
          <w:pgSz w:w="11910" w:h="16840"/>
          <w:pgMar w:header="0"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25,000,000.00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25,000,000.00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27</w:t>
      </w:r>
      <w:r>
        <w:rPr/>
        <w:t>、递延收益</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left="0" w:right="254"/>
        <w:jc w:val="right"/>
      </w:pPr>
      <w:r>
        <w:rPr/>
        <w:t>单位：</w:t>
      </w:r>
      <w:r>
        <w:rPr>
          <w:spacing w:val="2"/>
        </w:rPr>
        <w:t> </w:t>
      </w:r>
      <w:r>
        <w:rPr/>
        <w:t>元</w:t>
      </w:r>
    </w:p>
    <w:p>
      <w:pPr>
        <w:spacing w:line="240" w:lineRule="auto" w:before="10"/>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104"/>
        <w:gridCol w:w="996"/>
        <w:gridCol w:w="1277"/>
        <w:gridCol w:w="991"/>
        <w:gridCol w:w="1277"/>
        <w:gridCol w:w="1910"/>
      </w:tblGrid>
      <w:tr>
        <w:trPr>
          <w:trHeight w:val="403" w:hRule="exact"/>
        </w:trPr>
        <w:tc>
          <w:tcPr>
            <w:tcW w:w="3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10"/>
              <w:jc w:val="center"/>
              <w:rPr>
                <w:rFonts w:ascii="宋体" w:hAnsi="宋体" w:cs="宋体" w:eastAsia="宋体" w:hint="default"/>
                <w:sz w:val="21"/>
                <w:szCs w:val="21"/>
              </w:rPr>
            </w:pPr>
            <w:r>
              <w:rPr>
                <w:rFonts w:ascii="宋体" w:hAnsi="宋体" w:cs="宋体" w:eastAsia="宋体" w:hint="default"/>
                <w:sz w:val="21"/>
                <w:szCs w:val="21"/>
              </w:rPr>
              <w:t>项目</w:t>
            </w:r>
          </w:p>
        </w:tc>
        <w:tc>
          <w:tcPr>
            <w:tcW w:w="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7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7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13"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 w:right="0"/>
              <w:jc w:val="center"/>
              <w:rPr>
                <w:rFonts w:ascii="宋体" w:hAnsi="宋体" w:cs="宋体" w:eastAsia="宋体" w:hint="default"/>
                <w:sz w:val="21"/>
                <w:szCs w:val="21"/>
              </w:rPr>
            </w:pPr>
            <w:r>
              <w:rPr>
                <w:rFonts w:ascii="宋体" w:hAnsi="宋体" w:cs="宋体" w:eastAsia="宋体" w:hint="default"/>
                <w:sz w:val="21"/>
                <w:szCs w:val="21"/>
              </w:rPr>
              <w:t>形成原因</w:t>
            </w:r>
          </w:p>
        </w:tc>
      </w:tr>
      <w:tr>
        <w:trPr>
          <w:trHeight w:val="161" w:hRule="exact"/>
        </w:trPr>
        <w:tc>
          <w:tcPr>
            <w:tcW w:w="3104" w:type="dxa"/>
            <w:tcBorders>
              <w:top w:val="single" w:sz="4" w:space="0" w:color="000000"/>
              <w:left w:val="single" w:sz="4" w:space="0" w:color="000000"/>
              <w:bottom w:val="nil" w:sz="6" w:space="0" w:color="auto"/>
              <w:right w:val="single" w:sz="4" w:space="0" w:color="000000"/>
            </w:tcBorders>
            <w:shd w:val="clear" w:color="auto" w:fill="D2D2D2"/>
          </w:tcPr>
          <w:p>
            <w:pPr/>
          </w:p>
        </w:tc>
        <w:tc>
          <w:tcPr>
            <w:tcW w:w="996" w:type="dxa"/>
            <w:vMerge w:val="restart"/>
            <w:tcBorders>
              <w:top w:val="single" w:sz="4" w:space="0" w:color="000000"/>
              <w:left w:val="single" w:sz="10" w:space="0" w:color="D2D2D2"/>
              <w:right w:val="single" w:sz="4" w:space="0" w:color="000000"/>
            </w:tcBorders>
          </w:tcPr>
          <w:p>
            <w:pP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41" w:right="0"/>
              <w:jc w:val="left"/>
              <w:rPr>
                <w:rFonts w:ascii="Times New Roman" w:hAnsi="Times New Roman" w:cs="Times New Roman" w:eastAsia="Times New Roman" w:hint="default"/>
                <w:sz w:val="21"/>
                <w:szCs w:val="21"/>
              </w:rPr>
            </w:pPr>
            <w:r>
              <w:rPr>
                <w:rFonts w:ascii="Times New Roman"/>
                <w:sz w:val="21"/>
              </w:rPr>
              <w:t>1,670,000.00</w:t>
            </w:r>
          </w:p>
        </w:tc>
        <w:tc>
          <w:tcPr>
            <w:tcW w:w="991" w:type="dxa"/>
            <w:vMerge w:val="restart"/>
            <w:tcBorders>
              <w:top w:val="single" w:sz="4" w:space="0" w:color="000000"/>
              <w:left w:val="single" w:sz="4" w:space="0" w:color="000000"/>
              <w:right w:val="single" w:sz="4" w:space="0" w:color="000000"/>
            </w:tcBorders>
          </w:tcPr>
          <w:p>
            <w:pP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41" w:right="0"/>
              <w:jc w:val="left"/>
              <w:rPr>
                <w:rFonts w:ascii="Times New Roman" w:hAnsi="Times New Roman" w:cs="Times New Roman" w:eastAsia="Times New Roman" w:hint="default"/>
                <w:sz w:val="21"/>
                <w:szCs w:val="21"/>
              </w:rPr>
            </w:pPr>
            <w:r>
              <w:rPr>
                <w:rFonts w:ascii="Times New Roman"/>
                <w:sz w:val="21"/>
              </w:rPr>
              <w:t>1,670,000.00</w:t>
            </w:r>
          </w:p>
        </w:tc>
        <w:tc>
          <w:tcPr>
            <w:tcW w:w="1910" w:type="dxa"/>
            <w:vMerge w:val="restart"/>
            <w:tcBorders>
              <w:top w:val="single" w:sz="4" w:space="0" w:color="000000"/>
              <w:left w:val="single" w:sz="4" w:space="0" w:color="000000"/>
              <w:right w:val="single" w:sz="4" w:space="0" w:color="000000"/>
            </w:tcBorders>
          </w:tcPr>
          <w:p>
            <w:pPr>
              <w:pStyle w:val="TableParagraph"/>
              <w:spacing w:line="273" w:lineRule="auto" w:before="28"/>
              <w:ind w:left="23" w:right="17"/>
              <w:jc w:val="left"/>
              <w:rPr>
                <w:rFonts w:ascii="宋体" w:hAnsi="宋体" w:cs="宋体" w:eastAsia="宋体" w:hint="default"/>
                <w:sz w:val="21"/>
                <w:szCs w:val="21"/>
              </w:rPr>
            </w:pPr>
            <w:r>
              <w:rPr>
                <w:rFonts w:ascii="宋体" w:hAnsi="宋体" w:cs="宋体" w:eastAsia="宋体" w:hint="default"/>
                <w:spacing w:val="-5"/>
                <w:sz w:val="21"/>
                <w:szCs w:val="21"/>
              </w:rPr>
              <w:t>收到补助，尚未满足</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项目结转条件</w:t>
            </w:r>
          </w:p>
        </w:tc>
      </w:tr>
      <w:tr>
        <w:trPr>
          <w:trHeight w:val="391" w:hRule="exact"/>
        </w:trPr>
        <w:tc>
          <w:tcPr>
            <w:tcW w:w="31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996" w:type="dxa"/>
            <w:vMerge/>
            <w:tcBorders>
              <w:left w:val="single" w:sz="10" w:space="0" w:color="D2D2D2"/>
              <w:right w:val="single" w:sz="4" w:space="0" w:color="000000"/>
            </w:tcBorders>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910" w:type="dxa"/>
            <w:vMerge/>
            <w:tcBorders>
              <w:left w:val="single" w:sz="4" w:space="0" w:color="000000"/>
              <w:right w:val="single" w:sz="4" w:space="0" w:color="000000"/>
            </w:tcBorders>
          </w:tcPr>
          <w:p>
            <w:pPr/>
          </w:p>
        </w:tc>
      </w:tr>
      <w:tr>
        <w:trPr>
          <w:trHeight w:val="161" w:hRule="exact"/>
        </w:trPr>
        <w:tc>
          <w:tcPr>
            <w:tcW w:w="3104" w:type="dxa"/>
            <w:tcBorders>
              <w:top w:val="nil" w:sz="6" w:space="0" w:color="auto"/>
              <w:left w:val="single" w:sz="4" w:space="0" w:color="000000"/>
              <w:bottom w:val="single" w:sz="4" w:space="0" w:color="000000"/>
              <w:right w:val="single" w:sz="4" w:space="0" w:color="000000"/>
            </w:tcBorders>
            <w:shd w:val="clear" w:color="auto" w:fill="D2D2D2"/>
          </w:tcPr>
          <w:p>
            <w:pPr/>
          </w:p>
        </w:tc>
        <w:tc>
          <w:tcPr>
            <w:tcW w:w="996" w:type="dxa"/>
            <w:vMerge/>
            <w:tcBorders>
              <w:left w:val="single" w:sz="10" w:space="0" w:color="D2D2D2"/>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910" w:type="dxa"/>
            <w:vMerge/>
            <w:tcBorders>
              <w:left w:val="single" w:sz="4" w:space="0" w:color="000000"/>
              <w:bottom w:val="single" w:sz="4" w:space="0" w:color="000000"/>
              <w:right w:val="single" w:sz="4" w:space="0" w:color="000000"/>
            </w:tcBorders>
          </w:tcPr>
          <w:p>
            <w:pPr/>
          </w:p>
        </w:tc>
      </w:tr>
      <w:tr>
        <w:trPr>
          <w:trHeight w:val="403" w:hRule="exact"/>
        </w:trPr>
        <w:tc>
          <w:tcPr>
            <w:tcW w:w="3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996" w:type="dxa"/>
            <w:tcBorders>
              <w:top w:val="single" w:sz="4" w:space="0" w:color="000000"/>
              <w:left w:val="single" w:sz="13" w:space="0" w:color="D2D2D2"/>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19" w:right="0"/>
              <w:jc w:val="center"/>
              <w:rPr>
                <w:rFonts w:ascii="Times New Roman" w:hAnsi="Times New Roman" w:cs="Times New Roman" w:eastAsia="Times New Roman" w:hint="default"/>
                <w:sz w:val="21"/>
                <w:szCs w:val="21"/>
              </w:rPr>
            </w:pPr>
            <w:r>
              <w:rPr>
                <w:rFonts w:ascii="Times New Roman"/>
                <w:sz w:val="21"/>
              </w:rPr>
              <w:t>1,670,000.00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41" w:right="0"/>
              <w:jc w:val="left"/>
              <w:rPr>
                <w:rFonts w:ascii="Times New Roman" w:hAnsi="Times New Roman" w:cs="Times New Roman" w:eastAsia="Times New Roman" w:hint="default"/>
                <w:sz w:val="21"/>
                <w:szCs w:val="21"/>
              </w:rPr>
            </w:pPr>
            <w:r>
              <w:rPr>
                <w:rFonts w:ascii="Times New Roman"/>
                <w:sz w:val="21"/>
              </w:rPr>
              <w:t>1,670,000.00</w:t>
            </w:r>
          </w:p>
        </w:tc>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right="0"/>
              <w:jc w:val="center"/>
              <w:rPr>
                <w:rFonts w:ascii="Times New Roman" w:hAnsi="Times New Roman" w:cs="Times New Roman" w:eastAsia="Times New Roman" w:hint="default"/>
                <w:sz w:val="21"/>
                <w:szCs w:val="21"/>
              </w:rPr>
            </w:pPr>
            <w:r>
              <w:rPr>
                <w:rFonts w:ascii="Times New Roman"/>
                <w:sz w:val="21"/>
              </w:rPr>
              <w:t>--</w:t>
            </w:r>
          </w:p>
        </w:tc>
      </w:tr>
    </w:tbl>
    <w:p>
      <w:pPr>
        <w:pStyle w:val="BodyText"/>
        <w:spacing w:line="240" w:lineRule="auto" w:before="29"/>
        <w:ind w:right="0"/>
        <w:jc w:val="left"/>
      </w:pPr>
      <w:r>
        <w:rPr/>
        <w:t>涉及政府补助的项目：</w:t>
      </w:r>
    </w:p>
    <w:p>
      <w:pPr>
        <w:pStyle w:val="BodyText"/>
        <w:spacing w:line="240" w:lineRule="auto" w:before="75"/>
        <w:ind w:left="0" w:right="254"/>
        <w:jc w:val="right"/>
      </w:pPr>
      <w:r>
        <w:rPr/>
        <w:t>单位：</w:t>
      </w:r>
      <w:r>
        <w:rPr>
          <w:spacing w:val="2"/>
        </w:rPr>
        <w:t> </w:t>
      </w:r>
      <w:r>
        <w:rPr/>
        <w:t>元</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696"/>
        <w:gridCol w:w="708"/>
        <w:gridCol w:w="1274"/>
        <w:gridCol w:w="1419"/>
        <w:gridCol w:w="991"/>
        <w:gridCol w:w="1277"/>
        <w:gridCol w:w="1207"/>
      </w:tblGrid>
      <w:tr>
        <w:trPr>
          <w:trHeight w:val="744"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负债项目</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23"/>
              <w:ind w:left="139" w:right="134"/>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45"/>
              <w:ind w:left="316" w:right="101" w:hanging="209"/>
              <w:jc w:val="left"/>
              <w:rPr>
                <w:rFonts w:ascii="宋体" w:hAnsi="宋体" w:cs="宋体" w:eastAsia="宋体" w:hint="default"/>
                <w:sz w:val="21"/>
                <w:szCs w:val="21"/>
              </w:rPr>
            </w:pPr>
            <w:r>
              <w:rPr>
                <w:rFonts w:ascii="宋体" w:hAnsi="宋体" w:cs="宋体" w:eastAsia="宋体" w:hint="default"/>
                <w:sz w:val="21"/>
                <w:szCs w:val="21"/>
              </w:rPr>
              <w:t>本期新增补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助金额</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45"/>
              <w:ind w:left="179" w:right="70" w:hanging="106"/>
              <w:jc w:val="left"/>
              <w:rPr>
                <w:rFonts w:ascii="宋体" w:hAnsi="宋体" w:cs="宋体" w:eastAsia="宋体" w:hint="default"/>
                <w:sz w:val="21"/>
                <w:szCs w:val="21"/>
              </w:rPr>
            </w:pPr>
            <w:r>
              <w:rPr>
                <w:rFonts w:ascii="宋体" w:hAnsi="宋体" w:cs="宋体" w:eastAsia="宋体" w:hint="default"/>
                <w:sz w:val="21"/>
                <w:szCs w:val="21"/>
              </w:rPr>
              <w:t>本期计入营业</w:t>
            </w:r>
            <w:r>
              <w:rPr>
                <w:rFonts w:ascii="宋体" w:hAnsi="宋体" w:cs="宋体" w:eastAsia="宋体" w:hint="default"/>
                <w:w w:val="100"/>
                <w:sz w:val="21"/>
                <w:szCs w:val="21"/>
              </w:rPr>
              <w:t> </w:t>
            </w:r>
            <w:r>
              <w:rPr>
                <w:rFonts w:ascii="宋体" w:hAnsi="宋体" w:cs="宋体" w:eastAsia="宋体" w:hint="default"/>
                <w:sz w:val="21"/>
                <w:szCs w:val="21"/>
              </w:rPr>
              <w:t>外收入金额</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65"/>
              <w:jc w:val="right"/>
              <w:rPr>
                <w:rFonts w:ascii="宋体" w:hAnsi="宋体" w:cs="宋体" w:eastAsia="宋体" w:hint="default"/>
                <w:sz w:val="21"/>
                <w:szCs w:val="21"/>
              </w:rPr>
            </w:pPr>
            <w:r>
              <w:rPr>
                <w:rFonts w:ascii="宋体" w:hAnsi="宋体" w:cs="宋体" w:eastAsia="宋体" w:hint="default"/>
                <w:spacing w:val="-1"/>
                <w:sz w:val="21"/>
                <w:szCs w:val="21"/>
              </w:rPr>
              <w:t>其他变动</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45"/>
              <w:ind w:left="74" w:right="37" w:hanging="29"/>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1"/>
                <w:sz w:val="21"/>
                <w:szCs w:val="21"/>
              </w:rPr>
              <w:t> </w:t>
            </w:r>
            <w:r>
              <w:rPr>
                <w:rFonts w:ascii="宋体" w:hAnsi="宋体" w:cs="宋体" w:eastAsia="宋体" w:hint="default"/>
                <w:sz w:val="21"/>
                <w:szCs w:val="21"/>
              </w:rPr>
              <w:t>与收益相关</w:t>
            </w:r>
          </w:p>
        </w:tc>
      </w:tr>
      <w:tr>
        <w:trPr>
          <w:trHeight w:val="720"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33"/>
              <w:ind w:left="24" w:right="51"/>
              <w:jc w:val="left"/>
              <w:rPr>
                <w:rFonts w:ascii="宋体" w:hAnsi="宋体" w:cs="宋体" w:eastAsia="宋体" w:hint="default"/>
                <w:sz w:val="21"/>
                <w:szCs w:val="21"/>
              </w:rPr>
            </w:pPr>
            <w:r>
              <w:rPr>
                <w:rFonts w:ascii="宋体" w:hAnsi="宋体" w:cs="宋体" w:eastAsia="宋体" w:hint="default"/>
                <w:sz w:val="21"/>
                <w:szCs w:val="21"/>
              </w:rPr>
              <w:t>环保型耐热高性能</w:t>
            </w:r>
            <w:r>
              <w:rPr>
                <w:rFonts w:ascii="宋体" w:hAnsi="宋体" w:cs="宋体" w:eastAsia="宋体" w:hint="default"/>
                <w:spacing w:val="-53"/>
                <w:sz w:val="21"/>
                <w:szCs w:val="21"/>
              </w:rPr>
              <w:t> </w:t>
            </w:r>
            <w:r>
              <w:rPr>
                <w:rFonts w:ascii="Times New Roman" w:hAnsi="Times New Roman" w:cs="Times New Roman" w:eastAsia="Times New Roman" w:hint="default"/>
                <w:spacing w:val="-10"/>
                <w:sz w:val="21"/>
                <w:szCs w:val="21"/>
              </w:rPr>
              <w:t>EVA</w:t>
            </w:r>
            <w:r>
              <w:rPr>
                <w:rFonts w:ascii="Times New Roman" w:hAnsi="Times New Roman" w:cs="Times New Roman" w:eastAsia="Times New Roman" w:hint="default"/>
                <w:spacing w:val="3"/>
                <w:sz w:val="21"/>
                <w:szCs w:val="21"/>
              </w:rPr>
              <w:t> </w:t>
            </w:r>
            <w:r>
              <w:rPr>
                <w:rFonts w:ascii="宋体" w:hAnsi="宋体" w:cs="宋体" w:eastAsia="宋体" w:hint="default"/>
                <w:spacing w:val="-3"/>
                <w:sz w:val="21"/>
                <w:szCs w:val="21"/>
              </w:rPr>
              <w:t>电源</w:t>
            </w:r>
            <w:r>
              <w:rPr>
                <w:rFonts w:ascii="宋体" w:hAnsi="宋体" w:cs="宋体" w:eastAsia="宋体" w:hint="default"/>
                <w:spacing w:val="-3"/>
                <w:w w:val="100"/>
                <w:sz w:val="21"/>
                <w:szCs w:val="21"/>
              </w:rPr>
              <w:t> </w:t>
            </w:r>
            <w:r>
              <w:rPr>
                <w:rFonts w:ascii="宋体" w:hAnsi="宋体" w:cs="宋体" w:eastAsia="宋体" w:hint="default"/>
                <w:sz w:val="21"/>
                <w:szCs w:val="21"/>
              </w:rPr>
              <w:t>线关键技术和产业化</w:t>
            </w:r>
          </w:p>
        </w:tc>
        <w:tc>
          <w:tcPr>
            <w:tcW w:w="70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8" w:space="0" w:color="D2D2D2"/>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240,000.00</w:t>
            </w:r>
          </w:p>
        </w:tc>
        <w:tc>
          <w:tcPr>
            <w:tcW w:w="1419" w:type="dxa"/>
            <w:tcBorders>
              <w:top w:val="single" w:sz="8" w:space="0" w:color="D2D2D2"/>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240,000.00</w:t>
            </w:r>
          </w:p>
        </w:tc>
        <w:tc>
          <w:tcPr>
            <w:tcW w:w="1207" w:type="dxa"/>
            <w:tcBorders>
              <w:top w:val="single" w:sz="8" w:space="0" w:color="D2D2D2"/>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3"/>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71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37"/>
              <w:jc w:val="left"/>
              <w:rPr>
                <w:rFonts w:ascii="宋体" w:hAnsi="宋体" w:cs="宋体" w:eastAsia="宋体" w:hint="default"/>
                <w:sz w:val="21"/>
                <w:szCs w:val="21"/>
              </w:rPr>
            </w:pPr>
            <w:r>
              <w:rPr>
                <w:rFonts w:ascii="宋体" w:hAnsi="宋体" w:cs="宋体" w:eastAsia="宋体" w:hint="default"/>
                <w:spacing w:val="-2"/>
                <w:sz w:val="21"/>
                <w:szCs w:val="21"/>
              </w:rPr>
              <w:t>家用电器环保配线关键工艺</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辐照交联技术改造</w:t>
            </w:r>
          </w:p>
        </w:tc>
        <w:tc>
          <w:tcPr>
            <w:tcW w:w="70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1,000,000.00</w:t>
            </w:r>
          </w:p>
        </w:tc>
        <w:tc>
          <w:tcPr>
            <w:tcW w:w="141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1,000,000.00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3"/>
              <w:jc w:val="center"/>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40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促进知识产权发展专项资金</w:t>
            </w:r>
          </w:p>
        </w:tc>
        <w:tc>
          <w:tcPr>
            <w:tcW w:w="70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200,000.00</w:t>
            </w:r>
          </w:p>
        </w:tc>
        <w:tc>
          <w:tcPr>
            <w:tcW w:w="141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200,000.00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3"/>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71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37"/>
              <w:jc w:val="left"/>
              <w:rPr>
                <w:rFonts w:ascii="宋体" w:hAnsi="宋体" w:cs="宋体" w:eastAsia="宋体" w:hint="default"/>
                <w:sz w:val="21"/>
                <w:szCs w:val="21"/>
              </w:rPr>
            </w:pPr>
            <w:r>
              <w:rPr>
                <w:rFonts w:ascii="宋体" w:hAnsi="宋体" w:cs="宋体" w:eastAsia="宋体" w:hint="default"/>
                <w:spacing w:val="-2"/>
                <w:sz w:val="21"/>
                <w:szCs w:val="21"/>
              </w:rPr>
              <w:t>促进工业设计发展项目扶持</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经费</w:t>
            </w:r>
          </w:p>
        </w:tc>
        <w:tc>
          <w:tcPr>
            <w:tcW w:w="70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100,000.00</w:t>
            </w:r>
          </w:p>
        </w:tc>
        <w:tc>
          <w:tcPr>
            <w:tcW w:w="141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100,000.00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93"/>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1027"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37"/>
              <w:jc w:val="both"/>
              <w:rPr>
                <w:rFonts w:ascii="宋体" w:hAnsi="宋体" w:cs="宋体" w:eastAsia="宋体" w:hint="default"/>
                <w:sz w:val="21"/>
                <w:szCs w:val="21"/>
              </w:rPr>
            </w:pPr>
            <w:r>
              <w:rPr>
                <w:rFonts w:ascii="宋体" w:hAnsi="宋体" w:cs="宋体" w:eastAsia="宋体" w:hint="default"/>
                <w:spacing w:val="-2"/>
                <w:sz w:val="21"/>
                <w:szCs w:val="21"/>
              </w:rPr>
              <w:t>高耐油高阻燃防水橡胶电线</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技术及其产业化科技计划项</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目收入</w:t>
            </w:r>
          </w:p>
        </w:tc>
        <w:tc>
          <w:tcPr>
            <w:tcW w:w="70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130,000.00</w:t>
            </w:r>
          </w:p>
        </w:tc>
        <w:tc>
          <w:tcPr>
            <w:tcW w:w="141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130,000.00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93"/>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401"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09" w:right="0"/>
              <w:jc w:val="left"/>
              <w:rPr>
                <w:rFonts w:ascii="Times New Roman" w:hAnsi="Times New Roman" w:cs="Times New Roman" w:eastAsia="Times New Roman" w:hint="default"/>
                <w:sz w:val="21"/>
                <w:szCs w:val="21"/>
              </w:rPr>
            </w:pPr>
            <w:r>
              <w:rPr>
                <w:rFonts w:ascii="Times New Roman"/>
                <w:sz w:val="21"/>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1,670,000.00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1,670,000.00</w:t>
            </w:r>
          </w:p>
        </w:tc>
        <w:tc>
          <w:tcPr>
            <w:tcW w:w="1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28</w:t>
      </w:r>
      <w:r>
        <w:rPr/>
        <w:t>、股本</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left="0" w:right="254"/>
        <w:jc w:val="right"/>
      </w:pPr>
      <w:r>
        <w:rPr>
          <w:spacing w:val="-1"/>
        </w:rPr>
        <w:t>单位：元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1184"/>
        <w:gridCol w:w="1501"/>
        <w:gridCol w:w="1133"/>
        <w:gridCol w:w="955"/>
        <w:gridCol w:w="1198"/>
        <w:gridCol w:w="1195"/>
        <w:gridCol w:w="893"/>
        <w:gridCol w:w="1500"/>
      </w:tblGrid>
      <w:tr>
        <w:trPr>
          <w:trHeight w:val="204"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01" w:type="dxa"/>
            <w:tcBorders>
              <w:top w:val="single" w:sz="4" w:space="0" w:color="000000"/>
              <w:left w:val="single" w:sz="4" w:space="0" w:color="000000"/>
              <w:bottom w:val="nil" w:sz="6" w:space="0" w:color="auto"/>
              <w:right w:val="single" w:sz="4" w:space="0" w:color="000000"/>
            </w:tcBorders>
            <w:shd w:val="clear" w:color="auto" w:fill="D2D2D2"/>
          </w:tcPr>
          <w:p>
            <w:pPr/>
          </w:p>
        </w:tc>
        <w:tc>
          <w:tcPr>
            <w:tcW w:w="5375"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1579"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50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3"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5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9"/>
              <w:ind w:left="32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5375" w:type="dxa"/>
            <w:gridSpan w:val="5"/>
            <w:vMerge/>
            <w:tcBorders>
              <w:left w:val="single" w:sz="4" w:space="0" w:color="000000"/>
              <w:bottom w:val="single" w:sz="4" w:space="0" w:color="000000"/>
              <w:right w:val="single" w:sz="4" w:space="0" w:color="000000"/>
            </w:tcBorders>
            <w:shd w:val="clear" w:color="auto" w:fill="D2D2D2"/>
          </w:tcPr>
          <w:p>
            <w:pPr/>
          </w:p>
        </w:tc>
        <w:tc>
          <w:tcPr>
            <w:tcW w:w="15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9"/>
              <w:ind w:left="331"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02"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501" w:type="dxa"/>
            <w:vMerge/>
            <w:tcBorders>
              <w:left w:val="single" w:sz="4" w:space="0" w:color="000000"/>
              <w:bottom w:val="nil" w:sz="6" w:space="0" w:color="auto"/>
              <w:right w:val="single" w:sz="4" w:space="0" w:color="000000"/>
            </w:tcBorders>
            <w:shd w:val="clear" w:color="auto" w:fill="D2D2D2"/>
          </w:tcPr>
          <w:p>
            <w:pPr/>
          </w:p>
        </w:tc>
        <w:tc>
          <w:tcPr>
            <w:tcW w:w="11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141" w:right="0"/>
              <w:jc w:val="left"/>
              <w:rPr>
                <w:rFonts w:ascii="宋体" w:hAnsi="宋体" w:cs="宋体" w:eastAsia="宋体" w:hint="default"/>
                <w:sz w:val="21"/>
                <w:szCs w:val="21"/>
              </w:rPr>
            </w:pPr>
            <w:r>
              <w:rPr>
                <w:rFonts w:ascii="宋体" w:hAnsi="宋体" w:cs="宋体" w:eastAsia="宋体" w:hint="default"/>
                <w:sz w:val="21"/>
                <w:szCs w:val="21"/>
              </w:rPr>
              <w:t>发行新股</w:t>
            </w:r>
          </w:p>
        </w:tc>
        <w:tc>
          <w:tcPr>
            <w:tcW w:w="95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263"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67" w:right="0"/>
              <w:jc w:val="left"/>
              <w:rPr>
                <w:rFonts w:ascii="宋体" w:hAnsi="宋体" w:cs="宋体" w:eastAsia="宋体" w:hint="default"/>
                <w:sz w:val="21"/>
                <w:szCs w:val="21"/>
              </w:rPr>
            </w:pPr>
            <w:r>
              <w:rPr>
                <w:rFonts w:ascii="宋体" w:hAnsi="宋体" w:cs="宋体" w:eastAsia="宋体" w:hint="default"/>
                <w:sz w:val="21"/>
                <w:szCs w:val="21"/>
              </w:rPr>
              <w:t>公积金转股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38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8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238"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500"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3" w:type="dxa"/>
            <w:vMerge/>
            <w:tcBorders>
              <w:left w:val="single" w:sz="4" w:space="0" w:color="000000"/>
              <w:bottom w:val="single" w:sz="4" w:space="0" w:color="000000"/>
              <w:right w:val="single" w:sz="4" w:space="0" w:color="000000"/>
            </w:tcBorders>
            <w:shd w:val="clear" w:color="auto" w:fill="D2D2D2"/>
          </w:tcPr>
          <w:p>
            <w:pPr/>
          </w:p>
        </w:tc>
        <w:tc>
          <w:tcPr>
            <w:tcW w:w="95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893" w:type="dxa"/>
            <w:vMerge/>
            <w:tcBorders>
              <w:left w:val="single" w:sz="4" w:space="0" w:color="000000"/>
              <w:bottom w:val="single" w:sz="4" w:space="0" w:color="000000"/>
              <w:right w:val="single" w:sz="4" w:space="0" w:color="000000"/>
            </w:tcBorders>
            <w:shd w:val="clear" w:color="auto" w:fill="D2D2D2"/>
          </w:tcPr>
          <w:p>
            <w:pPr/>
          </w:p>
        </w:tc>
        <w:tc>
          <w:tcPr>
            <w:tcW w:w="150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股份总数</w:t>
            </w:r>
          </w:p>
        </w:tc>
        <w:tc>
          <w:tcPr>
            <w:tcW w:w="15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left="142" w:right="0"/>
              <w:jc w:val="left"/>
              <w:rPr>
                <w:rFonts w:ascii="Times New Roman" w:hAnsi="Times New Roman" w:cs="Times New Roman" w:eastAsia="Times New Roman" w:hint="default"/>
                <w:sz w:val="21"/>
                <w:szCs w:val="21"/>
              </w:rPr>
            </w:pPr>
            <w:r>
              <w:rPr>
                <w:rFonts w:ascii="Times New Roman"/>
                <w:sz w:val="21"/>
              </w:rPr>
              <w:t>200,000,000.00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56" w:right="0"/>
              <w:jc w:val="left"/>
              <w:rPr>
                <w:rFonts w:ascii="Times New Roman" w:hAnsi="Times New Roman" w:cs="Times New Roman" w:eastAsia="Times New Roman" w:hint="default"/>
                <w:sz w:val="21"/>
                <w:szCs w:val="21"/>
              </w:rPr>
            </w:pPr>
            <w:r>
              <w:rPr>
                <w:rFonts w:ascii="Times New Roman"/>
                <w:sz w:val="21"/>
              </w:rPr>
              <w:t>200,000,000.00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29</w:t>
      </w:r>
      <w:r>
        <w:rPr/>
        <w:t>、资本公积</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left="0" w:right="254"/>
        <w:jc w:val="right"/>
      </w:pPr>
      <w:r>
        <w:rPr/>
        <w:t>单位：</w:t>
      </w:r>
      <w:r>
        <w:rPr>
          <w:spacing w:val="2"/>
        </w:rPr>
        <w:t> </w:t>
      </w:r>
      <w:r>
        <w:rPr/>
        <w:t>元</w:t>
      </w:r>
    </w:p>
    <w:p>
      <w:pPr>
        <w:spacing w:line="240" w:lineRule="auto" w:before="10"/>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672"/>
        <w:gridCol w:w="1730"/>
        <w:gridCol w:w="1719"/>
        <w:gridCol w:w="1719"/>
        <w:gridCol w:w="1721"/>
      </w:tblGrid>
      <w:tr>
        <w:trPr>
          <w:trHeight w:val="403"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46"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403"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资本溢价（股本溢价）</w:t>
            </w:r>
          </w:p>
        </w:tc>
        <w:tc>
          <w:tcPr>
            <w:tcW w:w="17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left="374" w:right="0"/>
              <w:jc w:val="left"/>
              <w:rPr>
                <w:rFonts w:ascii="Times New Roman" w:hAnsi="Times New Roman" w:cs="Times New Roman" w:eastAsia="Times New Roman" w:hint="default"/>
                <w:sz w:val="21"/>
                <w:szCs w:val="21"/>
              </w:rPr>
            </w:pPr>
            <w:r>
              <w:rPr>
                <w:rFonts w:ascii="Times New Roman"/>
                <w:sz w:val="21"/>
              </w:rPr>
              <w:t>429,089,779.67</w:t>
            </w:r>
          </w:p>
        </w:tc>
        <w:tc>
          <w:tcPr>
            <w:tcW w:w="1719" w:type="dxa"/>
            <w:tcBorders>
              <w:top w:val="single" w:sz="4" w:space="0" w:color="000000"/>
              <w:left w:val="single" w:sz="4" w:space="0" w:color="000000"/>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74" w:right="0"/>
              <w:jc w:val="left"/>
              <w:rPr>
                <w:rFonts w:ascii="Times New Roman" w:hAnsi="Times New Roman" w:cs="Times New Roman" w:eastAsia="Times New Roman" w:hint="default"/>
                <w:sz w:val="21"/>
                <w:szCs w:val="21"/>
              </w:rPr>
            </w:pPr>
            <w:r>
              <w:rPr>
                <w:rFonts w:ascii="Times New Roman"/>
                <w:sz w:val="21"/>
              </w:rPr>
              <w:t>429,089,779.67</w:t>
            </w:r>
          </w:p>
        </w:tc>
      </w:tr>
    </w:tbl>
    <w:p>
      <w:pPr>
        <w:spacing w:after="0" w:line="240" w:lineRule="auto"/>
        <w:jc w:val="left"/>
        <w:rPr>
          <w:rFonts w:ascii="Times New Roman" w:hAnsi="Times New Roman" w:cs="Times New Roman" w:eastAsia="Times New Roman" w:hint="default"/>
          <w:sz w:val="21"/>
          <w:szCs w:val="21"/>
        </w:rPr>
        <w:sectPr>
          <w:footerReference w:type="default" r:id="rId37"/>
          <w:pgSz w:w="11910" w:h="16840"/>
          <w:pgMar w:footer="979" w:header="0" w:top="1100" w:bottom="1160" w:left="980" w:right="9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695"/>
        <w:gridCol w:w="1718"/>
        <w:gridCol w:w="1719"/>
        <w:gridCol w:w="1719"/>
        <w:gridCol w:w="1721"/>
      </w:tblGrid>
      <w:tr>
        <w:trPr>
          <w:trHeight w:val="404" w:hRule="exact"/>
        </w:trPr>
        <w:tc>
          <w:tcPr>
            <w:tcW w:w="2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74" w:right="0"/>
              <w:jc w:val="left"/>
              <w:rPr>
                <w:rFonts w:ascii="Times New Roman" w:hAnsi="Times New Roman" w:cs="Times New Roman" w:eastAsia="Times New Roman" w:hint="default"/>
                <w:sz w:val="21"/>
                <w:szCs w:val="21"/>
              </w:rPr>
            </w:pPr>
            <w:r>
              <w:rPr>
                <w:rFonts w:ascii="Times New Roman"/>
                <w:sz w:val="21"/>
              </w:rPr>
              <w:t>429,089,779.67</w:t>
            </w:r>
          </w:p>
        </w:tc>
        <w:tc>
          <w:tcPr>
            <w:tcW w:w="1719" w:type="dxa"/>
            <w:tcBorders>
              <w:top w:val="single" w:sz="4" w:space="0" w:color="000000"/>
              <w:left w:val="single" w:sz="4" w:space="0" w:color="000000"/>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74" w:right="0"/>
              <w:jc w:val="left"/>
              <w:rPr>
                <w:rFonts w:ascii="Times New Roman" w:hAnsi="Times New Roman" w:cs="Times New Roman" w:eastAsia="Times New Roman" w:hint="default"/>
                <w:sz w:val="21"/>
                <w:szCs w:val="21"/>
              </w:rPr>
            </w:pPr>
            <w:r>
              <w:rPr>
                <w:rFonts w:ascii="Times New Roman"/>
                <w:sz w:val="21"/>
              </w:rPr>
              <w:t>429,089,779.67</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30</w:t>
      </w:r>
      <w:r>
        <w:rPr/>
        <w:t>、盈余公积</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36"/>
        <w:ind w:left="0" w:right="254"/>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672"/>
        <w:gridCol w:w="1730"/>
        <w:gridCol w:w="1719"/>
        <w:gridCol w:w="1719"/>
        <w:gridCol w:w="1721"/>
      </w:tblGrid>
      <w:tr>
        <w:trPr>
          <w:trHeight w:val="401"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403"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7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7"/>
              <w:ind w:left="480" w:right="0"/>
              <w:jc w:val="left"/>
              <w:rPr>
                <w:rFonts w:ascii="Times New Roman" w:hAnsi="Times New Roman" w:cs="Times New Roman" w:eastAsia="Times New Roman" w:hint="default"/>
                <w:sz w:val="21"/>
                <w:szCs w:val="21"/>
              </w:rPr>
            </w:pPr>
            <w:r>
              <w:rPr>
                <w:rFonts w:ascii="Times New Roman"/>
                <w:sz w:val="21"/>
              </w:rPr>
              <w:t>32,210,413.29</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609,025.54</w:t>
            </w:r>
          </w:p>
        </w:tc>
        <w:tc>
          <w:tcPr>
            <w:tcW w:w="1719"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79" w:right="0"/>
              <w:jc w:val="left"/>
              <w:rPr>
                <w:rFonts w:ascii="Times New Roman" w:hAnsi="Times New Roman" w:cs="Times New Roman" w:eastAsia="Times New Roman" w:hint="default"/>
                <w:sz w:val="21"/>
                <w:szCs w:val="21"/>
              </w:rPr>
            </w:pPr>
            <w:r>
              <w:rPr>
                <w:rFonts w:ascii="Times New Roman"/>
                <w:sz w:val="21"/>
              </w:rPr>
              <w:t>32,819,438.83</w:t>
            </w:r>
          </w:p>
        </w:tc>
      </w:tr>
      <w:tr>
        <w:trPr>
          <w:trHeight w:val="403"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left="480" w:right="0"/>
              <w:jc w:val="left"/>
              <w:rPr>
                <w:rFonts w:ascii="Times New Roman" w:hAnsi="Times New Roman" w:cs="Times New Roman" w:eastAsia="Times New Roman" w:hint="default"/>
                <w:sz w:val="21"/>
                <w:szCs w:val="21"/>
              </w:rPr>
            </w:pPr>
            <w:r>
              <w:rPr>
                <w:rFonts w:ascii="Times New Roman"/>
                <w:sz w:val="21"/>
              </w:rPr>
              <w:t>32,210,413.29</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609,025.54</w:t>
            </w:r>
          </w:p>
        </w:tc>
        <w:tc>
          <w:tcPr>
            <w:tcW w:w="1719"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79" w:right="0"/>
              <w:jc w:val="left"/>
              <w:rPr>
                <w:rFonts w:ascii="Times New Roman" w:hAnsi="Times New Roman" w:cs="Times New Roman" w:eastAsia="Times New Roman" w:hint="default"/>
                <w:sz w:val="21"/>
                <w:szCs w:val="21"/>
              </w:rPr>
            </w:pPr>
            <w:r>
              <w:rPr>
                <w:rFonts w:ascii="Times New Roman"/>
                <w:sz w:val="21"/>
              </w:rPr>
              <w:t>32,819,438.83</w:t>
            </w:r>
          </w:p>
        </w:tc>
      </w:tr>
    </w:tbl>
    <w:p>
      <w:pPr>
        <w:pStyle w:val="BodyText"/>
        <w:spacing w:line="240" w:lineRule="auto" w:before="28"/>
        <w:ind w:left="573" w:right="0"/>
        <w:jc w:val="left"/>
      </w:pPr>
      <w:r>
        <w:rPr>
          <w:spacing w:val="-2"/>
        </w:rPr>
        <w:t>盈余公积说明：盈余公积的增加系根据公司章程，按当年度净利润的</w:t>
      </w:r>
      <w:r>
        <w:rPr>
          <w:spacing w:val="26"/>
        </w:rPr>
        <w:t> </w:t>
      </w:r>
      <w:r>
        <w:rPr>
          <w:rFonts w:ascii="Times New Roman" w:hAnsi="Times New Roman" w:cs="Times New Roman" w:eastAsia="Times New Roman" w:hint="default"/>
          <w:spacing w:val="-2"/>
        </w:rPr>
        <w:t>10%</w:t>
      </w:r>
      <w:r>
        <w:rPr>
          <w:spacing w:val="-2"/>
        </w:rPr>
        <w:t>计提法定盈余公积。</w:t>
      </w:r>
    </w:p>
    <w:p>
      <w:pPr>
        <w:spacing w:line="240" w:lineRule="auto" w:before="5"/>
        <w:rPr>
          <w:rFonts w:ascii="宋体" w:hAnsi="宋体" w:cs="宋体" w:eastAsia="宋体" w:hint="default"/>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30</w:t>
      </w:r>
      <w:r>
        <w:rPr/>
        <w:t>、未分配利润</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left="0" w:right="254"/>
        <w:jc w:val="right"/>
      </w:pPr>
      <w:r>
        <w:rPr/>
        <w:t>单位：</w:t>
      </w:r>
      <w:r>
        <w:rPr>
          <w:spacing w:val="2"/>
        </w:rPr>
        <w:t> </w:t>
      </w:r>
      <w:r>
        <w:rPr/>
        <w:t>元</w:t>
      </w:r>
    </w:p>
    <w:p>
      <w:pPr>
        <w:spacing w:line="240" w:lineRule="auto" w:before="10"/>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4373"/>
        <w:gridCol w:w="2598"/>
        <w:gridCol w:w="2585"/>
      </w:tblGrid>
      <w:tr>
        <w:trPr>
          <w:trHeight w:val="403"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1" w:right="0"/>
              <w:jc w:val="center"/>
              <w:rPr>
                <w:rFonts w:ascii="宋体" w:hAnsi="宋体" w:cs="宋体" w:eastAsia="宋体" w:hint="default"/>
                <w:sz w:val="21"/>
                <w:szCs w:val="21"/>
              </w:rPr>
            </w:pPr>
            <w:r>
              <w:rPr>
                <w:rFonts w:ascii="宋体" w:hAnsi="宋体" w:cs="宋体" w:eastAsia="宋体" w:hint="default"/>
                <w:sz w:val="21"/>
                <w:szCs w:val="21"/>
              </w:rPr>
              <w:t>本期</w:t>
            </w:r>
          </w:p>
        </w:tc>
        <w:tc>
          <w:tcPr>
            <w:tcW w:w="2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 w:right="0"/>
              <w:jc w:val="center"/>
              <w:rPr>
                <w:rFonts w:ascii="宋体" w:hAnsi="宋体" w:cs="宋体" w:eastAsia="宋体" w:hint="default"/>
                <w:sz w:val="21"/>
                <w:szCs w:val="21"/>
              </w:rPr>
            </w:pPr>
            <w:r>
              <w:rPr>
                <w:rFonts w:ascii="宋体" w:hAnsi="宋体" w:cs="宋体" w:eastAsia="宋体" w:hint="default"/>
                <w:sz w:val="21"/>
                <w:szCs w:val="21"/>
              </w:rPr>
              <w:t>上期</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调整前上期末未分配利润</w:t>
            </w:r>
          </w:p>
        </w:tc>
        <w:tc>
          <w:tcPr>
            <w:tcW w:w="25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165,124,504.68</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141,588,806.36</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宋体" w:hAnsi="宋体" w:cs="宋体" w:eastAsia="宋体" w:hint="default"/>
                <w:sz w:val="21"/>
                <w:szCs w:val="21"/>
              </w:rPr>
              <w:t>调整后期初未分配利润</w:t>
            </w:r>
          </w:p>
        </w:tc>
        <w:tc>
          <w:tcPr>
            <w:tcW w:w="25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spacing w:val="-1"/>
                <w:sz w:val="21"/>
              </w:rPr>
              <w:t>165,124,504.68</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141,588,806.36</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加：本期归属于母公司所有者的净利润</w:t>
            </w:r>
          </w:p>
        </w:tc>
        <w:tc>
          <w:tcPr>
            <w:tcW w:w="25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26,163,454.80</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93,359,166.05</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5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spacing w:val="-1"/>
                <w:sz w:val="21"/>
              </w:rPr>
              <w:t>609,025.54</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9,823,467.73</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25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80,000,000.00</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60,000,000.00</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25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spacing w:val="-1"/>
                <w:sz w:val="21"/>
              </w:rPr>
              <w:t>110,678,933.94</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165,124,504.68</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31</w:t>
      </w:r>
      <w:r>
        <w:rPr/>
        <w:t>、营业收入和营业成本</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left="0" w:right="254"/>
        <w:jc w:val="right"/>
      </w:pPr>
      <w:r>
        <w:rPr/>
        <w:t>单位：</w:t>
      </w:r>
      <w:r>
        <w:rPr>
          <w:spacing w:val="2"/>
        </w:rPr>
        <w:t> </w:t>
      </w:r>
      <w:r>
        <w:rPr/>
        <w:t>元</w:t>
      </w:r>
    </w:p>
    <w:p>
      <w:pPr>
        <w:spacing w:line="240" w:lineRule="auto" w:before="10"/>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6"/>
        <w:gridCol w:w="1913"/>
        <w:gridCol w:w="1915"/>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192"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right="7"/>
              <w:jc w:val="center"/>
              <w:rPr>
                <w:rFonts w:ascii="宋体" w:hAnsi="宋体" w:cs="宋体" w:eastAsia="宋体" w:hint="default"/>
                <w:sz w:val="21"/>
                <w:szCs w:val="21"/>
              </w:rPr>
            </w:pPr>
            <w:r>
              <w:rPr>
                <w:rFonts w:ascii="宋体" w:hAnsi="宋体" w:cs="宋体" w:eastAsia="宋体" w:hint="default"/>
                <w:sz w:val="21"/>
                <w:szCs w:val="21"/>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5"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1"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04"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主营业务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1,049,279,321.85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906,862,328.71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1,495,729,020.20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1,258,159,650.04</w:t>
            </w:r>
          </w:p>
        </w:tc>
      </w:tr>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其他业务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213,871.48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34,006.38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1,341,141.00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1,153,993.92</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1,049,493,193.33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906,896,335.09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1,497,070,161.20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1,259,313,643.96</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32</w:t>
      </w:r>
      <w:r>
        <w:rPr/>
        <w:t>、营业税金及附加</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36"/>
        <w:ind w:left="0" w:right="254"/>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7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2"/>
                <w:sz w:val="21"/>
              </w:rPr>
              <w:t>114,450.90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3,463,803.65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3,788,575.92</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2,474,145.50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2,706,125.68</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6,052,400.05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6,494,701.60</w:t>
            </w:r>
          </w:p>
        </w:tc>
      </w:tr>
    </w:tbl>
    <w:p>
      <w:pPr>
        <w:spacing w:after="0" w:line="240" w:lineRule="auto"/>
        <w:jc w:val="right"/>
        <w:rPr>
          <w:rFonts w:ascii="Times New Roman" w:hAnsi="Times New Roman" w:cs="Times New Roman" w:eastAsia="Times New Roman" w:hint="default"/>
          <w:sz w:val="21"/>
          <w:szCs w:val="21"/>
        </w:rPr>
        <w:sectPr>
          <w:footerReference w:type="default" r:id="rId38"/>
          <w:pgSz w:w="11910" w:h="16840"/>
          <w:pgMar w:footer="979" w:header="0" w:top="1100" w:bottom="1160" w:left="980" w:right="980"/>
          <w:pgNumType w:start="101"/>
        </w:sectPr>
      </w:pPr>
    </w:p>
    <w:p>
      <w:pPr>
        <w:spacing w:line="240" w:lineRule="auto" w:before="11"/>
        <w:rPr>
          <w:rFonts w:ascii="宋体" w:hAnsi="宋体" w:cs="宋体" w:eastAsia="宋体" w:hint="default"/>
          <w:sz w:val="20"/>
          <w:szCs w:val="20"/>
        </w:rPr>
      </w:pPr>
    </w:p>
    <w:p>
      <w:pPr>
        <w:pStyle w:val="Heading4"/>
        <w:spacing w:line="240" w:lineRule="auto" w:before="36"/>
        <w:ind w:right="0"/>
        <w:jc w:val="left"/>
        <w:rPr>
          <w:b w:val="0"/>
          <w:bCs w:val="0"/>
        </w:rPr>
      </w:pPr>
      <w:r>
        <w:rPr>
          <w:rFonts w:ascii="Times New Roman" w:hAnsi="Times New Roman" w:cs="Times New Roman" w:eastAsia="Times New Roman" w:hint="default"/>
        </w:rPr>
        <w:t>33</w:t>
      </w:r>
      <w:r>
        <w:rPr/>
        <w:t>、销售费用</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left="0" w:right="254"/>
        <w:jc w:val="right"/>
      </w:pPr>
      <w:r>
        <w:rPr/>
        <w:t>单位：</w:t>
      </w:r>
      <w:r>
        <w:rPr>
          <w:spacing w:val="2"/>
        </w:rPr>
        <w:t> </w:t>
      </w:r>
      <w:r>
        <w:rPr/>
        <w:t>元</w:t>
      </w:r>
    </w:p>
    <w:p>
      <w:pPr>
        <w:spacing w:line="240" w:lineRule="auto" w:before="10"/>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运输及装卸费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15,673,041.67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20,864,447.19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员工工资及福利费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5,340,865.46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4,753,386.43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折旧、摊销及维修费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1,264,062.65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1,161,548.75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1,015,627.84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691,727.10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610,073.61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1,574,349.09</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355,799.19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317,920.76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广告宣传费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172,064.00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125,505.48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929,741.98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2"/>
                <w:sz w:val="21"/>
              </w:rPr>
              <w:t>647,083.11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25,361,276.40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30,135,967.91</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34</w:t>
      </w:r>
      <w:r>
        <w:rPr/>
        <w:t>、管理费用</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left="0" w:right="254"/>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员工工资及福利费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28,232,667.04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30,957,106.53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折旧、摊销及维修费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8,109,857.67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4,489,834.51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2"/>
                <w:sz w:val="21"/>
              </w:rPr>
              <w:t>5,116,689.92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5,677,621.27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各项税费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4,800,010.94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4,499,091.33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认证及检测费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2,923,050.49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4,206,244.71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审计、咨询及广告宣传费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8,192,573.95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1,579,090.35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1,091,455.97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677,798.77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1,003,532.15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795,921.67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1,322,302.30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1,099,394.84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60,792,140.43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53,982,103.98</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35</w:t>
      </w:r>
      <w:r>
        <w:rPr/>
        <w:t>、财务费用</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left="0" w:right="254"/>
        <w:jc w:val="right"/>
      </w:pPr>
      <w:r>
        <w:rPr/>
        <w:t>单位：</w:t>
      </w:r>
      <w:r>
        <w:rPr>
          <w:spacing w:val="2"/>
        </w:rPr>
        <w:t> </w:t>
      </w:r>
      <w:r>
        <w:rPr/>
        <w:t>元</w:t>
      </w:r>
    </w:p>
    <w:p>
      <w:pPr>
        <w:spacing w:line="240" w:lineRule="auto" w:before="11"/>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5"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23,046,447.21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34,868,619.66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其中：票据贴息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16,532,294.12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21,985,960.79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贷款利息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6,514,153.09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12,882,658.87</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1,213,170.37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2,784,267.03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-736,898.51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137,985.25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银行手续费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189,242.82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527,442.44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21,285,621.15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32,749,780.32</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36</w:t>
      </w:r>
      <w:r>
        <w:rPr/>
        <w:t>、资产减值损失</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left="0" w:right="254"/>
        <w:jc w:val="right"/>
      </w:pPr>
      <w:r>
        <w:rPr/>
        <w:t>单位：</w:t>
      </w:r>
      <w:r>
        <w:rPr>
          <w:spacing w:val="2"/>
        </w:rPr>
        <w:t> </w:t>
      </w:r>
      <w:r>
        <w:rPr/>
        <w:t>元</w:t>
      </w:r>
    </w:p>
    <w:p>
      <w:pPr>
        <w:spacing w:line="240" w:lineRule="auto" w:before="10"/>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07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-66,996.35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820,656.93</w:t>
            </w:r>
          </w:p>
        </w:tc>
      </w:tr>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left="12" w:right="0"/>
              <w:jc w:val="left"/>
              <w:rPr>
                <w:rFonts w:ascii="宋体" w:hAnsi="宋体" w:cs="宋体" w:eastAsia="宋体" w:hint="default"/>
                <w:sz w:val="21"/>
                <w:szCs w:val="21"/>
              </w:rPr>
            </w:pPr>
            <w:r>
              <w:rPr>
                <w:rFonts w:ascii="宋体" w:hAnsi="宋体" w:cs="宋体" w:eastAsia="宋体" w:hint="default"/>
                <w:sz w:val="21"/>
                <w:szCs w:val="21"/>
              </w:rPr>
              <w:t>二、存货跌价损失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8"/>
              <w:ind w:right="17"/>
              <w:jc w:val="right"/>
              <w:rPr>
                <w:rFonts w:ascii="Times New Roman" w:hAnsi="Times New Roman" w:cs="Times New Roman" w:eastAsia="Times New Roman" w:hint="default"/>
                <w:sz w:val="21"/>
                <w:szCs w:val="21"/>
              </w:rPr>
            </w:pPr>
            <w:r>
              <w:rPr>
                <w:rFonts w:ascii="Times New Roman"/>
                <w:spacing w:val="-2"/>
                <w:sz w:val="21"/>
              </w:rPr>
              <w:t>2,856,071.11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9"/>
              <w:jc w:val="right"/>
              <w:rPr>
                <w:rFonts w:ascii="Times New Roman" w:hAnsi="Times New Roman" w:cs="Times New Roman" w:eastAsia="Times New Roman" w:hint="default"/>
                <w:sz w:val="21"/>
                <w:szCs w:val="21"/>
              </w:rPr>
            </w:pPr>
            <w:r>
              <w:rPr>
                <w:rFonts w:ascii="Times New Roman"/>
                <w:spacing w:val="-1"/>
                <w:sz w:val="21"/>
              </w:rPr>
              <w:t>2,623,985.86</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2,789,074.76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3,444,642.79</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37</w:t>
      </w:r>
      <w:r>
        <w:rPr/>
        <w:t>、营业外收入</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36"/>
        <w:ind w:left="0" w:right="254"/>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097"/>
        <w:gridCol w:w="1642"/>
        <w:gridCol w:w="1630"/>
        <w:gridCol w:w="3190"/>
      </w:tblGrid>
      <w:tr>
        <w:trPr>
          <w:trHeight w:val="401"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9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86"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3" w:right="0"/>
              <w:jc w:val="left"/>
              <w:rPr>
                <w:rFonts w:ascii="宋体" w:hAnsi="宋体" w:cs="宋体" w:eastAsia="宋体" w:hint="default"/>
                <w:sz w:val="21"/>
                <w:szCs w:val="21"/>
              </w:rPr>
            </w:pPr>
            <w:r>
              <w:rPr>
                <w:rFonts w:ascii="宋体" w:hAnsi="宋体" w:cs="宋体" w:eastAsia="宋体" w:hint="default"/>
                <w:sz w:val="21"/>
                <w:szCs w:val="21"/>
              </w:rPr>
              <w:t>计入当期非经常性损益的金额</w:t>
            </w:r>
          </w:p>
        </w:tc>
      </w:tr>
      <w:tr>
        <w:trPr>
          <w:trHeight w:val="403"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非流动资产处置利得合计</w:t>
            </w:r>
          </w:p>
        </w:tc>
        <w:tc>
          <w:tcPr>
            <w:tcW w:w="164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34,077.90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103,021.43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34,077.90</w:t>
            </w:r>
          </w:p>
        </w:tc>
      </w:tr>
      <w:tr>
        <w:trPr>
          <w:trHeight w:val="401"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其中：固定资产处置利得</w:t>
            </w:r>
          </w:p>
        </w:tc>
        <w:tc>
          <w:tcPr>
            <w:tcW w:w="164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34,077.90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103,021.43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34,077.90</w:t>
            </w:r>
          </w:p>
        </w:tc>
      </w:tr>
      <w:tr>
        <w:trPr>
          <w:trHeight w:val="404"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164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6,580,794.50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1,736,808.00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6,580,794.50</w:t>
            </w:r>
          </w:p>
        </w:tc>
      </w:tr>
      <w:tr>
        <w:trPr>
          <w:trHeight w:val="401"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287,504.42</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184,024.55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287,504.42</w:t>
            </w:r>
          </w:p>
        </w:tc>
      </w:tr>
      <w:tr>
        <w:trPr>
          <w:trHeight w:val="403"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6,902,376.82</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2,023,853.98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6,902,376.82</w:t>
            </w:r>
          </w:p>
        </w:tc>
      </w:tr>
    </w:tbl>
    <w:p>
      <w:pPr>
        <w:pStyle w:val="BodyText"/>
        <w:spacing w:line="240" w:lineRule="auto" w:before="28"/>
        <w:ind w:right="0"/>
        <w:jc w:val="left"/>
      </w:pPr>
      <w:r>
        <w:rPr/>
        <w:t>计入当期损益的政府补助：</w:t>
      </w:r>
    </w:p>
    <w:p>
      <w:pPr>
        <w:pStyle w:val="BodyText"/>
        <w:spacing w:line="240" w:lineRule="auto" w:before="75"/>
        <w:ind w:left="0" w:right="254"/>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4679"/>
        <w:gridCol w:w="1774"/>
        <w:gridCol w:w="1772"/>
        <w:gridCol w:w="1416"/>
      </w:tblGrid>
      <w:tr>
        <w:trPr>
          <w:trHeight w:val="713"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补助项目</w:t>
            </w:r>
          </w:p>
        </w:tc>
        <w:tc>
          <w:tcPr>
            <w:tcW w:w="1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52" w:right="0"/>
              <w:jc w:val="left"/>
              <w:rPr>
                <w:rFonts w:ascii="宋体" w:hAnsi="宋体" w:cs="宋体" w:eastAsia="宋体" w:hint="default"/>
                <w:sz w:val="21"/>
                <w:szCs w:val="21"/>
              </w:rPr>
            </w:pPr>
            <w:r>
              <w:rPr>
                <w:rFonts w:ascii="宋体" w:hAnsi="宋体" w:cs="宋体" w:eastAsia="宋体" w:hint="default"/>
                <w:sz w:val="21"/>
                <w:szCs w:val="21"/>
              </w:rPr>
              <w:t>本期发生金额</w:t>
            </w:r>
          </w:p>
        </w:tc>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52" w:right="0"/>
              <w:jc w:val="left"/>
              <w:rPr>
                <w:rFonts w:ascii="宋体" w:hAnsi="宋体" w:cs="宋体" w:eastAsia="宋体" w:hint="default"/>
                <w:sz w:val="21"/>
                <w:szCs w:val="21"/>
              </w:rPr>
            </w:pPr>
            <w:r>
              <w:rPr>
                <w:rFonts w:ascii="宋体" w:hAnsi="宋体" w:cs="宋体" w:eastAsia="宋体" w:hint="default"/>
                <w:sz w:val="21"/>
                <w:szCs w:val="21"/>
              </w:rPr>
              <w:t>上期发生金额</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283" w:right="38" w:hanging="238"/>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Times New Roman" w:hAnsi="Times New Roman" w:cs="Times New Roman" w:eastAsia="Times New Roman" w:hint="default"/>
                <w:sz w:val="21"/>
                <w:szCs w:val="21"/>
              </w:rPr>
              <w:t>/</w:t>
            </w:r>
            <w:r>
              <w:rPr>
                <w:rFonts w:ascii="宋体" w:hAnsi="宋体" w:cs="宋体" w:eastAsia="宋体" w:hint="default"/>
                <w:sz w:val="21"/>
                <w:szCs w:val="21"/>
              </w:rPr>
              <w:t>与</w:t>
            </w:r>
            <w:r>
              <w:rPr>
                <w:rFonts w:ascii="宋体" w:hAnsi="宋体" w:cs="宋体" w:eastAsia="宋体" w:hint="default"/>
                <w:w w:val="100"/>
                <w:sz w:val="21"/>
                <w:szCs w:val="21"/>
              </w:rPr>
              <w:t> </w:t>
            </w:r>
            <w:r>
              <w:rPr>
                <w:rFonts w:ascii="宋体" w:hAnsi="宋体" w:cs="宋体" w:eastAsia="宋体" w:hint="default"/>
                <w:sz w:val="21"/>
                <w:szCs w:val="21"/>
              </w:rPr>
              <w:t>收益相关</w:t>
            </w:r>
          </w:p>
        </w:tc>
      </w:tr>
      <w:tr>
        <w:trPr>
          <w:trHeight w:val="715" w:hRule="exact"/>
        </w:trPr>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30"/>
              <w:ind w:left="24" w:right="122"/>
              <w:jc w:val="left"/>
              <w:rPr>
                <w:rFonts w:ascii="宋体" w:hAnsi="宋体" w:cs="宋体" w:eastAsia="宋体" w:hint="default"/>
                <w:sz w:val="21"/>
                <w:szCs w:val="21"/>
              </w:rPr>
            </w:pPr>
            <w:r>
              <w:rPr>
                <w:rFonts w:ascii="宋体" w:hAnsi="宋体" w:cs="宋体" w:eastAsia="宋体" w:hint="default"/>
                <w:sz w:val="21"/>
                <w:szCs w:val="21"/>
              </w:rPr>
              <w:t>佛山市顺德区财政国库拨付</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年外经贸发展专</w:t>
            </w:r>
            <w:r>
              <w:rPr>
                <w:rFonts w:ascii="宋体" w:hAnsi="宋体" w:cs="宋体" w:eastAsia="宋体" w:hint="default"/>
                <w:w w:val="100"/>
                <w:sz w:val="21"/>
                <w:szCs w:val="21"/>
              </w:rPr>
              <w:t> </w:t>
            </w:r>
            <w:r>
              <w:rPr>
                <w:rFonts w:ascii="宋体" w:hAnsi="宋体" w:cs="宋体" w:eastAsia="宋体" w:hint="default"/>
                <w:sz w:val="21"/>
                <w:szCs w:val="21"/>
              </w:rPr>
              <w:t>项资金</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2,740,000.00</w:t>
            </w:r>
          </w:p>
        </w:tc>
        <w:tc>
          <w:tcPr>
            <w:tcW w:w="177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713" w:hRule="exact"/>
        </w:trPr>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 w:right="0"/>
              <w:jc w:val="left"/>
              <w:rPr>
                <w:rFonts w:ascii="Times New Roman" w:hAnsi="Times New Roman" w:cs="Times New Roman" w:eastAsia="Times New Roman" w:hint="default"/>
                <w:sz w:val="21"/>
                <w:szCs w:val="21"/>
              </w:rPr>
            </w:pPr>
            <w:r>
              <w:rPr>
                <w:rFonts w:ascii="宋体" w:hAnsi="宋体" w:cs="宋体" w:eastAsia="宋体" w:hint="default"/>
                <w:spacing w:val="-4"/>
                <w:sz w:val="21"/>
                <w:szCs w:val="21"/>
              </w:rPr>
              <w:t>佛山市顺德区经济和科技促进局、财税局拨付</w:t>
            </w:r>
            <w:r>
              <w:rPr>
                <w:rFonts w:ascii="宋体" w:hAnsi="宋体" w:cs="宋体" w:eastAsia="宋体" w:hint="default"/>
                <w:spacing w:val="-26"/>
                <w:sz w:val="21"/>
                <w:szCs w:val="21"/>
              </w:rPr>
              <w:t> </w:t>
            </w:r>
            <w:r>
              <w:rPr>
                <w:rFonts w:ascii="Times New Roman" w:hAnsi="Times New Roman" w:cs="Times New Roman" w:eastAsia="Times New Roman" w:hint="default"/>
                <w:sz w:val="21"/>
                <w:szCs w:val="21"/>
              </w:rPr>
              <w:t>2014</w:t>
            </w:r>
          </w:p>
          <w:p>
            <w:pPr>
              <w:pStyle w:val="TableParagraph"/>
              <w:spacing w:line="240" w:lineRule="auto" w:before="21"/>
              <w:ind w:left="24" w:right="0"/>
              <w:jc w:val="left"/>
              <w:rPr>
                <w:rFonts w:ascii="宋体" w:hAnsi="宋体" w:cs="宋体" w:eastAsia="宋体" w:hint="default"/>
                <w:sz w:val="21"/>
                <w:szCs w:val="21"/>
              </w:rPr>
            </w:pPr>
            <w:r>
              <w:rPr>
                <w:rFonts w:ascii="宋体" w:hAnsi="宋体" w:cs="宋体" w:eastAsia="宋体" w:hint="default"/>
                <w:sz w:val="21"/>
                <w:szCs w:val="21"/>
              </w:rPr>
              <w:t>年省级企业技术中心专项计划补助资金</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2,000,000.00</w:t>
            </w:r>
          </w:p>
        </w:tc>
        <w:tc>
          <w:tcPr>
            <w:tcW w:w="177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715" w:hRule="exact"/>
        </w:trPr>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30"/>
              <w:ind w:left="24" w:right="124"/>
              <w:jc w:val="left"/>
              <w:rPr>
                <w:rFonts w:ascii="宋体" w:hAnsi="宋体" w:cs="宋体" w:eastAsia="宋体" w:hint="default"/>
                <w:sz w:val="21"/>
                <w:szCs w:val="21"/>
              </w:rPr>
            </w:pPr>
            <w:r>
              <w:rPr>
                <w:rFonts w:ascii="宋体" w:hAnsi="宋体" w:cs="宋体" w:eastAsia="宋体" w:hint="default"/>
                <w:sz w:val="21"/>
                <w:szCs w:val="21"/>
              </w:rPr>
              <w:t>佛山市顺德区财税局拨付</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年推动加工贸易转</w:t>
            </w:r>
            <w:r>
              <w:rPr>
                <w:rFonts w:ascii="宋体" w:hAnsi="宋体" w:cs="宋体" w:eastAsia="宋体" w:hint="default"/>
                <w:w w:val="100"/>
                <w:sz w:val="21"/>
                <w:szCs w:val="21"/>
              </w:rPr>
              <w:t> </w:t>
            </w:r>
            <w:r>
              <w:rPr>
                <w:rFonts w:ascii="宋体" w:hAnsi="宋体" w:cs="宋体" w:eastAsia="宋体" w:hint="default"/>
                <w:sz w:val="21"/>
                <w:szCs w:val="21"/>
              </w:rPr>
              <w:t>型升级专项资金（第二期）</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300,000.00</w:t>
            </w:r>
          </w:p>
        </w:tc>
        <w:tc>
          <w:tcPr>
            <w:tcW w:w="177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713" w:hRule="exact"/>
        </w:trPr>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8"/>
              <w:ind w:left="24" w:right="124"/>
              <w:jc w:val="left"/>
              <w:rPr>
                <w:rFonts w:ascii="宋体" w:hAnsi="宋体" w:cs="宋体" w:eastAsia="宋体" w:hint="default"/>
                <w:sz w:val="21"/>
                <w:szCs w:val="21"/>
              </w:rPr>
            </w:pPr>
            <w:r>
              <w:rPr>
                <w:rFonts w:ascii="宋体" w:hAnsi="宋体" w:cs="宋体" w:eastAsia="宋体" w:hint="default"/>
                <w:sz w:val="21"/>
                <w:szCs w:val="21"/>
              </w:rPr>
              <w:t>扬州市邗江区财政局拨付</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年省级企业技术中</w:t>
            </w:r>
            <w:r>
              <w:rPr>
                <w:rFonts w:ascii="宋体" w:hAnsi="宋体" w:cs="宋体" w:eastAsia="宋体" w:hint="default"/>
                <w:w w:val="100"/>
                <w:sz w:val="21"/>
                <w:szCs w:val="21"/>
              </w:rPr>
              <w:t> </w:t>
            </w:r>
            <w:r>
              <w:rPr>
                <w:rFonts w:ascii="宋体" w:hAnsi="宋体" w:cs="宋体" w:eastAsia="宋体" w:hint="default"/>
                <w:sz w:val="21"/>
                <w:szCs w:val="21"/>
              </w:rPr>
              <w:t>心奖励</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100,000.00</w:t>
            </w:r>
          </w:p>
        </w:tc>
        <w:tc>
          <w:tcPr>
            <w:tcW w:w="177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1027" w:hRule="exact"/>
        </w:trPr>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30"/>
              <w:ind w:left="24" w:right="103"/>
              <w:jc w:val="both"/>
              <w:rPr>
                <w:rFonts w:ascii="宋体" w:hAnsi="宋体" w:cs="宋体" w:eastAsia="宋体" w:hint="default"/>
                <w:sz w:val="21"/>
                <w:szCs w:val="21"/>
              </w:rPr>
            </w:pPr>
            <w:r>
              <w:rPr>
                <w:rFonts w:ascii="宋体" w:hAnsi="宋体" w:cs="宋体" w:eastAsia="宋体" w:hint="default"/>
                <w:sz w:val="21"/>
                <w:szCs w:val="21"/>
              </w:rPr>
              <w:t>佛山市顺德区经济和科技促进局拨付</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年度佛</w:t>
            </w:r>
            <w:r>
              <w:rPr>
                <w:rFonts w:ascii="宋体" w:hAnsi="宋体" w:cs="宋体" w:eastAsia="宋体" w:hint="default"/>
                <w:w w:val="100"/>
                <w:sz w:val="21"/>
                <w:szCs w:val="21"/>
              </w:rPr>
              <w:t> </w:t>
            </w:r>
            <w:r>
              <w:rPr>
                <w:rFonts w:ascii="宋体" w:hAnsi="宋体" w:cs="宋体" w:eastAsia="宋体" w:hint="default"/>
                <w:spacing w:val="-2"/>
                <w:sz w:val="21"/>
                <w:szCs w:val="21"/>
              </w:rPr>
              <w:t>山市科学技术奖励项目</w:t>
            </w:r>
            <w:r>
              <w:rPr>
                <w:rFonts w:ascii="Times New Roman" w:hAnsi="Times New Roman" w:cs="Times New Roman" w:eastAsia="Times New Roman" w:hint="default"/>
                <w:spacing w:val="-2"/>
                <w:sz w:val="21"/>
                <w:szCs w:val="21"/>
              </w:rPr>
              <w:t>"CPE/POE/LDPE"</w:t>
            </w:r>
            <w:r>
              <w:rPr>
                <w:rFonts w:ascii="宋体" w:hAnsi="宋体" w:cs="宋体" w:eastAsia="宋体" w:hint="default"/>
                <w:spacing w:val="-2"/>
                <w:sz w:val="21"/>
                <w:szCs w:val="21"/>
              </w:rPr>
              <w:t>组分型绝</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缘橡胶及制作方法专利类项目奖金</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50,000.00</w:t>
            </w:r>
          </w:p>
        </w:tc>
        <w:tc>
          <w:tcPr>
            <w:tcW w:w="177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403" w:hRule="exact"/>
        </w:trPr>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佛山市顺德区拨付商标品牌战略扶持资金</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50,000.00</w:t>
            </w:r>
          </w:p>
        </w:tc>
        <w:tc>
          <w:tcPr>
            <w:tcW w:w="177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bl>
    <w:p>
      <w:pPr>
        <w:spacing w:after="0" w:line="240" w:lineRule="auto"/>
        <w:jc w:val="left"/>
        <w:rPr>
          <w:rFonts w:ascii="宋体" w:hAnsi="宋体" w:cs="宋体" w:eastAsia="宋体" w:hint="default"/>
          <w:sz w:val="21"/>
          <w:szCs w:val="21"/>
        </w:rPr>
        <w:sectPr>
          <w:pgSz w:w="11910" w:h="16840"/>
          <w:pgMar w:header="0" w:footer="979" w:top="1100" w:bottom="1160" w:left="980" w:right="980"/>
        </w:sectPr>
      </w:pPr>
    </w:p>
    <w:p>
      <w:pPr>
        <w:spacing w:line="240" w:lineRule="auto" w:before="11"/>
        <w:rPr>
          <w:rFonts w:ascii="Times New Roman" w:hAnsi="Times New Roman" w:cs="Times New Roman" w:eastAsia="Times New Roman" w:hint="default"/>
          <w:sz w:val="27"/>
          <w:szCs w:val="27"/>
        </w:rPr>
      </w:pPr>
      <w:r>
        <w:rPr/>
        <w:pict>
          <v:shape style="position:absolute;margin-left:262.978638pt;margin-top:306.934998pt;width:114.9pt;height:22.8pt;mso-position-horizontal-relative:page;mso-position-vertical-relative:page;z-index:-665512" type="#_x0000_t202" filled="false" stroked="false">
            <v:textbox inset="0,0,0,0">
              <w:txbxContent>
                <w:p>
                  <w:pPr>
                    <w:pStyle w:val="BodyText"/>
                    <w:spacing w:line="211" w:lineRule="exact"/>
                    <w:ind w:left="0" w:right="0"/>
                    <w:jc w:val="left"/>
                  </w:pPr>
                  <w:r>
                    <w:rPr/>
                    <w:t>奖励）</w:t>
                  </w:r>
                </w:p>
              </w:txbxContent>
            </v:textbox>
            <w10:wrap type="none"/>
          </v:shape>
        </w:pict>
      </w:r>
      <w:r>
        <w:rPr/>
        <w:pict>
          <v:group style="position:absolute;margin-left:290.929993pt;margin-top:302.329987pt;width:88.15pt;height:27.9pt;mso-position-horizontal-relative:page;mso-position-vertical-relative:page;z-index:-665488" coordorigin="5819,6047" coordsize="1763,558">
            <v:group style="position:absolute;left:5819;top:6047;width:1763;height:156" coordorigin="5819,6047" coordsize="1763,156">
              <v:shape style="position:absolute;left:5819;top:6047;width:1763;height:156" coordorigin="5819,6047" coordsize="1763,156" path="m5819,6203l7581,6203,7581,6047,5819,6047,5819,6203xe" filled="true" fillcolor="#ffffff" stroked="false">
                <v:path arrowok="t"/>
                <v:fill type="solid"/>
              </v:shape>
            </v:group>
            <v:group style="position:absolute;left:5829;top:6203;width:2;height:392" coordorigin="5829,6203" coordsize="2,392">
              <v:shape style="position:absolute;left:5829;top:6203;width:2;height:392" coordorigin="5829,6203" coordsize="0,392" path="m5829,6203l5829,6594e" filled="false" stroked="true" strokeweight="1.08pt" strokecolor="#ffffff">
                <v:path arrowok="t"/>
              </v:shape>
            </v:group>
            <v:group style="position:absolute;left:5840;top:6203;width:1717;height:392" coordorigin="5840,6203" coordsize="1717,392">
              <v:shape style="position:absolute;left:5840;top:6203;width:1717;height:392" coordorigin="5840,6203" coordsize="1717,392" path="m5840,6594l7557,6594,7557,6203,5840,6203,5840,6594xe" filled="true" fillcolor="#ffffff" stroked="false">
                <v:path arrowok="t"/>
                <v:fill type="solid"/>
              </v:shape>
            </v:group>
            <w10:wrap type="none"/>
          </v:group>
        </w:pict>
      </w:r>
    </w:p>
    <w:tbl>
      <w:tblPr>
        <w:tblW w:w="0" w:type="auto"/>
        <w:jc w:val="left"/>
        <w:tblInd w:w="148" w:type="dxa"/>
        <w:tblLayout w:type="fixed"/>
        <w:tblCellMar>
          <w:top w:w="0" w:type="dxa"/>
          <w:left w:w="0" w:type="dxa"/>
          <w:bottom w:w="0" w:type="dxa"/>
          <w:right w:w="0" w:type="dxa"/>
        </w:tblCellMar>
        <w:tblLook w:val="01E0"/>
      </w:tblPr>
      <w:tblGrid>
        <w:gridCol w:w="4679"/>
        <w:gridCol w:w="546"/>
        <w:gridCol w:w="1228"/>
        <w:gridCol w:w="1772"/>
        <w:gridCol w:w="1416"/>
      </w:tblGrid>
      <w:tr>
        <w:trPr>
          <w:trHeight w:val="1025" w:hRule="exact"/>
        </w:trPr>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7"/>
              <w:jc w:val="both"/>
              <w:rPr>
                <w:rFonts w:ascii="宋体" w:hAnsi="宋体" w:cs="宋体" w:eastAsia="宋体" w:hint="default"/>
                <w:sz w:val="21"/>
                <w:szCs w:val="21"/>
              </w:rPr>
            </w:pPr>
            <w:r>
              <w:rPr>
                <w:rFonts w:ascii="宋体" w:hAnsi="宋体" w:cs="宋体" w:eastAsia="宋体" w:hint="default"/>
                <w:spacing w:val="-2"/>
                <w:sz w:val="21"/>
                <w:szCs w:val="21"/>
              </w:rPr>
              <w:t>中共扬州市邗江区委高新技术产业开发区工作委员</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2"/>
                <w:sz w:val="21"/>
                <w:szCs w:val="21"/>
              </w:rPr>
              <w:t>会、中共扬州市邗江区委汊河街道工作委员会拨付</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年度纳税贡献奖</w:t>
            </w:r>
          </w:p>
        </w:tc>
        <w:tc>
          <w:tcPr>
            <w:tcW w:w="17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7"/>
              <w:ind w:left="900" w:right="0"/>
              <w:jc w:val="left"/>
              <w:rPr>
                <w:rFonts w:ascii="Times New Roman" w:hAnsi="Times New Roman" w:cs="Times New Roman" w:eastAsia="Times New Roman" w:hint="default"/>
                <w:sz w:val="21"/>
                <w:szCs w:val="21"/>
              </w:rPr>
            </w:pPr>
            <w:r>
              <w:rPr>
                <w:rFonts w:ascii="Times New Roman"/>
                <w:sz w:val="21"/>
              </w:rPr>
              <w:t>50,000.00</w:t>
            </w:r>
          </w:p>
        </w:tc>
        <w:tc>
          <w:tcPr>
            <w:tcW w:w="177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403" w:hRule="exact"/>
        </w:trPr>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pacing w:val="-2"/>
                <w:sz w:val="21"/>
                <w:szCs w:val="21"/>
              </w:rPr>
              <w:t>佛山市顺德区经济和科技促进局拨付专利资助奖金</w:t>
            </w:r>
          </w:p>
        </w:tc>
        <w:tc>
          <w:tcPr>
            <w:tcW w:w="17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900" w:right="0"/>
              <w:jc w:val="left"/>
              <w:rPr>
                <w:rFonts w:ascii="Times New Roman" w:hAnsi="Times New Roman" w:cs="Times New Roman" w:eastAsia="Times New Roman" w:hint="default"/>
                <w:sz w:val="21"/>
                <w:szCs w:val="21"/>
              </w:rPr>
            </w:pPr>
            <w:r>
              <w:rPr>
                <w:rFonts w:ascii="Times New Roman"/>
                <w:sz w:val="21"/>
              </w:rPr>
              <w:t>20,000.00</w:t>
            </w:r>
          </w:p>
        </w:tc>
        <w:tc>
          <w:tcPr>
            <w:tcW w:w="177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713" w:hRule="exact"/>
        </w:trPr>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8"/>
              <w:ind w:left="24" w:right="122"/>
              <w:jc w:val="left"/>
              <w:rPr>
                <w:rFonts w:ascii="宋体" w:hAnsi="宋体" w:cs="宋体" w:eastAsia="宋体" w:hint="default"/>
                <w:sz w:val="21"/>
                <w:szCs w:val="21"/>
              </w:rPr>
            </w:pPr>
            <w:r>
              <w:rPr>
                <w:rFonts w:ascii="宋体" w:hAnsi="宋体" w:cs="宋体" w:eastAsia="宋体" w:hint="default"/>
                <w:sz w:val="21"/>
                <w:szCs w:val="21"/>
              </w:rPr>
              <w:t>佛山市顺德区科学技术协会拨付</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年企业科协</w:t>
            </w:r>
            <w:r>
              <w:rPr>
                <w:rFonts w:ascii="宋体" w:hAnsi="宋体" w:cs="宋体" w:eastAsia="宋体" w:hint="default"/>
                <w:w w:val="100"/>
                <w:sz w:val="21"/>
                <w:szCs w:val="21"/>
              </w:rPr>
              <w:t> </w:t>
            </w:r>
            <w:r>
              <w:rPr>
                <w:rFonts w:ascii="宋体" w:hAnsi="宋体" w:cs="宋体" w:eastAsia="宋体" w:hint="default"/>
                <w:sz w:val="21"/>
                <w:szCs w:val="21"/>
              </w:rPr>
              <w:t>启动经费</w:t>
            </w:r>
          </w:p>
        </w:tc>
        <w:tc>
          <w:tcPr>
            <w:tcW w:w="17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900" w:right="0"/>
              <w:jc w:val="left"/>
              <w:rPr>
                <w:rFonts w:ascii="Times New Roman" w:hAnsi="Times New Roman" w:cs="Times New Roman" w:eastAsia="Times New Roman" w:hint="default"/>
                <w:sz w:val="21"/>
                <w:szCs w:val="21"/>
              </w:rPr>
            </w:pPr>
            <w:r>
              <w:rPr>
                <w:rFonts w:ascii="Times New Roman"/>
                <w:sz w:val="21"/>
              </w:rPr>
              <w:t>20,000.00</w:t>
            </w:r>
          </w:p>
        </w:tc>
        <w:tc>
          <w:tcPr>
            <w:tcW w:w="177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1027" w:hRule="exact"/>
        </w:trPr>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before="30"/>
              <w:ind w:left="24" w:right="17"/>
              <w:jc w:val="left"/>
              <w:rPr>
                <w:rFonts w:ascii="宋体" w:hAnsi="宋体" w:cs="宋体" w:eastAsia="宋体" w:hint="default"/>
                <w:sz w:val="21"/>
                <w:szCs w:val="21"/>
              </w:rPr>
            </w:pPr>
            <w:r>
              <w:rPr>
                <w:rFonts w:ascii="宋体" w:hAnsi="宋体" w:cs="宋体" w:eastAsia="宋体" w:hint="default"/>
                <w:spacing w:val="-2"/>
                <w:sz w:val="21"/>
                <w:szCs w:val="21"/>
              </w:rPr>
              <w:t>中共扬州市邗江区委蒋王街道工作委员会、扬州市</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邗江区人民政府蒋王街道办事处拨付</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年规模</w:t>
            </w:r>
            <w:r>
              <w:rPr>
                <w:rFonts w:ascii="宋体" w:hAnsi="宋体" w:cs="宋体" w:eastAsia="宋体" w:hint="default"/>
                <w:w w:val="100"/>
                <w:sz w:val="21"/>
                <w:szCs w:val="21"/>
              </w:rPr>
              <w:t> </w:t>
            </w:r>
            <w:r>
              <w:rPr>
                <w:rFonts w:ascii="宋体" w:hAnsi="宋体" w:cs="宋体" w:eastAsia="宋体" w:hint="default"/>
                <w:sz w:val="21"/>
                <w:szCs w:val="21"/>
              </w:rPr>
              <w:t>经济发展奖奖金</w:t>
            </w:r>
          </w:p>
        </w:tc>
        <w:tc>
          <w:tcPr>
            <w:tcW w:w="17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9"/>
              <w:ind w:left="900" w:right="0"/>
              <w:jc w:val="left"/>
              <w:rPr>
                <w:rFonts w:ascii="Times New Roman" w:hAnsi="Times New Roman" w:cs="Times New Roman" w:eastAsia="Times New Roman" w:hint="default"/>
                <w:sz w:val="21"/>
                <w:szCs w:val="21"/>
              </w:rPr>
            </w:pPr>
            <w:r>
              <w:rPr>
                <w:rFonts w:ascii="Times New Roman"/>
                <w:sz w:val="21"/>
              </w:rPr>
              <w:t>10,000.00</w:t>
            </w:r>
          </w:p>
        </w:tc>
        <w:tc>
          <w:tcPr>
            <w:tcW w:w="177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713" w:hRule="exact"/>
        </w:trPr>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before="28"/>
              <w:ind w:left="24" w:right="124"/>
              <w:jc w:val="left"/>
              <w:rPr>
                <w:rFonts w:ascii="宋体" w:hAnsi="宋体" w:cs="宋体" w:eastAsia="宋体" w:hint="default"/>
                <w:sz w:val="21"/>
                <w:szCs w:val="21"/>
              </w:rPr>
            </w:pPr>
            <w:r>
              <w:rPr>
                <w:rFonts w:ascii="宋体" w:hAnsi="宋体" w:cs="宋体" w:eastAsia="宋体" w:hint="default"/>
                <w:sz w:val="21"/>
                <w:szCs w:val="21"/>
              </w:rPr>
              <w:t>扬州市邗江区财政局拨付</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年市级信用管理示</w:t>
            </w:r>
            <w:r>
              <w:rPr>
                <w:rFonts w:ascii="宋体" w:hAnsi="宋体" w:cs="宋体" w:eastAsia="宋体" w:hint="default"/>
                <w:w w:val="100"/>
                <w:sz w:val="21"/>
                <w:szCs w:val="21"/>
              </w:rPr>
              <w:t> </w:t>
            </w:r>
            <w:r>
              <w:rPr>
                <w:rFonts w:ascii="宋体" w:hAnsi="宋体" w:cs="宋体" w:eastAsia="宋体" w:hint="default"/>
                <w:sz w:val="21"/>
                <w:szCs w:val="21"/>
              </w:rPr>
              <w:t>范企业奖励</w:t>
            </w:r>
          </w:p>
        </w:tc>
        <w:tc>
          <w:tcPr>
            <w:tcW w:w="17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900" w:right="0"/>
              <w:jc w:val="left"/>
              <w:rPr>
                <w:rFonts w:ascii="Times New Roman" w:hAnsi="Times New Roman" w:cs="Times New Roman" w:eastAsia="Times New Roman" w:hint="default"/>
                <w:sz w:val="21"/>
                <w:szCs w:val="21"/>
              </w:rPr>
            </w:pPr>
            <w:r>
              <w:rPr>
                <w:rFonts w:ascii="Times New Roman"/>
                <w:sz w:val="21"/>
              </w:rPr>
              <w:t>10,000.00</w:t>
            </w:r>
          </w:p>
        </w:tc>
        <w:tc>
          <w:tcPr>
            <w:tcW w:w="177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715" w:hRule="exact"/>
        </w:trPr>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30"/>
              <w:ind w:left="24" w:right="124"/>
              <w:jc w:val="left"/>
              <w:rPr>
                <w:rFonts w:ascii="宋体" w:hAnsi="宋体" w:cs="宋体" w:eastAsia="宋体" w:hint="default"/>
                <w:sz w:val="21"/>
                <w:szCs w:val="21"/>
              </w:rPr>
            </w:pPr>
            <w:r>
              <w:rPr>
                <w:rFonts w:ascii="宋体" w:hAnsi="宋体" w:cs="宋体" w:eastAsia="宋体" w:hint="default"/>
                <w:sz w:val="21"/>
                <w:szCs w:val="21"/>
              </w:rPr>
              <w:t>扬州市邗江区科技局拨付</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年省高新技术产品</w:t>
            </w:r>
            <w:r>
              <w:rPr>
                <w:rFonts w:ascii="宋体" w:hAnsi="宋体" w:cs="宋体" w:eastAsia="宋体" w:hint="default"/>
                <w:w w:val="100"/>
                <w:sz w:val="21"/>
                <w:szCs w:val="21"/>
              </w:rPr>
              <w:t> </w:t>
            </w:r>
            <w:r>
              <w:rPr>
                <w:rFonts w:ascii="宋体" w:hAnsi="宋体" w:cs="宋体" w:eastAsia="宋体" w:hint="default"/>
                <w:sz w:val="21"/>
                <w:szCs w:val="21"/>
              </w:rPr>
              <w:t>奖励</w:t>
            </w:r>
          </w:p>
        </w:tc>
        <w:tc>
          <w:tcPr>
            <w:tcW w:w="17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1005" w:right="0"/>
              <w:jc w:val="left"/>
              <w:rPr>
                <w:rFonts w:ascii="Times New Roman" w:hAnsi="Times New Roman" w:cs="Times New Roman" w:eastAsia="Times New Roman" w:hint="default"/>
                <w:sz w:val="21"/>
                <w:szCs w:val="21"/>
              </w:rPr>
            </w:pPr>
            <w:r>
              <w:rPr>
                <w:rFonts w:ascii="Times New Roman"/>
                <w:sz w:val="21"/>
              </w:rPr>
              <w:t>5,000.00</w:t>
            </w:r>
          </w:p>
        </w:tc>
        <w:tc>
          <w:tcPr>
            <w:tcW w:w="177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713" w:hRule="exact"/>
        </w:trPr>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w w:val="100"/>
                <w:sz w:val="21"/>
                <w:szCs w:val="21"/>
              </w:rPr>
              <w:t>扬州</w:t>
            </w:r>
            <w:r>
              <w:rPr>
                <w:rFonts w:ascii="宋体" w:hAnsi="宋体" w:cs="宋体" w:eastAsia="宋体" w:hint="default"/>
                <w:spacing w:val="-3"/>
                <w:w w:val="100"/>
                <w:sz w:val="21"/>
                <w:szCs w:val="21"/>
              </w:rPr>
              <w:t>市</w:t>
            </w:r>
            <w:r>
              <w:rPr>
                <w:rFonts w:ascii="宋体" w:hAnsi="宋体" w:cs="宋体" w:eastAsia="宋体" w:hint="default"/>
                <w:w w:val="100"/>
                <w:sz w:val="21"/>
                <w:szCs w:val="21"/>
              </w:rPr>
              <w:t>科</w:t>
            </w:r>
            <w:r>
              <w:rPr>
                <w:rFonts w:ascii="宋体" w:hAnsi="宋体" w:cs="宋体" w:eastAsia="宋体" w:hint="default"/>
                <w:spacing w:val="-3"/>
                <w:w w:val="100"/>
                <w:sz w:val="21"/>
                <w:szCs w:val="21"/>
              </w:rPr>
              <w:t>技</w:t>
            </w:r>
            <w:r>
              <w:rPr>
                <w:rFonts w:ascii="宋体" w:hAnsi="宋体" w:cs="宋体" w:eastAsia="宋体" w:hint="default"/>
                <w:w w:val="100"/>
                <w:sz w:val="21"/>
                <w:szCs w:val="21"/>
              </w:rPr>
              <w:t>局</w:t>
            </w:r>
            <w:r>
              <w:rPr>
                <w:rFonts w:ascii="宋体" w:hAnsi="宋体" w:cs="宋体" w:eastAsia="宋体" w:hint="default"/>
                <w:spacing w:val="-3"/>
                <w:w w:val="100"/>
                <w:sz w:val="21"/>
                <w:szCs w:val="21"/>
              </w:rPr>
              <w:t>拨</w:t>
            </w:r>
            <w:r>
              <w:rPr>
                <w:rFonts w:ascii="宋体" w:hAnsi="宋体" w:cs="宋体" w:eastAsia="宋体" w:hint="default"/>
                <w:w w:val="100"/>
                <w:sz w:val="21"/>
                <w:szCs w:val="21"/>
              </w:rPr>
              <w:t>付</w:t>
            </w:r>
            <w:r>
              <w:rPr>
                <w:rFonts w:ascii="宋体" w:hAnsi="宋体" w:cs="宋体" w:eastAsia="宋体" w:hint="default"/>
                <w:spacing w:val="-53"/>
                <w:sz w:val="21"/>
                <w:szCs w:val="21"/>
              </w:rPr>
              <w:t> </w:t>
            </w:r>
            <w:r>
              <w:rPr>
                <w:rFonts w:ascii="Times New Roman" w:hAnsi="Times New Roman" w:cs="Times New Roman" w:eastAsia="Times New Roman" w:hint="default"/>
                <w:spacing w:val="-3"/>
                <w:w w:val="100"/>
                <w:sz w:val="21"/>
                <w:szCs w:val="21"/>
              </w:rPr>
              <w:t>2</w:t>
            </w:r>
            <w:r>
              <w:rPr>
                <w:rFonts w:ascii="Times New Roman" w:hAnsi="Times New Roman" w:cs="Times New Roman" w:eastAsia="Times New Roman" w:hint="default"/>
                <w:w w:val="100"/>
                <w:sz w:val="21"/>
                <w:szCs w:val="21"/>
              </w:rPr>
              <w:t>014</w:t>
            </w:r>
            <w:r>
              <w:rPr>
                <w:rFonts w:ascii="Times New Roman" w:hAnsi="Times New Roman" w:cs="Times New Roman" w:eastAsia="Times New Roman" w:hint="default"/>
                <w:spacing w:val="-3"/>
                <w:sz w:val="21"/>
                <w:szCs w:val="21"/>
              </w:rPr>
              <w:t> </w:t>
            </w:r>
            <w:r>
              <w:rPr>
                <w:rFonts w:ascii="宋体" w:hAnsi="宋体" w:cs="宋体" w:eastAsia="宋体" w:hint="default"/>
                <w:spacing w:val="-3"/>
                <w:w w:val="100"/>
                <w:sz w:val="21"/>
                <w:szCs w:val="21"/>
              </w:rPr>
              <w:t>年</w:t>
            </w:r>
            <w:r>
              <w:rPr>
                <w:rFonts w:ascii="宋体" w:hAnsi="宋体" w:cs="宋体" w:eastAsia="宋体" w:hint="default"/>
                <w:w w:val="100"/>
                <w:sz w:val="21"/>
                <w:szCs w:val="21"/>
              </w:rPr>
              <w:t>度</w:t>
            </w:r>
            <w:r>
              <w:rPr>
                <w:rFonts w:ascii="Times New Roman" w:hAnsi="Times New Roman" w:cs="Times New Roman" w:eastAsia="Times New Roman" w:hint="default"/>
                <w:spacing w:val="-3"/>
                <w:w w:val="100"/>
                <w:sz w:val="21"/>
                <w:szCs w:val="21"/>
              </w:rPr>
              <w:t>"</w:t>
            </w:r>
            <w:r>
              <w:rPr>
                <w:rFonts w:ascii="宋体" w:hAnsi="宋体" w:cs="宋体" w:eastAsia="宋体" w:hint="default"/>
                <w:w w:val="100"/>
                <w:sz w:val="21"/>
                <w:szCs w:val="21"/>
              </w:rPr>
              <w:t>专利</w:t>
            </w:r>
            <w:r>
              <w:rPr>
                <w:rFonts w:ascii="宋体" w:hAnsi="宋体" w:cs="宋体" w:eastAsia="宋体" w:hint="default"/>
                <w:spacing w:val="-3"/>
                <w:w w:val="100"/>
                <w:sz w:val="21"/>
                <w:szCs w:val="21"/>
              </w:rPr>
              <w:t>财</w:t>
            </w:r>
            <w:r>
              <w:rPr>
                <w:rFonts w:ascii="宋体" w:hAnsi="宋体" w:cs="宋体" w:eastAsia="宋体" w:hint="default"/>
                <w:w w:val="100"/>
                <w:sz w:val="21"/>
                <w:szCs w:val="21"/>
              </w:rPr>
              <w:t>政</w:t>
            </w:r>
            <w:r>
              <w:rPr>
                <w:rFonts w:ascii="宋体" w:hAnsi="宋体" w:cs="宋体" w:eastAsia="宋体" w:hint="default"/>
                <w:spacing w:val="-3"/>
                <w:w w:val="100"/>
                <w:sz w:val="21"/>
                <w:szCs w:val="21"/>
              </w:rPr>
              <w:t>资</w:t>
            </w:r>
            <w:r>
              <w:rPr>
                <w:rFonts w:ascii="宋体" w:hAnsi="宋体" w:cs="宋体" w:eastAsia="宋体" w:hint="default"/>
                <w:spacing w:val="-85"/>
                <w:w w:val="100"/>
                <w:sz w:val="21"/>
                <w:szCs w:val="21"/>
              </w:rPr>
              <w:t>助</w:t>
            </w:r>
            <w:r>
              <w:rPr>
                <w:rFonts w:ascii="宋体" w:hAnsi="宋体" w:cs="宋体" w:eastAsia="宋体" w:hint="default"/>
                <w:w w:val="100"/>
                <w:sz w:val="21"/>
                <w:szCs w:val="21"/>
              </w:rPr>
              <w:t>（</w:t>
            </w:r>
          </w:p>
          <w:p>
            <w:pPr>
              <w:pStyle w:val="TableParagraph"/>
              <w:spacing w:line="240" w:lineRule="auto" w:before="21"/>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资金</w:t>
            </w:r>
          </w:p>
        </w:tc>
        <w:tc>
          <w:tcPr>
            <w:tcW w:w="546" w:type="dxa"/>
            <w:tcBorders>
              <w:top w:val="single" w:sz="4" w:space="0" w:color="000000"/>
              <w:left w:val="single" w:sz="4" w:space="0" w:color="000000"/>
              <w:bottom w:val="single" w:sz="4" w:space="0" w:color="000000"/>
              <w:right w:val="nil" w:sz="6" w:space="0" w:color="auto"/>
            </w:tcBorders>
          </w:tcPr>
          <w:p>
            <w:pPr/>
          </w:p>
        </w:tc>
        <w:tc>
          <w:tcPr>
            <w:tcW w:w="12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464" w:right="0"/>
              <w:jc w:val="left"/>
              <w:rPr>
                <w:rFonts w:ascii="Times New Roman" w:hAnsi="Times New Roman" w:cs="Times New Roman" w:eastAsia="Times New Roman" w:hint="default"/>
                <w:sz w:val="21"/>
                <w:szCs w:val="21"/>
              </w:rPr>
            </w:pPr>
            <w:r>
              <w:rPr>
                <w:rFonts w:ascii="Times New Roman"/>
                <w:sz w:val="21"/>
              </w:rPr>
              <w:t>6,500.00</w:t>
            </w:r>
          </w:p>
        </w:tc>
        <w:tc>
          <w:tcPr>
            <w:tcW w:w="177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403" w:hRule="exact"/>
        </w:trPr>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年度邗江区锅炉茶水炉整治专项补助资金</w:t>
            </w:r>
          </w:p>
        </w:tc>
        <w:tc>
          <w:tcPr>
            <w:tcW w:w="17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900" w:right="0"/>
              <w:jc w:val="left"/>
              <w:rPr>
                <w:rFonts w:ascii="Times New Roman" w:hAnsi="Times New Roman" w:cs="Times New Roman" w:eastAsia="Times New Roman" w:hint="default"/>
                <w:sz w:val="21"/>
                <w:szCs w:val="21"/>
              </w:rPr>
            </w:pPr>
            <w:r>
              <w:rPr>
                <w:rFonts w:ascii="Times New Roman"/>
                <w:sz w:val="21"/>
              </w:rPr>
              <w:t>20,000.00</w:t>
            </w:r>
          </w:p>
        </w:tc>
        <w:tc>
          <w:tcPr>
            <w:tcW w:w="177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713" w:hRule="exact"/>
        </w:trPr>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8"/>
              <w:ind w:left="24" w:right="163"/>
              <w:jc w:val="left"/>
              <w:rPr>
                <w:rFonts w:ascii="宋体" w:hAnsi="宋体" w:cs="宋体" w:eastAsia="宋体" w:hint="default"/>
                <w:sz w:val="21"/>
                <w:szCs w:val="21"/>
              </w:rPr>
            </w:pPr>
            <w:r>
              <w:rPr>
                <w:rFonts w:ascii="宋体" w:hAnsi="宋体" w:cs="宋体" w:eastAsia="宋体" w:hint="default"/>
                <w:sz w:val="21"/>
                <w:szCs w:val="21"/>
              </w:rPr>
              <w:t>扬州市财政局拨付</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年度</w:t>
            </w:r>
            <w:r>
              <w:rPr>
                <w:rFonts w:ascii="Times New Roman" w:hAnsi="Times New Roman" w:cs="Times New Roman" w:eastAsia="Times New Roman" w:hint="default"/>
                <w:sz w:val="21"/>
                <w:szCs w:val="21"/>
              </w:rPr>
              <w:t>"</w:t>
            </w:r>
            <w:r>
              <w:rPr>
                <w:rFonts w:ascii="宋体" w:hAnsi="宋体" w:cs="宋体" w:eastAsia="宋体" w:hint="default"/>
                <w:sz w:val="21"/>
                <w:szCs w:val="21"/>
              </w:rPr>
              <w:t>燃煤锅炉整治项目</w:t>
            </w:r>
            <w:r>
              <w:rPr>
                <w:rFonts w:ascii="Times New Roman" w:hAnsi="Times New Roman" w:cs="Times New Roman" w:eastAsia="Times New Roman" w:hint="default"/>
                <w:sz w:val="21"/>
                <w:szCs w:val="21"/>
              </w:rPr>
              <w:t>"</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资金</w:t>
            </w:r>
          </w:p>
        </w:tc>
        <w:tc>
          <w:tcPr>
            <w:tcW w:w="17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794" w:right="0"/>
              <w:jc w:val="left"/>
              <w:rPr>
                <w:rFonts w:ascii="Times New Roman" w:hAnsi="Times New Roman" w:cs="Times New Roman" w:eastAsia="Times New Roman" w:hint="default"/>
                <w:sz w:val="21"/>
                <w:szCs w:val="21"/>
              </w:rPr>
            </w:pPr>
            <w:r>
              <w:rPr>
                <w:rFonts w:ascii="Times New Roman"/>
                <w:sz w:val="21"/>
              </w:rPr>
              <w:t>250,000.00</w:t>
            </w:r>
          </w:p>
        </w:tc>
        <w:tc>
          <w:tcPr>
            <w:tcW w:w="177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715" w:hRule="exact"/>
        </w:trPr>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30"/>
              <w:ind w:left="24" w:right="36"/>
              <w:jc w:val="left"/>
              <w:rPr>
                <w:rFonts w:ascii="宋体" w:hAnsi="宋体" w:cs="宋体" w:eastAsia="宋体" w:hint="default"/>
                <w:sz w:val="21"/>
                <w:szCs w:val="21"/>
              </w:rPr>
            </w:pPr>
            <w:r>
              <w:rPr>
                <w:rFonts w:ascii="宋体" w:hAnsi="宋体" w:cs="宋体" w:eastAsia="宋体" w:hint="default"/>
                <w:sz w:val="21"/>
                <w:szCs w:val="21"/>
              </w:rPr>
              <w:t>扬州市财政局按国家要求拨付</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年度</w:t>
            </w:r>
            <w:r>
              <w:rPr>
                <w:rFonts w:ascii="Times New Roman" w:hAnsi="Times New Roman" w:cs="Times New Roman" w:eastAsia="Times New Roman" w:hint="default"/>
                <w:sz w:val="21"/>
                <w:szCs w:val="21"/>
              </w:rPr>
              <w:t>"</w:t>
            </w:r>
            <w:r>
              <w:rPr>
                <w:rFonts w:ascii="宋体" w:hAnsi="宋体" w:cs="宋体" w:eastAsia="宋体" w:hint="default"/>
                <w:sz w:val="21"/>
                <w:szCs w:val="21"/>
              </w:rPr>
              <w:t>大气污染</w:t>
            </w:r>
            <w:r>
              <w:rPr>
                <w:rFonts w:ascii="宋体" w:hAnsi="宋体" w:cs="宋体" w:eastAsia="宋体" w:hint="default"/>
                <w:w w:val="100"/>
                <w:sz w:val="21"/>
                <w:szCs w:val="21"/>
              </w:rPr>
              <w:t> </w:t>
            </w:r>
            <w:r>
              <w:rPr>
                <w:rFonts w:ascii="宋体" w:hAnsi="宋体" w:cs="宋体" w:eastAsia="宋体" w:hint="default"/>
                <w:sz w:val="21"/>
                <w:szCs w:val="21"/>
              </w:rPr>
              <w:t>防治</w:t>
            </w:r>
            <w:r>
              <w:rPr>
                <w:rFonts w:ascii="Times New Roman" w:hAnsi="Times New Roman" w:cs="Times New Roman" w:eastAsia="Times New Roman" w:hint="default"/>
                <w:sz w:val="21"/>
                <w:szCs w:val="21"/>
              </w:rPr>
              <w:t>"</w:t>
            </w:r>
            <w:r>
              <w:rPr>
                <w:rFonts w:ascii="宋体" w:hAnsi="宋体" w:cs="宋体" w:eastAsia="宋体" w:hint="default"/>
                <w:sz w:val="21"/>
                <w:szCs w:val="21"/>
              </w:rPr>
              <w:t>专项资金</w:t>
            </w:r>
          </w:p>
        </w:tc>
        <w:tc>
          <w:tcPr>
            <w:tcW w:w="17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794" w:right="0"/>
              <w:jc w:val="left"/>
              <w:rPr>
                <w:rFonts w:ascii="Times New Roman" w:hAnsi="Times New Roman" w:cs="Times New Roman" w:eastAsia="Times New Roman" w:hint="default"/>
                <w:sz w:val="21"/>
                <w:szCs w:val="21"/>
              </w:rPr>
            </w:pPr>
            <w:r>
              <w:rPr>
                <w:rFonts w:ascii="Times New Roman"/>
                <w:sz w:val="21"/>
              </w:rPr>
              <w:t>300,000.00</w:t>
            </w:r>
          </w:p>
        </w:tc>
        <w:tc>
          <w:tcPr>
            <w:tcW w:w="177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401" w:hRule="exact"/>
        </w:trPr>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顺德区商标品牌战略扶持资金奖励</w:t>
            </w:r>
          </w:p>
        </w:tc>
        <w:tc>
          <w:tcPr>
            <w:tcW w:w="17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900" w:right="0"/>
              <w:jc w:val="left"/>
              <w:rPr>
                <w:rFonts w:ascii="Times New Roman" w:hAnsi="Times New Roman" w:cs="Times New Roman" w:eastAsia="Times New Roman" w:hint="default"/>
                <w:sz w:val="21"/>
                <w:szCs w:val="21"/>
              </w:rPr>
            </w:pPr>
            <w:r>
              <w:rPr>
                <w:rFonts w:ascii="Times New Roman"/>
                <w:sz w:val="21"/>
              </w:rPr>
              <w:t>50,000.00</w:t>
            </w:r>
          </w:p>
        </w:tc>
        <w:tc>
          <w:tcPr>
            <w:tcW w:w="177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403" w:hRule="exact"/>
        </w:trPr>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年顺德区促进知识产权发展专利资金</w:t>
            </w:r>
          </w:p>
        </w:tc>
        <w:tc>
          <w:tcPr>
            <w:tcW w:w="17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900" w:right="0"/>
              <w:jc w:val="left"/>
              <w:rPr>
                <w:rFonts w:ascii="Times New Roman" w:hAnsi="Times New Roman" w:cs="Times New Roman" w:eastAsia="Times New Roman" w:hint="default"/>
                <w:sz w:val="21"/>
                <w:szCs w:val="21"/>
              </w:rPr>
            </w:pPr>
            <w:r>
              <w:rPr>
                <w:rFonts w:ascii="Times New Roman"/>
                <w:sz w:val="21"/>
              </w:rPr>
              <w:t>38,150.00</w:t>
            </w:r>
          </w:p>
        </w:tc>
        <w:tc>
          <w:tcPr>
            <w:tcW w:w="177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401" w:hRule="exact"/>
        </w:trPr>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年推动加工贸易转型升级专项资金</w:t>
            </w:r>
          </w:p>
        </w:tc>
        <w:tc>
          <w:tcPr>
            <w:tcW w:w="17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794" w:right="0"/>
              <w:jc w:val="left"/>
              <w:rPr>
                <w:rFonts w:ascii="Times New Roman" w:hAnsi="Times New Roman" w:cs="Times New Roman" w:eastAsia="Times New Roman" w:hint="default"/>
                <w:sz w:val="21"/>
                <w:szCs w:val="21"/>
              </w:rPr>
            </w:pPr>
            <w:r>
              <w:rPr>
                <w:rFonts w:ascii="Times New Roman"/>
                <w:sz w:val="21"/>
              </w:rPr>
              <w:t>465,400.00</w:t>
            </w:r>
          </w:p>
        </w:tc>
        <w:tc>
          <w:tcPr>
            <w:tcW w:w="177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403" w:hRule="exact"/>
        </w:trPr>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佛山市</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PCT </w:t>
            </w:r>
            <w:r>
              <w:rPr>
                <w:rFonts w:ascii="宋体" w:hAnsi="宋体" w:cs="宋体" w:eastAsia="宋体" w:hint="default"/>
                <w:sz w:val="21"/>
                <w:szCs w:val="21"/>
              </w:rPr>
              <w:t>专利申请资助</w:t>
            </w:r>
          </w:p>
        </w:tc>
        <w:tc>
          <w:tcPr>
            <w:tcW w:w="17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900" w:right="0"/>
              <w:jc w:val="left"/>
              <w:rPr>
                <w:rFonts w:ascii="Times New Roman" w:hAnsi="Times New Roman" w:cs="Times New Roman" w:eastAsia="Times New Roman" w:hint="default"/>
                <w:sz w:val="21"/>
                <w:szCs w:val="21"/>
              </w:rPr>
            </w:pPr>
            <w:r>
              <w:rPr>
                <w:rFonts w:ascii="Times New Roman"/>
                <w:sz w:val="21"/>
              </w:rPr>
              <w:t>10,000.00</w:t>
            </w:r>
          </w:p>
        </w:tc>
        <w:tc>
          <w:tcPr>
            <w:tcW w:w="177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713" w:hRule="exact"/>
        </w:trPr>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8"/>
              <w:ind w:left="24" w:right="177"/>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年度顺德区安排残疾人就业成绩显著用人单</w:t>
            </w:r>
            <w:r>
              <w:rPr>
                <w:rFonts w:ascii="宋体" w:hAnsi="宋体" w:cs="宋体" w:eastAsia="宋体" w:hint="default"/>
                <w:w w:val="100"/>
                <w:sz w:val="21"/>
                <w:szCs w:val="21"/>
              </w:rPr>
              <w:t> </w:t>
            </w:r>
            <w:r>
              <w:rPr>
                <w:rFonts w:ascii="宋体" w:hAnsi="宋体" w:cs="宋体" w:eastAsia="宋体" w:hint="default"/>
                <w:sz w:val="21"/>
                <w:szCs w:val="21"/>
              </w:rPr>
              <w:t>位奖励</w:t>
            </w:r>
          </w:p>
        </w:tc>
        <w:tc>
          <w:tcPr>
            <w:tcW w:w="17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900" w:right="0"/>
              <w:jc w:val="left"/>
              <w:rPr>
                <w:rFonts w:ascii="Times New Roman" w:hAnsi="Times New Roman" w:cs="Times New Roman" w:eastAsia="Times New Roman" w:hint="default"/>
                <w:sz w:val="21"/>
                <w:szCs w:val="21"/>
              </w:rPr>
            </w:pPr>
            <w:r>
              <w:rPr>
                <w:rFonts w:ascii="Times New Roman"/>
                <w:sz w:val="21"/>
              </w:rPr>
              <w:t>75,744.50</w:t>
            </w:r>
          </w:p>
        </w:tc>
        <w:tc>
          <w:tcPr>
            <w:tcW w:w="177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715" w:hRule="exact"/>
        </w:trPr>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30"/>
              <w:ind w:left="24" w:right="122"/>
              <w:jc w:val="left"/>
              <w:rPr>
                <w:rFonts w:ascii="宋体" w:hAnsi="宋体" w:cs="宋体" w:eastAsia="宋体" w:hint="default"/>
                <w:sz w:val="21"/>
                <w:szCs w:val="21"/>
              </w:rPr>
            </w:pPr>
            <w:r>
              <w:rPr>
                <w:rFonts w:ascii="宋体" w:hAnsi="宋体" w:cs="宋体" w:eastAsia="宋体" w:hint="default"/>
                <w:sz w:val="21"/>
                <w:szCs w:val="21"/>
              </w:rPr>
              <w:t>佛山市顺德区容桂街道经济和科技促进局</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度突出贡献奖专项资金</w:t>
            </w:r>
          </w:p>
        </w:tc>
        <w:tc>
          <w:tcPr>
            <w:tcW w:w="17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900" w:right="0"/>
              <w:jc w:val="left"/>
              <w:rPr>
                <w:rFonts w:ascii="Times New Roman" w:hAnsi="Times New Roman" w:cs="Times New Roman" w:eastAsia="Times New Roman" w:hint="default"/>
                <w:sz w:val="21"/>
                <w:szCs w:val="21"/>
              </w:rPr>
            </w:pPr>
            <w:r>
              <w:rPr>
                <w:rFonts w:ascii="Times New Roman"/>
                <w:sz w:val="21"/>
              </w:rPr>
              <w:t>10,000.00</w:t>
            </w:r>
          </w:p>
        </w:tc>
        <w:tc>
          <w:tcPr>
            <w:tcW w:w="177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713" w:hRule="exact"/>
        </w:trPr>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before="28"/>
              <w:ind w:left="24" w:right="122"/>
              <w:jc w:val="left"/>
              <w:rPr>
                <w:rFonts w:ascii="宋体" w:hAnsi="宋体" w:cs="宋体" w:eastAsia="宋体" w:hint="default"/>
                <w:sz w:val="21"/>
                <w:szCs w:val="21"/>
              </w:rPr>
            </w:pPr>
            <w:r>
              <w:rPr>
                <w:rFonts w:ascii="宋体" w:hAnsi="宋体" w:cs="宋体" w:eastAsia="宋体" w:hint="default"/>
                <w:sz w:val="21"/>
                <w:szCs w:val="21"/>
              </w:rPr>
              <w:t>佛山市顺德区经济和科技促进局拨付</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年度佛</w:t>
            </w:r>
            <w:r>
              <w:rPr>
                <w:rFonts w:ascii="宋体" w:hAnsi="宋体" w:cs="宋体" w:eastAsia="宋体" w:hint="default"/>
                <w:w w:val="100"/>
                <w:sz w:val="21"/>
                <w:szCs w:val="21"/>
              </w:rPr>
              <w:t> </w:t>
            </w:r>
            <w:r>
              <w:rPr>
                <w:rFonts w:ascii="宋体" w:hAnsi="宋体" w:cs="宋体" w:eastAsia="宋体" w:hint="default"/>
                <w:sz w:val="21"/>
                <w:szCs w:val="21"/>
              </w:rPr>
              <w:t>山市顺德区骨干企业做大做强专项资金</w:t>
            </w:r>
          </w:p>
        </w:tc>
        <w:tc>
          <w:tcPr>
            <w:tcW w:w="1774" w:type="dxa"/>
            <w:gridSpan w:val="2"/>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1,000,000.00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715" w:hRule="exact"/>
        </w:trPr>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30"/>
              <w:ind w:left="24" w:right="124"/>
              <w:jc w:val="left"/>
              <w:rPr>
                <w:rFonts w:ascii="宋体" w:hAnsi="宋体" w:cs="宋体" w:eastAsia="宋体" w:hint="default"/>
                <w:sz w:val="21"/>
                <w:szCs w:val="21"/>
              </w:rPr>
            </w:pPr>
            <w:r>
              <w:rPr>
                <w:rFonts w:ascii="宋体" w:hAnsi="宋体" w:cs="宋体" w:eastAsia="宋体" w:hint="default"/>
                <w:sz w:val="21"/>
                <w:szCs w:val="21"/>
              </w:rPr>
              <w:t>佛山市科学技术局拨付</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年佛山市创新型城市</w:t>
            </w:r>
            <w:r>
              <w:rPr>
                <w:rFonts w:ascii="宋体" w:hAnsi="宋体" w:cs="宋体" w:eastAsia="宋体" w:hint="default"/>
                <w:w w:val="100"/>
                <w:sz w:val="21"/>
                <w:szCs w:val="21"/>
              </w:rPr>
              <w:t> </w:t>
            </w:r>
            <w:r>
              <w:rPr>
                <w:rFonts w:ascii="宋体" w:hAnsi="宋体" w:cs="宋体" w:eastAsia="宋体" w:hint="default"/>
                <w:sz w:val="21"/>
                <w:szCs w:val="21"/>
              </w:rPr>
              <w:t>建设科技项目经费</w:t>
            </w:r>
          </w:p>
        </w:tc>
        <w:tc>
          <w:tcPr>
            <w:tcW w:w="1774" w:type="dxa"/>
            <w:gridSpan w:val="2"/>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1025" w:hRule="exact"/>
        </w:trPr>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before="28"/>
              <w:ind w:left="24" w:right="177"/>
              <w:jc w:val="left"/>
              <w:rPr>
                <w:rFonts w:ascii="宋体" w:hAnsi="宋体" w:cs="宋体" w:eastAsia="宋体" w:hint="default"/>
                <w:sz w:val="21"/>
                <w:szCs w:val="21"/>
              </w:rPr>
            </w:pPr>
            <w:r>
              <w:rPr>
                <w:rFonts w:ascii="宋体" w:hAnsi="宋体" w:cs="宋体" w:eastAsia="宋体" w:hint="default"/>
                <w:sz w:val="21"/>
                <w:szCs w:val="21"/>
              </w:rPr>
              <w:t>佛山市顺德区容桂街道经济和科技促进局拨付</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年度容桂科技计划项目《环保型耐热高性能</w:t>
            </w:r>
            <w:r>
              <w:rPr>
                <w:rFonts w:ascii="宋体" w:hAnsi="宋体" w:cs="宋体" w:eastAsia="宋体" w:hint="default"/>
                <w:w w:val="100"/>
                <w:sz w:val="21"/>
                <w:szCs w:val="21"/>
              </w:rPr>
              <w:t> </w:t>
            </w:r>
            <w:r>
              <w:rPr>
                <w:rFonts w:ascii="Times New Roman" w:hAnsi="Times New Roman" w:cs="Times New Roman" w:eastAsia="Times New Roman" w:hint="default"/>
                <w:spacing w:val="-10"/>
                <w:sz w:val="21"/>
                <w:szCs w:val="21"/>
              </w:rPr>
              <w:t>EVA</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电源线关键技术和产业化》</w:t>
            </w:r>
          </w:p>
        </w:tc>
        <w:tc>
          <w:tcPr>
            <w:tcW w:w="1774" w:type="dxa"/>
            <w:gridSpan w:val="2"/>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7"/>
              <w:ind w:right="17"/>
              <w:jc w:val="right"/>
              <w:rPr>
                <w:rFonts w:ascii="Times New Roman" w:hAnsi="Times New Roman" w:cs="Times New Roman" w:eastAsia="Times New Roman" w:hint="default"/>
                <w:sz w:val="21"/>
                <w:szCs w:val="21"/>
              </w:rPr>
            </w:pPr>
            <w:r>
              <w:rPr>
                <w:rFonts w:ascii="Times New Roman"/>
                <w:spacing w:val="-1"/>
                <w:sz w:val="21"/>
              </w:rPr>
              <w:t>200,000.00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715" w:hRule="exact"/>
        </w:trPr>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30"/>
              <w:ind w:left="24" w:right="125"/>
              <w:jc w:val="left"/>
              <w:rPr>
                <w:rFonts w:ascii="宋体" w:hAnsi="宋体" w:cs="宋体" w:eastAsia="宋体" w:hint="default"/>
                <w:sz w:val="21"/>
                <w:szCs w:val="21"/>
              </w:rPr>
            </w:pPr>
            <w:r>
              <w:rPr>
                <w:rFonts w:ascii="宋体" w:hAnsi="宋体" w:cs="宋体" w:eastAsia="宋体" w:hint="default"/>
                <w:sz w:val="21"/>
                <w:szCs w:val="21"/>
              </w:rPr>
              <w:t>广东省商务厅拨付</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年加工贸易转型升级专项</w:t>
            </w:r>
            <w:r>
              <w:rPr>
                <w:rFonts w:ascii="宋体" w:hAnsi="宋体" w:cs="宋体" w:eastAsia="宋体" w:hint="default"/>
                <w:w w:val="100"/>
                <w:sz w:val="21"/>
                <w:szCs w:val="21"/>
              </w:rPr>
              <w:t> </w:t>
            </w:r>
            <w:r>
              <w:rPr>
                <w:rFonts w:ascii="宋体" w:hAnsi="宋体" w:cs="宋体" w:eastAsia="宋体" w:hint="default"/>
                <w:sz w:val="21"/>
                <w:szCs w:val="21"/>
              </w:rPr>
              <w:t>资金</w:t>
            </w:r>
          </w:p>
        </w:tc>
        <w:tc>
          <w:tcPr>
            <w:tcW w:w="1774" w:type="dxa"/>
            <w:gridSpan w:val="2"/>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80,000.00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403" w:hRule="exact"/>
        </w:trPr>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4" w:right="0"/>
              <w:jc w:val="left"/>
              <w:rPr>
                <w:rFonts w:ascii="宋体" w:hAnsi="宋体" w:cs="宋体" w:eastAsia="宋体" w:hint="default"/>
                <w:sz w:val="21"/>
                <w:szCs w:val="21"/>
              </w:rPr>
            </w:pPr>
            <w:r>
              <w:rPr>
                <w:rFonts w:ascii="宋体" w:hAnsi="宋体" w:cs="宋体" w:eastAsia="宋体" w:hint="default"/>
                <w:sz w:val="21"/>
                <w:szCs w:val="21"/>
              </w:rPr>
              <w:t>佛山市顺德区经济和科技促进局拨付</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年度顺</w:t>
            </w:r>
          </w:p>
        </w:tc>
        <w:tc>
          <w:tcPr>
            <w:tcW w:w="1774" w:type="dxa"/>
            <w:gridSpan w:val="2"/>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bl>
    <w:p>
      <w:pPr>
        <w:spacing w:after="0" w:line="240" w:lineRule="auto"/>
        <w:jc w:val="left"/>
        <w:rPr>
          <w:rFonts w:ascii="宋体" w:hAnsi="宋体" w:cs="宋体" w:eastAsia="宋体" w:hint="default"/>
          <w:sz w:val="21"/>
          <w:szCs w:val="21"/>
        </w:rPr>
        <w:sectPr>
          <w:pgSz w:w="11910" w:h="16840"/>
          <w:pgMar w:header="0" w:footer="979"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4679"/>
        <w:gridCol w:w="1774"/>
        <w:gridCol w:w="1772"/>
        <w:gridCol w:w="1416"/>
      </w:tblGrid>
      <w:tr>
        <w:trPr>
          <w:trHeight w:val="363" w:hRule="exact"/>
        </w:trPr>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德区科学技术奖励项目</w:t>
            </w:r>
          </w:p>
        </w:tc>
        <w:tc>
          <w:tcPr>
            <w:tcW w:w="1774"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8"/>
              <w:ind w:left="24" w:right="122"/>
              <w:jc w:val="left"/>
              <w:rPr>
                <w:rFonts w:ascii="宋体" w:hAnsi="宋体" w:cs="宋体" w:eastAsia="宋体" w:hint="default"/>
                <w:sz w:val="21"/>
                <w:szCs w:val="21"/>
              </w:rPr>
            </w:pPr>
            <w:r>
              <w:rPr>
                <w:rFonts w:ascii="宋体" w:hAnsi="宋体" w:cs="宋体" w:eastAsia="宋体" w:hint="default"/>
                <w:sz w:val="21"/>
                <w:szCs w:val="21"/>
              </w:rPr>
              <w:t>佛山市顺德区经济和科技促进局拨付</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年度顺</w:t>
            </w:r>
            <w:r>
              <w:rPr>
                <w:rFonts w:ascii="宋体" w:hAnsi="宋体" w:cs="宋体" w:eastAsia="宋体" w:hint="default"/>
                <w:w w:val="100"/>
                <w:sz w:val="21"/>
                <w:szCs w:val="21"/>
              </w:rPr>
              <w:t> </w:t>
            </w:r>
            <w:r>
              <w:rPr>
                <w:rFonts w:ascii="宋体" w:hAnsi="宋体" w:cs="宋体" w:eastAsia="宋体" w:hint="default"/>
                <w:sz w:val="21"/>
                <w:szCs w:val="21"/>
              </w:rPr>
              <w:t>德区专利资助经费</w:t>
            </w:r>
          </w:p>
        </w:tc>
        <w:tc>
          <w:tcPr>
            <w:tcW w:w="1774"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44,600.00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715" w:hRule="exact"/>
        </w:trPr>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8"/>
              <w:ind w:left="24" w:right="125"/>
              <w:jc w:val="left"/>
              <w:rPr>
                <w:rFonts w:ascii="宋体" w:hAnsi="宋体" w:cs="宋体" w:eastAsia="宋体" w:hint="default"/>
                <w:sz w:val="21"/>
                <w:szCs w:val="21"/>
              </w:rPr>
            </w:pPr>
            <w:r>
              <w:rPr>
                <w:rFonts w:ascii="宋体" w:hAnsi="宋体" w:cs="宋体" w:eastAsia="宋体" w:hint="default"/>
                <w:sz w:val="21"/>
                <w:szCs w:val="21"/>
              </w:rPr>
              <w:t>广东省商务厅拨付</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年加工贸易转型升级专项</w:t>
            </w:r>
            <w:r>
              <w:rPr>
                <w:rFonts w:ascii="宋体" w:hAnsi="宋体" w:cs="宋体" w:eastAsia="宋体" w:hint="default"/>
                <w:w w:val="100"/>
                <w:sz w:val="21"/>
                <w:szCs w:val="21"/>
              </w:rPr>
              <w:t> </w:t>
            </w:r>
            <w:r>
              <w:rPr>
                <w:rFonts w:ascii="宋体" w:hAnsi="宋体" w:cs="宋体" w:eastAsia="宋体" w:hint="default"/>
                <w:sz w:val="21"/>
                <w:szCs w:val="21"/>
              </w:rPr>
              <w:t>资金</w:t>
            </w:r>
          </w:p>
        </w:tc>
        <w:tc>
          <w:tcPr>
            <w:tcW w:w="1774"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36,000.00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713" w:hRule="exact"/>
        </w:trPr>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8"/>
              <w:ind w:left="24" w:right="122"/>
              <w:jc w:val="left"/>
              <w:rPr>
                <w:rFonts w:ascii="宋体" w:hAnsi="宋体" w:cs="宋体" w:eastAsia="宋体" w:hint="default"/>
                <w:sz w:val="21"/>
                <w:szCs w:val="21"/>
              </w:rPr>
            </w:pPr>
            <w:r>
              <w:rPr>
                <w:rFonts w:ascii="宋体" w:hAnsi="宋体" w:cs="宋体" w:eastAsia="宋体" w:hint="default"/>
                <w:sz w:val="21"/>
                <w:szCs w:val="21"/>
              </w:rPr>
              <w:t>江苏省经济和信息化委员会拨付</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年度两化融</w:t>
            </w:r>
            <w:r>
              <w:rPr>
                <w:rFonts w:ascii="宋体" w:hAnsi="宋体" w:cs="宋体" w:eastAsia="宋体" w:hint="default"/>
                <w:w w:val="100"/>
                <w:sz w:val="21"/>
                <w:szCs w:val="21"/>
              </w:rPr>
              <w:t> </w:t>
            </w:r>
            <w:r>
              <w:rPr>
                <w:rFonts w:ascii="宋体" w:hAnsi="宋体" w:cs="宋体" w:eastAsia="宋体" w:hint="default"/>
                <w:sz w:val="21"/>
                <w:szCs w:val="21"/>
              </w:rPr>
              <w:t>合示范试点企业奖励</w:t>
            </w:r>
          </w:p>
        </w:tc>
        <w:tc>
          <w:tcPr>
            <w:tcW w:w="1774"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715" w:hRule="exact"/>
        </w:trPr>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8"/>
              <w:ind w:left="24" w:right="122"/>
              <w:jc w:val="left"/>
              <w:rPr>
                <w:rFonts w:ascii="宋体" w:hAnsi="宋体" w:cs="宋体" w:eastAsia="宋体" w:hint="default"/>
                <w:sz w:val="21"/>
                <w:szCs w:val="21"/>
              </w:rPr>
            </w:pPr>
            <w:r>
              <w:rPr>
                <w:rFonts w:ascii="宋体" w:hAnsi="宋体" w:cs="宋体" w:eastAsia="宋体" w:hint="default"/>
                <w:sz w:val="21"/>
                <w:szCs w:val="21"/>
              </w:rPr>
              <w:t>佛山市顺德区经济和科技促进局拨付</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年度顺</w:t>
            </w:r>
            <w:r>
              <w:rPr>
                <w:rFonts w:ascii="宋体" w:hAnsi="宋体" w:cs="宋体" w:eastAsia="宋体" w:hint="default"/>
                <w:w w:val="100"/>
                <w:sz w:val="21"/>
                <w:szCs w:val="21"/>
              </w:rPr>
              <w:t> </w:t>
            </w:r>
            <w:r>
              <w:rPr>
                <w:rFonts w:ascii="宋体" w:hAnsi="宋体" w:cs="宋体" w:eastAsia="宋体" w:hint="default"/>
                <w:sz w:val="21"/>
                <w:szCs w:val="21"/>
              </w:rPr>
              <w:t>德区企业国际市场开拓资金</w:t>
            </w:r>
          </w:p>
        </w:tc>
        <w:tc>
          <w:tcPr>
            <w:tcW w:w="1774"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25,000.00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713" w:hRule="exact"/>
        </w:trPr>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before="28"/>
              <w:ind w:left="24" w:right="122"/>
              <w:jc w:val="left"/>
              <w:rPr>
                <w:rFonts w:ascii="宋体" w:hAnsi="宋体" w:cs="宋体" w:eastAsia="宋体" w:hint="default"/>
                <w:sz w:val="21"/>
                <w:szCs w:val="21"/>
              </w:rPr>
            </w:pPr>
            <w:r>
              <w:rPr>
                <w:rFonts w:ascii="宋体" w:hAnsi="宋体" w:cs="宋体" w:eastAsia="宋体" w:hint="default"/>
                <w:sz w:val="21"/>
                <w:szCs w:val="21"/>
              </w:rPr>
              <w:t>佛山市顺德区经济和科技促进局拨付</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年度中</w:t>
            </w:r>
            <w:r>
              <w:rPr>
                <w:rFonts w:ascii="宋体" w:hAnsi="宋体" w:cs="宋体" w:eastAsia="宋体" w:hint="default"/>
                <w:w w:val="100"/>
                <w:sz w:val="21"/>
                <w:szCs w:val="21"/>
              </w:rPr>
              <w:t> </w:t>
            </w:r>
            <w:r>
              <w:rPr>
                <w:rFonts w:ascii="宋体" w:hAnsi="宋体" w:cs="宋体" w:eastAsia="宋体" w:hint="default"/>
                <w:sz w:val="21"/>
                <w:szCs w:val="21"/>
              </w:rPr>
              <w:t>小企业国际市场开拓资金</w:t>
            </w:r>
          </w:p>
        </w:tc>
        <w:tc>
          <w:tcPr>
            <w:tcW w:w="1774"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21,498.00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715" w:hRule="exact"/>
        </w:trPr>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8"/>
              <w:ind w:left="24" w:right="19"/>
              <w:jc w:val="left"/>
              <w:rPr>
                <w:rFonts w:ascii="宋体" w:hAnsi="宋体" w:cs="宋体" w:eastAsia="宋体" w:hint="default"/>
                <w:sz w:val="21"/>
                <w:szCs w:val="21"/>
              </w:rPr>
            </w:pPr>
            <w:r>
              <w:rPr>
                <w:rFonts w:ascii="宋体" w:hAnsi="宋体" w:cs="宋体" w:eastAsia="宋体" w:hint="default"/>
                <w:sz w:val="21"/>
                <w:szCs w:val="21"/>
              </w:rPr>
              <w:t>广东省商务厅拨付</w:t>
            </w:r>
            <w:r>
              <w:rPr>
                <w:rFonts w:ascii="宋体" w:hAnsi="宋体" w:cs="宋体" w:eastAsia="宋体" w:hint="default"/>
                <w:spacing w:val="-72"/>
                <w:sz w:val="21"/>
                <w:szCs w:val="21"/>
              </w:rPr>
              <w:t> </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年中国商品</w:t>
            </w:r>
            <w:r>
              <w:rPr>
                <w:rFonts w:ascii="Times New Roman" w:hAnsi="Times New Roman" w:cs="Times New Roman" w:eastAsia="Times New Roman" w:hint="default"/>
                <w:sz w:val="21"/>
                <w:szCs w:val="21"/>
              </w:rPr>
              <w:t>(</w:t>
            </w:r>
            <w:r>
              <w:rPr>
                <w:rFonts w:ascii="宋体" w:hAnsi="宋体" w:cs="宋体" w:eastAsia="宋体" w:hint="default"/>
                <w:sz w:val="21"/>
                <w:szCs w:val="21"/>
              </w:rPr>
              <w:t>印度孟买</w:t>
            </w:r>
            <w:r>
              <w:rPr>
                <w:rFonts w:ascii="Times New Roman" w:hAnsi="Times New Roman" w:cs="Times New Roman" w:eastAsia="Times New Roman" w:hint="default"/>
                <w:sz w:val="21"/>
                <w:szCs w:val="21"/>
              </w:rPr>
              <w:t>)</w:t>
            </w:r>
            <w:r>
              <w:rPr>
                <w:rFonts w:ascii="宋体" w:hAnsi="宋体" w:cs="宋体" w:eastAsia="宋体" w:hint="default"/>
                <w:sz w:val="21"/>
                <w:szCs w:val="21"/>
              </w:rPr>
              <w:t>展览</w:t>
            </w:r>
            <w:r>
              <w:rPr>
                <w:rFonts w:ascii="宋体" w:hAnsi="宋体" w:cs="宋体" w:eastAsia="宋体" w:hint="default"/>
                <w:spacing w:val="-3"/>
                <w:w w:val="100"/>
                <w:sz w:val="21"/>
                <w:szCs w:val="21"/>
              </w:rPr>
              <w:t> </w:t>
            </w:r>
            <w:r>
              <w:rPr>
                <w:rFonts w:ascii="宋体" w:hAnsi="宋体" w:cs="宋体" w:eastAsia="宋体" w:hint="default"/>
                <w:sz w:val="21"/>
                <w:szCs w:val="21"/>
              </w:rPr>
              <w:t>会广东省开拓国际市场专项资金补贴</w:t>
            </w:r>
          </w:p>
        </w:tc>
        <w:tc>
          <w:tcPr>
            <w:tcW w:w="1774"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401" w:hRule="exact"/>
        </w:trPr>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广东省商务厅拨付</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年度印度展扶持金</w:t>
            </w:r>
          </w:p>
        </w:tc>
        <w:tc>
          <w:tcPr>
            <w:tcW w:w="1774"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17,010.00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403" w:hRule="exact"/>
        </w:trPr>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扬州市邗江区科学技术局拨付</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年度专利奖励</w:t>
            </w:r>
          </w:p>
        </w:tc>
        <w:tc>
          <w:tcPr>
            <w:tcW w:w="1774"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12,700.00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401"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638" w:right="0"/>
              <w:jc w:val="left"/>
              <w:rPr>
                <w:rFonts w:ascii="Times New Roman" w:hAnsi="Times New Roman" w:cs="Times New Roman" w:eastAsia="Times New Roman" w:hint="default"/>
                <w:sz w:val="21"/>
                <w:szCs w:val="21"/>
              </w:rPr>
            </w:pPr>
            <w:r>
              <w:rPr>
                <w:rFonts w:ascii="Times New Roman"/>
                <w:sz w:val="21"/>
              </w:rPr>
              <w:t>6,580,794.50</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1,736,808.00</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0"/>
        <w:jc w:val="left"/>
        <w:rPr>
          <w:b w:val="0"/>
          <w:bCs w:val="0"/>
        </w:rPr>
      </w:pPr>
      <w:r>
        <w:rPr>
          <w:rFonts w:ascii="Times New Roman" w:hAnsi="Times New Roman" w:cs="Times New Roman" w:eastAsia="Times New Roman" w:hint="default"/>
        </w:rPr>
        <w:t>38</w:t>
      </w:r>
      <w:r>
        <w:rPr/>
        <w:t>、营业外支出</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left="0" w:right="254"/>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388"/>
        <w:gridCol w:w="2139"/>
        <w:gridCol w:w="2136"/>
        <w:gridCol w:w="2907"/>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1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4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37"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9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79"/>
              <w:jc w:val="right"/>
              <w:rPr>
                <w:rFonts w:ascii="宋体" w:hAnsi="宋体" w:cs="宋体" w:eastAsia="宋体" w:hint="default"/>
                <w:sz w:val="21"/>
                <w:szCs w:val="21"/>
              </w:rPr>
            </w:pPr>
            <w:r>
              <w:rPr>
                <w:rFonts w:ascii="宋体" w:hAnsi="宋体" w:cs="宋体" w:eastAsia="宋体" w:hint="default"/>
                <w:spacing w:val="-2"/>
                <w:sz w:val="21"/>
                <w:szCs w:val="21"/>
              </w:rPr>
              <w:t>计入当期非经常性损益的金额</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非流动资产处置损失合计</w:t>
            </w:r>
          </w:p>
        </w:tc>
        <w:tc>
          <w:tcPr>
            <w:tcW w:w="213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1,120,005.14</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2,898,993.43</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1,120,005.14</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其中：固定资产处置损失</w:t>
            </w:r>
          </w:p>
        </w:tc>
        <w:tc>
          <w:tcPr>
            <w:tcW w:w="213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1,120,005.14</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2,898,993.43</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1,120,005.14</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213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93,568.50</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99,080.00</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93,568.50</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其中：公益性捐赠支出</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93,568.50</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99,080.00</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93,568.50</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滞纳金</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409,541.12</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506.03</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409,541.12</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2"/>
                <w:sz w:val="21"/>
              </w:rPr>
              <w:t>1,623,114.76</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2,998,579.46</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2"/>
                <w:sz w:val="21"/>
              </w:rPr>
              <w:t>1,623,114.76</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39</w:t>
      </w:r>
      <w:r>
        <w:rPr/>
        <w:t>、所得税费用</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36"/>
        <w:ind w:left="0" w:right="254"/>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7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当期所得税费用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5,837,494.84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16,503,275.04</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递延所得税费用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-287,087.43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2"/>
                <w:sz w:val="21"/>
              </w:rPr>
              <w:t>112,154.07</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5,550,407.41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2"/>
                <w:sz w:val="21"/>
              </w:rPr>
              <w:t>16,615,429.11</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979" w:top="1100" w:bottom="1160" w:left="980" w:right="980"/>
        </w:sectPr>
      </w:pPr>
    </w:p>
    <w:p>
      <w:pPr>
        <w:spacing w:line="240" w:lineRule="auto" w:before="11"/>
        <w:rPr>
          <w:rFonts w:ascii="宋体" w:hAnsi="宋体" w:cs="宋体" w:eastAsia="宋体" w:hint="default"/>
          <w:sz w:val="20"/>
          <w:szCs w:val="20"/>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left="0" w:right="254"/>
        <w:jc w:val="right"/>
      </w:pPr>
      <w:r>
        <w:rPr/>
        <w:t>单位：</w:t>
      </w:r>
      <w:r>
        <w:rPr>
          <w:spacing w:val="2"/>
        </w:rPr>
        <w:t> </w:t>
      </w:r>
      <w:r>
        <w:rPr/>
        <w:t>元</w:t>
      </w:r>
    </w:p>
    <w:p>
      <w:pPr>
        <w:spacing w:line="240" w:lineRule="auto" w:before="10"/>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4941"/>
        <w:gridCol w:w="4618"/>
      </w:tblGrid>
      <w:tr>
        <w:trPr>
          <w:trHeight w:val="403" w:hRule="exact"/>
        </w:trPr>
        <w:tc>
          <w:tcPr>
            <w:tcW w:w="4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6" w:right="0"/>
              <w:jc w:val="center"/>
              <w:rPr>
                <w:rFonts w:ascii="宋体" w:hAnsi="宋体" w:cs="宋体" w:eastAsia="宋体" w:hint="default"/>
                <w:sz w:val="21"/>
                <w:szCs w:val="21"/>
              </w:rPr>
            </w:pPr>
            <w:r>
              <w:rPr>
                <w:rFonts w:ascii="宋体" w:hAnsi="宋体" w:cs="宋体" w:eastAsia="宋体" w:hint="default"/>
                <w:sz w:val="21"/>
                <w:szCs w:val="21"/>
              </w:rPr>
              <w:t>本期发生额</w:t>
            </w:r>
          </w:p>
        </w:tc>
      </w:tr>
      <w:tr>
        <w:trPr>
          <w:trHeight w:val="401" w:hRule="exact"/>
        </w:trPr>
        <w:tc>
          <w:tcPr>
            <w:tcW w:w="4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46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31,595,607.51</w:t>
            </w:r>
          </w:p>
        </w:tc>
      </w:tr>
      <w:tr>
        <w:trPr>
          <w:trHeight w:val="403" w:hRule="exact"/>
        </w:trPr>
        <w:tc>
          <w:tcPr>
            <w:tcW w:w="4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按法定</w:t>
            </w:r>
            <w:r>
              <w:rPr>
                <w:rFonts w:ascii="Times New Roman" w:hAnsi="Times New Roman" w:cs="Times New Roman" w:eastAsia="Times New Roman" w:hint="default"/>
                <w:sz w:val="21"/>
                <w:szCs w:val="21"/>
              </w:rPr>
              <w:t>/</w:t>
            </w:r>
            <w:r>
              <w:rPr>
                <w:rFonts w:ascii="宋体" w:hAnsi="宋体" w:cs="宋体" w:eastAsia="宋体" w:hint="default"/>
                <w:sz w:val="21"/>
                <w:szCs w:val="21"/>
              </w:rPr>
              <w:t>适用税率计算的所得税费用</w:t>
            </w:r>
          </w:p>
        </w:tc>
        <w:tc>
          <w:tcPr>
            <w:tcW w:w="46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4,739,341.13</w:t>
            </w:r>
          </w:p>
        </w:tc>
      </w:tr>
      <w:tr>
        <w:trPr>
          <w:trHeight w:val="401" w:hRule="exact"/>
        </w:trPr>
        <w:tc>
          <w:tcPr>
            <w:tcW w:w="4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子公司适用不同税率的影响</w:t>
            </w:r>
          </w:p>
        </w:tc>
        <w:tc>
          <w:tcPr>
            <w:tcW w:w="46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45,003.40</w:t>
            </w:r>
          </w:p>
        </w:tc>
      </w:tr>
      <w:tr>
        <w:trPr>
          <w:trHeight w:val="403" w:hRule="exact"/>
        </w:trPr>
        <w:tc>
          <w:tcPr>
            <w:tcW w:w="4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调整以前期间所得税的影响</w:t>
            </w:r>
          </w:p>
        </w:tc>
        <w:tc>
          <w:tcPr>
            <w:tcW w:w="46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129,737.20</w:t>
            </w:r>
          </w:p>
        </w:tc>
      </w:tr>
      <w:tr>
        <w:trPr>
          <w:trHeight w:val="401" w:hRule="exact"/>
        </w:trPr>
        <w:tc>
          <w:tcPr>
            <w:tcW w:w="4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非应税收入的影响</w:t>
            </w:r>
          </w:p>
        </w:tc>
        <w:tc>
          <w:tcPr>
            <w:tcW w:w="4618" w:type="dxa"/>
            <w:tcBorders>
              <w:top w:val="single" w:sz="4" w:space="0" w:color="000000"/>
              <w:left w:val="single" w:sz="13" w:space="0" w:color="D2D2D2"/>
              <w:bottom w:val="single" w:sz="4" w:space="0" w:color="000000"/>
              <w:right w:val="single" w:sz="4" w:space="0" w:color="000000"/>
            </w:tcBorders>
          </w:tcPr>
          <w:p>
            <w:pPr/>
          </w:p>
        </w:tc>
      </w:tr>
      <w:tr>
        <w:trPr>
          <w:trHeight w:val="404" w:hRule="exact"/>
        </w:trPr>
        <w:tc>
          <w:tcPr>
            <w:tcW w:w="4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不可抵扣的成本、费用和损失的影响</w:t>
            </w:r>
          </w:p>
        </w:tc>
        <w:tc>
          <w:tcPr>
            <w:tcW w:w="46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350,449.13</w:t>
            </w:r>
          </w:p>
        </w:tc>
      </w:tr>
      <w:tr>
        <w:trPr>
          <w:trHeight w:val="401" w:hRule="exact"/>
        </w:trPr>
        <w:tc>
          <w:tcPr>
            <w:tcW w:w="4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使用前期未确认递延所得税资产的可抵扣亏损的影响</w:t>
            </w:r>
          </w:p>
        </w:tc>
        <w:tc>
          <w:tcPr>
            <w:tcW w:w="4618" w:type="dxa"/>
            <w:tcBorders>
              <w:top w:val="single" w:sz="4" w:space="0" w:color="000000"/>
              <w:left w:val="single" w:sz="13" w:space="0" w:color="D2D2D2"/>
              <w:bottom w:val="single" w:sz="4" w:space="0" w:color="000000"/>
              <w:right w:val="single" w:sz="4" w:space="0" w:color="000000"/>
            </w:tcBorders>
          </w:tcPr>
          <w:p>
            <w:pPr/>
          </w:p>
        </w:tc>
      </w:tr>
      <w:tr>
        <w:trPr>
          <w:trHeight w:val="715" w:hRule="exact"/>
        </w:trPr>
        <w:tc>
          <w:tcPr>
            <w:tcW w:w="4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82"/>
              <w:jc w:val="left"/>
              <w:rPr>
                <w:rFonts w:ascii="宋体" w:hAnsi="宋体" w:cs="宋体" w:eastAsia="宋体" w:hint="default"/>
                <w:sz w:val="21"/>
                <w:szCs w:val="21"/>
              </w:rPr>
            </w:pPr>
            <w:r>
              <w:rPr>
                <w:rFonts w:ascii="宋体" w:hAnsi="宋体" w:cs="宋体" w:eastAsia="宋体" w:hint="default"/>
                <w:spacing w:val="-2"/>
                <w:sz w:val="21"/>
                <w:szCs w:val="21"/>
              </w:rPr>
              <w:t>本期未确认递延所得税资产的可抵扣暂时性差异或可</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抵扣亏损的影响</w:t>
            </w:r>
          </w:p>
        </w:tc>
        <w:tc>
          <w:tcPr>
            <w:tcW w:w="4618" w:type="dxa"/>
            <w:tcBorders>
              <w:top w:val="single" w:sz="4" w:space="0" w:color="000000"/>
              <w:left w:val="single" w:sz="13" w:space="0" w:color="D2D2D2"/>
              <w:bottom w:val="single" w:sz="4" w:space="0" w:color="000000"/>
              <w:right w:val="single" w:sz="4" w:space="0" w:color="000000"/>
            </w:tcBorders>
          </w:tcPr>
          <w:p>
            <w:pPr/>
          </w:p>
        </w:tc>
      </w:tr>
      <w:tr>
        <w:trPr>
          <w:trHeight w:val="401" w:hRule="exact"/>
        </w:trPr>
        <w:tc>
          <w:tcPr>
            <w:tcW w:w="4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亏损子公司影响</w:t>
            </w:r>
          </w:p>
        </w:tc>
        <w:tc>
          <w:tcPr>
            <w:tcW w:w="46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285,876.55</w:t>
            </w:r>
          </w:p>
        </w:tc>
      </w:tr>
      <w:tr>
        <w:trPr>
          <w:trHeight w:val="403" w:hRule="exact"/>
        </w:trPr>
        <w:tc>
          <w:tcPr>
            <w:tcW w:w="4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46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5,550,407.41</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40</w:t>
      </w:r>
      <w:r>
        <w:rPr/>
        <w:t>、现金流量表项目</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left="0" w:right="254"/>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1,213,170.37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2,784,267.03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政府补助收入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8,250,794.50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1,736,808.00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企业间往来等</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1,471,127.20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2"/>
                <w:sz w:val="21"/>
              </w:rPr>
              <w:t>4,111,805.14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287,504.42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174,205.13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2"/>
                <w:sz w:val="21"/>
              </w:rPr>
              <w:t>11,222,596.49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8,807,085.30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36"/>
        <w:ind w:left="0" w:right="254"/>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19,884,193.27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3,501,851.82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21,367,874.53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8,962,491.07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支付银行手续费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189,242.82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562,575.72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企业间往来等</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3,614,642.79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503,109.62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713,357.09</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953" w:right="0"/>
              <w:jc w:val="left"/>
              <w:rPr>
                <w:rFonts w:ascii="Times New Roman" w:hAnsi="Times New Roman" w:cs="Times New Roman" w:eastAsia="Times New Roman" w:hint="default"/>
                <w:sz w:val="21"/>
                <w:szCs w:val="21"/>
              </w:rPr>
            </w:pPr>
            <w:r>
              <w:rPr>
                <w:rFonts w:ascii="Times New Roman"/>
                <w:sz w:val="21"/>
              </w:rPr>
              <w:t>41,944,420.24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949" w:right="0"/>
              <w:jc w:val="left"/>
              <w:rPr>
                <w:rFonts w:ascii="Times New Roman" w:hAnsi="Times New Roman" w:cs="Times New Roman" w:eastAsia="Times New Roman" w:hint="default"/>
                <w:sz w:val="21"/>
                <w:szCs w:val="21"/>
              </w:rPr>
            </w:pPr>
            <w:r>
              <w:rPr>
                <w:rFonts w:ascii="Times New Roman"/>
                <w:sz w:val="21"/>
              </w:rPr>
              <w:t>17,354,918.49</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）本期无收到的其他与投资活动有关的现金。</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）本期无支付的其他与投资活动有关的现金。</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5</w:t>
      </w:r>
      <w:r>
        <w:rPr/>
        <w:t>）本期无收到的其他与筹资活动有关的现金。</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6</w:t>
      </w:r>
      <w:r>
        <w:rPr/>
        <w:t>）本期无支付的其他与筹资活动有关的现金。</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41</w:t>
      </w:r>
      <w:r>
        <w:rPr/>
        <w:t>、现金流量表补充资料</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left="0" w:right="254"/>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5081"/>
        <w:gridCol w:w="2243"/>
        <w:gridCol w:w="2234"/>
      </w:tblGrid>
      <w:tr>
        <w:trPr>
          <w:trHeight w:val="401"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02"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91"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403"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．将净利润调节为经营活动现金流量：</w:t>
            </w:r>
          </w:p>
        </w:tc>
        <w:tc>
          <w:tcPr>
            <w:tcW w:w="2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10" w:right="0"/>
              <w:jc w:val="center"/>
              <w:rPr>
                <w:rFonts w:ascii="Times New Roman" w:hAnsi="Times New Roman" w:cs="Times New Roman" w:eastAsia="Times New Roman" w:hint="default"/>
                <w:sz w:val="21"/>
                <w:szCs w:val="21"/>
              </w:rPr>
            </w:pPr>
            <w:r>
              <w:rPr>
                <w:rFonts w:ascii="Times New Roman"/>
                <w:sz w:val="21"/>
              </w:rPr>
              <w:t>--</w:t>
            </w:r>
          </w:p>
        </w:tc>
        <w:tc>
          <w:tcPr>
            <w:tcW w:w="2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r>
      <w:tr>
        <w:trPr>
          <w:trHeight w:val="401"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24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26,045,200.10</w:t>
            </w:r>
          </w:p>
        </w:tc>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93,359,166.05</w:t>
            </w:r>
          </w:p>
        </w:tc>
      </w:tr>
      <w:tr>
        <w:trPr>
          <w:trHeight w:val="403"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24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2,789,074.76</w:t>
            </w:r>
          </w:p>
        </w:tc>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3,444,642.79</w:t>
            </w:r>
          </w:p>
        </w:tc>
      </w:tr>
      <w:tr>
        <w:trPr>
          <w:trHeight w:val="401"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固定资产折旧、油气资产折耗、生产性生物资产折旧</w:t>
            </w:r>
          </w:p>
        </w:tc>
        <w:tc>
          <w:tcPr>
            <w:tcW w:w="224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30,767,822.59</w:t>
            </w:r>
          </w:p>
        </w:tc>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25,536,140.84</w:t>
            </w:r>
          </w:p>
        </w:tc>
      </w:tr>
      <w:tr>
        <w:trPr>
          <w:trHeight w:val="403"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24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1,013,734.84</w:t>
            </w:r>
          </w:p>
        </w:tc>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962,760.34</w:t>
            </w:r>
          </w:p>
        </w:tc>
      </w:tr>
      <w:tr>
        <w:trPr>
          <w:trHeight w:val="401"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24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1,141,092.46</w:t>
            </w:r>
          </w:p>
        </w:tc>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363,817.18</w:t>
            </w:r>
          </w:p>
        </w:tc>
      </w:tr>
      <w:tr>
        <w:trPr>
          <w:trHeight w:val="715"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11"/>
              <w:jc w:val="left"/>
              <w:rPr>
                <w:rFonts w:ascii="宋体" w:hAnsi="宋体" w:cs="宋体" w:eastAsia="宋体" w:hint="default"/>
                <w:sz w:val="21"/>
                <w:szCs w:val="21"/>
              </w:rPr>
            </w:pPr>
            <w:r>
              <w:rPr>
                <w:rFonts w:ascii="宋体" w:hAnsi="宋体" w:cs="宋体" w:eastAsia="宋体" w:hint="default"/>
                <w:spacing w:val="-2"/>
                <w:sz w:val="21"/>
                <w:szCs w:val="21"/>
              </w:rPr>
              <w:t>处置固定资产、无形资产和其他长期资产的损失（收益</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24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1,085,927.24</w:t>
            </w:r>
          </w:p>
        </w:tc>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2,795,972.00</w:t>
            </w:r>
          </w:p>
        </w:tc>
      </w:tr>
      <w:tr>
        <w:trPr>
          <w:trHeight w:val="401"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财务费用（收益以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24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22,309,548.70</w:t>
            </w:r>
          </w:p>
        </w:tc>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12,882,658.87</w:t>
            </w:r>
          </w:p>
        </w:tc>
      </w:tr>
      <w:tr>
        <w:trPr>
          <w:trHeight w:val="403"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24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-276,858.98</w:t>
            </w:r>
          </w:p>
        </w:tc>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-557,042.94</w:t>
            </w:r>
          </w:p>
        </w:tc>
      </w:tr>
      <w:tr>
        <w:trPr>
          <w:trHeight w:val="401"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24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-10,228.45</w:t>
            </w:r>
          </w:p>
        </w:tc>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669,197.01</w:t>
            </w:r>
          </w:p>
        </w:tc>
      </w:tr>
      <w:tr>
        <w:trPr>
          <w:trHeight w:val="403"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存货的减少（增加以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24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101,612,774.84</w:t>
            </w:r>
          </w:p>
        </w:tc>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-12,937,289.10</w:t>
            </w:r>
          </w:p>
        </w:tc>
      </w:tr>
      <w:tr>
        <w:trPr>
          <w:trHeight w:val="401"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24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169,993,861.42</w:t>
            </w:r>
          </w:p>
        </w:tc>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-1,908,278.00</w:t>
            </w:r>
          </w:p>
        </w:tc>
      </w:tr>
      <w:tr>
        <w:trPr>
          <w:trHeight w:val="404"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24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-89,743,498.05</w:t>
            </w:r>
          </w:p>
        </w:tc>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2,766,856.60</w:t>
            </w:r>
          </w:p>
        </w:tc>
      </w:tr>
      <w:tr>
        <w:trPr>
          <w:trHeight w:val="401"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24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266,728,451.47</w:t>
            </w:r>
          </w:p>
        </w:tc>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127,378,601.64</w:t>
            </w:r>
          </w:p>
        </w:tc>
      </w:tr>
      <w:tr>
        <w:trPr>
          <w:trHeight w:val="403"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．不涉及现金收支的重大投资和筹资活动：</w:t>
            </w:r>
          </w:p>
        </w:tc>
        <w:tc>
          <w:tcPr>
            <w:tcW w:w="2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10" w:right="0"/>
              <w:jc w:val="center"/>
              <w:rPr>
                <w:rFonts w:ascii="Times New Roman" w:hAnsi="Times New Roman" w:cs="Times New Roman" w:eastAsia="Times New Roman" w:hint="default"/>
                <w:sz w:val="21"/>
                <w:szCs w:val="21"/>
              </w:rPr>
            </w:pPr>
            <w:r>
              <w:rPr>
                <w:rFonts w:ascii="Times New Roman"/>
                <w:sz w:val="21"/>
              </w:rPr>
              <w:t>--</w:t>
            </w:r>
          </w:p>
        </w:tc>
        <w:tc>
          <w:tcPr>
            <w:tcW w:w="2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r>
      <w:tr>
        <w:trPr>
          <w:trHeight w:val="401"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．现金及现金等价物净变动情况：</w:t>
            </w:r>
          </w:p>
        </w:tc>
        <w:tc>
          <w:tcPr>
            <w:tcW w:w="2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10" w:right="0"/>
              <w:jc w:val="center"/>
              <w:rPr>
                <w:rFonts w:ascii="Times New Roman" w:hAnsi="Times New Roman" w:cs="Times New Roman" w:eastAsia="Times New Roman" w:hint="default"/>
                <w:sz w:val="21"/>
                <w:szCs w:val="21"/>
              </w:rPr>
            </w:pPr>
            <w:r>
              <w:rPr>
                <w:rFonts w:ascii="Times New Roman"/>
                <w:sz w:val="21"/>
              </w:rPr>
              <w:t>--</w:t>
            </w:r>
          </w:p>
        </w:tc>
        <w:tc>
          <w:tcPr>
            <w:tcW w:w="2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r>
      <w:tr>
        <w:trPr>
          <w:trHeight w:val="403"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24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40,749,878.15</w:t>
            </w:r>
          </w:p>
        </w:tc>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39,326,922.02</w:t>
            </w:r>
          </w:p>
        </w:tc>
      </w:tr>
      <w:tr>
        <w:trPr>
          <w:trHeight w:val="401"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24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39,326,922.02</w:t>
            </w:r>
          </w:p>
        </w:tc>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104,821,059.35</w:t>
            </w:r>
          </w:p>
        </w:tc>
      </w:tr>
      <w:tr>
        <w:trPr>
          <w:trHeight w:val="403"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24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1,422,956.13</w:t>
            </w:r>
          </w:p>
        </w:tc>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-65,494,137.33</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979" w:top="1100" w:bottom="1160" w:left="980" w:right="980"/>
        </w:sectPr>
      </w:pPr>
    </w:p>
    <w:p>
      <w:pPr>
        <w:spacing w:line="240" w:lineRule="auto" w:before="11"/>
        <w:rPr>
          <w:rFonts w:ascii="宋体" w:hAnsi="宋体" w:cs="宋体" w:eastAsia="宋体" w:hint="default"/>
          <w:sz w:val="20"/>
          <w:szCs w:val="20"/>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）本期无支付的取得子公司的现金。</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）本期无收到的处置子公司的现金。</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left="0" w:right="254"/>
        <w:jc w:val="right"/>
      </w:pPr>
      <w:r>
        <w:rPr/>
        <w:t>单位：</w:t>
      </w:r>
      <w:r>
        <w:rPr>
          <w:spacing w:val="2"/>
        </w:rPr>
        <w:t> </w:t>
      </w:r>
      <w:r>
        <w:rPr/>
        <w:t>元</w:t>
      </w:r>
    </w:p>
    <w:p>
      <w:pPr>
        <w:spacing w:line="240" w:lineRule="auto" w:before="10"/>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40,749,878.15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39,326,922.02</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7,268.83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4,559.64</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43"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40,742,609.32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39,322,362.38</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40,749,878.15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39,326,922.02</w:t>
            </w:r>
          </w:p>
        </w:tc>
      </w:tr>
    </w:tbl>
    <w:p>
      <w:pPr>
        <w:pStyle w:val="BodyText"/>
        <w:spacing w:line="262" w:lineRule="exact"/>
        <w:ind w:left="573" w:right="0"/>
        <w:jc w:val="left"/>
      </w:pPr>
      <w:r>
        <w:rPr/>
        <w:t>注：现金和现金等价物不含母公司或集团内子公司使用受限制的现金和现金等价物。</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42</w:t>
      </w:r>
      <w:r>
        <w:rPr/>
        <w:t>、所有权或使用权受到限制的资产</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36"/>
        <w:ind w:left="0" w:right="254"/>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03" w:right="0"/>
              <w:jc w:val="left"/>
              <w:rPr>
                <w:rFonts w:ascii="宋体" w:hAnsi="宋体" w:cs="宋体" w:eastAsia="宋体" w:hint="default"/>
                <w:sz w:val="21"/>
                <w:szCs w:val="21"/>
              </w:rPr>
            </w:pPr>
            <w:r>
              <w:rPr>
                <w:rFonts w:ascii="宋体" w:hAnsi="宋体" w:cs="宋体" w:eastAsia="宋体" w:hint="default"/>
                <w:sz w:val="21"/>
                <w:szCs w:val="21"/>
              </w:rPr>
              <w:t>期末账面价值</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受限原因</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23,375,632.29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保证金</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069"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75"/>
              <w:ind w:right="7"/>
              <w:jc w:val="right"/>
              <w:rPr>
                <w:rFonts w:ascii="Times New Roman" w:hAnsi="Times New Roman" w:cs="Times New Roman" w:eastAsia="Times New Roman" w:hint="default"/>
                <w:sz w:val="21"/>
                <w:szCs w:val="21"/>
              </w:rPr>
            </w:pPr>
            <w:r>
              <w:rPr>
                <w:rFonts w:ascii="Times New Roman"/>
                <w:spacing w:val="-1"/>
                <w:sz w:val="21"/>
              </w:rPr>
              <w:t>23,375,632.29</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43</w:t>
      </w:r>
      <w:r>
        <w:rPr/>
        <w:t>、外币货币性项目</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left="0" w:right="148"/>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497"/>
        <w:gridCol w:w="2292"/>
        <w:gridCol w:w="2391"/>
        <w:gridCol w:w="2391"/>
      </w:tblGrid>
      <w:tr>
        <w:trPr>
          <w:trHeight w:val="401"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2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11" w:right="0"/>
              <w:jc w:val="left"/>
              <w:rPr>
                <w:rFonts w:ascii="宋体" w:hAnsi="宋体" w:cs="宋体" w:eastAsia="宋体" w:hint="default"/>
                <w:sz w:val="21"/>
                <w:szCs w:val="21"/>
              </w:rPr>
            </w:pPr>
            <w:r>
              <w:rPr>
                <w:rFonts w:ascii="宋体" w:hAnsi="宋体" w:cs="宋体" w:eastAsia="宋体" w:hint="default"/>
                <w:sz w:val="21"/>
                <w:szCs w:val="21"/>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70" w:right="0"/>
              <w:jc w:val="left"/>
              <w:rPr>
                <w:rFonts w:ascii="宋体" w:hAnsi="宋体" w:cs="宋体" w:eastAsia="宋体" w:hint="default"/>
                <w:sz w:val="21"/>
                <w:szCs w:val="21"/>
              </w:rPr>
            </w:pPr>
            <w:r>
              <w:rPr>
                <w:rFonts w:ascii="宋体" w:hAnsi="宋体" w:cs="宋体" w:eastAsia="宋体" w:hint="default"/>
                <w:sz w:val="21"/>
                <w:szCs w:val="21"/>
              </w:rPr>
              <w:t>折算汇率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5" w:right="0"/>
              <w:jc w:val="left"/>
              <w:rPr>
                <w:rFonts w:ascii="宋体" w:hAnsi="宋体" w:cs="宋体" w:eastAsia="宋体" w:hint="default"/>
                <w:sz w:val="21"/>
                <w:szCs w:val="21"/>
              </w:rPr>
            </w:pPr>
            <w:r>
              <w:rPr>
                <w:rFonts w:ascii="宋体" w:hAnsi="宋体" w:cs="宋体" w:eastAsia="宋体" w:hint="default"/>
                <w:sz w:val="21"/>
                <w:szCs w:val="21"/>
              </w:rPr>
              <w:t>期末折算人民币余额</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292" w:type="dxa"/>
            <w:tcBorders>
              <w:top w:val="single" w:sz="4" w:space="0" w:color="000000"/>
              <w:left w:val="single" w:sz="14"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292"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248,806.12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6.4936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1,615,647.42</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292" w:type="dxa"/>
            <w:tcBorders>
              <w:top w:val="single" w:sz="4" w:space="0" w:color="000000"/>
              <w:left w:val="single" w:sz="14"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292"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1,574,615.30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6.4936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10,224,921.91</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55"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2292"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185,083.78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0.8378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155,059.49</w:t>
            </w: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预收账款</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1,668.99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6.4936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10,837.75</w:t>
            </w: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1,435,889.95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0.8378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1,202,959.88</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2,168.50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7.0952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15,385.94</w:t>
            </w: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预付账款</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5,871.13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6.4936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38,124.77</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979" w:top="1100" w:bottom="1160" w:left="980" w:right="980"/>
        </w:sectPr>
      </w:pPr>
    </w:p>
    <w:p>
      <w:pPr>
        <w:spacing w:line="240" w:lineRule="auto" w:before="11"/>
        <w:rPr>
          <w:rFonts w:ascii="宋体" w:hAnsi="宋体" w:cs="宋体" w:eastAsia="宋体" w:hint="default"/>
          <w:sz w:val="20"/>
          <w:szCs w:val="20"/>
        </w:rPr>
      </w:pPr>
    </w:p>
    <w:p>
      <w:pPr>
        <w:pStyle w:val="Heading4"/>
        <w:tabs>
          <w:tab w:pos="8165" w:val="left" w:leader="none"/>
        </w:tabs>
        <w:spacing w:line="259" w:lineRule="auto" w:before="36"/>
        <w:ind w:right="215"/>
        <w:jc w:val="left"/>
        <w:rPr>
          <w:rFonts w:ascii="宋体" w:hAnsi="宋体" w:cs="宋体" w:eastAsia="宋体" w:hint="default"/>
          <w:b w:val="0"/>
          <w:bCs w:val="0"/>
        </w:rPr>
      </w:pP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65"/>
        </w:rPr>
        <w:t> </w:t>
      </w:r>
      <w:r>
        <w:rPr>
          <w:spacing w:val="-65"/>
        </w:rPr>
      </w:r>
      <w:r>
        <w:rPr>
          <w:spacing w:val="-1"/>
        </w:rPr>
        <w:t>依据，记账本位币发生变化的还应披露原因。</w:t>
        <w:tab/>
      </w:r>
      <w:r>
        <w:rPr>
          <w:rFonts w:ascii="Times New Roman" w:hAnsi="Times New Roman" w:cs="Times New Roman" w:eastAsia="Times New Roman" w:hint="default"/>
          <w:b w:val="0"/>
          <w:bCs w:val="0"/>
        </w:rPr>
        <w:t>□  </w:t>
      </w:r>
      <w:r>
        <w:rPr>
          <w:rFonts w:ascii="宋体" w:hAnsi="宋体" w:cs="宋体" w:eastAsia="宋体" w:hint="default"/>
          <w:b w:val="0"/>
          <w:bCs w:val="0"/>
          <w:spacing w:val="-2"/>
        </w:rPr>
        <w:t>适用</w:t>
      </w:r>
      <w:r>
        <w:rPr>
          <w:rFonts w:ascii="宋体" w:hAnsi="宋体" w:cs="宋体" w:eastAsia="宋体" w:hint="default"/>
          <w:b w:val="0"/>
          <w:bCs w:val="0"/>
        </w:rPr>
        <w:t> </w:t>
      </w:r>
      <w:r>
        <w:rPr>
          <w:rFonts w:ascii="Times New Roman" w:hAnsi="Times New Roman" w:cs="Times New Roman" w:eastAsia="Times New Roman" w:hint="default"/>
          <w:b w:val="0"/>
          <w:bCs w:val="0"/>
        </w:rPr>
        <w:t>√ </w:t>
      </w:r>
      <w:r>
        <w:rPr>
          <w:rFonts w:ascii="Times New Roman" w:hAnsi="Times New Roman" w:cs="Times New Roman" w:eastAsia="Times New Roman" w:hint="default"/>
          <w:b w:val="0"/>
          <w:bCs w:val="0"/>
          <w:spacing w:val="5"/>
        </w:rPr>
        <w:t> </w:t>
      </w:r>
      <w:r>
        <w:rPr>
          <w:rFonts w:ascii="宋体" w:hAnsi="宋体" w:cs="宋体" w:eastAsia="宋体" w:hint="default"/>
          <w:b w:val="0"/>
          <w:bCs w:val="0"/>
          <w:spacing w:val="-2"/>
        </w:rPr>
        <w:t>不适用</w:t>
      </w:r>
      <w:r>
        <w:rPr>
          <w:rFonts w:ascii="宋体" w:hAnsi="宋体" w:cs="宋体" w:eastAsia="宋体" w:hint="default"/>
          <w:b w:val="0"/>
          <w:bCs w:val="0"/>
        </w:rPr>
      </w:r>
    </w:p>
    <w:p>
      <w:pPr>
        <w:spacing w:line="240" w:lineRule="auto" w:before="2"/>
        <w:rPr>
          <w:rFonts w:ascii="宋体" w:hAnsi="宋体" w:cs="宋体" w:eastAsia="宋体" w:hint="default"/>
          <w:sz w:val="21"/>
          <w:szCs w:val="21"/>
        </w:rPr>
      </w:pPr>
    </w:p>
    <w:p>
      <w:pPr>
        <w:pStyle w:val="Heading2"/>
        <w:spacing w:line="240" w:lineRule="auto"/>
        <w:ind w:right="105"/>
        <w:jc w:val="left"/>
        <w:rPr>
          <w:b w:val="0"/>
          <w:bCs w:val="0"/>
        </w:rPr>
      </w:pPr>
      <w:r>
        <w:rPr/>
        <w:t>八、合并范围的变更</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05"/>
        <w:jc w:val="left"/>
        <w:rPr>
          <w:b w:val="0"/>
          <w:bCs w:val="0"/>
        </w:rPr>
      </w:pPr>
      <w:r>
        <w:rPr>
          <w:rFonts w:ascii="Times New Roman" w:hAnsi="Times New Roman" w:cs="Times New Roman" w:eastAsia="Times New Roman" w:hint="default"/>
        </w:rPr>
        <w:t>1</w:t>
      </w:r>
      <w:r>
        <w:rPr/>
        <w:t>、本期未发生非同一控制下企业合并。</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05"/>
        <w:jc w:val="left"/>
        <w:rPr>
          <w:b w:val="0"/>
          <w:bCs w:val="0"/>
        </w:rPr>
      </w:pPr>
      <w:r>
        <w:rPr>
          <w:rFonts w:ascii="Times New Roman" w:hAnsi="Times New Roman" w:cs="Times New Roman" w:eastAsia="Times New Roman" w:hint="default"/>
        </w:rPr>
        <w:t>2</w:t>
      </w:r>
      <w:r>
        <w:rPr/>
        <w:t>、本期未发生同一控制下企业合并。</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05"/>
        <w:jc w:val="left"/>
        <w:rPr>
          <w:b w:val="0"/>
          <w:bCs w:val="0"/>
        </w:rPr>
      </w:pPr>
      <w:r>
        <w:rPr>
          <w:rFonts w:ascii="Times New Roman" w:hAnsi="Times New Roman" w:cs="Times New Roman" w:eastAsia="Times New Roman" w:hint="default"/>
        </w:rPr>
        <w:t>3</w:t>
      </w:r>
      <w:r>
        <w:rPr/>
        <w:t>、本期未发生反向购买。</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05"/>
        <w:jc w:val="left"/>
        <w:rPr>
          <w:b w:val="0"/>
          <w:bCs w:val="0"/>
        </w:rPr>
      </w:pPr>
      <w:r>
        <w:rPr>
          <w:rFonts w:ascii="Times New Roman" w:hAnsi="Times New Roman" w:cs="Times New Roman" w:eastAsia="Times New Roman" w:hint="default"/>
        </w:rPr>
        <w:t>4</w:t>
      </w:r>
      <w:r>
        <w:rPr/>
        <w:t>、本期未发生处置子公司的情况。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05"/>
        <w:jc w:val="left"/>
        <w:rPr>
          <w:b w:val="0"/>
          <w:bCs w:val="0"/>
        </w:rPr>
      </w:pPr>
      <w:r>
        <w:rPr>
          <w:rFonts w:ascii="Times New Roman" w:hAnsi="Times New Roman" w:cs="Times New Roman" w:eastAsia="Times New Roman" w:hint="default"/>
        </w:rPr>
        <w:t>5</w:t>
      </w:r>
      <w:r>
        <w:rPr/>
        <w:t>、其他原因的合并范围变动</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105" w:firstLine="420"/>
        <w:jc w:val="left"/>
      </w:pPr>
      <w:r>
        <w:rPr>
          <w:spacing w:val="-2"/>
        </w:rPr>
        <w:t>（</w:t>
      </w:r>
      <w:r>
        <w:rPr>
          <w:rFonts w:ascii="宋体" w:hAnsi="宋体" w:cs="宋体" w:eastAsia="宋体" w:hint="default"/>
          <w:spacing w:val="-2"/>
        </w:rPr>
        <w:t>1</w:t>
      </w:r>
      <w:r>
        <w:rPr>
          <w:spacing w:val="-2"/>
        </w:rPr>
        <w:t>）</w:t>
      </w:r>
      <w:r>
        <w:rPr>
          <w:rFonts w:ascii="宋体" w:hAnsi="宋体" w:cs="宋体" w:eastAsia="宋体" w:hint="default"/>
          <w:spacing w:val="-2"/>
        </w:rPr>
        <w:t>2015</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21</w:t>
      </w:r>
      <w:r>
        <w:rPr>
          <w:spacing w:val="-2"/>
        </w:rPr>
        <w:t>日广东华声电器股份有限公司投资</w:t>
      </w:r>
      <w:r>
        <w:rPr>
          <w:rFonts w:ascii="宋体" w:hAnsi="宋体" w:cs="宋体" w:eastAsia="宋体" w:hint="default"/>
          <w:spacing w:val="-2"/>
        </w:rPr>
        <w:t>900</w:t>
      </w:r>
      <w:r>
        <w:rPr>
          <w:spacing w:val="-2"/>
        </w:rPr>
        <w:t>万元（持股比例</w:t>
      </w:r>
      <w:r>
        <w:rPr>
          <w:rFonts w:ascii="宋体" w:hAnsi="宋体" w:cs="宋体" w:eastAsia="宋体" w:hint="default"/>
          <w:spacing w:val="-2"/>
        </w:rPr>
        <w:t>60%</w:t>
      </w:r>
      <w:r>
        <w:rPr>
          <w:spacing w:val="-2"/>
        </w:rPr>
        <w:t>）与中山科耐森贸易有限</w:t>
      </w:r>
      <w:r>
        <w:rPr>
          <w:w w:val="100"/>
        </w:rPr>
        <w:t> </w:t>
      </w:r>
      <w:r>
        <w:rPr/>
        <w:t>公司共同设立广东华声电缆有限公司，广东华声电缆有限公司自成立日起纳入合并范围。</w:t>
      </w:r>
    </w:p>
    <w:p>
      <w:pPr>
        <w:pStyle w:val="BodyText"/>
        <w:spacing w:line="273" w:lineRule="auto" w:before="7"/>
        <w:ind w:right="105" w:firstLine="420"/>
        <w:jc w:val="left"/>
      </w:pPr>
      <w:r>
        <w:rPr>
          <w:spacing w:val="-2"/>
        </w:rPr>
        <w:t>（</w:t>
      </w:r>
      <w:r>
        <w:rPr>
          <w:rFonts w:ascii="宋体" w:hAnsi="宋体" w:cs="宋体" w:eastAsia="宋体" w:hint="default"/>
          <w:spacing w:val="-2"/>
        </w:rPr>
        <w:t>2</w:t>
      </w:r>
      <w:r>
        <w:rPr>
          <w:spacing w:val="-2"/>
        </w:rPr>
        <w:t>）</w:t>
      </w:r>
      <w:r>
        <w:rPr>
          <w:rFonts w:ascii="宋体" w:hAnsi="宋体" w:cs="宋体" w:eastAsia="宋体" w:hint="default"/>
          <w:spacing w:val="-2"/>
        </w:rPr>
        <w:t>2015</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28</w:t>
      </w:r>
      <w:r>
        <w:rPr>
          <w:spacing w:val="-2"/>
        </w:rPr>
        <w:t>日广东华声电器股份有限公司投资</w:t>
      </w:r>
      <w:r>
        <w:rPr>
          <w:rFonts w:ascii="宋体" w:hAnsi="宋体" w:cs="宋体" w:eastAsia="宋体" w:hint="default"/>
          <w:spacing w:val="-2"/>
        </w:rPr>
        <w:t>250</w:t>
      </w:r>
      <w:r>
        <w:rPr>
          <w:spacing w:val="-2"/>
        </w:rPr>
        <w:t>万元（注册资本</w:t>
      </w:r>
      <w:r>
        <w:rPr>
          <w:rFonts w:ascii="宋体" w:hAnsi="宋体" w:cs="宋体" w:eastAsia="宋体" w:hint="default"/>
          <w:spacing w:val="-2"/>
        </w:rPr>
        <w:t>2600</w:t>
      </w:r>
      <w:r>
        <w:rPr>
          <w:spacing w:val="-2"/>
        </w:rPr>
        <w:t>万元）设立深圳华声前</w:t>
      </w:r>
      <w:r>
        <w:rPr>
          <w:w w:val="100"/>
        </w:rPr>
        <w:t> </w:t>
      </w:r>
      <w:r>
        <w:rPr/>
        <w:t>海投资有限公司（持股比例</w:t>
      </w:r>
      <w:r>
        <w:rPr>
          <w:rFonts w:ascii="宋体" w:hAnsi="宋体" w:cs="宋体" w:eastAsia="宋体" w:hint="default"/>
        </w:rPr>
        <w:t>100%</w:t>
      </w:r>
      <w:r>
        <w:rPr/>
        <w:t>），深圳华声前海投资有限公司自成立日起纳入合并范围。</w:t>
      </w:r>
    </w:p>
    <w:p>
      <w:pPr>
        <w:pStyle w:val="BodyText"/>
        <w:spacing w:line="273" w:lineRule="auto" w:before="7"/>
        <w:ind w:right="105" w:firstLine="420"/>
        <w:jc w:val="left"/>
      </w:pPr>
      <w:r>
        <w:rPr>
          <w:spacing w:val="-2"/>
        </w:rPr>
        <w:t>（</w:t>
      </w:r>
      <w:r>
        <w:rPr>
          <w:rFonts w:ascii="宋体" w:hAnsi="宋体" w:cs="宋体" w:eastAsia="宋体" w:hint="default"/>
          <w:spacing w:val="-2"/>
        </w:rPr>
        <w:t>3</w:t>
      </w:r>
      <w:r>
        <w:rPr>
          <w:spacing w:val="-2"/>
        </w:rPr>
        <w:t>）</w:t>
      </w:r>
      <w:r>
        <w:rPr>
          <w:rFonts w:ascii="宋体" w:hAnsi="宋体" w:cs="宋体" w:eastAsia="宋体" w:hint="default"/>
          <w:spacing w:val="-2"/>
        </w:rPr>
        <w:t>2015</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27</w:t>
      </w:r>
      <w:r>
        <w:rPr>
          <w:spacing w:val="-2"/>
        </w:rPr>
        <w:t>日广东华声电器股份有限公司投资</w:t>
      </w:r>
      <w:r>
        <w:rPr>
          <w:rFonts w:ascii="宋体" w:hAnsi="宋体" w:cs="宋体" w:eastAsia="宋体" w:hint="default"/>
          <w:spacing w:val="-2"/>
        </w:rPr>
        <w:t>60</w:t>
      </w:r>
      <w:r>
        <w:rPr>
          <w:spacing w:val="-2"/>
        </w:rPr>
        <w:t>万元（注册资本</w:t>
      </w:r>
      <w:r>
        <w:rPr>
          <w:rFonts w:ascii="宋体" w:hAnsi="宋体" w:cs="宋体" w:eastAsia="宋体" w:hint="default"/>
          <w:spacing w:val="-2"/>
        </w:rPr>
        <w:t>1000</w:t>
      </w:r>
      <w:r>
        <w:rPr>
          <w:spacing w:val="-2"/>
        </w:rPr>
        <w:t>万元）设立广东华声电</w:t>
      </w:r>
      <w:r>
        <w:rPr>
          <w:w w:val="100"/>
        </w:rPr>
        <w:t> </w:t>
      </w:r>
      <w:r>
        <w:rPr/>
        <w:t>器实业有限公司（持股比例</w:t>
      </w:r>
      <w:r>
        <w:rPr>
          <w:rFonts w:ascii="宋体" w:hAnsi="宋体" w:cs="宋体" w:eastAsia="宋体" w:hint="default"/>
        </w:rPr>
        <w:t>100%</w:t>
      </w:r>
      <w:r>
        <w:rPr/>
        <w:t>），广东华声电器实业有限公司自成立日起纳入合并范围。</w:t>
      </w:r>
    </w:p>
    <w:p>
      <w:pPr>
        <w:pStyle w:val="BodyText"/>
        <w:spacing w:line="240" w:lineRule="auto" w:before="7"/>
        <w:ind w:left="573" w:right="105"/>
        <w:jc w:val="left"/>
        <w:rPr>
          <w:rFonts w:ascii="宋体" w:hAnsi="宋体" w:cs="宋体" w:eastAsia="宋体" w:hint="default"/>
        </w:rPr>
      </w:pPr>
      <w:r>
        <w:rPr/>
        <w:t>（</w:t>
      </w:r>
      <w:r>
        <w:rPr>
          <w:rFonts w:ascii="宋体" w:hAnsi="宋体" w:cs="宋体" w:eastAsia="宋体" w:hint="default"/>
        </w:rPr>
        <w:t>4</w:t>
      </w:r>
      <w:r>
        <w:rPr/>
        <w:t>）</w:t>
      </w:r>
      <w:r>
        <w:rPr>
          <w:rFonts w:ascii="宋体" w:hAnsi="宋体" w:cs="宋体" w:eastAsia="宋体" w:hint="default"/>
        </w:rPr>
        <w:t>2015</w:t>
      </w:r>
      <w:r>
        <w:rPr/>
        <w:t>年</w:t>
      </w:r>
      <w:r>
        <w:rPr>
          <w:rFonts w:ascii="宋体" w:hAnsi="宋体" w:cs="宋体" w:eastAsia="宋体" w:hint="default"/>
        </w:rPr>
        <w:t>11</w:t>
      </w:r>
      <w:r>
        <w:rPr/>
        <w:t>月</w:t>
      </w:r>
      <w:r>
        <w:rPr>
          <w:rFonts w:ascii="宋体" w:hAnsi="宋体" w:cs="宋体" w:eastAsia="宋体" w:hint="default"/>
        </w:rPr>
        <w:t>23</w:t>
      </w:r>
      <w:r>
        <w:rPr/>
        <w:t>日广东华声电器股份有限公司设立</w:t>
      </w:r>
      <w:r>
        <w:rPr>
          <w:rFonts w:ascii="宋体" w:hAnsi="宋体" w:cs="宋体" w:eastAsia="宋体" w:hint="default"/>
        </w:rPr>
        <w:t>Wa Sung International Investment</w:t>
      </w:r>
      <w:r>
        <w:rPr>
          <w:rFonts w:ascii="宋体" w:hAnsi="宋体" w:cs="宋体" w:eastAsia="宋体" w:hint="default"/>
          <w:spacing w:val="-12"/>
        </w:rPr>
        <w:t> </w:t>
      </w:r>
      <w:r>
        <w:rPr>
          <w:rFonts w:ascii="宋体" w:hAnsi="宋体" w:cs="宋体" w:eastAsia="宋体" w:hint="default"/>
        </w:rPr>
        <w:t>Limited</w:t>
      </w:r>
    </w:p>
    <w:p>
      <w:pPr>
        <w:pStyle w:val="BodyText"/>
        <w:spacing w:line="273" w:lineRule="auto" w:before="37"/>
        <w:ind w:right="206"/>
        <w:jc w:val="left"/>
      </w:pPr>
      <w:r>
        <w:rPr/>
        <w:t>（华声国际投资有限公司）（注册资本</w:t>
      </w:r>
      <w:r>
        <w:rPr>
          <w:rFonts w:ascii="宋体" w:hAnsi="宋体" w:cs="宋体" w:eastAsia="宋体" w:hint="default"/>
        </w:rPr>
        <w:t>1</w:t>
      </w:r>
      <w:r>
        <w:rPr/>
        <w:t>美元，持股比例</w:t>
      </w:r>
      <w:r>
        <w:rPr>
          <w:rFonts w:ascii="宋体" w:hAnsi="宋体" w:cs="宋体" w:eastAsia="宋体" w:hint="default"/>
        </w:rPr>
        <w:t>100%</w:t>
      </w:r>
      <w:r>
        <w:rPr/>
        <w:t>），截至本报告期末尚未完成出资。</w:t>
      </w:r>
      <w:r>
        <w:rPr>
          <w:rFonts w:ascii="宋体" w:hAnsi="宋体" w:cs="宋体" w:eastAsia="宋体" w:hint="default"/>
        </w:rPr>
        <w:t>Wa</w:t>
      </w:r>
      <w:r>
        <w:rPr>
          <w:rFonts w:ascii="宋体" w:hAnsi="宋体" w:cs="宋体" w:eastAsia="宋体" w:hint="default"/>
          <w:spacing w:val="-32"/>
        </w:rPr>
        <w:t> </w:t>
      </w:r>
      <w:r>
        <w:rPr>
          <w:rFonts w:ascii="宋体" w:hAnsi="宋体" w:cs="宋体" w:eastAsia="宋体" w:hint="default"/>
        </w:rPr>
        <w:t>Sung</w:t>
      </w:r>
      <w:r>
        <w:rPr>
          <w:rFonts w:ascii="宋体" w:hAnsi="宋体" w:cs="宋体" w:eastAsia="宋体" w:hint="default"/>
          <w:w w:val="100"/>
        </w:rPr>
        <w:t> </w:t>
      </w:r>
      <w:r>
        <w:rPr>
          <w:rFonts w:ascii="宋体" w:hAnsi="宋体" w:cs="宋体" w:eastAsia="宋体" w:hint="default"/>
        </w:rPr>
        <w:t>International Investment</w:t>
      </w:r>
      <w:r>
        <w:rPr>
          <w:rFonts w:ascii="宋体" w:hAnsi="宋体" w:cs="宋体" w:eastAsia="宋体" w:hint="default"/>
          <w:spacing w:val="-9"/>
        </w:rPr>
        <w:t> </w:t>
      </w:r>
      <w:r>
        <w:rPr>
          <w:rFonts w:ascii="宋体" w:hAnsi="宋体" w:cs="宋体" w:eastAsia="宋体" w:hint="default"/>
        </w:rPr>
        <w:t>Limited</w:t>
      </w:r>
      <w:r>
        <w:rPr/>
        <w:t>（华声国际投资有限公司）自成立日起纳入合并范围。</w:t>
      </w:r>
    </w:p>
    <w:p>
      <w:pPr>
        <w:pStyle w:val="BodyText"/>
        <w:spacing w:line="273" w:lineRule="auto" w:before="7"/>
        <w:ind w:right="209" w:firstLine="420"/>
        <w:jc w:val="left"/>
        <w:rPr>
          <w:rFonts w:ascii="宋体" w:hAnsi="宋体" w:cs="宋体" w:eastAsia="宋体" w:hint="default"/>
        </w:rPr>
      </w:pPr>
      <w:r>
        <w:rPr/>
        <w:t>（</w:t>
      </w:r>
      <w:r>
        <w:rPr>
          <w:rFonts w:ascii="宋体" w:hAnsi="宋体" w:cs="宋体" w:eastAsia="宋体" w:hint="default"/>
        </w:rPr>
        <w:t>5</w:t>
      </w:r>
      <w:r>
        <w:rPr/>
        <w:t>）</w:t>
      </w:r>
      <w:r>
        <w:rPr>
          <w:rFonts w:ascii="宋体" w:hAnsi="宋体" w:cs="宋体" w:eastAsia="宋体" w:hint="default"/>
        </w:rPr>
        <w:t>2015</w:t>
      </w:r>
      <w:r>
        <w:rPr/>
        <w:t>年</w:t>
      </w:r>
      <w:r>
        <w:rPr>
          <w:rFonts w:ascii="宋体" w:hAnsi="宋体" w:cs="宋体" w:eastAsia="宋体" w:hint="default"/>
        </w:rPr>
        <w:t>11</w:t>
      </w:r>
      <w:r>
        <w:rPr/>
        <w:t>月</w:t>
      </w:r>
      <w:r>
        <w:rPr>
          <w:rFonts w:ascii="宋体" w:hAnsi="宋体" w:cs="宋体" w:eastAsia="宋体" w:hint="default"/>
        </w:rPr>
        <w:t>26</w:t>
      </w:r>
      <w:r>
        <w:rPr/>
        <w:t>日</w:t>
      </w:r>
      <w:r>
        <w:rPr>
          <w:rFonts w:ascii="宋体" w:hAnsi="宋体" w:cs="宋体" w:eastAsia="宋体" w:hint="default"/>
        </w:rPr>
        <w:t>Wa Sung International Investment</w:t>
      </w:r>
      <w:r>
        <w:rPr>
          <w:rFonts w:ascii="宋体" w:hAnsi="宋体" w:cs="宋体" w:eastAsia="宋体" w:hint="default"/>
          <w:spacing w:val="-10"/>
        </w:rPr>
        <w:t> </w:t>
      </w:r>
      <w:r>
        <w:rPr>
          <w:rFonts w:ascii="宋体" w:hAnsi="宋体" w:cs="宋体" w:eastAsia="宋体" w:hint="default"/>
        </w:rPr>
        <w:t>Limited</w:t>
      </w:r>
      <w:r>
        <w:rPr/>
        <w:t>（华声国际投资有限公司）设立</w:t>
      </w:r>
      <w:r>
        <w:rPr>
          <w:w w:val="100"/>
        </w:rPr>
        <w:t> </w:t>
      </w:r>
      <w:r>
        <w:rPr>
          <w:rFonts w:ascii="宋体" w:hAnsi="宋体" w:cs="宋体" w:eastAsia="宋体" w:hint="default"/>
        </w:rPr>
        <w:t>Huasheng Internet Investment Management</w:t>
      </w:r>
      <w:r>
        <w:rPr>
          <w:rFonts w:ascii="宋体" w:hAnsi="宋体" w:cs="宋体" w:eastAsia="宋体" w:hint="default"/>
          <w:spacing w:val="-35"/>
        </w:rPr>
        <w:t> </w:t>
      </w:r>
      <w:r>
        <w:rPr>
          <w:rFonts w:ascii="宋体" w:hAnsi="宋体" w:cs="宋体" w:eastAsia="宋体" w:hint="default"/>
        </w:rPr>
        <w:t>Limited</w:t>
      </w:r>
      <w:r>
        <w:rPr/>
        <w:t>（华声互联网投资管理有限公司）（注册资本</w:t>
      </w:r>
      <w:r>
        <w:rPr>
          <w:rFonts w:ascii="宋体" w:hAnsi="宋体" w:cs="宋体" w:eastAsia="宋体" w:hint="default"/>
        </w:rPr>
        <w:t>1</w:t>
      </w:r>
      <w:r>
        <w:rPr/>
        <w:t>万美</w:t>
      </w:r>
      <w:r>
        <w:rPr>
          <w:spacing w:val="-3"/>
          <w:w w:val="100"/>
        </w:rPr>
        <w:t> </w:t>
      </w:r>
      <w:r>
        <w:rPr>
          <w:spacing w:val="-5"/>
        </w:rPr>
        <w:t>元，持股比例</w:t>
      </w:r>
      <w:r>
        <w:rPr>
          <w:rFonts w:ascii="宋体" w:hAnsi="宋体" w:cs="宋体" w:eastAsia="宋体" w:hint="default"/>
          <w:spacing w:val="-5"/>
        </w:rPr>
        <w:t>100%</w:t>
      </w:r>
      <w:r>
        <w:rPr>
          <w:spacing w:val="-5"/>
        </w:rPr>
        <w:t>），截至本报告期末尚未完成出资。</w:t>
      </w:r>
      <w:r>
        <w:rPr>
          <w:rFonts w:ascii="宋体" w:hAnsi="宋体" w:cs="宋体" w:eastAsia="宋体" w:hint="default"/>
          <w:spacing w:val="-5"/>
        </w:rPr>
        <w:t>Huasheng</w:t>
      </w:r>
      <w:r>
        <w:rPr>
          <w:rFonts w:ascii="宋体" w:hAnsi="宋体" w:cs="宋体" w:eastAsia="宋体" w:hint="default"/>
          <w:spacing w:val="-46"/>
        </w:rPr>
        <w:t> </w:t>
      </w:r>
      <w:r>
        <w:rPr>
          <w:rFonts w:ascii="宋体" w:hAnsi="宋体" w:cs="宋体" w:eastAsia="宋体" w:hint="default"/>
        </w:rPr>
        <w:t>Internet</w:t>
      </w:r>
      <w:r>
        <w:rPr>
          <w:rFonts w:ascii="宋体" w:hAnsi="宋体" w:cs="宋体" w:eastAsia="宋体" w:hint="default"/>
          <w:spacing w:val="-46"/>
        </w:rPr>
        <w:t> </w:t>
      </w:r>
      <w:r>
        <w:rPr>
          <w:rFonts w:ascii="宋体" w:hAnsi="宋体" w:cs="宋体" w:eastAsia="宋体" w:hint="default"/>
        </w:rPr>
        <w:t>Investment</w:t>
      </w:r>
      <w:r>
        <w:rPr>
          <w:rFonts w:ascii="宋体" w:hAnsi="宋体" w:cs="宋体" w:eastAsia="宋体" w:hint="default"/>
          <w:spacing w:val="-48"/>
        </w:rPr>
        <w:t> </w:t>
      </w:r>
      <w:r>
        <w:rPr>
          <w:rFonts w:ascii="宋体" w:hAnsi="宋体" w:cs="宋体" w:eastAsia="宋体" w:hint="default"/>
        </w:rPr>
        <w:t>Management</w:t>
      </w:r>
      <w:r>
        <w:rPr>
          <w:rFonts w:ascii="宋体" w:hAnsi="宋体" w:cs="宋体" w:eastAsia="宋体" w:hint="default"/>
          <w:spacing w:val="-46"/>
        </w:rPr>
        <w:t> </w:t>
      </w:r>
      <w:r>
        <w:rPr>
          <w:rFonts w:ascii="宋体" w:hAnsi="宋体" w:cs="宋体" w:eastAsia="宋体" w:hint="default"/>
        </w:rPr>
        <w:t>Limited</w:t>
      </w:r>
    </w:p>
    <w:p>
      <w:pPr>
        <w:pStyle w:val="BodyText"/>
        <w:spacing w:line="240" w:lineRule="auto" w:before="7"/>
        <w:ind w:right="105"/>
        <w:jc w:val="left"/>
      </w:pPr>
      <w:r>
        <w:rPr/>
        <w:t>（华声互联网投资管理有限公司）自成立日起纳入合并范围。</w:t>
      </w:r>
    </w:p>
    <w:p>
      <w:pPr>
        <w:pStyle w:val="BodyText"/>
        <w:spacing w:line="273" w:lineRule="auto" w:before="37"/>
        <w:ind w:right="98" w:firstLine="420"/>
        <w:jc w:val="left"/>
      </w:pPr>
      <w:r>
        <w:rPr/>
        <w:t>（</w:t>
      </w:r>
      <w:r>
        <w:rPr>
          <w:rFonts w:ascii="宋体" w:hAnsi="宋体" w:cs="宋体" w:eastAsia="宋体" w:hint="default"/>
        </w:rPr>
        <w:t>6</w:t>
      </w:r>
      <w:r>
        <w:rPr/>
        <w:t>）</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9</w:t>
      </w:r>
      <w:r>
        <w:rPr/>
        <w:t>日广东华声电器股份有限公司设立</w:t>
      </w:r>
      <w:r>
        <w:rPr>
          <w:rFonts w:ascii="宋体" w:hAnsi="宋体" w:cs="宋体" w:eastAsia="宋体" w:hint="default"/>
        </w:rPr>
        <w:t>Wa Sung Investment</w:t>
      </w:r>
      <w:r>
        <w:rPr>
          <w:rFonts w:ascii="宋体" w:hAnsi="宋体" w:cs="宋体" w:eastAsia="宋体" w:hint="default"/>
          <w:spacing w:val="-29"/>
        </w:rPr>
        <w:t> </w:t>
      </w:r>
      <w:r>
        <w:rPr>
          <w:rFonts w:ascii="宋体" w:hAnsi="宋体" w:cs="宋体" w:eastAsia="宋体" w:hint="default"/>
        </w:rPr>
        <w:t>Limited</w:t>
      </w:r>
      <w:r>
        <w:rPr/>
        <w:t>（注册资本</w:t>
      </w:r>
      <w:r>
        <w:rPr>
          <w:rFonts w:ascii="宋体" w:hAnsi="宋体" w:cs="宋体" w:eastAsia="宋体" w:hint="default"/>
        </w:rPr>
        <w:t>1</w:t>
      </w:r>
      <w:r>
        <w:rPr/>
        <w:t>港币，</w:t>
      </w:r>
      <w:r>
        <w:rPr>
          <w:w w:val="100"/>
        </w:rPr>
        <w:t> </w:t>
      </w:r>
      <w:r>
        <w:rPr/>
        <w:t>持股比例</w:t>
      </w:r>
      <w:r>
        <w:rPr>
          <w:rFonts w:ascii="宋体" w:hAnsi="宋体" w:cs="宋体" w:eastAsia="宋体" w:hint="default"/>
        </w:rPr>
        <w:t>100%</w:t>
      </w:r>
      <w:r>
        <w:rPr/>
        <w:t>），截至本报告期末尚未完成出资。</w:t>
      </w:r>
      <w:r>
        <w:rPr>
          <w:rFonts w:ascii="宋体" w:hAnsi="宋体" w:cs="宋体" w:eastAsia="宋体" w:hint="default"/>
        </w:rPr>
        <w:t>Wa</w:t>
      </w:r>
      <w:r>
        <w:rPr>
          <w:rFonts w:ascii="宋体" w:hAnsi="宋体" w:cs="宋体" w:eastAsia="宋体" w:hint="default"/>
          <w:spacing w:val="-47"/>
        </w:rPr>
        <w:t> </w:t>
      </w:r>
      <w:r>
        <w:rPr>
          <w:rFonts w:ascii="宋体" w:hAnsi="宋体" w:cs="宋体" w:eastAsia="宋体" w:hint="default"/>
        </w:rPr>
        <w:t>Sung</w:t>
      </w:r>
      <w:r>
        <w:rPr>
          <w:rFonts w:ascii="宋体" w:hAnsi="宋体" w:cs="宋体" w:eastAsia="宋体" w:hint="default"/>
          <w:spacing w:val="-47"/>
        </w:rPr>
        <w:t> </w:t>
      </w:r>
      <w:r>
        <w:rPr>
          <w:rFonts w:ascii="宋体" w:hAnsi="宋体" w:cs="宋体" w:eastAsia="宋体" w:hint="default"/>
        </w:rPr>
        <w:t>Investment</w:t>
      </w:r>
      <w:r>
        <w:rPr>
          <w:rFonts w:ascii="宋体" w:hAnsi="宋体" w:cs="宋体" w:eastAsia="宋体" w:hint="default"/>
          <w:spacing w:val="-48"/>
        </w:rPr>
        <w:t> </w:t>
      </w:r>
      <w:r>
        <w:rPr>
          <w:rFonts w:ascii="宋体" w:hAnsi="宋体" w:cs="宋体" w:eastAsia="宋体" w:hint="default"/>
        </w:rPr>
        <w:t>Limited</w:t>
      </w:r>
      <w:r>
        <w:rPr/>
        <w:t>自成立日起纳入合并范围。</w:t>
      </w:r>
    </w:p>
    <w:p>
      <w:pPr>
        <w:spacing w:line="316" w:lineRule="auto" w:before="28"/>
        <w:ind w:left="152" w:right="211" w:firstLine="360"/>
        <w:jc w:val="both"/>
        <w:rPr>
          <w:rFonts w:ascii="宋体" w:hAnsi="宋体" w:cs="宋体" w:eastAsia="宋体" w:hint="default"/>
          <w:sz w:val="18"/>
          <w:szCs w:val="18"/>
        </w:rPr>
      </w:pPr>
      <w:r>
        <w:rPr>
          <w:rFonts w:ascii="宋体" w:hAnsi="宋体" w:cs="宋体" w:eastAsia="宋体" w:hint="default"/>
          <w:spacing w:val="-4"/>
          <w:sz w:val="18"/>
          <w:szCs w:val="18"/>
        </w:rPr>
        <w:t>注：截至</w:t>
      </w:r>
      <w:r>
        <w:rPr>
          <w:rFonts w:ascii="宋体" w:hAnsi="宋体" w:cs="宋体" w:eastAsia="宋体" w:hint="default"/>
          <w:spacing w:val="-4"/>
          <w:sz w:val="18"/>
          <w:szCs w:val="18"/>
        </w:rPr>
        <w:t>2015</w:t>
      </w:r>
      <w:r>
        <w:rPr>
          <w:rFonts w:ascii="宋体" w:hAnsi="宋体" w:cs="宋体" w:eastAsia="宋体" w:hint="default"/>
          <w:spacing w:val="-4"/>
          <w:sz w:val="18"/>
          <w:szCs w:val="18"/>
        </w:rPr>
        <w:t>年</w:t>
      </w:r>
      <w:r>
        <w:rPr>
          <w:rFonts w:ascii="宋体" w:hAnsi="宋体" w:cs="宋体" w:eastAsia="宋体" w:hint="default"/>
          <w:spacing w:val="-4"/>
          <w:sz w:val="18"/>
          <w:szCs w:val="18"/>
        </w:rPr>
        <w:t>12</w:t>
      </w:r>
      <w:r>
        <w:rPr>
          <w:rFonts w:ascii="宋体" w:hAnsi="宋体" w:cs="宋体" w:eastAsia="宋体" w:hint="default"/>
          <w:spacing w:val="-4"/>
          <w:sz w:val="18"/>
          <w:szCs w:val="18"/>
        </w:rPr>
        <w:t>月</w:t>
      </w:r>
      <w:r>
        <w:rPr>
          <w:rFonts w:ascii="宋体" w:hAnsi="宋体" w:cs="宋体" w:eastAsia="宋体" w:hint="default"/>
          <w:spacing w:val="-4"/>
          <w:sz w:val="18"/>
          <w:szCs w:val="18"/>
        </w:rPr>
        <w:t>31</w:t>
      </w:r>
      <w:r>
        <w:rPr>
          <w:rFonts w:ascii="宋体" w:hAnsi="宋体" w:cs="宋体" w:eastAsia="宋体" w:hint="default"/>
          <w:spacing w:val="-4"/>
          <w:sz w:val="18"/>
          <w:szCs w:val="18"/>
        </w:rPr>
        <w:t>日，</w:t>
      </w:r>
      <w:r>
        <w:rPr>
          <w:rFonts w:ascii="宋体" w:hAnsi="宋体" w:cs="宋体" w:eastAsia="宋体" w:hint="default"/>
          <w:spacing w:val="-4"/>
          <w:sz w:val="18"/>
          <w:szCs w:val="18"/>
        </w:rPr>
        <w:t>Wa</w:t>
      </w:r>
      <w:r>
        <w:rPr>
          <w:rFonts w:ascii="宋体" w:hAnsi="宋体" w:cs="宋体" w:eastAsia="宋体" w:hint="default"/>
          <w:spacing w:val="-45"/>
          <w:sz w:val="18"/>
          <w:szCs w:val="18"/>
        </w:rPr>
        <w:t> </w:t>
      </w:r>
      <w:r>
        <w:rPr>
          <w:rFonts w:ascii="宋体" w:hAnsi="宋体" w:cs="宋体" w:eastAsia="宋体" w:hint="default"/>
          <w:sz w:val="18"/>
          <w:szCs w:val="18"/>
        </w:rPr>
        <w:t>Sung</w:t>
      </w:r>
      <w:r>
        <w:rPr>
          <w:rFonts w:ascii="宋体" w:hAnsi="宋体" w:cs="宋体" w:eastAsia="宋体" w:hint="default"/>
          <w:spacing w:val="-45"/>
          <w:sz w:val="18"/>
          <w:szCs w:val="18"/>
        </w:rPr>
        <w:t> </w:t>
      </w:r>
      <w:r>
        <w:rPr>
          <w:rFonts w:ascii="宋体" w:hAnsi="宋体" w:cs="宋体" w:eastAsia="宋体" w:hint="default"/>
          <w:sz w:val="18"/>
          <w:szCs w:val="18"/>
        </w:rPr>
        <w:t>International</w:t>
      </w:r>
      <w:r>
        <w:rPr>
          <w:rFonts w:ascii="宋体" w:hAnsi="宋体" w:cs="宋体" w:eastAsia="宋体" w:hint="default"/>
          <w:spacing w:val="-45"/>
          <w:sz w:val="18"/>
          <w:szCs w:val="18"/>
        </w:rPr>
        <w:t> </w:t>
      </w:r>
      <w:r>
        <w:rPr>
          <w:rFonts w:ascii="宋体" w:hAnsi="宋体" w:cs="宋体" w:eastAsia="宋体" w:hint="default"/>
          <w:sz w:val="18"/>
          <w:szCs w:val="18"/>
        </w:rPr>
        <w:t>Investment</w:t>
      </w:r>
      <w:r>
        <w:rPr>
          <w:rFonts w:ascii="宋体" w:hAnsi="宋体" w:cs="宋体" w:eastAsia="宋体" w:hint="default"/>
          <w:spacing w:val="-45"/>
          <w:sz w:val="18"/>
          <w:szCs w:val="18"/>
        </w:rPr>
        <w:t> </w:t>
      </w:r>
      <w:r>
        <w:rPr>
          <w:rFonts w:ascii="宋体" w:hAnsi="宋体" w:cs="宋体" w:eastAsia="宋体" w:hint="default"/>
          <w:spacing w:val="-3"/>
          <w:sz w:val="18"/>
          <w:szCs w:val="18"/>
        </w:rPr>
        <w:t>Limited</w:t>
      </w:r>
      <w:r>
        <w:rPr>
          <w:rFonts w:ascii="宋体" w:hAnsi="宋体" w:cs="宋体" w:eastAsia="宋体" w:hint="default"/>
          <w:spacing w:val="-3"/>
          <w:sz w:val="18"/>
          <w:szCs w:val="18"/>
        </w:rPr>
        <w:t>（华声国际投资有限公司）、</w:t>
      </w:r>
      <w:r>
        <w:rPr>
          <w:rFonts w:ascii="宋体" w:hAnsi="宋体" w:cs="宋体" w:eastAsia="宋体" w:hint="default"/>
          <w:spacing w:val="-3"/>
          <w:sz w:val="18"/>
          <w:szCs w:val="18"/>
        </w:rPr>
        <w:t>Huasheng</w:t>
      </w:r>
      <w:r>
        <w:rPr>
          <w:rFonts w:ascii="宋体" w:hAnsi="宋体" w:cs="宋体" w:eastAsia="宋体" w:hint="default"/>
          <w:spacing w:val="-45"/>
          <w:sz w:val="18"/>
          <w:szCs w:val="18"/>
        </w:rPr>
        <w:t> </w:t>
      </w:r>
      <w:r>
        <w:rPr>
          <w:rFonts w:ascii="宋体" w:hAnsi="宋体" w:cs="宋体" w:eastAsia="宋体" w:hint="default"/>
          <w:sz w:val="18"/>
          <w:szCs w:val="18"/>
        </w:rPr>
        <w:t>Internet</w:t>
      </w:r>
      <w:r>
        <w:rPr>
          <w:rFonts w:ascii="宋体" w:hAnsi="宋体" w:cs="宋体" w:eastAsia="宋体" w:hint="default"/>
          <w:sz w:val="18"/>
          <w:szCs w:val="18"/>
        </w:rPr>
        <w:t> Investment Management Limited</w:t>
      </w:r>
      <w:r>
        <w:rPr>
          <w:rFonts w:ascii="宋体" w:hAnsi="宋体" w:cs="宋体" w:eastAsia="宋体" w:hint="default"/>
          <w:sz w:val="18"/>
          <w:szCs w:val="18"/>
        </w:rPr>
        <w:t>（华声互联网投资管理有限公司）、</w:t>
      </w:r>
      <w:r>
        <w:rPr>
          <w:rFonts w:ascii="宋体" w:hAnsi="宋体" w:cs="宋体" w:eastAsia="宋体" w:hint="default"/>
          <w:sz w:val="18"/>
          <w:szCs w:val="18"/>
        </w:rPr>
        <w:t>Wa Sung Investment</w:t>
      </w:r>
      <w:r>
        <w:rPr>
          <w:rFonts w:ascii="宋体" w:hAnsi="宋体" w:cs="宋体" w:eastAsia="宋体" w:hint="default"/>
          <w:spacing w:val="-14"/>
          <w:sz w:val="18"/>
          <w:szCs w:val="18"/>
        </w:rPr>
        <w:t> </w:t>
      </w:r>
      <w:r>
        <w:rPr>
          <w:rFonts w:ascii="宋体" w:hAnsi="宋体" w:cs="宋体" w:eastAsia="宋体" w:hint="default"/>
          <w:sz w:val="18"/>
          <w:szCs w:val="18"/>
        </w:rPr>
        <w:t>Limited</w:t>
      </w:r>
      <w:r>
        <w:rPr>
          <w:rFonts w:ascii="宋体" w:hAnsi="宋体" w:cs="宋体" w:eastAsia="宋体" w:hint="default"/>
          <w:sz w:val="18"/>
          <w:szCs w:val="18"/>
        </w:rPr>
        <w:t>均取得营业执照，尚未 正式投入运营。</w:t>
      </w:r>
    </w:p>
    <w:p>
      <w:pPr>
        <w:spacing w:line="240" w:lineRule="auto" w:before="12"/>
        <w:rPr>
          <w:rFonts w:ascii="宋体" w:hAnsi="宋体" w:cs="宋体" w:eastAsia="宋体" w:hint="default"/>
          <w:sz w:val="20"/>
          <w:szCs w:val="20"/>
        </w:rPr>
      </w:pPr>
    </w:p>
    <w:p>
      <w:pPr>
        <w:pStyle w:val="Heading2"/>
        <w:spacing w:line="240" w:lineRule="auto"/>
        <w:ind w:right="105"/>
        <w:jc w:val="left"/>
        <w:rPr>
          <w:b w:val="0"/>
          <w:bCs w:val="0"/>
        </w:rPr>
      </w:pPr>
      <w:r>
        <w:rPr/>
        <w:t>九、在其他主体中的权益</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05"/>
        <w:jc w:val="left"/>
        <w:rPr>
          <w:b w:val="0"/>
          <w:bCs w:val="0"/>
        </w:rPr>
      </w:pPr>
      <w:r>
        <w:rPr>
          <w:rFonts w:ascii="Times New Roman" w:hAnsi="Times New Roman" w:cs="Times New Roman" w:eastAsia="Times New Roman" w:hint="default"/>
        </w:rPr>
        <w:t>1</w:t>
      </w:r>
      <w:r>
        <w:rPr/>
        <w:t>、在子公司中的权益</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05"/>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696"/>
        <w:gridCol w:w="1133"/>
        <w:gridCol w:w="991"/>
        <w:gridCol w:w="2694"/>
        <w:gridCol w:w="852"/>
        <w:gridCol w:w="566"/>
        <w:gridCol w:w="641"/>
      </w:tblGrid>
      <w:tr>
        <w:trPr>
          <w:trHeight w:val="402" w:hRule="exact"/>
        </w:trPr>
        <w:tc>
          <w:tcPr>
            <w:tcW w:w="26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left="816"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11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left="36" w:right="0"/>
              <w:jc w:val="left"/>
              <w:rPr>
                <w:rFonts w:ascii="宋体" w:hAnsi="宋体" w:cs="宋体" w:eastAsia="宋体" w:hint="default"/>
                <w:sz w:val="21"/>
                <w:szCs w:val="21"/>
              </w:rPr>
            </w:pPr>
            <w:r>
              <w:rPr>
                <w:rFonts w:ascii="宋体" w:hAnsi="宋体" w:cs="宋体" w:eastAsia="宋体" w:hint="default"/>
                <w:sz w:val="21"/>
                <w:szCs w:val="21"/>
              </w:rPr>
              <w:t>主要经营地</w:t>
            </w:r>
          </w:p>
        </w:tc>
        <w:tc>
          <w:tcPr>
            <w:tcW w:w="9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left="175"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26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业务性质</w:t>
            </w:r>
          </w:p>
        </w:tc>
        <w:tc>
          <w:tcPr>
            <w:tcW w:w="141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88" w:right="0"/>
              <w:jc w:val="left"/>
              <w:rPr>
                <w:rFonts w:ascii="宋体" w:hAnsi="宋体" w:cs="宋体" w:eastAsia="宋体" w:hint="default"/>
                <w:sz w:val="21"/>
                <w:szCs w:val="21"/>
              </w:rPr>
            </w:pPr>
            <w:r>
              <w:rPr>
                <w:rFonts w:ascii="宋体" w:hAnsi="宋体" w:cs="宋体" w:eastAsia="宋体" w:hint="default"/>
                <w:sz w:val="21"/>
                <w:szCs w:val="21"/>
              </w:rPr>
              <w:t>持股比例</w:t>
            </w:r>
          </w:p>
        </w:tc>
        <w:tc>
          <w:tcPr>
            <w:tcW w:w="641" w:type="dxa"/>
            <w:vMerge w:val="restart"/>
            <w:tcBorders>
              <w:top w:val="single" w:sz="4" w:space="0" w:color="000000"/>
              <w:left w:val="single" w:sz="4" w:space="0" w:color="000000"/>
              <w:right w:val="single" w:sz="4" w:space="0" w:color="000000"/>
            </w:tcBorders>
            <w:shd w:val="clear" w:color="auto" w:fill="D2D2D2"/>
          </w:tcPr>
          <w:p>
            <w:pPr>
              <w:pStyle w:val="TableParagraph"/>
              <w:spacing w:line="271" w:lineRule="auto" w:before="74"/>
              <w:ind w:left="105" w:right="101"/>
              <w:jc w:val="left"/>
              <w:rPr>
                <w:rFonts w:ascii="宋体" w:hAnsi="宋体" w:cs="宋体" w:eastAsia="宋体" w:hint="default"/>
                <w:sz w:val="21"/>
                <w:szCs w:val="21"/>
              </w:rPr>
            </w:pPr>
            <w:r>
              <w:rPr>
                <w:rFonts w:ascii="宋体" w:hAnsi="宋体" w:cs="宋体" w:eastAsia="宋体" w:hint="default"/>
                <w:sz w:val="21"/>
                <w:szCs w:val="21"/>
              </w:rPr>
              <w:t>取得</w:t>
            </w:r>
            <w:r>
              <w:rPr>
                <w:rFonts w:ascii="宋体" w:hAnsi="宋体" w:cs="宋体" w:eastAsia="宋体" w:hint="default"/>
                <w:spacing w:val="-103"/>
                <w:sz w:val="21"/>
                <w:szCs w:val="21"/>
              </w:rPr>
              <w:t> </w:t>
            </w:r>
            <w:r>
              <w:rPr>
                <w:rFonts w:ascii="宋体" w:hAnsi="宋体" w:cs="宋体" w:eastAsia="宋体" w:hint="default"/>
                <w:sz w:val="21"/>
                <w:szCs w:val="21"/>
              </w:rPr>
              <w:t>方式</w:t>
            </w:r>
          </w:p>
        </w:tc>
      </w:tr>
      <w:tr>
        <w:trPr>
          <w:trHeight w:val="402" w:hRule="exact"/>
        </w:trPr>
        <w:tc>
          <w:tcPr>
            <w:tcW w:w="2696" w:type="dxa"/>
            <w:vMerge/>
            <w:tcBorders>
              <w:left w:val="single" w:sz="4" w:space="0" w:color="000000"/>
              <w:bottom w:val="single" w:sz="4" w:space="0" w:color="000000"/>
              <w:right w:val="single" w:sz="4" w:space="0" w:color="000000"/>
            </w:tcBorders>
            <w:shd w:val="clear" w:color="auto" w:fill="D2D2D2"/>
          </w:tcPr>
          <w:p>
            <w:pPr/>
          </w:p>
        </w:tc>
        <w:tc>
          <w:tcPr>
            <w:tcW w:w="1133" w:type="dxa"/>
            <w:vMerge/>
            <w:tcBorders>
              <w:left w:val="single" w:sz="4" w:space="0" w:color="000000"/>
              <w:bottom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shd w:val="clear" w:color="auto" w:fill="D2D2D2"/>
          </w:tcPr>
          <w:p>
            <w:pPr/>
          </w:p>
        </w:tc>
        <w:tc>
          <w:tcPr>
            <w:tcW w:w="2694" w:type="dxa"/>
            <w:vMerge/>
            <w:tcBorders>
              <w:left w:val="single" w:sz="4" w:space="0" w:color="000000"/>
              <w:bottom w:val="single" w:sz="4" w:space="0" w:color="000000"/>
              <w:right w:val="single" w:sz="4" w:space="0" w:color="000000"/>
            </w:tcBorders>
            <w:shd w:val="clear" w:color="auto" w:fill="D2D2D2"/>
          </w:tcPr>
          <w:p>
            <w:pP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7" w:right="0"/>
              <w:jc w:val="center"/>
              <w:rPr>
                <w:rFonts w:ascii="宋体" w:hAnsi="宋体" w:cs="宋体" w:eastAsia="宋体" w:hint="default"/>
                <w:sz w:val="21"/>
                <w:szCs w:val="21"/>
              </w:rPr>
            </w:pPr>
            <w:r>
              <w:rPr>
                <w:rFonts w:ascii="宋体" w:hAnsi="宋体" w:cs="宋体" w:eastAsia="宋体" w:hint="default"/>
                <w:sz w:val="21"/>
                <w:szCs w:val="21"/>
              </w:rPr>
              <w:t>直接</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69" w:right="0"/>
              <w:jc w:val="left"/>
              <w:rPr>
                <w:rFonts w:ascii="宋体" w:hAnsi="宋体" w:cs="宋体" w:eastAsia="宋体" w:hint="default"/>
                <w:sz w:val="21"/>
                <w:szCs w:val="21"/>
              </w:rPr>
            </w:pPr>
            <w:r>
              <w:rPr>
                <w:rFonts w:ascii="宋体" w:hAnsi="宋体" w:cs="宋体" w:eastAsia="宋体" w:hint="default"/>
                <w:sz w:val="21"/>
                <w:szCs w:val="21"/>
              </w:rPr>
              <w:t>间接</w:t>
            </w:r>
          </w:p>
        </w:tc>
        <w:tc>
          <w:tcPr>
            <w:tcW w:w="641"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扬州华声电子实业有限公司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扬州市</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扬州市</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20"/>
              <w:jc w:val="left"/>
              <w:rPr>
                <w:rFonts w:ascii="宋体" w:hAnsi="宋体" w:cs="宋体" w:eastAsia="宋体" w:hint="default"/>
                <w:sz w:val="21"/>
                <w:szCs w:val="21"/>
              </w:rPr>
            </w:pPr>
            <w:r>
              <w:rPr>
                <w:rFonts w:ascii="宋体" w:hAnsi="宋体" w:cs="宋体" w:eastAsia="宋体" w:hint="default"/>
                <w:spacing w:val="-9"/>
                <w:w w:val="100"/>
                <w:sz w:val="21"/>
                <w:szCs w:val="21"/>
              </w:rPr>
              <w:t>家用电器配线组件的研发、生</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产、销售</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48" w:right="0"/>
              <w:jc w:val="center"/>
              <w:rPr>
                <w:rFonts w:ascii="Times New Roman" w:hAnsi="Times New Roman" w:cs="Times New Roman" w:eastAsia="Times New Roman" w:hint="default"/>
                <w:sz w:val="21"/>
                <w:szCs w:val="21"/>
              </w:rPr>
            </w:pPr>
            <w:r>
              <w:rPr>
                <w:rFonts w:ascii="Times New Roman"/>
                <w:sz w:val="21"/>
              </w:rPr>
              <w:t>100.00%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82"/>
              <w:jc w:val="left"/>
              <w:rPr>
                <w:rFonts w:ascii="宋体" w:hAnsi="宋体" w:cs="宋体" w:eastAsia="宋体" w:hint="default"/>
                <w:sz w:val="21"/>
                <w:szCs w:val="21"/>
              </w:rPr>
            </w:pPr>
            <w:r>
              <w:rPr>
                <w:rFonts w:ascii="宋体" w:hAnsi="宋体" w:cs="宋体" w:eastAsia="宋体" w:hint="default"/>
                <w:sz w:val="21"/>
                <w:szCs w:val="21"/>
              </w:rPr>
              <w:t>直接</w:t>
            </w:r>
            <w:r>
              <w:rPr>
                <w:rFonts w:ascii="宋体" w:hAnsi="宋体" w:cs="宋体" w:eastAsia="宋体" w:hint="default"/>
                <w:spacing w:val="-103"/>
                <w:sz w:val="21"/>
                <w:szCs w:val="21"/>
              </w:rPr>
              <w:t> </w:t>
            </w:r>
            <w:r>
              <w:rPr>
                <w:rFonts w:ascii="宋体" w:hAnsi="宋体" w:cs="宋体" w:eastAsia="宋体" w:hint="default"/>
                <w:sz w:val="21"/>
                <w:szCs w:val="21"/>
              </w:rPr>
              <w:t>设立</w:t>
            </w:r>
          </w:p>
        </w:tc>
      </w:tr>
    </w:tbl>
    <w:p>
      <w:pPr>
        <w:spacing w:after="0" w:line="273" w:lineRule="auto"/>
        <w:jc w:val="left"/>
        <w:rPr>
          <w:rFonts w:ascii="宋体" w:hAnsi="宋体" w:cs="宋体" w:eastAsia="宋体" w:hint="default"/>
          <w:sz w:val="21"/>
          <w:szCs w:val="21"/>
        </w:rPr>
        <w:sectPr>
          <w:pgSz w:w="11910" w:h="16840"/>
          <w:pgMar w:header="0" w:footer="979" w:top="1100" w:bottom="1160" w:left="980" w:right="920"/>
        </w:sectPr>
      </w:pPr>
    </w:p>
    <w:p>
      <w:pPr>
        <w:spacing w:line="240" w:lineRule="auto" w:before="8"/>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2696"/>
        <w:gridCol w:w="1133"/>
        <w:gridCol w:w="991"/>
        <w:gridCol w:w="2694"/>
        <w:gridCol w:w="852"/>
        <w:gridCol w:w="566"/>
        <w:gridCol w:w="641"/>
      </w:tblGrid>
      <w:tr>
        <w:trPr>
          <w:trHeight w:val="71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扬州华声电器装配有限公司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扬州市</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扬州市</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电源线、连接线加工、装配</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48" w:right="0"/>
              <w:jc w:val="center"/>
              <w:rPr>
                <w:rFonts w:ascii="Times New Roman" w:hAnsi="Times New Roman" w:cs="Times New Roman" w:eastAsia="Times New Roman" w:hint="default"/>
                <w:sz w:val="21"/>
                <w:szCs w:val="21"/>
              </w:rPr>
            </w:pPr>
            <w:r>
              <w:rPr>
                <w:rFonts w:ascii="Times New Roman"/>
                <w:sz w:val="21"/>
              </w:rPr>
              <w:t>100.00%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82"/>
              <w:jc w:val="left"/>
              <w:rPr>
                <w:rFonts w:ascii="宋体" w:hAnsi="宋体" w:cs="宋体" w:eastAsia="宋体" w:hint="default"/>
                <w:sz w:val="21"/>
                <w:szCs w:val="21"/>
              </w:rPr>
            </w:pPr>
            <w:r>
              <w:rPr>
                <w:rFonts w:ascii="宋体" w:hAnsi="宋体" w:cs="宋体" w:eastAsia="宋体" w:hint="default"/>
                <w:sz w:val="21"/>
                <w:szCs w:val="21"/>
              </w:rPr>
              <w:t>直接</w:t>
            </w:r>
            <w:r>
              <w:rPr>
                <w:rFonts w:ascii="宋体" w:hAnsi="宋体" w:cs="宋体" w:eastAsia="宋体" w:hint="default"/>
                <w:spacing w:val="-103"/>
                <w:sz w:val="21"/>
                <w:szCs w:val="21"/>
              </w:rPr>
              <w:t> </w:t>
            </w:r>
            <w:r>
              <w:rPr>
                <w:rFonts w:ascii="宋体" w:hAnsi="宋体" w:cs="宋体" w:eastAsia="宋体" w:hint="default"/>
                <w:sz w:val="21"/>
                <w:szCs w:val="21"/>
              </w:rPr>
              <w:t>设立</w:t>
            </w:r>
          </w:p>
        </w:tc>
      </w:tr>
      <w:tr>
        <w:trPr>
          <w:trHeight w:val="715"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4" w:right="137"/>
              <w:jc w:val="left"/>
              <w:rPr>
                <w:rFonts w:ascii="宋体" w:hAnsi="宋体" w:cs="宋体" w:eastAsia="宋体" w:hint="default"/>
                <w:sz w:val="21"/>
                <w:szCs w:val="21"/>
              </w:rPr>
            </w:pPr>
            <w:r>
              <w:rPr>
                <w:rFonts w:ascii="宋体" w:hAnsi="宋体" w:cs="宋体" w:eastAsia="宋体" w:hint="default"/>
                <w:spacing w:val="-2"/>
                <w:sz w:val="21"/>
                <w:szCs w:val="21"/>
              </w:rPr>
              <w:t>佛山市华声电子装配有限责</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任公司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佛山市</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佛山市</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电源线、连接线加工、装配</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left="48" w:right="0"/>
              <w:jc w:val="center"/>
              <w:rPr>
                <w:rFonts w:ascii="Times New Roman" w:hAnsi="Times New Roman" w:cs="Times New Roman" w:eastAsia="Times New Roman" w:hint="default"/>
                <w:sz w:val="21"/>
                <w:szCs w:val="21"/>
              </w:rPr>
            </w:pPr>
            <w:r>
              <w:rPr>
                <w:rFonts w:ascii="Times New Roman"/>
                <w:sz w:val="21"/>
              </w:rPr>
              <w:t>100.00%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3" w:right="182"/>
              <w:jc w:val="left"/>
              <w:rPr>
                <w:rFonts w:ascii="宋体" w:hAnsi="宋体" w:cs="宋体" w:eastAsia="宋体" w:hint="default"/>
                <w:sz w:val="21"/>
                <w:szCs w:val="21"/>
              </w:rPr>
            </w:pPr>
            <w:r>
              <w:rPr>
                <w:rFonts w:ascii="宋体" w:hAnsi="宋体" w:cs="宋体" w:eastAsia="宋体" w:hint="default"/>
                <w:sz w:val="21"/>
                <w:szCs w:val="21"/>
              </w:rPr>
              <w:t>直接</w:t>
            </w:r>
            <w:r>
              <w:rPr>
                <w:rFonts w:ascii="宋体" w:hAnsi="宋体" w:cs="宋体" w:eastAsia="宋体" w:hint="default"/>
                <w:spacing w:val="-103"/>
                <w:sz w:val="21"/>
                <w:szCs w:val="21"/>
              </w:rPr>
              <w:t> </w:t>
            </w:r>
            <w:r>
              <w:rPr>
                <w:rFonts w:ascii="宋体" w:hAnsi="宋体" w:cs="宋体" w:eastAsia="宋体" w:hint="default"/>
                <w:sz w:val="21"/>
                <w:szCs w:val="21"/>
              </w:rPr>
              <w:t>设立</w:t>
            </w:r>
          </w:p>
        </w:tc>
      </w:tr>
      <w:tr>
        <w:trPr>
          <w:trHeight w:val="71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广东华声电缆有限公司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佛山市</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佛山市</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电线、电缆制造</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154" w:right="0"/>
              <w:jc w:val="center"/>
              <w:rPr>
                <w:rFonts w:ascii="Times New Roman" w:hAnsi="Times New Roman" w:cs="Times New Roman" w:eastAsia="Times New Roman" w:hint="default"/>
                <w:sz w:val="21"/>
                <w:szCs w:val="21"/>
              </w:rPr>
            </w:pPr>
            <w:r>
              <w:rPr>
                <w:rFonts w:ascii="Times New Roman"/>
                <w:sz w:val="21"/>
              </w:rPr>
              <w:t>60.00%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82"/>
              <w:jc w:val="left"/>
              <w:rPr>
                <w:rFonts w:ascii="宋体" w:hAnsi="宋体" w:cs="宋体" w:eastAsia="宋体" w:hint="default"/>
                <w:sz w:val="21"/>
                <w:szCs w:val="21"/>
              </w:rPr>
            </w:pPr>
            <w:r>
              <w:rPr>
                <w:rFonts w:ascii="宋体" w:hAnsi="宋体" w:cs="宋体" w:eastAsia="宋体" w:hint="default"/>
                <w:sz w:val="21"/>
                <w:szCs w:val="21"/>
              </w:rPr>
              <w:t>直接</w:t>
            </w:r>
            <w:r>
              <w:rPr>
                <w:rFonts w:ascii="宋体" w:hAnsi="宋体" w:cs="宋体" w:eastAsia="宋体" w:hint="default"/>
                <w:spacing w:val="-103"/>
                <w:sz w:val="21"/>
                <w:szCs w:val="21"/>
              </w:rPr>
              <w:t> </w:t>
            </w:r>
            <w:r>
              <w:rPr>
                <w:rFonts w:ascii="宋体" w:hAnsi="宋体" w:cs="宋体" w:eastAsia="宋体" w:hint="default"/>
                <w:sz w:val="21"/>
                <w:szCs w:val="21"/>
              </w:rPr>
              <w:t>设立</w:t>
            </w:r>
          </w:p>
        </w:tc>
      </w:tr>
      <w:tr>
        <w:trPr>
          <w:trHeight w:val="715"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深圳华声前海投资有限公司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深圳市</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深圳市</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3" w:right="20"/>
              <w:jc w:val="left"/>
              <w:rPr>
                <w:rFonts w:ascii="宋体" w:hAnsi="宋体" w:cs="宋体" w:eastAsia="宋体" w:hint="default"/>
                <w:sz w:val="21"/>
                <w:szCs w:val="21"/>
              </w:rPr>
            </w:pPr>
            <w:r>
              <w:rPr>
                <w:rFonts w:ascii="宋体" w:hAnsi="宋体" w:cs="宋体" w:eastAsia="宋体" w:hint="default"/>
                <w:spacing w:val="-9"/>
                <w:sz w:val="21"/>
                <w:szCs w:val="21"/>
              </w:rPr>
              <w:t>股权投资、投资咨询、财务顾</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问</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left="48" w:right="0"/>
              <w:jc w:val="center"/>
              <w:rPr>
                <w:rFonts w:ascii="Times New Roman" w:hAnsi="Times New Roman" w:cs="Times New Roman" w:eastAsia="Times New Roman" w:hint="default"/>
                <w:sz w:val="21"/>
                <w:szCs w:val="21"/>
              </w:rPr>
            </w:pPr>
            <w:r>
              <w:rPr>
                <w:rFonts w:ascii="Times New Roman"/>
                <w:sz w:val="21"/>
              </w:rPr>
              <w:t>100.00%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3" w:right="182"/>
              <w:jc w:val="left"/>
              <w:rPr>
                <w:rFonts w:ascii="宋体" w:hAnsi="宋体" w:cs="宋体" w:eastAsia="宋体" w:hint="default"/>
                <w:sz w:val="21"/>
                <w:szCs w:val="21"/>
              </w:rPr>
            </w:pPr>
            <w:r>
              <w:rPr>
                <w:rFonts w:ascii="宋体" w:hAnsi="宋体" w:cs="宋体" w:eastAsia="宋体" w:hint="default"/>
                <w:sz w:val="21"/>
                <w:szCs w:val="21"/>
              </w:rPr>
              <w:t>直接</w:t>
            </w:r>
            <w:r>
              <w:rPr>
                <w:rFonts w:ascii="宋体" w:hAnsi="宋体" w:cs="宋体" w:eastAsia="宋体" w:hint="default"/>
                <w:spacing w:val="-103"/>
                <w:sz w:val="21"/>
                <w:szCs w:val="21"/>
              </w:rPr>
              <w:t> </w:t>
            </w:r>
            <w:r>
              <w:rPr>
                <w:rFonts w:ascii="宋体" w:hAnsi="宋体" w:cs="宋体" w:eastAsia="宋体" w:hint="default"/>
                <w:sz w:val="21"/>
                <w:szCs w:val="21"/>
              </w:rPr>
              <w:t>设立</w:t>
            </w:r>
          </w:p>
        </w:tc>
      </w:tr>
      <w:tr>
        <w:trPr>
          <w:trHeight w:val="1025"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广东华声电器实业有限公司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佛山市</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佛山市</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20"/>
              <w:jc w:val="both"/>
              <w:rPr>
                <w:rFonts w:ascii="宋体" w:hAnsi="宋体" w:cs="宋体" w:eastAsia="宋体" w:hint="default"/>
                <w:sz w:val="21"/>
                <w:szCs w:val="21"/>
              </w:rPr>
            </w:pPr>
            <w:r>
              <w:rPr>
                <w:rFonts w:ascii="宋体" w:hAnsi="宋体" w:cs="宋体" w:eastAsia="宋体" w:hint="default"/>
                <w:spacing w:val="-9"/>
                <w:sz w:val="21"/>
                <w:szCs w:val="21"/>
              </w:rPr>
              <w:t>电器连接线、电源线、电线电</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9"/>
                <w:sz w:val="21"/>
                <w:szCs w:val="21"/>
              </w:rPr>
              <w:t>缆及相关材料；自有物业、机</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器设备出租、管理服务</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9"/>
                <w:szCs w:val="29"/>
              </w:rPr>
            </w:pPr>
          </w:p>
          <w:p>
            <w:pPr>
              <w:pStyle w:val="TableParagraph"/>
              <w:spacing w:line="240" w:lineRule="auto"/>
              <w:ind w:left="48" w:right="0"/>
              <w:jc w:val="center"/>
              <w:rPr>
                <w:rFonts w:ascii="Times New Roman" w:hAnsi="Times New Roman" w:cs="Times New Roman" w:eastAsia="Times New Roman" w:hint="default"/>
                <w:sz w:val="21"/>
                <w:szCs w:val="21"/>
              </w:rPr>
            </w:pPr>
            <w:r>
              <w:rPr>
                <w:rFonts w:ascii="Times New Roman"/>
                <w:sz w:val="21"/>
              </w:rPr>
              <w:t>100.00%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73" w:lineRule="auto"/>
              <w:ind w:left="23" w:right="182"/>
              <w:jc w:val="left"/>
              <w:rPr>
                <w:rFonts w:ascii="宋体" w:hAnsi="宋体" w:cs="宋体" w:eastAsia="宋体" w:hint="default"/>
                <w:sz w:val="21"/>
                <w:szCs w:val="21"/>
              </w:rPr>
            </w:pPr>
            <w:r>
              <w:rPr>
                <w:rFonts w:ascii="宋体" w:hAnsi="宋体" w:cs="宋体" w:eastAsia="宋体" w:hint="default"/>
                <w:sz w:val="21"/>
                <w:szCs w:val="21"/>
              </w:rPr>
              <w:t>直接</w:t>
            </w:r>
            <w:r>
              <w:rPr>
                <w:rFonts w:ascii="宋体" w:hAnsi="宋体" w:cs="宋体" w:eastAsia="宋体" w:hint="default"/>
                <w:spacing w:val="-103"/>
                <w:sz w:val="21"/>
                <w:szCs w:val="21"/>
              </w:rPr>
              <w:t> </w:t>
            </w:r>
            <w:r>
              <w:rPr>
                <w:rFonts w:ascii="宋体" w:hAnsi="宋体" w:cs="宋体" w:eastAsia="宋体" w:hint="default"/>
                <w:sz w:val="21"/>
                <w:szCs w:val="21"/>
              </w:rPr>
              <w:t>设立</w:t>
            </w:r>
          </w:p>
        </w:tc>
      </w:tr>
      <w:tr>
        <w:trPr>
          <w:trHeight w:val="1027"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before="77"/>
              <w:ind w:left="24" w:right="20"/>
              <w:jc w:val="left"/>
              <w:rPr>
                <w:rFonts w:ascii="宋体" w:hAnsi="宋体" w:cs="宋体" w:eastAsia="宋体" w:hint="default"/>
                <w:sz w:val="21"/>
                <w:szCs w:val="21"/>
              </w:rPr>
            </w:pPr>
            <w:r>
              <w:rPr>
                <w:rFonts w:ascii="Times New Roman" w:hAnsi="Times New Roman" w:cs="Times New Roman" w:eastAsia="Times New Roman" w:hint="default"/>
                <w:spacing w:val="-9"/>
                <w:sz w:val="21"/>
                <w:szCs w:val="21"/>
              </w:rPr>
              <w:t>Wa </w:t>
            </w:r>
            <w:r>
              <w:rPr>
                <w:rFonts w:ascii="Times New Roman" w:hAnsi="Times New Roman" w:cs="Times New Roman" w:eastAsia="Times New Roman" w:hint="default"/>
                <w:sz w:val="21"/>
                <w:szCs w:val="21"/>
              </w:rPr>
              <w:t>Sung</w:t>
            </w:r>
            <w:r>
              <w:rPr>
                <w:rFonts w:ascii="Times New Roman" w:hAnsi="Times New Roman" w:cs="Times New Roman" w:eastAsia="Times New Roman" w:hint="default"/>
                <w:spacing w:val="8"/>
                <w:sz w:val="21"/>
                <w:szCs w:val="21"/>
              </w:rPr>
              <w:t> </w:t>
            </w:r>
            <w:r>
              <w:rPr>
                <w:rFonts w:ascii="Times New Roman" w:hAnsi="Times New Roman" w:cs="Times New Roman" w:eastAsia="Times New Roman" w:hint="default"/>
                <w:sz w:val="21"/>
                <w:szCs w:val="21"/>
              </w:rPr>
              <w:t>International</w:t>
            </w:r>
            <w:r>
              <w:rPr>
                <w:rFonts w:ascii="Times New Roman" w:hAnsi="Times New Roman" w:cs="Times New Roman" w:eastAsia="Times New Roman" w:hint="default"/>
                <w:w w:val="100"/>
                <w:sz w:val="21"/>
                <w:szCs w:val="21"/>
              </w:rPr>
              <w:t> </w:t>
            </w:r>
            <w:r>
              <w:rPr>
                <w:rFonts w:ascii="Times New Roman" w:hAnsi="Times New Roman" w:cs="Times New Roman" w:eastAsia="Times New Roman" w:hint="default"/>
                <w:sz w:val="21"/>
                <w:szCs w:val="21"/>
              </w:rPr>
              <w:t>Investment</w:t>
            </w:r>
            <w:r>
              <w:rPr>
                <w:rFonts w:ascii="Times New Roman" w:hAnsi="Times New Roman" w:cs="Times New Roman" w:eastAsia="Times New Roman" w:hint="default"/>
                <w:spacing w:val="12"/>
                <w:sz w:val="21"/>
                <w:szCs w:val="21"/>
              </w:rPr>
              <w:t> </w:t>
            </w:r>
            <w:r>
              <w:rPr>
                <w:rFonts w:ascii="Times New Roman" w:hAnsi="Times New Roman" w:cs="Times New Roman" w:eastAsia="Times New Roman" w:hint="default"/>
                <w:spacing w:val="-7"/>
                <w:sz w:val="21"/>
                <w:szCs w:val="21"/>
              </w:rPr>
              <w:t>Limited</w:t>
            </w:r>
            <w:r>
              <w:rPr>
                <w:rFonts w:ascii="宋体" w:hAnsi="宋体" w:cs="宋体" w:eastAsia="宋体" w:hint="default"/>
                <w:spacing w:val="-7"/>
                <w:sz w:val="21"/>
                <w:szCs w:val="21"/>
              </w:rPr>
              <w:t>（华声国际</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投资有限公司）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9"/>
                <w:szCs w:val="29"/>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BVI</w:t>
            </w:r>
            <w:r>
              <w:rPr>
                <w:rFonts w:ascii="Times New Roman"/>
                <w:spacing w:val="-4"/>
                <w:sz w:val="21"/>
              </w:rPr>
              <w:t> </w:t>
            </w:r>
            <w:r>
              <w:rPr>
                <w:rFonts w:ascii="Times New Roman"/>
                <w:sz w:val="21"/>
              </w:rPr>
              <w:t>Islands</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left="24" w:right="0"/>
              <w:jc w:val="left"/>
              <w:rPr>
                <w:rFonts w:ascii="Times New Roman" w:hAnsi="Times New Roman" w:cs="Times New Roman" w:eastAsia="Times New Roman" w:hint="default"/>
                <w:sz w:val="21"/>
                <w:szCs w:val="21"/>
              </w:rPr>
            </w:pPr>
            <w:r>
              <w:rPr>
                <w:rFonts w:ascii="Times New Roman"/>
                <w:sz w:val="21"/>
              </w:rPr>
              <w:t>BVI</w:t>
            </w:r>
          </w:p>
          <w:p>
            <w:pPr>
              <w:pStyle w:val="TableParagraph"/>
              <w:spacing w:line="240" w:lineRule="auto" w:before="68"/>
              <w:ind w:left="24" w:right="0"/>
              <w:jc w:val="left"/>
              <w:rPr>
                <w:rFonts w:ascii="Times New Roman" w:hAnsi="Times New Roman" w:cs="Times New Roman" w:eastAsia="Times New Roman" w:hint="default"/>
                <w:sz w:val="21"/>
                <w:szCs w:val="21"/>
              </w:rPr>
            </w:pPr>
            <w:r>
              <w:rPr>
                <w:rFonts w:ascii="Times New Roman"/>
                <w:sz w:val="21"/>
              </w:rPr>
              <w:t>Islands</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投资</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9"/>
                <w:szCs w:val="29"/>
              </w:rPr>
            </w:pPr>
          </w:p>
          <w:p>
            <w:pPr>
              <w:pStyle w:val="TableParagraph"/>
              <w:spacing w:line="240" w:lineRule="auto"/>
              <w:ind w:left="48" w:right="0"/>
              <w:jc w:val="center"/>
              <w:rPr>
                <w:rFonts w:ascii="Times New Roman" w:hAnsi="Times New Roman" w:cs="Times New Roman" w:eastAsia="Times New Roman" w:hint="default"/>
                <w:sz w:val="21"/>
                <w:szCs w:val="21"/>
              </w:rPr>
            </w:pPr>
            <w:r>
              <w:rPr>
                <w:rFonts w:ascii="Times New Roman"/>
                <w:sz w:val="21"/>
              </w:rPr>
              <w:t>100.00%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71" w:lineRule="auto"/>
              <w:ind w:left="23" w:right="182"/>
              <w:jc w:val="left"/>
              <w:rPr>
                <w:rFonts w:ascii="宋体" w:hAnsi="宋体" w:cs="宋体" w:eastAsia="宋体" w:hint="default"/>
                <w:sz w:val="21"/>
                <w:szCs w:val="21"/>
              </w:rPr>
            </w:pPr>
            <w:r>
              <w:rPr>
                <w:rFonts w:ascii="宋体" w:hAnsi="宋体" w:cs="宋体" w:eastAsia="宋体" w:hint="default"/>
                <w:sz w:val="21"/>
                <w:szCs w:val="21"/>
              </w:rPr>
              <w:t>直接</w:t>
            </w:r>
            <w:r>
              <w:rPr>
                <w:rFonts w:ascii="宋体" w:hAnsi="宋体" w:cs="宋体" w:eastAsia="宋体" w:hint="default"/>
                <w:spacing w:val="-103"/>
                <w:sz w:val="21"/>
                <w:szCs w:val="21"/>
              </w:rPr>
              <w:t> </w:t>
            </w:r>
            <w:r>
              <w:rPr>
                <w:rFonts w:ascii="宋体" w:hAnsi="宋体" w:cs="宋体" w:eastAsia="宋体" w:hint="default"/>
                <w:sz w:val="21"/>
                <w:szCs w:val="21"/>
              </w:rPr>
              <w:t>设立</w:t>
            </w:r>
          </w:p>
        </w:tc>
      </w:tr>
      <w:tr>
        <w:trPr>
          <w:trHeight w:val="1025"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61" w:lineRule="auto" w:before="75"/>
              <w:ind w:left="24" w:right="20"/>
              <w:jc w:val="left"/>
              <w:rPr>
                <w:rFonts w:ascii="宋体" w:hAnsi="宋体" w:cs="宋体" w:eastAsia="宋体" w:hint="default"/>
                <w:sz w:val="21"/>
                <w:szCs w:val="21"/>
              </w:rPr>
            </w:pPr>
            <w:r>
              <w:rPr>
                <w:rFonts w:ascii="Times New Roman" w:hAnsi="Times New Roman" w:cs="Times New Roman" w:eastAsia="Times New Roman" w:hint="default"/>
                <w:sz w:val="21"/>
                <w:szCs w:val="21"/>
              </w:rPr>
              <w:t>Huasheng Internet</w:t>
            </w:r>
            <w:r>
              <w:rPr>
                <w:rFonts w:ascii="Times New Roman" w:hAnsi="Times New Roman" w:cs="Times New Roman" w:eastAsia="Times New Roman" w:hint="default"/>
                <w:spacing w:val="-3"/>
                <w:sz w:val="21"/>
                <w:szCs w:val="21"/>
              </w:rPr>
              <w:t> </w:t>
            </w:r>
            <w:r>
              <w:rPr>
                <w:rFonts w:ascii="Times New Roman" w:hAnsi="Times New Roman" w:cs="Times New Roman" w:eastAsia="Times New Roman" w:hint="default"/>
                <w:sz w:val="21"/>
                <w:szCs w:val="21"/>
              </w:rPr>
              <w:t>Investment</w:t>
            </w:r>
            <w:r>
              <w:rPr>
                <w:rFonts w:ascii="Times New Roman" w:hAnsi="Times New Roman" w:cs="Times New Roman" w:eastAsia="Times New Roman" w:hint="default"/>
                <w:w w:val="100"/>
                <w:sz w:val="21"/>
                <w:szCs w:val="21"/>
              </w:rPr>
              <w:t> </w:t>
            </w:r>
            <w:r>
              <w:rPr>
                <w:rFonts w:ascii="Times New Roman" w:hAnsi="Times New Roman" w:cs="Times New Roman" w:eastAsia="Times New Roman" w:hint="default"/>
                <w:sz w:val="21"/>
                <w:szCs w:val="21"/>
              </w:rPr>
              <w:t>Management</w:t>
            </w:r>
            <w:r>
              <w:rPr>
                <w:rFonts w:ascii="Times New Roman" w:hAnsi="Times New Roman" w:cs="Times New Roman" w:eastAsia="Times New Roman" w:hint="default"/>
                <w:spacing w:val="11"/>
                <w:sz w:val="21"/>
                <w:szCs w:val="21"/>
              </w:rPr>
              <w:t> </w:t>
            </w:r>
            <w:r>
              <w:rPr>
                <w:rFonts w:ascii="Times New Roman" w:hAnsi="Times New Roman" w:cs="Times New Roman" w:eastAsia="Times New Roman" w:hint="default"/>
                <w:spacing w:val="-3"/>
                <w:sz w:val="21"/>
                <w:szCs w:val="21"/>
              </w:rPr>
              <w:t>Limited</w:t>
            </w:r>
            <w:r>
              <w:rPr>
                <w:rFonts w:ascii="宋体" w:hAnsi="宋体" w:cs="宋体" w:eastAsia="宋体" w:hint="default"/>
                <w:spacing w:val="-3"/>
                <w:sz w:val="21"/>
                <w:szCs w:val="21"/>
              </w:rPr>
              <w:t>（华声互</w:t>
            </w:r>
            <w:r>
              <w:rPr>
                <w:rFonts w:ascii="宋体" w:hAnsi="宋体" w:cs="宋体" w:eastAsia="宋体" w:hint="default"/>
                <w:spacing w:val="-102"/>
                <w:sz w:val="21"/>
                <w:szCs w:val="21"/>
              </w:rPr>
              <w:t> </w:t>
            </w:r>
            <w:r>
              <w:rPr>
                <w:rFonts w:ascii="宋体" w:hAnsi="宋体" w:cs="宋体" w:eastAsia="宋体" w:hint="default"/>
                <w:sz w:val="21"/>
                <w:szCs w:val="21"/>
              </w:rPr>
              <w:t>联网投资管理有限公司）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309" w:lineRule="auto"/>
              <w:ind w:left="23" w:right="398"/>
              <w:jc w:val="left"/>
              <w:rPr>
                <w:rFonts w:ascii="Times New Roman" w:hAnsi="Times New Roman" w:cs="Times New Roman" w:eastAsia="Times New Roman" w:hint="default"/>
                <w:sz w:val="21"/>
                <w:szCs w:val="21"/>
              </w:rPr>
            </w:pPr>
            <w:r>
              <w:rPr>
                <w:rFonts w:ascii="Times New Roman"/>
                <w:sz w:val="21"/>
              </w:rPr>
              <w:t>Cayman</w:t>
            </w:r>
            <w:r>
              <w:rPr>
                <w:rFonts w:ascii="Times New Roman"/>
                <w:w w:val="100"/>
                <w:sz w:val="21"/>
              </w:rPr>
              <w:t> </w:t>
            </w:r>
            <w:r>
              <w:rPr>
                <w:rFonts w:ascii="Times New Roman"/>
                <w:sz w:val="21"/>
              </w:rPr>
              <w:t>Islands</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309" w:lineRule="auto"/>
              <w:ind w:left="24" w:right="257"/>
              <w:jc w:val="left"/>
              <w:rPr>
                <w:rFonts w:ascii="Times New Roman" w:hAnsi="Times New Roman" w:cs="Times New Roman" w:eastAsia="Times New Roman" w:hint="default"/>
                <w:sz w:val="21"/>
                <w:szCs w:val="21"/>
              </w:rPr>
            </w:pPr>
            <w:r>
              <w:rPr>
                <w:rFonts w:ascii="Times New Roman"/>
                <w:sz w:val="21"/>
              </w:rPr>
              <w:t>Cayman</w:t>
            </w:r>
            <w:r>
              <w:rPr>
                <w:rFonts w:ascii="Times New Roman"/>
                <w:w w:val="100"/>
                <w:sz w:val="21"/>
              </w:rPr>
              <w:t> </w:t>
            </w:r>
            <w:r>
              <w:rPr>
                <w:rFonts w:ascii="Times New Roman"/>
                <w:sz w:val="21"/>
              </w:rPr>
              <w:t>Islands</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投资</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9"/>
                <w:szCs w:val="29"/>
              </w:rPr>
            </w:pPr>
          </w:p>
          <w:p>
            <w:pPr>
              <w:pStyle w:val="TableParagraph"/>
              <w:spacing w:line="240" w:lineRule="auto"/>
              <w:ind w:left="48" w:right="0"/>
              <w:jc w:val="center"/>
              <w:rPr>
                <w:rFonts w:ascii="Times New Roman" w:hAnsi="Times New Roman" w:cs="Times New Roman" w:eastAsia="Times New Roman" w:hint="default"/>
                <w:sz w:val="21"/>
                <w:szCs w:val="21"/>
              </w:rPr>
            </w:pPr>
            <w:r>
              <w:rPr>
                <w:rFonts w:ascii="Times New Roman"/>
                <w:sz w:val="21"/>
              </w:rPr>
              <w:t>100.00%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73" w:lineRule="auto"/>
              <w:ind w:left="23" w:right="182"/>
              <w:jc w:val="left"/>
              <w:rPr>
                <w:rFonts w:ascii="宋体" w:hAnsi="宋体" w:cs="宋体" w:eastAsia="宋体" w:hint="default"/>
                <w:sz w:val="21"/>
                <w:szCs w:val="21"/>
              </w:rPr>
            </w:pPr>
            <w:r>
              <w:rPr>
                <w:rFonts w:ascii="宋体" w:hAnsi="宋体" w:cs="宋体" w:eastAsia="宋体" w:hint="default"/>
                <w:sz w:val="21"/>
                <w:szCs w:val="21"/>
              </w:rPr>
              <w:t>直接</w:t>
            </w:r>
            <w:r>
              <w:rPr>
                <w:rFonts w:ascii="宋体" w:hAnsi="宋体" w:cs="宋体" w:eastAsia="宋体" w:hint="default"/>
                <w:spacing w:val="-103"/>
                <w:sz w:val="21"/>
                <w:szCs w:val="21"/>
              </w:rPr>
              <w:t> </w:t>
            </w:r>
            <w:r>
              <w:rPr>
                <w:rFonts w:ascii="宋体" w:hAnsi="宋体" w:cs="宋体" w:eastAsia="宋体" w:hint="default"/>
                <w:sz w:val="21"/>
                <w:szCs w:val="21"/>
              </w:rPr>
              <w:t>设立</w:t>
            </w:r>
          </w:p>
        </w:tc>
      </w:tr>
      <w:tr>
        <w:trPr>
          <w:trHeight w:val="715"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left="24" w:right="0"/>
              <w:jc w:val="left"/>
              <w:rPr>
                <w:rFonts w:ascii="Times New Roman" w:hAnsi="Times New Roman" w:cs="Times New Roman" w:eastAsia="Times New Roman" w:hint="default"/>
                <w:sz w:val="21"/>
                <w:szCs w:val="21"/>
              </w:rPr>
            </w:pPr>
            <w:r>
              <w:rPr>
                <w:rFonts w:ascii="Times New Roman"/>
                <w:spacing w:val="-9"/>
                <w:sz w:val="21"/>
              </w:rPr>
              <w:t>Wa </w:t>
            </w:r>
            <w:r>
              <w:rPr>
                <w:rFonts w:ascii="Times New Roman"/>
                <w:sz w:val="21"/>
              </w:rPr>
              <w:t>Sung Investment</w:t>
            </w:r>
            <w:r>
              <w:rPr>
                <w:rFonts w:ascii="Times New Roman"/>
                <w:spacing w:val="3"/>
                <w:sz w:val="21"/>
              </w:rPr>
              <w:t> </w:t>
            </w:r>
            <w:r>
              <w:rPr>
                <w:rFonts w:ascii="Times New Roman"/>
                <w:sz w:val="21"/>
              </w:rPr>
              <w:t>Limited</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香港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香港</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投资</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left="48" w:right="0"/>
              <w:jc w:val="center"/>
              <w:rPr>
                <w:rFonts w:ascii="Times New Roman" w:hAnsi="Times New Roman" w:cs="Times New Roman" w:eastAsia="Times New Roman" w:hint="default"/>
                <w:sz w:val="21"/>
                <w:szCs w:val="21"/>
              </w:rPr>
            </w:pPr>
            <w:r>
              <w:rPr>
                <w:rFonts w:ascii="Times New Roman"/>
                <w:sz w:val="21"/>
              </w:rPr>
              <w:t>100.00%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3" w:right="182"/>
              <w:jc w:val="left"/>
              <w:rPr>
                <w:rFonts w:ascii="宋体" w:hAnsi="宋体" w:cs="宋体" w:eastAsia="宋体" w:hint="default"/>
                <w:sz w:val="21"/>
                <w:szCs w:val="21"/>
              </w:rPr>
            </w:pPr>
            <w:r>
              <w:rPr>
                <w:rFonts w:ascii="宋体" w:hAnsi="宋体" w:cs="宋体" w:eastAsia="宋体" w:hint="default"/>
                <w:sz w:val="21"/>
                <w:szCs w:val="21"/>
              </w:rPr>
              <w:t>直接</w:t>
            </w:r>
            <w:r>
              <w:rPr>
                <w:rFonts w:ascii="宋体" w:hAnsi="宋体" w:cs="宋体" w:eastAsia="宋体" w:hint="default"/>
                <w:spacing w:val="-103"/>
                <w:sz w:val="21"/>
                <w:szCs w:val="21"/>
              </w:rPr>
              <w:t> </w:t>
            </w:r>
            <w:r>
              <w:rPr>
                <w:rFonts w:ascii="宋体" w:hAnsi="宋体" w:cs="宋体" w:eastAsia="宋体" w:hint="default"/>
                <w:sz w:val="21"/>
                <w:szCs w:val="21"/>
              </w:rPr>
              <w:t>设立</w:t>
            </w:r>
          </w:p>
        </w:tc>
      </w:tr>
    </w:tbl>
    <w:p>
      <w:pPr>
        <w:spacing w:line="240" w:lineRule="auto" w:before="3"/>
        <w:rPr>
          <w:rFonts w:ascii="宋体" w:hAnsi="宋体" w:cs="宋体" w:eastAsia="宋体" w:hint="default"/>
          <w:b/>
          <w:bCs/>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）公司无重要的非全资子公司。</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）公司无使用企业集团资产和清偿企业集团债务的情况。</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5</w:t>
      </w:r>
      <w:r>
        <w:rPr/>
        <w:t>）本期不存在向纳入合并财务报表范围的结构化主体提供财务支持或其他支持情况。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2</w:t>
      </w:r>
      <w:r>
        <w:rPr/>
        <w:t>、本期无在子公司的所有者权益份额发生变化且仍控制子公司的交易。</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3</w:t>
      </w:r>
      <w:r>
        <w:rPr/>
        <w:t>、本期无在合营安排或联营企业中的权益。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4</w:t>
      </w:r>
      <w:r>
        <w:rPr/>
        <w:t>、本期无重要的共同经营。</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5</w:t>
      </w:r>
      <w:r>
        <w:rPr/>
        <w:t>、本期无在未纳入合并财务报表范围的结构化主体中的权益。</w:t>
      </w:r>
      <w:r>
        <w:rPr>
          <w:b w:val="0"/>
          <w:bCs w:val="0"/>
        </w:rPr>
      </w:r>
    </w:p>
    <w:p>
      <w:pPr>
        <w:spacing w:line="240" w:lineRule="auto" w:before="10"/>
        <w:rPr>
          <w:rFonts w:ascii="宋体" w:hAnsi="宋体" w:cs="宋体" w:eastAsia="宋体" w:hint="default"/>
          <w:b/>
          <w:bCs/>
          <w:sz w:val="22"/>
          <w:szCs w:val="22"/>
        </w:rPr>
      </w:pPr>
    </w:p>
    <w:p>
      <w:pPr>
        <w:pStyle w:val="Heading2"/>
        <w:spacing w:line="240" w:lineRule="auto"/>
        <w:ind w:right="0"/>
        <w:jc w:val="left"/>
        <w:rPr>
          <w:b w:val="0"/>
          <w:bCs w:val="0"/>
        </w:rPr>
      </w:pPr>
      <w:r>
        <w:rPr/>
        <w:t>十、与金融工具相关的风险</w:t>
      </w:r>
      <w:r>
        <w:rPr>
          <w:b w:val="0"/>
          <w:bCs w:val="0"/>
        </w:rPr>
      </w:r>
    </w:p>
    <w:p>
      <w:pPr>
        <w:spacing w:line="240" w:lineRule="auto" w:before="9"/>
        <w:rPr>
          <w:rFonts w:ascii="宋体" w:hAnsi="宋体" w:cs="宋体" w:eastAsia="宋体" w:hint="default"/>
          <w:b/>
          <w:bCs/>
          <w:sz w:val="24"/>
          <w:szCs w:val="24"/>
        </w:rPr>
      </w:pPr>
    </w:p>
    <w:p>
      <w:pPr>
        <w:pStyle w:val="BodyText"/>
        <w:spacing w:line="273" w:lineRule="auto"/>
        <w:ind w:right="0" w:firstLine="420"/>
        <w:jc w:val="left"/>
      </w:pPr>
      <w:r>
        <w:rPr>
          <w:spacing w:val="-2"/>
        </w:rPr>
        <w:t>本公司在经营过程中面临各种金融风险：信用风险、市场风险和流动性风险。公司董事会全面负责风</w:t>
      </w:r>
      <w:r>
        <w:rPr>
          <w:w w:val="100"/>
        </w:rPr>
        <w:t> </w:t>
      </w:r>
      <w:r>
        <w:rPr/>
        <w:t>险管理目标和政策的确定，并对风险管理目标和政策承担最终责任。</w:t>
      </w:r>
    </w:p>
    <w:p>
      <w:pPr>
        <w:pStyle w:val="BodyText"/>
        <w:spacing w:line="273" w:lineRule="auto" w:before="7"/>
        <w:ind w:right="0" w:firstLine="420"/>
        <w:jc w:val="left"/>
      </w:pPr>
      <w:r>
        <w:rPr>
          <w:spacing w:val="-2"/>
        </w:rPr>
        <w:t>本公司风险管理的总体目标是在不过度影响公司竞争力和应变力的情况下，制定尽可能降低风险的风</w:t>
      </w:r>
      <w:r>
        <w:rPr>
          <w:w w:val="100"/>
        </w:rPr>
        <w:t> </w:t>
      </w:r>
      <w:r>
        <w:rPr/>
        <w:t>险管理政策。</w:t>
      </w:r>
    </w:p>
    <w:p>
      <w:pPr>
        <w:pStyle w:val="BodyText"/>
        <w:spacing w:line="256" w:lineRule="auto" w:before="7"/>
        <w:ind w:left="573" w:right="0"/>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t>信用风险</w:t>
      </w:r>
      <w:r>
        <w:rPr>
          <w:w w:val="100"/>
        </w:rPr>
        <w:t> </w:t>
      </w:r>
      <w:r>
        <w:rPr>
          <w:spacing w:val="-2"/>
        </w:rPr>
        <w:t>信用风险是指金融工具的一方不履行义务，造成另一方发生财务损失的风险。截至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w:t>
      </w:r>
      <w:r>
        <w:rPr/>
      </w:r>
    </w:p>
    <w:p>
      <w:pPr>
        <w:spacing w:after="0" w:line="256" w:lineRule="auto"/>
        <w:jc w:val="left"/>
        <w:sectPr>
          <w:footerReference w:type="default" r:id="rId39"/>
          <w:pgSz w:w="11910" w:h="16840"/>
          <w:pgMar w:footer="979" w:header="0" w:top="1100" w:bottom="1160" w:left="980" w:right="980"/>
          <w:pgNumType w:start="110"/>
        </w:sectPr>
      </w:pPr>
    </w:p>
    <w:p>
      <w:pPr>
        <w:spacing w:line="240" w:lineRule="auto" w:before="11"/>
        <w:rPr>
          <w:rFonts w:ascii="宋体" w:hAnsi="宋体" w:cs="宋体" w:eastAsia="宋体" w:hint="default"/>
          <w:sz w:val="20"/>
          <w:szCs w:val="20"/>
        </w:rPr>
      </w:pPr>
    </w:p>
    <w:p>
      <w:pPr>
        <w:pStyle w:val="BodyText"/>
        <w:spacing w:line="273" w:lineRule="auto" w:before="36"/>
        <w:ind w:right="0"/>
        <w:jc w:val="left"/>
      </w:pPr>
      <w:r>
        <w:rPr>
          <w:spacing w:val="-2"/>
        </w:rPr>
        <w:t>可能引起本公司财务损失的最大信用风险敞口主要来自于合同另一方未能履行义务而导致本公司金融资</w:t>
      </w:r>
      <w:r>
        <w:rPr>
          <w:spacing w:val="-21"/>
        </w:rPr>
        <w:t> </w:t>
      </w:r>
      <w:r>
        <w:rPr>
          <w:spacing w:val="-21"/>
        </w:rPr>
      </w:r>
      <w:r>
        <w:rPr/>
        <w:t>产产生的损失。</w:t>
      </w:r>
    </w:p>
    <w:p>
      <w:pPr>
        <w:pStyle w:val="BodyText"/>
        <w:spacing w:line="273" w:lineRule="auto" w:before="7"/>
        <w:ind w:right="146" w:firstLine="420"/>
        <w:jc w:val="both"/>
      </w:pPr>
      <w:r>
        <w:rPr>
          <w:spacing w:val="-2"/>
        </w:rPr>
        <w:t>为降低信用风险，本公司对信用额度进行审批，并执行其他监控程序以确保采取必要的措施回收过期</w:t>
      </w:r>
      <w:r>
        <w:rPr>
          <w:w w:val="100"/>
        </w:rPr>
        <w:t> </w:t>
      </w:r>
      <w:r>
        <w:rPr>
          <w:spacing w:val="-2"/>
        </w:rPr>
        <w:t>债权。此外，本公司于每个资产负债表日审核每一单项应收款的回收情况，以确保就无法回收的款项计提</w:t>
      </w:r>
      <w:r>
        <w:rPr>
          <w:spacing w:val="-43"/>
        </w:rPr>
        <w:t> </w:t>
      </w:r>
      <w:r>
        <w:rPr>
          <w:spacing w:val="-43"/>
        </w:rPr>
      </w:r>
      <w:r>
        <w:rPr/>
        <w:t>充分的坏账准备。因此，本公司管理层认为本公司所承担的信用风险已经大为降低。</w:t>
      </w:r>
    </w:p>
    <w:p>
      <w:pPr>
        <w:pStyle w:val="BodyText"/>
        <w:spacing w:line="256" w:lineRule="auto" w:before="7"/>
        <w:ind w:left="573" w:right="0"/>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t>市场风险</w:t>
      </w:r>
      <w:r>
        <w:rPr>
          <w:w w:val="100"/>
        </w:rPr>
        <w:t> </w:t>
      </w:r>
      <w:r>
        <w:rPr>
          <w:spacing w:val="-2"/>
        </w:rPr>
        <w:t>金融工具的市场风险，是指金融工具的公允价值或未来现金流量因市场价格变动而发生波动的风险，</w:t>
      </w:r>
    </w:p>
    <w:p>
      <w:pPr>
        <w:pStyle w:val="BodyText"/>
        <w:spacing w:line="240" w:lineRule="auto" w:before="22"/>
        <w:ind w:right="0"/>
        <w:jc w:val="both"/>
      </w:pPr>
      <w:r>
        <w:rPr/>
        <w:t>包括外汇风险、利率风险和其他价格风险。</w:t>
      </w:r>
    </w:p>
    <w:p>
      <w:pPr>
        <w:pStyle w:val="BodyText"/>
        <w:spacing w:line="256" w:lineRule="auto" w:before="37"/>
        <w:ind w:left="573" w:right="0"/>
        <w:jc w:val="left"/>
      </w:pPr>
      <w:r>
        <w:rPr/>
        <w:t>（</w:t>
      </w:r>
      <w:r>
        <w:rPr>
          <w:rFonts w:ascii="Times New Roman" w:hAnsi="Times New Roman" w:cs="Times New Roman" w:eastAsia="Times New Roman" w:hint="default"/>
        </w:rPr>
        <w:t>1</w:t>
      </w:r>
      <w:r>
        <w:rPr/>
        <w:t>）利率风险</w:t>
      </w:r>
      <w:r>
        <w:rPr>
          <w:w w:val="100"/>
        </w:rPr>
        <w:t> </w:t>
      </w:r>
      <w:r>
        <w:rPr>
          <w:spacing w:val="-2"/>
        </w:rPr>
        <w:t>利率风险，是指金融工具的公允价值或未来现金流量因市场利率变动而发生波动的风险。本公司面临</w:t>
      </w:r>
    </w:p>
    <w:p>
      <w:pPr>
        <w:pStyle w:val="BodyText"/>
        <w:spacing w:line="273" w:lineRule="auto" w:before="22"/>
        <w:ind w:right="146"/>
        <w:jc w:val="both"/>
      </w:pPr>
      <w:r>
        <w:rPr>
          <w:spacing w:val="-2"/>
        </w:rPr>
        <w:t>的利率风险主要来源于银行短期借款、一年内到期的非流动负债以及长期借款。公司通过建立良好的银企</w:t>
      </w:r>
      <w:r>
        <w:rPr>
          <w:spacing w:val="-44"/>
        </w:rPr>
        <w:t> </w:t>
      </w:r>
      <w:r>
        <w:rPr>
          <w:spacing w:val="-44"/>
        </w:rPr>
      </w:r>
      <w:r>
        <w:rPr>
          <w:spacing w:val="-2"/>
        </w:rPr>
        <w:t>关系，对授信额度及授信期限进行合理的设计，保障银行授信额度充足，满足公司各类短期、长期融资需</w:t>
      </w:r>
      <w:r>
        <w:rPr>
          <w:spacing w:val="-50"/>
        </w:rPr>
        <w:t> </w:t>
      </w:r>
      <w:r>
        <w:rPr>
          <w:spacing w:val="-50"/>
        </w:rPr>
      </w:r>
      <w:r>
        <w:rPr/>
        <w:t>求。</w:t>
      </w:r>
    </w:p>
    <w:p>
      <w:pPr>
        <w:pStyle w:val="BodyText"/>
        <w:spacing w:line="256" w:lineRule="auto" w:before="7"/>
        <w:ind w:left="573" w:right="0"/>
        <w:jc w:val="left"/>
      </w:pPr>
      <w:r>
        <w:rPr/>
        <w:t>（</w:t>
      </w:r>
      <w:r>
        <w:rPr>
          <w:rFonts w:ascii="Times New Roman" w:hAnsi="Times New Roman" w:cs="Times New Roman" w:eastAsia="Times New Roman" w:hint="default"/>
        </w:rPr>
        <w:t>2</w:t>
      </w:r>
      <w:r>
        <w:rPr/>
        <w:t>）外汇风险</w:t>
      </w:r>
      <w:r>
        <w:rPr>
          <w:w w:val="100"/>
        </w:rPr>
        <w:t> </w:t>
      </w:r>
      <w:r>
        <w:rPr>
          <w:spacing w:val="-2"/>
        </w:rPr>
        <w:t>外汇风险，是指金融工具的公允价值或未来现金流量因外汇汇率变动而发生波动的风险。截至</w:t>
      </w:r>
      <w:r>
        <w:rPr>
          <w:rFonts w:ascii="Times New Roman" w:hAnsi="Times New Roman" w:cs="Times New Roman" w:eastAsia="Times New Roman" w:hint="default"/>
          <w:spacing w:val="-2"/>
        </w:rPr>
        <w:t>2015</w:t>
      </w:r>
      <w:r>
        <w:rPr>
          <w:spacing w:val="-2"/>
        </w:rPr>
        <w:t>年</w:t>
      </w:r>
    </w:p>
    <w:p>
      <w:pPr>
        <w:pStyle w:val="BodyText"/>
        <w:spacing w:line="240" w:lineRule="auto" w:before="5"/>
        <w:ind w:right="0"/>
        <w:jc w:val="both"/>
      </w:pP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日，本公司面临的汇率变动风险较小。</w:t>
      </w:r>
    </w:p>
    <w:p>
      <w:pPr>
        <w:pStyle w:val="BodyText"/>
        <w:spacing w:line="264" w:lineRule="auto" w:before="21"/>
        <w:ind w:left="573" w:right="5816"/>
        <w:jc w:val="left"/>
      </w:pPr>
      <w:r>
        <w:rPr/>
        <w:t>（</w:t>
      </w:r>
      <w:r>
        <w:rPr>
          <w:rFonts w:ascii="Times New Roman" w:hAnsi="Times New Roman" w:cs="Times New Roman" w:eastAsia="Times New Roman" w:hint="default"/>
        </w:rPr>
        <w:t>3</w:t>
      </w:r>
      <w:r>
        <w:rPr/>
        <w:t>）其他价格风险</w:t>
      </w:r>
      <w:r>
        <w:rPr>
          <w:w w:val="100"/>
        </w:rPr>
        <w:t> </w:t>
      </w:r>
      <w:r>
        <w:rPr>
          <w:spacing w:val="-2"/>
        </w:rPr>
        <w:t>本公司无其他价格风险。</w:t>
      </w:r>
      <w:r>
        <w:rPr>
          <w:spacing w:val="-82"/>
        </w:rPr>
        <w:t> </w:t>
      </w:r>
      <w:r>
        <w:rPr>
          <w:spacing w:val="-82"/>
        </w:rPr>
      </w: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t>流动性风险</w:t>
      </w:r>
    </w:p>
    <w:p>
      <w:pPr>
        <w:pStyle w:val="BodyText"/>
        <w:spacing w:line="266" w:lineRule="auto"/>
        <w:ind w:right="146" w:firstLine="420"/>
        <w:jc w:val="both"/>
      </w:pPr>
      <w:r>
        <w:rPr>
          <w:spacing w:val="-2"/>
        </w:rPr>
        <w:t>流动风险，是指企业在履行以交付现金或其他金融资产的方式结算的义务时发生资金短缺的风险。本</w:t>
      </w:r>
      <w:r>
        <w:rPr>
          <w:w w:val="100"/>
        </w:rPr>
        <w:t> </w:t>
      </w:r>
      <w:r>
        <w:rPr>
          <w:spacing w:val="-2"/>
        </w:rPr>
        <w:t>公司的政策是确保拥有充足的现金以偿还到期债务。流动性风险由本公司的财务部门集中控制。财务部门</w:t>
      </w:r>
      <w:r>
        <w:rPr>
          <w:spacing w:val="-43"/>
        </w:rPr>
        <w:t> </w:t>
      </w:r>
      <w:r>
        <w:rPr>
          <w:spacing w:val="-43"/>
        </w:rPr>
      </w:r>
      <w:r>
        <w:rPr>
          <w:spacing w:val="-2"/>
        </w:rPr>
        <w:t>通过监控现金余额、可随时变现的有价证券以及对未来</w:t>
      </w:r>
      <w:r>
        <w:rPr>
          <w:rFonts w:ascii="Times New Roman" w:hAnsi="Times New Roman" w:cs="Times New Roman" w:eastAsia="Times New Roman" w:hint="default"/>
          <w:spacing w:val="-2"/>
        </w:rPr>
        <w:t>12</w:t>
      </w:r>
      <w:r>
        <w:rPr>
          <w:spacing w:val="-2"/>
        </w:rPr>
        <w:t>个月现金流量的滚动预测，确保公司在所有合理</w:t>
      </w:r>
      <w:r>
        <w:rPr>
          <w:spacing w:val="-41"/>
        </w:rPr>
        <w:t> </w:t>
      </w:r>
      <w:r>
        <w:rPr>
          <w:spacing w:val="-41"/>
        </w:rPr>
      </w:r>
      <w:r>
        <w:rPr/>
        <w:t>预测的情况下拥有充足的资金偿还债务。</w:t>
      </w:r>
    </w:p>
    <w:p>
      <w:pPr>
        <w:spacing w:line="240" w:lineRule="auto" w:before="1"/>
        <w:rPr>
          <w:rFonts w:ascii="宋体" w:hAnsi="宋体" w:cs="宋体" w:eastAsia="宋体" w:hint="default"/>
          <w:sz w:val="22"/>
          <w:szCs w:val="22"/>
        </w:rPr>
      </w:pPr>
    </w:p>
    <w:p>
      <w:pPr>
        <w:tabs>
          <w:tab w:pos="8182" w:val="left" w:leader="none"/>
        </w:tabs>
        <w:spacing w:before="0"/>
        <w:ind w:left="152" w:right="0" w:firstLine="0"/>
        <w:jc w:val="both"/>
        <w:rPr>
          <w:rFonts w:ascii="宋体" w:hAnsi="宋体" w:cs="宋体" w:eastAsia="宋体" w:hint="default"/>
          <w:sz w:val="21"/>
          <w:szCs w:val="21"/>
        </w:rPr>
      </w:pPr>
      <w:r>
        <w:rPr>
          <w:rFonts w:ascii="宋体" w:hAnsi="宋体" w:cs="宋体" w:eastAsia="宋体" w:hint="default"/>
          <w:b/>
          <w:bCs/>
          <w:spacing w:val="-4"/>
          <w:w w:val="95"/>
          <w:sz w:val="24"/>
          <w:szCs w:val="24"/>
        </w:rPr>
        <w:t>十一、公允价值的披露</w:t>
        <w:tab/>
      </w: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不适用</w:t>
      </w:r>
    </w:p>
    <w:p>
      <w:pPr>
        <w:spacing w:line="240" w:lineRule="auto" w:before="1"/>
        <w:rPr>
          <w:rFonts w:ascii="宋体" w:hAnsi="宋体" w:cs="宋体" w:eastAsia="宋体" w:hint="default"/>
          <w:sz w:val="22"/>
          <w:szCs w:val="22"/>
        </w:rPr>
      </w:pPr>
    </w:p>
    <w:p>
      <w:pPr>
        <w:pStyle w:val="Heading2"/>
        <w:spacing w:line="240" w:lineRule="auto"/>
        <w:ind w:right="0"/>
        <w:jc w:val="both"/>
        <w:rPr>
          <w:b w:val="0"/>
          <w:bCs w:val="0"/>
        </w:rPr>
      </w:pPr>
      <w:r>
        <w:rPr/>
        <w:t>十二、关联方及关联交易</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both"/>
        <w:rPr>
          <w:b w:val="0"/>
          <w:bCs w:val="0"/>
        </w:rPr>
      </w:pPr>
      <w:r>
        <w:rPr>
          <w:rFonts w:ascii="Times New Roman" w:hAnsi="Times New Roman" w:cs="Times New Roman" w:eastAsia="Times New Roman" w:hint="default"/>
        </w:rPr>
        <w:t>1</w:t>
      </w:r>
      <w:r>
        <w:rPr/>
        <w:t>、本企业的母公司情况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552"/>
        <w:gridCol w:w="1560"/>
        <w:gridCol w:w="1133"/>
        <w:gridCol w:w="1133"/>
        <w:gridCol w:w="1594"/>
        <w:gridCol w:w="1596"/>
      </w:tblGrid>
      <w:tr>
        <w:trPr>
          <w:trHeight w:val="713"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746" w:right="0"/>
              <w:jc w:val="left"/>
              <w:rPr>
                <w:rFonts w:ascii="宋体" w:hAnsi="宋体" w:cs="宋体" w:eastAsia="宋体" w:hint="default"/>
                <w:sz w:val="21"/>
                <w:szCs w:val="21"/>
              </w:rPr>
            </w:pPr>
            <w:r>
              <w:rPr>
                <w:rFonts w:ascii="宋体" w:hAnsi="宋体" w:cs="宋体" w:eastAsia="宋体" w:hint="default"/>
                <w:sz w:val="21"/>
                <w:szCs w:val="21"/>
              </w:rPr>
              <w:t>母公司名称</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458"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141"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143"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266" w:right="51" w:hanging="209"/>
              <w:jc w:val="left"/>
              <w:rPr>
                <w:rFonts w:ascii="宋体" w:hAnsi="宋体" w:cs="宋体" w:eastAsia="宋体" w:hint="default"/>
                <w:sz w:val="21"/>
                <w:szCs w:val="21"/>
              </w:rPr>
            </w:pPr>
            <w:r>
              <w:rPr>
                <w:rFonts w:ascii="宋体" w:hAnsi="宋体" w:cs="宋体" w:eastAsia="宋体" w:hint="default"/>
                <w:sz w:val="21"/>
                <w:szCs w:val="21"/>
              </w:rPr>
              <w:t>母公司对本企业</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的持股比例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163" w:right="53" w:hanging="106"/>
              <w:jc w:val="left"/>
              <w:rPr>
                <w:rFonts w:ascii="宋体" w:hAnsi="宋体" w:cs="宋体" w:eastAsia="宋体" w:hint="default"/>
                <w:sz w:val="21"/>
                <w:szCs w:val="21"/>
              </w:rPr>
            </w:pPr>
            <w:r>
              <w:rPr>
                <w:rFonts w:ascii="宋体" w:hAnsi="宋体" w:cs="宋体" w:eastAsia="宋体" w:hint="default"/>
                <w:sz w:val="21"/>
                <w:szCs w:val="21"/>
              </w:rPr>
              <w:t>母公司对本企业</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的表决权比例</w:t>
            </w:r>
          </w:p>
        </w:tc>
      </w:tr>
      <w:tr>
        <w:trPr>
          <w:trHeight w:val="716"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202"/>
              <w:jc w:val="left"/>
              <w:rPr>
                <w:rFonts w:ascii="宋体" w:hAnsi="宋体" w:cs="宋体" w:eastAsia="宋体" w:hint="default"/>
                <w:sz w:val="21"/>
                <w:szCs w:val="21"/>
              </w:rPr>
            </w:pPr>
            <w:r>
              <w:rPr>
                <w:rFonts w:ascii="宋体" w:hAnsi="宋体" w:cs="宋体" w:eastAsia="宋体" w:hint="default"/>
                <w:spacing w:val="-2"/>
                <w:sz w:val="21"/>
                <w:szCs w:val="21"/>
              </w:rPr>
              <w:t>北京凤凰财智创新投资中</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心（有限合伙）</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43"/>
              <w:jc w:val="left"/>
              <w:rPr>
                <w:rFonts w:ascii="宋体" w:hAnsi="宋体" w:cs="宋体" w:eastAsia="宋体" w:hint="default"/>
                <w:sz w:val="21"/>
                <w:szCs w:val="21"/>
              </w:rPr>
            </w:pPr>
            <w:r>
              <w:rPr>
                <w:rFonts w:ascii="宋体" w:hAnsi="宋体" w:cs="宋体" w:eastAsia="宋体" w:hint="default"/>
                <w:sz w:val="21"/>
                <w:szCs w:val="21"/>
              </w:rPr>
              <w:t>投资管理、</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咨询</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6" w:right="0"/>
              <w:jc w:val="left"/>
              <w:rPr>
                <w:rFonts w:ascii="Times New Roman" w:hAnsi="Times New Roman" w:cs="Times New Roman" w:eastAsia="Times New Roman" w:hint="default"/>
                <w:sz w:val="21"/>
                <w:szCs w:val="21"/>
              </w:rPr>
            </w:pPr>
            <w:r>
              <w:rPr>
                <w:rFonts w:ascii="Times New Roman"/>
                <w:sz w:val="21"/>
              </w:rPr>
              <w:t>120,001.00</w:t>
            </w:r>
          </w:p>
          <w:p>
            <w:pPr>
              <w:pStyle w:val="TableParagraph"/>
              <w:spacing w:line="240" w:lineRule="auto" w:before="23"/>
              <w:ind w:left="26" w:right="0"/>
              <w:jc w:val="left"/>
              <w:rPr>
                <w:rFonts w:ascii="宋体" w:hAnsi="宋体" w:cs="宋体" w:eastAsia="宋体" w:hint="default"/>
                <w:sz w:val="21"/>
                <w:szCs w:val="21"/>
              </w:rPr>
            </w:pPr>
            <w:r>
              <w:rPr>
                <w:rFonts w:ascii="宋体" w:hAnsi="宋体" w:cs="宋体" w:eastAsia="宋体" w:hint="default"/>
                <w:sz w:val="21"/>
                <w:szCs w:val="21"/>
              </w:rPr>
              <w:t>万元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914" w:right="0"/>
              <w:jc w:val="left"/>
              <w:rPr>
                <w:rFonts w:ascii="Times New Roman" w:hAnsi="Times New Roman" w:cs="Times New Roman" w:eastAsia="Times New Roman" w:hint="default"/>
                <w:sz w:val="21"/>
                <w:szCs w:val="21"/>
              </w:rPr>
            </w:pPr>
            <w:r>
              <w:rPr>
                <w:rFonts w:ascii="Times New Roman"/>
                <w:sz w:val="21"/>
              </w:rPr>
              <w:t>29.83%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914" w:right="0"/>
              <w:jc w:val="left"/>
              <w:rPr>
                <w:rFonts w:ascii="Times New Roman" w:hAnsi="Times New Roman" w:cs="Times New Roman" w:eastAsia="Times New Roman" w:hint="default"/>
                <w:sz w:val="21"/>
                <w:szCs w:val="21"/>
              </w:rPr>
            </w:pPr>
            <w:r>
              <w:rPr>
                <w:rFonts w:ascii="Times New Roman"/>
                <w:sz w:val="21"/>
              </w:rPr>
              <w:t>29.83%</w:t>
            </w:r>
          </w:p>
        </w:tc>
      </w:tr>
    </w:tbl>
    <w:p>
      <w:pPr>
        <w:pStyle w:val="BodyText"/>
        <w:spacing w:line="240" w:lineRule="auto" w:before="28"/>
        <w:ind w:left="573" w:right="0"/>
        <w:jc w:val="left"/>
      </w:pPr>
      <w:r>
        <w:rPr/>
        <w:t>本企业最终控制方是杜力及其一致行动人张巍。</w:t>
      </w:r>
    </w:p>
    <w:p>
      <w:pPr>
        <w:spacing w:line="240" w:lineRule="auto" w:before="8"/>
        <w:rPr>
          <w:rFonts w:ascii="宋体" w:hAnsi="宋体" w:cs="宋体" w:eastAsia="宋体" w:hint="default"/>
          <w:sz w:val="25"/>
          <w:szCs w:val="25"/>
        </w:rPr>
      </w:pPr>
    </w:p>
    <w:p>
      <w:pPr>
        <w:spacing w:line="506" w:lineRule="auto" w:before="0"/>
        <w:ind w:left="573" w:right="2383"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100"/>
          <w:sz w:val="21"/>
          <w:szCs w:val="21"/>
        </w:rPr>
        <w:t> </w:t>
      </w:r>
      <w:r>
        <w:rPr>
          <w:rFonts w:ascii="宋体" w:hAnsi="宋体" w:cs="宋体" w:eastAsia="宋体" w:hint="default"/>
          <w:spacing w:val="-2"/>
          <w:sz w:val="21"/>
          <w:szCs w:val="21"/>
        </w:rPr>
        <w:t>本企业子公司的情况详见附注</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九、在其他主体中的权益</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w:t>
      </w:r>
    </w:p>
    <w:p>
      <w:pPr>
        <w:spacing w:after="0" w:line="506" w:lineRule="auto"/>
        <w:jc w:val="left"/>
        <w:rPr>
          <w:rFonts w:ascii="宋体" w:hAnsi="宋体" w:cs="宋体" w:eastAsia="宋体" w:hint="default"/>
          <w:sz w:val="21"/>
          <w:szCs w:val="21"/>
        </w:rPr>
        <w:sectPr>
          <w:pgSz w:w="11910" w:h="16840"/>
          <w:pgMar w:header="0" w:footer="979" w:top="1100" w:bottom="1160" w:left="980" w:right="980"/>
        </w:sectPr>
      </w:pPr>
    </w:p>
    <w:p>
      <w:pPr>
        <w:spacing w:line="240" w:lineRule="auto" w:before="11"/>
        <w:rPr>
          <w:rFonts w:ascii="宋体" w:hAnsi="宋体" w:cs="宋体" w:eastAsia="宋体" w:hint="default"/>
          <w:sz w:val="20"/>
          <w:szCs w:val="20"/>
        </w:rPr>
      </w:pPr>
    </w:p>
    <w:p>
      <w:pPr>
        <w:pStyle w:val="Heading4"/>
        <w:spacing w:line="240" w:lineRule="auto" w:before="36"/>
        <w:ind w:right="0"/>
        <w:jc w:val="left"/>
        <w:rPr>
          <w:b w:val="0"/>
          <w:bCs w:val="0"/>
        </w:rPr>
      </w:pPr>
      <w:r>
        <w:rPr>
          <w:rFonts w:ascii="Times New Roman" w:hAnsi="Times New Roman" w:cs="Times New Roman" w:eastAsia="Times New Roman" w:hint="default"/>
        </w:rPr>
        <w:t>3</w:t>
      </w:r>
      <w:r>
        <w:rPr/>
        <w:t>、本企业无合营和联营企业。</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4</w:t>
      </w:r>
      <w:r>
        <w:rPr/>
        <w:t>、其他关联方情况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33" w:right="0"/>
              <w:jc w:val="left"/>
              <w:rPr>
                <w:rFonts w:ascii="宋体" w:hAnsi="宋体" w:cs="宋体" w:eastAsia="宋体" w:hint="default"/>
                <w:sz w:val="21"/>
                <w:szCs w:val="21"/>
              </w:rPr>
            </w:pPr>
            <w:r>
              <w:rPr>
                <w:rFonts w:ascii="宋体" w:hAnsi="宋体" w:cs="宋体" w:eastAsia="宋体" w:hint="default"/>
                <w:sz w:val="21"/>
                <w:szCs w:val="21"/>
              </w:rPr>
              <w:t>其他关联方与本企业关系</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杜力</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张巍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副董事长、总经理</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谢基柱</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董事、副总经理</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赵岑</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董事、董事会秘书、财务总监</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罗嘉俊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sz w:val="21"/>
                <w:szCs w:val="21"/>
              </w:rPr>
              <w:t>李英明</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3"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张李平</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独立董事</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周春生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独立董事</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徐强国</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独立董事</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何国英</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监事会主席</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刘琛</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监事</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叶强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监事</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刘世明</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副总经理</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罗桥胜</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股东，报告期末持股</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9.80%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卢锡球</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董监高，报告期内已辞任</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冯倩红</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董监高，报告期内已辞任</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黄喜强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董监高，报告期内已辞任</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吴东昕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董监高，报告期内已辞任</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孙颖楷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董监高，报告期内已辞任</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韩振平</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董监高，报告期内已辞任</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卢惠全</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董监高，报告期内已辞任</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陈春霖</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董监高，报告期内已辞任</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sz w:val="21"/>
                <w:szCs w:val="21"/>
              </w:rPr>
              <w:t>江西达顺投资有限公司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3" w:right="0"/>
              <w:jc w:val="left"/>
              <w:rPr>
                <w:rFonts w:ascii="宋体" w:hAnsi="宋体" w:cs="宋体" w:eastAsia="宋体" w:hint="default"/>
                <w:sz w:val="21"/>
                <w:szCs w:val="21"/>
              </w:rPr>
            </w:pPr>
            <w:r>
              <w:rPr>
                <w:rFonts w:ascii="宋体" w:hAnsi="宋体" w:cs="宋体" w:eastAsia="宋体" w:hint="default"/>
                <w:sz w:val="21"/>
                <w:szCs w:val="21"/>
              </w:rPr>
              <w:t>股东，报告期末不再持股</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佛山市顺德区远茂化工实业有限公司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股东，报告期末不再持股</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华声（香港）有限公司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股东，报告期末不再持股</w:t>
            </w:r>
          </w:p>
        </w:tc>
      </w:tr>
    </w:tbl>
    <w:p>
      <w:pPr>
        <w:spacing w:after="0" w:line="240" w:lineRule="auto"/>
        <w:jc w:val="left"/>
        <w:rPr>
          <w:rFonts w:ascii="宋体" w:hAnsi="宋体" w:cs="宋体" w:eastAsia="宋体" w:hint="default"/>
          <w:sz w:val="21"/>
          <w:szCs w:val="21"/>
        </w:rPr>
        <w:sectPr>
          <w:pgSz w:w="11910" w:h="16840"/>
          <w:pgMar w:header="0" w:footer="979" w:top="1100" w:bottom="1160" w:left="980" w:right="980"/>
        </w:sectPr>
      </w:pPr>
    </w:p>
    <w:p>
      <w:pPr>
        <w:spacing w:line="240" w:lineRule="auto" w:before="11"/>
        <w:rPr>
          <w:rFonts w:ascii="宋体" w:hAnsi="宋体" w:cs="宋体" w:eastAsia="宋体" w:hint="default"/>
          <w:b/>
          <w:bCs/>
          <w:sz w:val="20"/>
          <w:szCs w:val="20"/>
        </w:rPr>
      </w:pPr>
    </w:p>
    <w:p>
      <w:pPr>
        <w:pStyle w:val="Heading4"/>
        <w:spacing w:line="240" w:lineRule="auto" w:before="36"/>
        <w:ind w:right="0"/>
        <w:jc w:val="left"/>
        <w:rPr>
          <w:b w:val="0"/>
          <w:bCs w:val="0"/>
        </w:rPr>
      </w:pP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）存在控制关系且已纳入本公司合并报表范围的子公司，其相互间交易及母子公司交易已作抵销。</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）本期无购销商品、提供和接受劳务的关联交易。</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）本期无关联受托管理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）本期无关联租赁情况。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5</w:t>
      </w:r>
      <w:r>
        <w:rPr/>
        <w:t>）本期无关联担保情况。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6</w:t>
      </w:r>
      <w:r>
        <w:rPr/>
        <w:t>）本期无关联方资金拆借。</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7</w:t>
      </w:r>
      <w:r>
        <w:rPr/>
        <w:t>）本期无关联方资产转让、债务重组情况。</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8</w:t>
      </w:r>
      <w:r>
        <w:rPr/>
        <w:t>）关键管理人员报酬</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left="0" w:right="240"/>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关键管理人员薪酬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057" w:right="0"/>
              <w:jc w:val="left"/>
              <w:rPr>
                <w:rFonts w:ascii="Times New Roman" w:hAnsi="Times New Roman" w:cs="Times New Roman" w:eastAsia="Times New Roman" w:hint="default"/>
                <w:sz w:val="21"/>
                <w:szCs w:val="21"/>
              </w:rPr>
            </w:pPr>
            <w:r>
              <w:rPr>
                <w:rFonts w:ascii="Times New Roman"/>
                <w:sz w:val="21"/>
              </w:rPr>
              <w:t>1,256,061.89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057" w:right="0"/>
              <w:jc w:val="left"/>
              <w:rPr>
                <w:rFonts w:ascii="Times New Roman" w:hAnsi="Times New Roman" w:cs="Times New Roman" w:eastAsia="Times New Roman" w:hint="default"/>
                <w:sz w:val="21"/>
                <w:szCs w:val="21"/>
              </w:rPr>
            </w:pPr>
            <w:r>
              <w:rPr>
                <w:rFonts w:ascii="Times New Roman"/>
                <w:sz w:val="21"/>
              </w:rPr>
              <w:t>1,482,962.42</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6</w:t>
      </w:r>
      <w:r>
        <w:rPr/>
        <w:t>、本期无应收应付关联方款项。</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7</w:t>
      </w:r>
      <w:r>
        <w:rPr/>
        <w:t>、本期无关联方承诺。</w:t>
      </w:r>
      <w:r>
        <w:rPr>
          <w:b w:val="0"/>
          <w:bCs w:val="0"/>
        </w:rPr>
      </w:r>
    </w:p>
    <w:p>
      <w:pPr>
        <w:spacing w:line="240" w:lineRule="auto" w:before="10"/>
        <w:rPr>
          <w:rFonts w:ascii="宋体" w:hAnsi="宋体" w:cs="宋体" w:eastAsia="宋体" w:hint="default"/>
          <w:b/>
          <w:bCs/>
          <w:sz w:val="22"/>
          <w:szCs w:val="22"/>
        </w:rPr>
      </w:pPr>
    </w:p>
    <w:p>
      <w:pPr>
        <w:pStyle w:val="Heading2"/>
        <w:spacing w:line="240" w:lineRule="auto"/>
        <w:ind w:right="0"/>
        <w:jc w:val="left"/>
        <w:rPr>
          <w:b w:val="0"/>
          <w:bCs w:val="0"/>
        </w:rPr>
      </w:pPr>
      <w:r>
        <w:rPr/>
        <w:t>十三、股份支付</w:t>
      </w:r>
      <w:r>
        <w:rPr>
          <w:b w:val="0"/>
          <w:bCs w:val="0"/>
        </w:rPr>
      </w:r>
    </w:p>
    <w:p>
      <w:pPr>
        <w:spacing w:line="240" w:lineRule="auto" w:before="9"/>
        <w:rPr>
          <w:rFonts w:ascii="宋体" w:hAnsi="宋体" w:cs="宋体" w:eastAsia="宋体" w:hint="default"/>
          <w:b/>
          <w:bCs/>
          <w:sz w:val="24"/>
          <w:szCs w:val="24"/>
        </w:rPr>
      </w:pPr>
    </w:p>
    <w:p>
      <w:pPr>
        <w:pStyle w:val="BodyText"/>
        <w:spacing w:line="240" w:lineRule="auto"/>
        <w:ind w:left="573" w:right="0"/>
        <w:jc w:val="left"/>
      </w:pPr>
      <w:r>
        <w:rPr/>
        <w:t>截至</w:t>
      </w:r>
      <w:r>
        <w:rPr>
          <w:spacing w:val="-53"/>
        </w:rPr>
        <w:t> </w:t>
      </w:r>
      <w:r>
        <w:rPr>
          <w:rFonts w:ascii="Times New Roman" w:hAnsi="Times New Roman" w:cs="Times New Roman" w:eastAsia="Times New Roman" w:hint="default"/>
        </w:rPr>
        <w:t>2015</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31 </w:t>
      </w:r>
      <w:r>
        <w:rPr/>
        <w:t>日，本公司无需要披露的股份支付事项。</w:t>
      </w:r>
    </w:p>
    <w:p>
      <w:pPr>
        <w:spacing w:line="240" w:lineRule="auto" w:before="8"/>
        <w:rPr>
          <w:rFonts w:ascii="宋体" w:hAnsi="宋体" w:cs="宋体" w:eastAsia="宋体" w:hint="default"/>
          <w:sz w:val="22"/>
          <w:szCs w:val="22"/>
        </w:rPr>
      </w:pPr>
    </w:p>
    <w:p>
      <w:pPr>
        <w:pStyle w:val="Heading2"/>
        <w:spacing w:line="240" w:lineRule="auto"/>
        <w:ind w:right="0"/>
        <w:jc w:val="left"/>
        <w:rPr>
          <w:b w:val="0"/>
          <w:bCs w:val="0"/>
        </w:rPr>
      </w:pPr>
      <w:r>
        <w:rPr/>
        <w:t>十四、承诺及或有事项</w:t>
      </w:r>
      <w:r>
        <w:rPr>
          <w:b w:val="0"/>
          <w:bCs w:val="0"/>
        </w:rPr>
      </w:r>
    </w:p>
    <w:p>
      <w:pPr>
        <w:spacing w:line="240" w:lineRule="auto" w:before="13"/>
        <w:rPr>
          <w:rFonts w:ascii="宋体" w:hAnsi="宋体" w:cs="宋体" w:eastAsia="宋体" w:hint="default"/>
          <w:b/>
          <w:bCs/>
          <w:sz w:val="32"/>
          <w:szCs w:val="32"/>
        </w:rPr>
      </w:pPr>
    </w:p>
    <w:p>
      <w:pPr>
        <w:spacing w:line="480" w:lineRule="auto" w:before="0"/>
        <w:ind w:left="152" w:right="3023" w:firstLine="420"/>
        <w:jc w:val="left"/>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日，本公司无需要披露的承诺及或有事项。</w:t>
      </w:r>
      <w:r>
        <w:rPr>
          <w:rFonts w:ascii="宋体" w:hAnsi="宋体" w:cs="宋体" w:eastAsia="宋体" w:hint="default"/>
          <w:w w:val="100"/>
          <w:sz w:val="21"/>
          <w:szCs w:val="21"/>
        </w:rPr>
        <w:t> </w:t>
      </w:r>
      <w:r>
        <w:rPr>
          <w:rFonts w:ascii="宋体" w:hAnsi="宋体" w:cs="宋体" w:eastAsia="宋体" w:hint="default"/>
          <w:b/>
          <w:bCs/>
          <w:sz w:val="24"/>
          <w:szCs w:val="24"/>
        </w:rPr>
        <w:t>十五、资产负债表日后事项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、资产负债表日后无重要的非调整事项。</w:t>
      </w:r>
      <w:r>
        <w:rPr>
          <w:rFonts w:ascii="宋体" w:hAnsi="宋体" w:cs="宋体" w:eastAsia="宋体" w:hint="default"/>
          <w:sz w:val="21"/>
          <w:szCs w:val="21"/>
        </w:rPr>
      </w:r>
    </w:p>
    <w:p>
      <w:pPr>
        <w:pStyle w:val="Heading4"/>
        <w:spacing w:line="240" w:lineRule="auto" w:before="91"/>
        <w:ind w:right="0"/>
        <w:jc w:val="left"/>
        <w:rPr>
          <w:b w:val="0"/>
          <w:bCs w:val="0"/>
        </w:rPr>
      </w:pPr>
      <w:r>
        <w:rPr>
          <w:rFonts w:ascii="Times New Roman" w:hAnsi="Times New Roman" w:cs="Times New Roman" w:eastAsia="Times New Roman" w:hint="default"/>
        </w:rPr>
        <w:t>2</w:t>
      </w:r>
      <w:r>
        <w:rPr/>
        <w:t>、利润分配情况</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36"/>
        <w:ind w:left="0" w:right="240"/>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4983"/>
        <w:gridCol w:w="4587"/>
      </w:tblGrid>
      <w:tr>
        <w:trPr>
          <w:trHeight w:val="401"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拟分配的利润或股利</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0.00</w:t>
            </w:r>
          </w:p>
        </w:tc>
      </w:tr>
      <w:tr>
        <w:trPr>
          <w:trHeight w:val="403"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经审议批准宣告发放的利润或股利</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0.00</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979" w:top="1100" w:bottom="1160" w:left="980" w:right="980"/>
        </w:sectPr>
      </w:pPr>
    </w:p>
    <w:p>
      <w:pPr>
        <w:spacing w:line="240" w:lineRule="auto" w:before="11"/>
        <w:rPr>
          <w:rFonts w:ascii="宋体" w:hAnsi="宋体" w:cs="宋体" w:eastAsia="宋体" w:hint="default"/>
          <w:sz w:val="20"/>
          <w:szCs w:val="20"/>
        </w:rPr>
      </w:pPr>
    </w:p>
    <w:p>
      <w:pPr>
        <w:pStyle w:val="Heading4"/>
        <w:spacing w:line="240" w:lineRule="auto" w:before="36"/>
        <w:ind w:right="0"/>
        <w:jc w:val="left"/>
        <w:rPr>
          <w:b w:val="0"/>
          <w:bCs w:val="0"/>
        </w:rPr>
      </w:pPr>
      <w:r>
        <w:rPr>
          <w:rFonts w:ascii="Times New Roman" w:hAnsi="Times New Roman" w:cs="Times New Roman" w:eastAsia="Times New Roman" w:hint="default"/>
        </w:rPr>
        <w:t>3</w:t>
      </w:r>
      <w:r>
        <w:rPr/>
        <w:t>、资产负债表日后无重大销售退回情况。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4</w:t>
      </w:r>
      <w:r>
        <w:rPr/>
        <w:t>、其他资产负债表日后事项说明</w:t>
      </w:r>
      <w:r>
        <w:rPr>
          <w:b w:val="0"/>
          <w:bCs w:val="0"/>
        </w:rPr>
      </w:r>
    </w:p>
    <w:p>
      <w:pPr>
        <w:spacing w:line="240" w:lineRule="auto" w:before="7"/>
        <w:rPr>
          <w:rFonts w:ascii="宋体" w:hAnsi="宋体" w:cs="宋体" w:eastAsia="宋体" w:hint="default"/>
          <w:b/>
          <w:bCs/>
          <w:sz w:val="24"/>
          <w:szCs w:val="24"/>
        </w:rPr>
      </w:pPr>
    </w:p>
    <w:p>
      <w:pPr>
        <w:pStyle w:val="BodyText"/>
        <w:spacing w:line="256" w:lineRule="auto"/>
        <w:ind w:right="160" w:firstLine="420"/>
        <w:jc w:val="both"/>
      </w:pPr>
      <w:r>
        <w:rPr>
          <w:spacing w:val="-2"/>
        </w:rPr>
        <w:t>（</w:t>
      </w:r>
      <w:r>
        <w:rPr>
          <w:rFonts w:ascii="宋体" w:hAnsi="宋体" w:cs="宋体" w:eastAsia="宋体" w:hint="default"/>
          <w:spacing w:val="-2"/>
        </w:rPr>
        <w:t>1</w:t>
      </w:r>
      <w:r>
        <w:rPr>
          <w:spacing w:val="-2"/>
        </w:rPr>
        <w:t>）报告期内，公司筹划以发行股份及支付现金方式购买国盛证券有限责任公司</w:t>
      </w:r>
      <w:r>
        <w:rPr>
          <w:rFonts w:ascii="Times New Roman" w:hAnsi="Times New Roman" w:cs="Times New Roman" w:eastAsia="Times New Roman" w:hint="default"/>
          <w:spacing w:val="-2"/>
        </w:rPr>
        <w:t>100%</w:t>
      </w:r>
      <w:r>
        <w:rPr>
          <w:spacing w:val="-2"/>
        </w:rPr>
        <w:t>股权并募集配</w:t>
      </w:r>
      <w:r>
        <w:rPr>
          <w:w w:val="100"/>
        </w:rPr>
        <w:t> </w:t>
      </w:r>
      <w:r>
        <w:rPr>
          <w:spacing w:val="-2"/>
        </w:rPr>
        <w:t>套资金事项；</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4</w:t>
      </w:r>
      <w:r>
        <w:rPr>
          <w:spacing w:val="-2"/>
        </w:rPr>
        <w:t>月</w:t>
      </w:r>
      <w:r>
        <w:rPr>
          <w:rFonts w:ascii="宋体" w:hAnsi="宋体" w:cs="宋体" w:eastAsia="宋体" w:hint="default"/>
          <w:spacing w:val="-2"/>
        </w:rPr>
        <w:t>5</w:t>
      </w:r>
      <w:r>
        <w:rPr>
          <w:spacing w:val="-2"/>
        </w:rPr>
        <w:t>日，公司收到中国证监会核准批文；</w:t>
      </w:r>
      <w:r>
        <w:rPr>
          <w:rFonts w:ascii="宋体" w:hAnsi="宋体" w:cs="宋体" w:eastAsia="宋体" w:hint="default"/>
          <w:spacing w:val="-2"/>
        </w:rPr>
        <w:t>4</w:t>
      </w:r>
      <w:r>
        <w:rPr>
          <w:spacing w:val="-2"/>
        </w:rPr>
        <w:t>月</w:t>
      </w:r>
      <w:r>
        <w:rPr>
          <w:rFonts w:ascii="宋体" w:hAnsi="宋体" w:cs="宋体" w:eastAsia="宋体" w:hint="default"/>
          <w:spacing w:val="-2"/>
        </w:rPr>
        <w:t>12</w:t>
      </w:r>
      <w:r>
        <w:rPr>
          <w:spacing w:val="-2"/>
        </w:rPr>
        <w:t>日，公司购买国盛证券</w:t>
      </w:r>
      <w:r>
        <w:rPr>
          <w:rFonts w:ascii="宋体" w:hAnsi="宋体" w:cs="宋体" w:eastAsia="宋体" w:hint="default"/>
          <w:spacing w:val="-2"/>
        </w:rPr>
        <w:t>100%</w:t>
      </w:r>
      <w:r>
        <w:rPr>
          <w:spacing w:val="-2"/>
        </w:rPr>
        <w:t>股权的工</w:t>
      </w:r>
      <w:r>
        <w:rPr>
          <w:spacing w:val="-12"/>
        </w:rPr>
        <w:t> </w:t>
      </w:r>
      <w:r>
        <w:rPr>
          <w:spacing w:val="-12"/>
        </w:rPr>
      </w:r>
      <w:r>
        <w:rPr/>
        <w:t>商变更完成。</w:t>
      </w:r>
    </w:p>
    <w:p>
      <w:pPr>
        <w:pStyle w:val="BodyText"/>
        <w:spacing w:line="240" w:lineRule="auto" w:before="22"/>
        <w:ind w:left="573" w:right="0"/>
        <w:jc w:val="left"/>
      </w:pPr>
      <w:r>
        <w:rPr/>
        <w:t>（</w:t>
      </w:r>
      <w:r>
        <w:rPr>
          <w:rFonts w:ascii="宋体" w:hAnsi="宋体" w:cs="宋体" w:eastAsia="宋体" w:hint="default"/>
        </w:rPr>
        <w:t>2</w:t>
      </w:r>
      <w:r>
        <w:rPr/>
        <w:t>）</w:t>
      </w:r>
      <w:r>
        <w:rPr>
          <w:rFonts w:ascii="宋体" w:hAnsi="宋体" w:cs="宋体" w:eastAsia="宋体" w:hint="default"/>
        </w:rPr>
        <w:t>2016</w:t>
      </w:r>
      <w:r>
        <w:rPr/>
        <w:t>年</w:t>
      </w:r>
      <w:r>
        <w:rPr>
          <w:rFonts w:ascii="宋体" w:hAnsi="宋体" w:cs="宋体" w:eastAsia="宋体" w:hint="default"/>
        </w:rPr>
        <w:t>4</w:t>
      </w:r>
      <w:r>
        <w:rPr/>
        <w:t>月</w:t>
      </w:r>
      <w:r>
        <w:rPr>
          <w:rFonts w:ascii="宋体" w:hAnsi="宋体" w:cs="宋体" w:eastAsia="宋体" w:hint="default"/>
        </w:rPr>
        <w:t>20</w:t>
      </w:r>
      <w:r>
        <w:rPr/>
        <w:t>日，公司已完成对</w:t>
      </w:r>
      <w:r>
        <w:rPr>
          <w:rFonts w:ascii="宋体" w:hAnsi="宋体" w:cs="宋体" w:eastAsia="宋体" w:hint="default"/>
        </w:rPr>
        <w:t>Wa Sung Investment</w:t>
      </w:r>
      <w:r>
        <w:rPr>
          <w:rFonts w:ascii="宋体" w:hAnsi="宋体" w:cs="宋体" w:eastAsia="宋体" w:hint="default"/>
          <w:spacing w:val="-10"/>
        </w:rPr>
        <w:t> </w:t>
      </w:r>
      <w:r>
        <w:rPr>
          <w:rFonts w:ascii="宋体" w:hAnsi="宋体" w:cs="宋体" w:eastAsia="宋体" w:hint="default"/>
        </w:rPr>
        <w:t>Limited</w:t>
      </w:r>
      <w:r>
        <w:rPr/>
        <w:t>的实际出资，出资额港币</w:t>
      </w:r>
      <w:r>
        <w:rPr>
          <w:rFonts w:ascii="宋体" w:hAnsi="宋体" w:cs="宋体" w:eastAsia="宋体" w:hint="default"/>
        </w:rPr>
        <w:t>1</w:t>
      </w:r>
      <w:r>
        <w:rPr/>
        <w:t>元。</w:t>
      </w:r>
    </w:p>
    <w:p>
      <w:pPr>
        <w:pStyle w:val="BodyText"/>
        <w:spacing w:line="273" w:lineRule="auto" w:before="37"/>
        <w:ind w:right="146" w:firstLine="420"/>
        <w:jc w:val="both"/>
      </w:pPr>
      <w:r>
        <w:rPr>
          <w:spacing w:val="-2"/>
        </w:rPr>
        <w:t>（</w:t>
      </w:r>
      <w:r>
        <w:rPr>
          <w:rFonts w:ascii="宋体" w:hAnsi="宋体" w:cs="宋体" w:eastAsia="宋体" w:hint="default"/>
          <w:spacing w:val="-2"/>
        </w:rPr>
        <w:t>3</w:t>
      </w:r>
      <w:r>
        <w:rPr>
          <w:spacing w:val="-2"/>
        </w:rPr>
        <w:t>）根据公司于</w:t>
      </w:r>
      <w:r>
        <w:rPr>
          <w:rFonts w:ascii="宋体" w:hAnsi="宋体" w:cs="宋体" w:eastAsia="宋体" w:hint="default"/>
          <w:spacing w:val="-2"/>
        </w:rPr>
        <w:t>2016</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21</w:t>
      </w:r>
      <w:r>
        <w:rPr>
          <w:spacing w:val="-2"/>
        </w:rPr>
        <w:t>日召开的第二届董事会第二十次会议决议，鉴于公司目前处于战略转型</w:t>
      </w:r>
      <w:r>
        <w:rPr>
          <w:w w:val="100"/>
        </w:rPr>
        <w:t> </w:t>
      </w:r>
      <w:r>
        <w:rPr>
          <w:spacing w:val="-2"/>
        </w:rPr>
        <w:t>阶段，为满足经营资金需求，保证公司经营稳定及持续发展，</w:t>
      </w:r>
      <w:r>
        <w:rPr>
          <w:rFonts w:ascii="宋体" w:hAnsi="宋体" w:cs="宋体" w:eastAsia="宋体" w:hint="default"/>
          <w:spacing w:val="-2"/>
        </w:rPr>
        <w:t>2015</w:t>
      </w:r>
      <w:r>
        <w:rPr>
          <w:spacing w:val="-2"/>
        </w:rPr>
        <w:t>年度不派发现金红利、不送红股，不以</w:t>
      </w:r>
      <w:r>
        <w:rPr>
          <w:spacing w:val="-38"/>
        </w:rPr>
        <w:t> </w:t>
      </w:r>
      <w:r>
        <w:rPr>
          <w:spacing w:val="-38"/>
        </w:rPr>
      </w:r>
      <w:r>
        <w:rPr/>
        <w:t>公积金转增股本。公司未分配利润将用于补充营运资金以及项目投资。</w:t>
      </w:r>
    </w:p>
    <w:p>
      <w:pPr>
        <w:spacing w:line="240" w:lineRule="auto" w:before="8"/>
        <w:rPr>
          <w:rFonts w:ascii="宋体" w:hAnsi="宋体" w:cs="宋体" w:eastAsia="宋体" w:hint="default"/>
          <w:sz w:val="21"/>
          <w:szCs w:val="21"/>
        </w:rPr>
      </w:pPr>
    </w:p>
    <w:p>
      <w:pPr>
        <w:pStyle w:val="Heading2"/>
        <w:spacing w:line="240" w:lineRule="auto"/>
        <w:ind w:right="0"/>
        <w:jc w:val="left"/>
        <w:rPr>
          <w:b w:val="0"/>
          <w:bCs w:val="0"/>
        </w:rPr>
      </w:pPr>
      <w:r>
        <w:rPr/>
        <w:t>十六、其他重要事项</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、前期会计差错更正</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）本报告期未发生采用追溯重述法的前期会计差错更正事项。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）本报告期未发生采用未来适用法的前期会计差错更正事项。</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2</w:t>
      </w:r>
      <w:r>
        <w:rPr/>
        <w:t>、本报告期未发生债务重组。</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3</w:t>
      </w:r>
      <w:r>
        <w:rPr/>
        <w:t>、本报告期未发生资产置换。</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4</w:t>
      </w:r>
      <w:r>
        <w:rPr/>
        <w:t>、本报告期未发生年金计划。</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5</w:t>
      </w:r>
      <w:r>
        <w:rPr/>
        <w:t>、本报告期无终止经营事项。</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6</w:t>
      </w:r>
      <w:r>
        <w:rPr/>
        <w:t>、分部信息</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）公司无报告分别。</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）其他说明</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left="573" w:right="0"/>
        <w:jc w:val="left"/>
      </w:pPr>
      <w:r>
        <w:rPr>
          <w:rFonts w:ascii="Times New Roman" w:hAnsi="Times New Roman" w:cs="Times New Roman" w:eastAsia="Times New Roman" w:hint="default"/>
        </w:rPr>
        <w:t>1</w:t>
      </w:r>
      <w:r>
        <w:rPr/>
        <w:t>）主营业务（分产品）</w:t>
      </w:r>
    </w:p>
    <w:p>
      <w:pPr>
        <w:spacing w:line="240" w:lineRule="auto" w:before="8"/>
        <w:rPr>
          <w:rFonts w:ascii="宋体" w:hAnsi="宋体" w:cs="宋体" w:eastAsia="宋体" w:hint="default"/>
          <w:sz w:val="2"/>
          <w:szCs w:val="2"/>
        </w:rPr>
      </w:pPr>
    </w:p>
    <w:tbl>
      <w:tblPr>
        <w:tblW w:w="0" w:type="auto"/>
        <w:jc w:val="left"/>
        <w:tblInd w:w="160" w:type="dxa"/>
        <w:tblLayout w:type="fixed"/>
        <w:tblCellMar>
          <w:top w:w="0" w:type="dxa"/>
          <w:left w:w="0" w:type="dxa"/>
          <w:bottom w:w="0" w:type="dxa"/>
          <w:right w:w="0" w:type="dxa"/>
        </w:tblCellMar>
        <w:tblLook w:val="01E0"/>
      </w:tblPr>
      <w:tblGrid>
        <w:gridCol w:w="2387"/>
        <w:gridCol w:w="1802"/>
        <w:gridCol w:w="1791"/>
        <w:gridCol w:w="1791"/>
        <w:gridCol w:w="1790"/>
      </w:tblGrid>
      <w:tr>
        <w:trPr>
          <w:trHeight w:val="166" w:hRule="exact"/>
        </w:trPr>
        <w:tc>
          <w:tcPr>
            <w:tcW w:w="2387" w:type="dxa"/>
            <w:tcBorders>
              <w:top w:val="single" w:sz="4" w:space="0" w:color="000000"/>
              <w:left w:val="single" w:sz="4" w:space="0" w:color="000000"/>
              <w:bottom w:val="nil" w:sz="6" w:space="0" w:color="auto"/>
              <w:right w:val="single" w:sz="4" w:space="0" w:color="000000"/>
            </w:tcBorders>
            <w:shd w:val="clear" w:color="auto" w:fill="D2D2D2"/>
          </w:tcPr>
          <w:p>
            <w:pPr/>
          </w:p>
        </w:tc>
        <w:tc>
          <w:tcPr>
            <w:tcW w:w="359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13"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58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33" w:hRule="exact"/>
        </w:trPr>
        <w:tc>
          <w:tcPr>
            <w:tcW w:w="238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768" w:right="0"/>
              <w:jc w:val="left"/>
              <w:rPr>
                <w:rFonts w:ascii="宋体" w:hAnsi="宋体" w:cs="宋体" w:eastAsia="宋体" w:hint="default"/>
                <w:sz w:val="21"/>
                <w:szCs w:val="21"/>
              </w:rPr>
            </w:pPr>
            <w:r>
              <w:rPr>
                <w:rFonts w:ascii="宋体" w:hAnsi="宋体" w:cs="宋体" w:eastAsia="宋体" w:hint="default"/>
                <w:sz w:val="21"/>
                <w:szCs w:val="21"/>
              </w:rPr>
              <w:t>产品名称</w:t>
            </w:r>
          </w:p>
        </w:tc>
        <w:tc>
          <w:tcPr>
            <w:tcW w:w="3593" w:type="dxa"/>
            <w:gridSpan w:val="2"/>
            <w:vMerge/>
            <w:tcBorders>
              <w:left w:val="single" w:sz="4" w:space="0" w:color="000000"/>
              <w:bottom w:val="single" w:sz="4" w:space="0" w:color="000000"/>
              <w:right w:val="single" w:sz="4" w:space="0" w:color="000000"/>
            </w:tcBorders>
            <w:shd w:val="clear" w:color="auto" w:fill="D2D2D2"/>
          </w:tcPr>
          <w:p>
            <w:pPr/>
          </w:p>
        </w:tc>
        <w:tc>
          <w:tcPr>
            <w:tcW w:w="3581" w:type="dxa"/>
            <w:gridSpan w:val="2"/>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387" w:type="dxa"/>
            <w:vMerge/>
            <w:tcBorders>
              <w:left w:val="single" w:sz="4" w:space="0" w:color="000000"/>
              <w:bottom w:val="nil" w:sz="6" w:space="0" w:color="auto"/>
              <w:right w:val="single" w:sz="4" w:space="0" w:color="000000"/>
            </w:tcBorders>
            <w:shd w:val="clear" w:color="auto" w:fill="D2D2D2"/>
          </w:tcPr>
          <w:p>
            <w:pPr/>
          </w:p>
        </w:tc>
        <w:tc>
          <w:tcPr>
            <w:tcW w:w="1802" w:type="dxa"/>
            <w:vMerge w:val="restart"/>
            <w:tcBorders>
              <w:top w:val="single" w:sz="4" w:space="0" w:color="000000"/>
              <w:left w:val="single" w:sz="4" w:space="0" w:color="000000"/>
              <w:right w:val="single" w:sz="4" w:space="0" w:color="000000"/>
            </w:tcBorders>
            <w:shd w:val="clear" w:color="auto" w:fill="D2D2D2"/>
          </w:tcPr>
          <w:p>
            <w:pPr>
              <w:pStyle w:val="TableParagraph"/>
              <w:spacing w:line="267" w:lineRule="exact"/>
              <w:ind w:left="48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91" w:type="dxa"/>
            <w:vMerge w:val="restart"/>
            <w:tcBorders>
              <w:top w:val="single" w:sz="4" w:space="0" w:color="000000"/>
              <w:left w:val="single" w:sz="4" w:space="0" w:color="000000"/>
              <w:right w:val="single" w:sz="4" w:space="0" w:color="000000"/>
            </w:tcBorders>
            <w:shd w:val="clear" w:color="auto" w:fill="D2D2D2"/>
          </w:tcPr>
          <w:p>
            <w:pPr>
              <w:pStyle w:val="TableParagraph"/>
              <w:spacing w:line="267" w:lineRule="exact"/>
              <w:ind w:left="470"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791" w:type="dxa"/>
            <w:vMerge w:val="restart"/>
            <w:tcBorders>
              <w:top w:val="single" w:sz="4" w:space="0" w:color="000000"/>
              <w:left w:val="single" w:sz="4" w:space="0" w:color="000000"/>
              <w:right w:val="single" w:sz="4" w:space="0" w:color="000000"/>
            </w:tcBorders>
            <w:shd w:val="clear" w:color="auto" w:fill="D2D2D2"/>
          </w:tcPr>
          <w:p>
            <w:pPr>
              <w:pStyle w:val="TableParagraph"/>
              <w:spacing w:line="267" w:lineRule="exact"/>
              <w:ind w:left="47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90" w:type="dxa"/>
            <w:vMerge w:val="restart"/>
            <w:tcBorders>
              <w:top w:val="single" w:sz="4" w:space="0" w:color="000000"/>
              <w:left w:val="single" w:sz="4" w:space="0" w:color="000000"/>
              <w:right w:val="single" w:sz="4" w:space="0" w:color="000000"/>
            </w:tcBorders>
            <w:shd w:val="clear" w:color="auto" w:fill="D2D2D2"/>
          </w:tcPr>
          <w:p>
            <w:pPr>
              <w:pStyle w:val="TableParagraph"/>
              <w:spacing w:line="267" w:lineRule="exact"/>
              <w:ind w:left="470"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166" w:hRule="exact"/>
        </w:trPr>
        <w:tc>
          <w:tcPr>
            <w:tcW w:w="2387" w:type="dxa"/>
            <w:tcBorders>
              <w:top w:val="nil" w:sz="6" w:space="0" w:color="auto"/>
              <w:left w:val="single" w:sz="4" w:space="0" w:color="000000"/>
              <w:bottom w:val="single" w:sz="4" w:space="0" w:color="000000"/>
              <w:right w:val="single" w:sz="4" w:space="0" w:color="000000"/>
            </w:tcBorders>
            <w:shd w:val="clear" w:color="auto" w:fill="D2D2D2"/>
          </w:tcPr>
          <w:p>
            <w:pPr/>
          </w:p>
        </w:tc>
        <w:tc>
          <w:tcPr>
            <w:tcW w:w="1802" w:type="dxa"/>
            <w:vMerge/>
            <w:tcBorders>
              <w:left w:val="single" w:sz="4" w:space="0" w:color="000000"/>
              <w:bottom w:val="single" w:sz="4" w:space="0" w:color="000000"/>
              <w:right w:val="single" w:sz="4" w:space="0" w:color="000000"/>
            </w:tcBorders>
            <w:shd w:val="clear" w:color="auto" w:fill="D2D2D2"/>
          </w:tcPr>
          <w:p>
            <w:pPr/>
          </w:p>
        </w:tc>
        <w:tc>
          <w:tcPr>
            <w:tcW w:w="1791" w:type="dxa"/>
            <w:vMerge/>
            <w:tcBorders>
              <w:left w:val="single" w:sz="4" w:space="0" w:color="000000"/>
              <w:bottom w:val="single" w:sz="4" w:space="0" w:color="000000"/>
              <w:right w:val="single" w:sz="4" w:space="0" w:color="000000"/>
            </w:tcBorders>
            <w:shd w:val="clear" w:color="auto" w:fill="D2D2D2"/>
          </w:tcPr>
          <w:p>
            <w:pPr/>
          </w:p>
        </w:tc>
        <w:tc>
          <w:tcPr>
            <w:tcW w:w="1791" w:type="dxa"/>
            <w:vMerge/>
            <w:tcBorders>
              <w:left w:val="single" w:sz="4" w:space="0" w:color="000000"/>
              <w:bottom w:val="single" w:sz="4" w:space="0" w:color="000000"/>
              <w:right w:val="single" w:sz="4" w:space="0" w:color="000000"/>
            </w:tcBorders>
            <w:shd w:val="clear" w:color="auto" w:fill="D2D2D2"/>
          </w:tcPr>
          <w:p>
            <w:pPr/>
          </w:p>
        </w:tc>
        <w:tc>
          <w:tcPr>
            <w:tcW w:w="1790" w:type="dxa"/>
            <w:vMerge/>
            <w:tcBorders>
              <w:left w:val="single" w:sz="4" w:space="0" w:color="000000"/>
              <w:bottom w:val="single" w:sz="4" w:space="0" w:color="000000"/>
              <w:right w:val="single" w:sz="4" w:space="0" w:color="000000"/>
            </w:tcBorders>
            <w:shd w:val="clear" w:color="auto" w:fill="D2D2D2"/>
          </w:tcPr>
          <w:p>
            <w:pPr/>
          </w:p>
        </w:tc>
      </w:tr>
      <w:tr>
        <w:trPr>
          <w:trHeight w:val="32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空调连接组件</w:t>
            </w:r>
          </w:p>
        </w:tc>
        <w:tc>
          <w:tcPr>
            <w:tcW w:w="1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742,482,610.12</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629,803,791.08</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1,008,064,288.19</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836,067,111.13</w:t>
            </w:r>
          </w:p>
        </w:tc>
      </w:tr>
      <w:tr>
        <w:trPr>
          <w:trHeight w:val="32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空调电源输入组件</w:t>
            </w:r>
          </w:p>
        </w:tc>
        <w:tc>
          <w:tcPr>
            <w:tcW w:w="1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249,149,437.62</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230,564,923.71</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392,458,555.94</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345,916,386.14</w:t>
            </w:r>
          </w:p>
        </w:tc>
      </w:tr>
      <w:tr>
        <w:trPr>
          <w:trHeight w:val="32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电热电器电源输入组件</w:t>
            </w:r>
          </w:p>
        </w:tc>
        <w:tc>
          <w:tcPr>
            <w:tcW w:w="1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22,225,273.30</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18,974,551.16</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43,439,906.68</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35,032,881.94</w:t>
            </w:r>
          </w:p>
        </w:tc>
      </w:tr>
      <w:tr>
        <w:trPr>
          <w:trHeight w:val="32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冰洗电器电源输入组件</w:t>
            </w:r>
          </w:p>
        </w:tc>
        <w:tc>
          <w:tcPr>
            <w:tcW w:w="1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14,872,720.92</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12,563,312.74</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16,774,960.77</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14,013,602.36</w:t>
            </w:r>
          </w:p>
        </w:tc>
      </w:tr>
      <w:tr>
        <w:trPr>
          <w:trHeight w:val="324"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2" w:right="0"/>
              <w:jc w:val="left"/>
              <w:rPr>
                <w:rFonts w:ascii="宋体" w:hAnsi="宋体" w:cs="宋体" w:eastAsia="宋体" w:hint="default"/>
                <w:sz w:val="21"/>
                <w:szCs w:val="21"/>
              </w:rPr>
            </w:pPr>
            <w:r>
              <w:rPr>
                <w:rFonts w:ascii="宋体" w:hAnsi="宋体" w:cs="宋体" w:eastAsia="宋体" w:hint="default"/>
                <w:sz w:val="21"/>
                <w:szCs w:val="21"/>
              </w:rPr>
              <w:t>其他家电电源输入组件</w:t>
            </w:r>
          </w:p>
        </w:tc>
        <w:tc>
          <w:tcPr>
            <w:tcW w:w="1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21"/>
                <w:szCs w:val="21"/>
              </w:rPr>
            </w:pPr>
            <w:r>
              <w:rPr>
                <w:rFonts w:ascii="Times New Roman"/>
                <w:spacing w:val="-1"/>
                <w:sz w:val="21"/>
              </w:rPr>
              <w:t>20,549,279.89</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21"/>
                <w:szCs w:val="21"/>
              </w:rPr>
            </w:pPr>
            <w:r>
              <w:rPr>
                <w:rFonts w:ascii="Times New Roman"/>
                <w:spacing w:val="-1"/>
                <w:sz w:val="21"/>
              </w:rPr>
              <w:t>14,955,750.02</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0"/>
              <w:jc w:val="right"/>
              <w:rPr>
                <w:rFonts w:ascii="Times New Roman" w:hAnsi="Times New Roman" w:cs="Times New Roman" w:eastAsia="Times New Roman" w:hint="default"/>
                <w:sz w:val="21"/>
                <w:szCs w:val="21"/>
              </w:rPr>
            </w:pPr>
            <w:r>
              <w:rPr>
                <w:rFonts w:ascii="Times New Roman"/>
                <w:spacing w:val="-1"/>
                <w:sz w:val="21"/>
              </w:rPr>
              <w:t>34,991,308.62</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21"/>
                <w:szCs w:val="21"/>
              </w:rPr>
            </w:pPr>
            <w:r>
              <w:rPr>
                <w:rFonts w:ascii="Times New Roman"/>
                <w:spacing w:val="-1"/>
                <w:sz w:val="21"/>
              </w:rPr>
              <w:t>27,129,668.47</w:t>
            </w:r>
          </w:p>
        </w:tc>
      </w:tr>
      <w:tr>
        <w:trPr>
          <w:trHeight w:val="32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1,049,279,321.85</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906,862,328.71</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1,495,729,020.20</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1,258,159,650.04</w:t>
            </w:r>
          </w:p>
        </w:tc>
      </w:tr>
    </w:tbl>
    <w:p>
      <w:pPr>
        <w:pStyle w:val="BodyText"/>
        <w:spacing w:line="278" w:lineRule="exact"/>
        <w:ind w:left="573" w:right="0"/>
        <w:jc w:val="left"/>
      </w:pPr>
      <w:r>
        <w:rPr>
          <w:rFonts w:ascii="Times New Roman" w:hAnsi="Times New Roman" w:cs="Times New Roman" w:eastAsia="Times New Roman" w:hint="default"/>
        </w:rPr>
        <w:t>2</w:t>
      </w:r>
      <w:r>
        <w:rPr/>
        <w:t>）主营业务（分地区）</w:t>
      </w:r>
    </w:p>
    <w:p>
      <w:pPr>
        <w:spacing w:after="0" w:line="278" w:lineRule="exact"/>
        <w:jc w:val="left"/>
        <w:sectPr>
          <w:pgSz w:w="11910" w:h="16840"/>
          <w:pgMar w:header="0"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2387"/>
        <w:gridCol w:w="1802"/>
        <w:gridCol w:w="1791"/>
        <w:gridCol w:w="1791"/>
        <w:gridCol w:w="1790"/>
      </w:tblGrid>
      <w:tr>
        <w:trPr>
          <w:trHeight w:val="166" w:hRule="exact"/>
        </w:trPr>
        <w:tc>
          <w:tcPr>
            <w:tcW w:w="2387" w:type="dxa"/>
            <w:tcBorders>
              <w:top w:val="single" w:sz="4" w:space="0" w:color="000000"/>
              <w:left w:val="single" w:sz="4" w:space="0" w:color="000000"/>
              <w:bottom w:val="nil" w:sz="6" w:space="0" w:color="auto"/>
              <w:right w:val="single" w:sz="4" w:space="0" w:color="000000"/>
            </w:tcBorders>
            <w:shd w:val="clear" w:color="auto" w:fill="D2D2D2"/>
          </w:tcPr>
          <w:p>
            <w:pPr/>
          </w:p>
        </w:tc>
        <w:tc>
          <w:tcPr>
            <w:tcW w:w="359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13"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58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37" w:hRule="exact"/>
        </w:trPr>
        <w:tc>
          <w:tcPr>
            <w:tcW w:w="238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768" w:right="0"/>
              <w:jc w:val="left"/>
              <w:rPr>
                <w:rFonts w:ascii="宋体" w:hAnsi="宋体" w:cs="宋体" w:eastAsia="宋体" w:hint="default"/>
                <w:sz w:val="21"/>
                <w:szCs w:val="21"/>
              </w:rPr>
            </w:pPr>
            <w:r>
              <w:rPr>
                <w:rFonts w:ascii="宋体" w:hAnsi="宋体" w:cs="宋体" w:eastAsia="宋体" w:hint="default"/>
                <w:sz w:val="21"/>
                <w:szCs w:val="21"/>
              </w:rPr>
              <w:t>地区名称</w:t>
            </w:r>
          </w:p>
        </w:tc>
        <w:tc>
          <w:tcPr>
            <w:tcW w:w="3593" w:type="dxa"/>
            <w:gridSpan w:val="2"/>
            <w:vMerge/>
            <w:tcBorders>
              <w:left w:val="single" w:sz="4" w:space="0" w:color="000000"/>
              <w:bottom w:val="single" w:sz="4" w:space="0" w:color="000000"/>
              <w:right w:val="single" w:sz="4" w:space="0" w:color="000000"/>
            </w:tcBorders>
            <w:shd w:val="clear" w:color="auto" w:fill="D2D2D2"/>
          </w:tcPr>
          <w:p>
            <w:pPr/>
          </w:p>
        </w:tc>
        <w:tc>
          <w:tcPr>
            <w:tcW w:w="3581" w:type="dxa"/>
            <w:gridSpan w:val="2"/>
            <w:vMerge/>
            <w:tcBorders>
              <w:left w:val="single" w:sz="4" w:space="0" w:color="000000"/>
              <w:bottom w:val="single" w:sz="4" w:space="0" w:color="000000"/>
              <w:right w:val="single" w:sz="4" w:space="0" w:color="000000"/>
            </w:tcBorders>
            <w:shd w:val="clear" w:color="auto" w:fill="D2D2D2"/>
          </w:tcPr>
          <w:p>
            <w:pPr/>
          </w:p>
        </w:tc>
      </w:tr>
      <w:tr>
        <w:trPr>
          <w:trHeight w:val="157" w:hRule="exact"/>
        </w:trPr>
        <w:tc>
          <w:tcPr>
            <w:tcW w:w="2387" w:type="dxa"/>
            <w:vMerge/>
            <w:tcBorders>
              <w:left w:val="single" w:sz="4" w:space="0" w:color="000000"/>
              <w:bottom w:val="nil" w:sz="6" w:space="0" w:color="auto"/>
              <w:right w:val="single" w:sz="4" w:space="0" w:color="000000"/>
            </w:tcBorders>
            <w:shd w:val="clear" w:color="auto" w:fill="D2D2D2"/>
          </w:tcPr>
          <w:p>
            <w:pPr/>
          </w:p>
        </w:tc>
        <w:tc>
          <w:tcPr>
            <w:tcW w:w="1802" w:type="dxa"/>
            <w:vMerge w:val="restart"/>
            <w:tcBorders>
              <w:top w:val="single" w:sz="4" w:space="0" w:color="000000"/>
              <w:left w:val="single" w:sz="4" w:space="0" w:color="000000"/>
              <w:right w:val="single" w:sz="4" w:space="0" w:color="000000"/>
            </w:tcBorders>
            <w:shd w:val="clear" w:color="auto" w:fill="D2D2D2"/>
          </w:tcPr>
          <w:p>
            <w:pPr>
              <w:pStyle w:val="TableParagraph"/>
              <w:spacing w:line="264" w:lineRule="exact"/>
              <w:ind w:left="48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91" w:type="dxa"/>
            <w:vMerge w:val="restart"/>
            <w:tcBorders>
              <w:top w:val="single" w:sz="4" w:space="0" w:color="000000"/>
              <w:left w:val="single" w:sz="4" w:space="0" w:color="000000"/>
              <w:right w:val="single" w:sz="4" w:space="0" w:color="000000"/>
            </w:tcBorders>
            <w:shd w:val="clear" w:color="auto" w:fill="D2D2D2"/>
          </w:tcPr>
          <w:p>
            <w:pPr>
              <w:pStyle w:val="TableParagraph"/>
              <w:spacing w:line="264" w:lineRule="exact"/>
              <w:ind w:left="470"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791" w:type="dxa"/>
            <w:vMerge w:val="restart"/>
            <w:tcBorders>
              <w:top w:val="single" w:sz="4" w:space="0" w:color="000000"/>
              <w:left w:val="single" w:sz="4" w:space="0" w:color="000000"/>
              <w:right w:val="single" w:sz="4" w:space="0" w:color="000000"/>
            </w:tcBorders>
            <w:shd w:val="clear" w:color="auto" w:fill="D2D2D2"/>
          </w:tcPr>
          <w:p>
            <w:pPr>
              <w:pStyle w:val="TableParagraph"/>
              <w:spacing w:line="264" w:lineRule="exact"/>
              <w:ind w:left="47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90" w:type="dxa"/>
            <w:vMerge w:val="restart"/>
            <w:tcBorders>
              <w:top w:val="single" w:sz="4" w:space="0" w:color="000000"/>
              <w:left w:val="single" w:sz="4" w:space="0" w:color="000000"/>
              <w:right w:val="single" w:sz="4" w:space="0" w:color="000000"/>
            </w:tcBorders>
            <w:shd w:val="clear" w:color="auto" w:fill="D2D2D2"/>
          </w:tcPr>
          <w:p>
            <w:pPr>
              <w:pStyle w:val="TableParagraph"/>
              <w:spacing w:line="264" w:lineRule="exact"/>
              <w:ind w:left="470"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166" w:hRule="exact"/>
        </w:trPr>
        <w:tc>
          <w:tcPr>
            <w:tcW w:w="2387" w:type="dxa"/>
            <w:tcBorders>
              <w:top w:val="nil" w:sz="6" w:space="0" w:color="auto"/>
              <w:left w:val="single" w:sz="4" w:space="0" w:color="000000"/>
              <w:bottom w:val="single" w:sz="4" w:space="0" w:color="000000"/>
              <w:right w:val="single" w:sz="4" w:space="0" w:color="000000"/>
            </w:tcBorders>
            <w:shd w:val="clear" w:color="auto" w:fill="D2D2D2"/>
          </w:tcPr>
          <w:p>
            <w:pPr/>
          </w:p>
        </w:tc>
        <w:tc>
          <w:tcPr>
            <w:tcW w:w="1802" w:type="dxa"/>
            <w:vMerge/>
            <w:tcBorders>
              <w:left w:val="single" w:sz="4" w:space="0" w:color="000000"/>
              <w:bottom w:val="single" w:sz="4" w:space="0" w:color="000000"/>
              <w:right w:val="single" w:sz="4" w:space="0" w:color="000000"/>
            </w:tcBorders>
            <w:shd w:val="clear" w:color="auto" w:fill="D2D2D2"/>
          </w:tcPr>
          <w:p>
            <w:pPr/>
          </w:p>
        </w:tc>
        <w:tc>
          <w:tcPr>
            <w:tcW w:w="1791" w:type="dxa"/>
            <w:vMerge/>
            <w:tcBorders>
              <w:left w:val="single" w:sz="4" w:space="0" w:color="000000"/>
              <w:bottom w:val="single" w:sz="4" w:space="0" w:color="000000"/>
              <w:right w:val="single" w:sz="4" w:space="0" w:color="000000"/>
            </w:tcBorders>
            <w:shd w:val="clear" w:color="auto" w:fill="D2D2D2"/>
          </w:tcPr>
          <w:p>
            <w:pPr/>
          </w:p>
        </w:tc>
        <w:tc>
          <w:tcPr>
            <w:tcW w:w="1791" w:type="dxa"/>
            <w:vMerge/>
            <w:tcBorders>
              <w:left w:val="single" w:sz="4" w:space="0" w:color="000000"/>
              <w:bottom w:val="single" w:sz="4" w:space="0" w:color="000000"/>
              <w:right w:val="single" w:sz="4" w:space="0" w:color="000000"/>
            </w:tcBorders>
            <w:shd w:val="clear" w:color="auto" w:fill="D2D2D2"/>
          </w:tcPr>
          <w:p>
            <w:pPr/>
          </w:p>
        </w:tc>
        <w:tc>
          <w:tcPr>
            <w:tcW w:w="1790" w:type="dxa"/>
            <w:vMerge/>
            <w:tcBorders>
              <w:left w:val="single" w:sz="4" w:space="0" w:color="000000"/>
              <w:bottom w:val="single" w:sz="4" w:space="0" w:color="000000"/>
              <w:right w:val="single" w:sz="4" w:space="0" w:color="000000"/>
            </w:tcBorders>
            <w:shd w:val="clear" w:color="auto" w:fill="D2D2D2"/>
          </w:tcPr>
          <w:p>
            <w:pPr/>
          </w:p>
        </w:tc>
      </w:tr>
      <w:tr>
        <w:trPr>
          <w:trHeight w:val="32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广东省内</w:t>
            </w:r>
          </w:p>
        </w:tc>
        <w:tc>
          <w:tcPr>
            <w:tcW w:w="1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330,911,351.32</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283,042,691.24</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416,253,304.68</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347,180,188.59</w:t>
            </w:r>
          </w:p>
        </w:tc>
      </w:tr>
      <w:tr>
        <w:trPr>
          <w:trHeight w:val="32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广东省外</w:t>
            </w:r>
          </w:p>
        </w:tc>
        <w:tc>
          <w:tcPr>
            <w:tcW w:w="1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683,078,148.70</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595,776,569.93</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1,019,857,082.28</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861,963,492.32</w:t>
            </w:r>
          </w:p>
        </w:tc>
      </w:tr>
      <w:tr>
        <w:trPr>
          <w:trHeight w:val="32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国外</w:t>
            </w:r>
          </w:p>
        </w:tc>
        <w:tc>
          <w:tcPr>
            <w:tcW w:w="1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35,289,821.83</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28,043,067.53</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59,618,633.24</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49,015,969.13</w:t>
            </w:r>
          </w:p>
        </w:tc>
      </w:tr>
      <w:tr>
        <w:trPr>
          <w:trHeight w:val="32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1,049,279,321.85</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906,862,328.71</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1,495,729,020.20</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1,258,159,650.04</w:t>
            </w:r>
          </w:p>
        </w:tc>
      </w:tr>
    </w:tbl>
    <w:p>
      <w:pPr>
        <w:pStyle w:val="BodyText"/>
        <w:spacing w:line="278" w:lineRule="exact"/>
        <w:ind w:right="0"/>
        <w:jc w:val="left"/>
      </w:pPr>
      <w:r>
        <w:rPr>
          <w:rFonts w:ascii="Times New Roman" w:hAnsi="Times New Roman" w:cs="Times New Roman" w:eastAsia="Times New Roman" w:hint="default"/>
        </w:rPr>
        <w:t>3</w:t>
      </w:r>
      <w:r>
        <w:rPr/>
        <w:t>）公司前五名客户的营业收入情况</w:t>
      </w:r>
    </w:p>
    <w:p>
      <w:pPr>
        <w:spacing w:line="240" w:lineRule="auto" w:before="8"/>
        <w:rPr>
          <w:rFonts w:ascii="宋体" w:hAnsi="宋体" w:cs="宋体" w:eastAsia="宋体" w:hint="default"/>
          <w:sz w:val="2"/>
          <w:szCs w:val="2"/>
        </w:rPr>
      </w:pPr>
    </w:p>
    <w:tbl>
      <w:tblPr>
        <w:tblW w:w="0" w:type="auto"/>
        <w:jc w:val="left"/>
        <w:tblInd w:w="160" w:type="dxa"/>
        <w:tblLayout w:type="fixed"/>
        <w:tblCellMar>
          <w:top w:w="0" w:type="dxa"/>
          <w:left w:w="0" w:type="dxa"/>
          <w:bottom w:w="0" w:type="dxa"/>
          <w:right w:w="0" w:type="dxa"/>
        </w:tblCellMar>
        <w:tblLook w:val="01E0"/>
      </w:tblPr>
      <w:tblGrid>
        <w:gridCol w:w="2387"/>
        <w:gridCol w:w="3593"/>
        <w:gridCol w:w="3581"/>
      </w:tblGrid>
      <w:tr>
        <w:trPr>
          <w:trHeight w:val="364"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768" w:right="0"/>
              <w:jc w:val="left"/>
              <w:rPr>
                <w:rFonts w:ascii="宋体" w:hAnsi="宋体" w:cs="宋体" w:eastAsia="宋体" w:hint="default"/>
                <w:sz w:val="21"/>
                <w:szCs w:val="21"/>
              </w:rPr>
            </w:pPr>
            <w:r>
              <w:rPr>
                <w:rFonts w:ascii="宋体" w:hAnsi="宋体" w:cs="宋体" w:eastAsia="宋体" w:hint="default"/>
                <w:sz w:val="21"/>
                <w:szCs w:val="21"/>
              </w:rPr>
              <w:t>客户名称</w:t>
            </w:r>
          </w:p>
        </w:tc>
        <w:tc>
          <w:tcPr>
            <w:tcW w:w="3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165" w:right="0"/>
              <w:jc w:val="left"/>
              <w:rPr>
                <w:rFonts w:ascii="宋体" w:hAnsi="宋体" w:cs="宋体" w:eastAsia="宋体" w:hint="default"/>
                <w:sz w:val="21"/>
                <w:szCs w:val="21"/>
              </w:rPr>
            </w:pPr>
            <w:r>
              <w:rPr>
                <w:rFonts w:ascii="宋体" w:hAnsi="宋体" w:cs="宋体" w:eastAsia="宋体" w:hint="default"/>
                <w:sz w:val="21"/>
                <w:szCs w:val="21"/>
              </w:rPr>
              <w:t>营业收入总额</w:t>
            </w:r>
          </w:p>
        </w:tc>
        <w:tc>
          <w:tcPr>
            <w:tcW w:w="3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523" w:right="0"/>
              <w:jc w:val="left"/>
              <w:rPr>
                <w:rFonts w:ascii="宋体" w:hAnsi="宋体" w:cs="宋体" w:eastAsia="宋体" w:hint="default"/>
                <w:sz w:val="21"/>
                <w:szCs w:val="21"/>
              </w:rPr>
            </w:pPr>
            <w:r>
              <w:rPr>
                <w:rFonts w:ascii="宋体" w:hAnsi="宋体" w:cs="宋体" w:eastAsia="宋体" w:hint="default"/>
                <w:sz w:val="21"/>
                <w:szCs w:val="21"/>
              </w:rPr>
              <w:t>占公司全部营业收入的比例</w:t>
            </w:r>
          </w:p>
        </w:tc>
      </w:tr>
      <w:tr>
        <w:trPr>
          <w:trHeight w:val="36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2" w:right="0"/>
              <w:jc w:val="left"/>
              <w:rPr>
                <w:rFonts w:ascii="宋体" w:hAnsi="宋体" w:cs="宋体" w:eastAsia="宋体" w:hint="default"/>
                <w:sz w:val="21"/>
                <w:szCs w:val="21"/>
              </w:rPr>
            </w:pPr>
            <w:r>
              <w:rPr>
                <w:rFonts w:ascii="宋体" w:hAnsi="宋体" w:cs="宋体" w:eastAsia="宋体" w:hint="default"/>
                <w:sz w:val="21"/>
                <w:szCs w:val="21"/>
              </w:rPr>
              <w:t>第一名</w:t>
            </w:r>
          </w:p>
        </w:tc>
        <w:tc>
          <w:tcPr>
            <w:tcW w:w="3593" w:type="dxa"/>
            <w:tcBorders>
              <w:top w:val="single" w:sz="36" w:space="0" w:color="D2D2D2"/>
              <w:left w:val="single" w:sz="10" w:space="0" w:color="D2D2D2"/>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564,809,582.85</w:t>
            </w:r>
          </w:p>
        </w:tc>
        <w:tc>
          <w:tcPr>
            <w:tcW w:w="3581" w:type="dxa"/>
            <w:tcBorders>
              <w:top w:val="single" w:sz="36" w:space="0" w:color="D2D2D2"/>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sz w:val="21"/>
              </w:rPr>
              <w:t>53.82%</w:t>
            </w:r>
          </w:p>
        </w:tc>
      </w:tr>
      <w:tr>
        <w:trPr>
          <w:trHeight w:val="32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第二名</w:t>
            </w:r>
          </w:p>
        </w:tc>
        <w:tc>
          <w:tcPr>
            <w:tcW w:w="35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167,419,960.26</w:t>
            </w:r>
          </w:p>
        </w:tc>
        <w:tc>
          <w:tcPr>
            <w:tcW w:w="3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sz w:val="21"/>
              </w:rPr>
              <w:t>15.95%</w:t>
            </w:r>
          </w:p>
        </w:tc>
      </w:tr>
      <w:tr>
        <w:trPr>
          <w:trHeight w:val="32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第三名</w:t>
            </w:r>
          </w:p>
        </w:tc>
        <w:tc>
          <w:tcPr>
            <w:tcW w:w="35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54,524,781.90</w:t>
            </w:r>
          </w:p>
        </w:tc>
        <w:tc>
          <w:tcPr>
            <w:tcW w:w="3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sz w:val="21"/>
              </w:rPr>
              <w:t>5.20%</w:t>
            </w:r>
          </w:p>
        </w:tc>
      </w:tr>
      <w:tr>
        <w:trPr>
          <w:trHeight w:val="325"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2" w:right="0"/>
              <w:jc w:val="left"/>
              <w:rPr>
                <w:rFonts w:ascii="宋体" w:hAnsi="宋体" w:cs="宋体" w:eastAsia="宋体" w:hint="default"/>
                <w:sz w:val="21"/>
                <w:szCs w:val="21"/>
              </w:rPr>
            </w:pPr>
            <w:r>
              <w:rPr>
                <w:rFonts w:ascii="宋体" w:hAnsi="宋体" w:cs="宋体" w:eastAsia="宋体" w:hint="default"/>
                <w:sz w:val="21"/>
                <w:szCs w:val="21"/>
              </w:rPr>
              <w:t>第四名</w:t>
            </w:r>
          </w:p>
        </w:tc>
        <w:tc>
          <w:tcPr>
            <w:tcW w:w="35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7"/>
              <w:ind w:right="19"/>
              <w:jc w:val="right"/>
              <w:rPr>
                <w:rFonts w:ascii="Times New Roman" w:hAnsi="Times New Roman" w:cs="Times New Roman" w:eastAsia="Times New Roman" w:hint="default"/>
                <w:sz w:val="21"/>
                <w:szCs w:val="21"/>
              </w:rPr>
            </w:pPr>
            <w:r>
              <w:rPr>
                <w:rFonts w:ascii="Times New Roman"/>
                <w:spacing w:val="-1"/>
                <w:sz w:val="21"/>
              </w:rPr>
              <w:t>51,941,873.77</w:t>
            </w:r>
          </w:p>
        </w:tc>
        <w:tc>
          <w:tcPr>
            <w:tcW w:w="3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8"/>
              <w:jc w:val="right"/>
              <w:rPr>
                <w:rFonts w:ascii="Times New Roman" w:hAnsi="Times New Roman" w:cs="Times New Roman" w:eastAsia="Times New Roman" w:hint="default"/>
                <w:sz w:val="21"/>
                <w:szCs w:val="21"/>
              </w:rPr>
            </w:pPr>
            <w:r>
              <w:rPr>
                <w:rFonts w:ascii="Times New Roman"/>
                <w:sz w:val="21"/>
              </w:rPr>
              <w:t>4.95%</w:t>
            </w:r>
          </w:p>
        </w:tc>
      </w:tr>
      <w:tr>
        <w:trPr>
          <w:trHeight w:val="32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第五名</w:t>
            </w:r>
          </w:p>
        </w:tc>
        <w:tc>
          <w:tcPr>
            <w:tcW w:w="35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30,861,479.72</w:t>
            </w:r>
          </w:p>
        </w:tc>
        <w:tc>
          <w:tcPr>
            <w:tcW w:w="3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sz w:val="21"/>
              </w:rPr>
              <w:t>2.94%</w:t>
            </w:r>
          </w:p>
        </w:tc>
      </w:tr>
      <w:tr>
        <w:trPr>
          <w:trHeight w:val="32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5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869,557,678.50</w:t>
            </w:r>
          </w:p>
        </w:tc>
        <w:tc>
          <w:tcPr>
            <w:tcW w:w="3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sz w:val="21"/>
              </w:rPr>
              <w:t>82.86%</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7</w:t>
      </w:r>
      <w:r>
        <w:rPr/>
        <w:t>、期末无其他对投资者决策有影响的重要交易和事项。</w:t>
      </w:r>
      <w:r>
        <w:rPr>
          <w:b w:val="0"/>
          <w:bCs w:val="0"/>
        </w:rPr>
      </w:r>
    </w:p>
    <w:p>
      <w:pPr>
        <w:spacing w:after="0" w:line="240" w:lineRule="auto"/>
        <w:jc w:val="left"/>
        <w:sectPr>
          <w:pgSz w:w="11910" w:h="16840"/>
          <w:pgMar w:header="0" w:footer="979" w:top="1100" w:bottom="1160" w:left="980" w:right="980"/>
        </w:sectPr>
      </w:pPr>
    </w:p>
    <w:p>
      <w:pPr>
        <w:spacing w:line="240" w:lineRule="auto" w:before="1"/>
        <w:rPr>
          <w:rFonts w:ascii="宋体" w:hAnsi="宋体" w:cs="宋体" w:eastAsia="宋体" w:hint="default"/>
          <w:b/>
          <w:bCs/>
          <w:sz w:val="22"/>
          <w:szCs w:val="22"/>
        </w:rPr>
      </w:pPr>
    </w:p>
    <w:p>
      <w:pPr>
        <w:pStyle w:val="Heading2"/>
        <w:spacing w:line="240" w:lineRule="auto"/>
        <w:ind w:left="140" w:right="0"/>
        <w:jc w:val="left"/>
        <w:rPr>
          <w:b w:val="0"/>
          <w:bCs w:val="0"/>
        </w:rPr>
      </w:pPr>
      <w:r>
        <w:rPr/>
        <w:pict>
          <v:group style="position:absolute;margin-left:70.559998pt;margin-top:.795603pt;width:700.9pt;height:.1pt;mso-position-horizontal-relative:page;mso-position-vertical-relative:paragraph;z-index:-665440" coordorigin="1411,16" coordsize="14018,2">
            <v:shape style="position:absolute;left:1411;top:16;width:14018;height:2" coordorigin="1411,16" coordsize="14018,0" path="m1411,16l15429,16e" filled="false" stroked="true" strokeweight=".72pt" strokecolor="#000000">
              <v:path arrowok="t"/>
            </v:shape>
            <w10:wrap type="none"/>
          </v:group>
        </w:pict>
      </w:r>
      <w:r>
        <w:rPr>
          <w:w w:val="95"/>
        </w:rPr>
        <w:t>十七、母公司财务报表主要项目注释</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left="140" w:right="0"/>
        <w:jc w:val="left"/>
        <w:rPr>
          <w:b w:val="0"/>
          <w:bCs w:val="0"/>
        </w:rPr>
      </w:pPr>
      <w:r>
        <w:rPr>
          <w:rFonts w:ascii="Times New Roman" w:hAnsi="Times New Roman" w:cs="Times New Roman" w:eastAsia="Times New Roman" w:hint="default"/>
        </w:rPr>
        <w:t>1</w:t>
      </w:r>
      <w:r>
        <w:rPr/>
        <w:t>、应收账款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40"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before="15"/>
        <w:ind w:left="140"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广东华声电器股份有限公司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p>
      <w:pPr>
        <w:spacing w:after="0"/>
        <w:jc w:val="left"/>
        <w:rPr>
          <w:rFonts w:ascii="宋体" w:hAnsi="宋体" w:cs="宋体" w:eastAsia="宋体" w:hint="default"/>
          <w:sz w:val="18"/>
          <w:szCs w:val="18"/>
        </w:rPr>
        <w:sectPr>
          <w:headerReference w:type="default" r:id="rId40"/>
          <w:footerReference w:type="default" r:id="rId41"/>
          <w:pgSz w:w="16840" w:h="11910" w:orient="landscape"/>
          <w:pgMar w:header="0" w:footer="0" w:top="800" w:bottom="280" w:left="1300" w:right="1300"/>
          <w:cols w:num="2" w:equalWidth="0">
            <w:col w:w="3993" w:space="6275"/>
            <w:col w:w="3972"/>
          </w:cols>
        </w:sectPr>
      </w:pPr>
    </w:p>
    <w:p>
      <w:pPr>
        <w:spacing w:line="240" w:lineRule="auto" w:before="10"/>
        <w:rPr>
          <w:rFonts w:ascii="宋体" w:hAnsi="宋体" w:cs="宋体" w:eastAsia="宋体" w:hint="default"/>
          <w:sz w:val="21"/>
          <w:szCs w:val="21"/>
        </w:rPr>
      </w:pPr>
    </w:p>
    <w:p>
      <w:pPr>
        <w:pStyle w:val="BodyText"/>
        <w:spacing w:line="240" w:lineRule="auto" w:before="36"/>
        <w:ind w:left="0" w:right="329"/>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47" w:type="dxa"/>
        <w:tblLayout w:type="fixed"/>
        <w:tblCellMar>
          <w:top w:w="0" w:type="dxa"/>
          <w:left w:w="0" w:type="dxa"/>
          <w:bottom w:w="0" w:type="dxa"/>
          <w:right w:w="0" w:type="dxa"/>
        </w:tblCellMar>
        <w:tblLook w:val="01E0"/>
      </w:tblPr>
      <w:tblGrid>
        <w:gridCol w:w="2529"/>
        <w:gridCol w:w="1430"/>
        <w:gridCol w:w="850"/>
        <w:gridCol w:w="1277"/>
        <w:gridCol w:w="708"/>
        <w:gridCol w:w="1419"/>
        <w:gridCol w:w="1416"/>
        <w:gridCol w:w="852"/>
        <w:gridCol w:w="1277"/>
        <w:gridCol w:w="708"/>
        <w:gridCol w:w="1416"/>
      </w:tblGrid>
      <w:tr>
        <w:trPr>
          <w:trHeight w:val="397" w:hRule="exact"/>
        </w:trPr>
        <w:tc>
          <w:tcPr>
            <w:tcW w:w="2529" w:type="dxa"/>
            <w:vMerge w:val="restart"/>
            <w:tcBorders>
              <w:top w:val="single" w:sz="4" w:space="0" w:color="000000"/>
              <w:left w:val="single" w:sz="4" w:space="0" w:color="000000"/>
              <w:right w:val="single" w:sz="4" w:space="0" w:color="000000"/>
            </w:tcBorders>
            <w:shd w:val="clear" w:color="auto" w:fill="D2D2D2"/>
          </w:tcPr>
          <w:p>
            <w:pPr/>
          </w:p>
        </w:tc>
        <w:tc>
          <w:tcPr>
            <w:tcW w:w="568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566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166" w:hRule="exact"/>
        </w:trPr>
        <w:tc>
          <w:tcPr>
            <w:tcW w:w="2529" w:type="dxa"/>
            <w:vMerge/>
            <w:tcBorders>
              <w:left w:val="single" w:sz="4" w:space="0" w:color="000000"/>
              <w:bottom w:val="nil" w:sz="6" w:space="0" w:color="auto"/>
              <w:right w:val="single" w:sz="4" w:space="0" w:color="000000"/>
            </w:tcBorders>
            <w:shd w:val="clear" w:color="auto" w:fill="D2D2D2"/>
          </w:tcPr>
          <w:p>
            <w:pPr/>
          </w:p>
        </w:tc>
        <w:tc>
          <w:tcPr>
            <w:tcW w:w="227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72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9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56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19" w:type="dxa"/>
            <w:vMerge w:val="restart"/>
            <w:tcBorders>
              <w:top w:val="single" w:sz="4" w:space="0" w:color="000000"/>
              <w:left w:val="single" w:sz="4" w:space="0" w:color="000000"/>
              <w:right w:val="single" w:sz="4" w:space="0" w:color="000000"/>
            </w:tcBorders>
            <w:shd w:val="clear" w:color="auto" w:fill="D2D2D2"/>
          </w:tcPr>
          <w:p>
            <w:pPr/>
          </w:p>
        </w:tc>
        <w:tc>
          <w:tcPr>
            <w:tcW w:w="226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71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9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56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16" w:type="dxa"/>
            <w:vMerge w:val="restart"/>
            <w:tcBorders>
              <w:top w:val="single" w:sz="4" w:space="0" w:color="000000"/>
              <w:left w:val="single" w:sz="4" w:space="0" w:color="000000"/>
              <w:right w:val="single" w:sz="4" w:space="0" w:color="000000"/>
            </w:tcBorders>
            <w:shd w:val="clear" w:color="auto" w:fill="D2D2D2"/>
          </w:tcPr>
          <w:p>
            <w:pPr/>
          </w:p>
        </w:tc>
      </w:tr>
      <w:tr>
        <w:trPr>
          <w:trHeight w:val="242" w:hRule="exact"/>
        </w:trPr>
        <w:tc>
          <w:tcPr>
            <w:tcW w:w="252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2279" w:type="dxa"/>
            <w:gridSpan w:val="2"/>
            <w:vMerge/>
            <w:tcBorders>
              <w:left w:val="single" w:sz="4" w:space="0" w:color="000000"/>
              <w:bottom w:val="single" w:sz="4" w:space="0" w:color="000000"/>
              <w:right w:val="single" w:sz="4" w:space="0" w:color="000000"/>
            </w:tcBorders>
            <w:shd w:val="clear" w:color="auto" w:fill="D2D2D2"/>
          </w:tcPr>
          <w:p>
            <w:pPr/>
          </w:p>
        </w:tc>
        <w:tc>
          <w:tcPr>
            <w:tcW w:w="1985" w:type="dxa"/>
            <w:gridSpan w:val="2"/>
            <w:vMerge/>
            <w:tcBorders>
              <w:left w:val="single" w:sz="4" w:space="0" w:color="000000"/>
              <w:bottom w:val="single" w:sz="4" w:space="0" w:color="000000"/>
              <w:right w:val="single" w:sz="4" w:space="0" w:color="000000"/>
            </w:tcBorders>
            <w:shd w:val="clear" w:color="auto" w:fill="D2D2D2"/>
          </w:tcPr>
          <w:p>
            <w:pPr/>
          </w:p>
        </w:tc>
        <w:tc>
          <w:tcPr>
            <w:tcW w:w="1419" w:type="dxa"/>
            <w:vMerge/>
            <w:tcBorders>
              <w:left w:val="single" w:sz="4" w:space="0" w:color="000000"/>
              <w:bottom w:val="nil" w:sz="6" w:space="0" w:color="auto"/>
              <w:right w:val="single" w:sz="4" w:space="0" w:color="000000"/>
            </w:tcBorders>
            <w:shd w:val="clear" w:color="auto" w:fill="D2D2D2"/>
          </w:tcPr>
          <w:p>
            <w:pPr/>
          </w:p>
        </w:tc>
        <w:tc>
          <w:tcPr>
            <w:tcW w:w="2268" w:type="dxa"/>
            <w:gridSpan w:val="2"/>
            <w:vMerge/>
            <w:tcBorders>
              <w:left w:val="single" w:sz="4" w:space="0" w:color="000000"/>
              <w:bottom w:val="single" w:sz="4" w:space="0" w:color="000000"/>
              <w:right w:val="single" w:sz="4" w:space="0" w:color="000000"/>
            </w:tcBorders>
            <w:shd w:val="clear" w:color="auto" w:fill="D2D2D2"/>
          </w:tcPr>
          <w:p>
            <w:pPr/>
          </w:p>
        </w:tc>
        <w:tc>
          <w:tcPr>
            <w:tcW w:w="1985" w:type="dxa"/>
            <w:gridSpan w:val="2"/>
            <w:vMerge/>
            <w:tcBorders>
              <w:left w:val="single" w:sz="4" w:space="0" w:color="000000"/>
              <w:bottom w:val="single" w:sz="4" w:space="0" w:color="000000"/>
              <w:right w:val="single" w:sz="4" w:space="0" w:color="000000"/>
            </w:tcBorders>
            <w:shd w:val="clear" w:color="auto" w:fill="D2D2D2"/>
          </w:tcPr>
          <w:p>
            <w:pPr/>
          </w:p>
        </w:tc>
        <w:tc>
          <w:tcPr>
            <w:tcW w:w="1416"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2529" w:type="dxa"/>
            <w:vMerge/>
            <w:tcBorders>
              <w:left w:val="single" w:sz="4" w:space="0" w:color="000000"/>
              <w:bottom w:val="single" w:sz="4" w:space="0" w:color="FFFFFF"/>
              <w:right w:val="single" w:sz="4" w:space="0" w:color="000000"/>
            </w:tcBorders>
            <w:shd w:val="clear" w:color="auto" w:fill="D2D2D2"/>
          </w:tcPr>
          <w:p>
            <w:pPr/>
          </w:p>
        </w:tc>
        <w:tc>
          <w:tcPr>
            <w:tcW w:w="1430"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850"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8"/>
              <w:ind w:left="244" w:right="29" w:hanging="212"/>
              <w:jc w:val="left"/>
              <w:rPr>
                <w:rFonts w:ascii="宋体" w:hAnsi="宋体" w:cs="宋体" w:eastAsia="宋体" w:hint="default"/>
                <w:sz w:val="21"/>
                <w:szCs w:val="21"/>
              </w:rPr>
            </w:pPr>
            <w:r>
              <w:rPr>
                <w:rFonts w:ascii="宋体" w:hAnsi="宋体" w:cs="宋体" w:eastAsia="宋体" w:hint="default"/>
                <w:sz w:val="21"/>
                <w:szCs w:val="21"/>
              </w:rPr>
              <w:t>计提比</w:t>
            </w:r>
            <w:r>
              <w:rPr>
                <w:rFonts w:ascii="宋体" w:hAnsi="宋体" w:cs="宋体" w:eastAsia="宋体" w:hint="default"/>
                <w:spacing w:val="-102"/>
                <w:sz w:val="21"/>
                <w:szCs w:val="21"/>
              </w:rPr>
              <w:t> </w:t>
            </w:r>
            <w:r>
              <w:rPr>
                <w:rFonts w:ascii="宋体" w:hAnsi="宋体" w:cs="宋体" w:eastAsia="宋体" w:hint="default"/>
                <w:sz w:val="21"/>
                <w:szCs w:val="21"/>
              </w:rPr>
              <w:t>例</w:t>
            </w:r>
          </w:p>
        </w:tc>
        <w:tc>
          <w:tcPr>
            <w:tcW w:w="1419" w:type="dxa"/>
            <w:vMerge w:val="restart"/>
            <w:tcBorders>
              <w:top w:val="nil" w:sz="6" w:space="0" w:color="auto"/>
              <w:left w:val="single" w:sz="4" w:space="0" w:color="000000"/>
              <w:right w:val="single" w:sz="4" w:space="0" w:color="000000"/>
            </w:tcBorders>
            <w:shd w:val="clear" w:color="auto" w:fill="D2D2D2"/>
          </w:tcPr>
          <w:p>
            <w:pPr>
              <w:pStyle w:val="TableParagraph"/>
              <w:spacing w:line="262" w:lineRule="exact"/>
              <w:ind w:left="285"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4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52"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7"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8"/>
              <w:ind w:left="242" w:right="31" w:hanging="212"/>
              <w:jc w:val="left"/>
              <w:rPr>
                <w:rFonts w:ascii="宋体" w:hAnsi="宋体" w:cs="宋体" w:eastAsia="宋体" w:hint="default"/>
                <w:sz w:val="21"/>
                <w:szCs w:val="21"/>
              </w:rPr>
            </w:pPr>
            <w:r>
              <w:rPr>
                <w:rFonts w:ascii="宋体" w:hAnsi="宋体" w:cs="宋体" w:eastAsia="宋体" w:hint="default"/>
                <w:sz w:val="21"/>
                <w:szCs w:val="21"/>
              </w:rPr>
              <w:t>计提比</w:t>
            </w:r>
            <w:r>
              <w:rPr>
                <w:rFonts w:ascii="宋体" w:hAnsi="宋体" w:cs="宋体" w:eastAsia="宋体" w:hint="default"/>
                <w:spacing w:val="-102"/>
                <w:sz w:val="21"/>
                <w:szCs w:val="21"/>
              </w:rPr>
              <w:t> </w:t>
            </w:r>
            <w:r>
              <w:rPr>
                <w:rFonts w:ascii="宋体" w:hAnsi="宋体" w:cs="宋体" w:eastAsia="宋体" w:hint="default"/>
                <w:sz w:val="21"/>
                <w:szCs w:val="21"/>
              </w:rPr>
              <w:t>例</w:t>
            </w:r>
          </w:p>
        </w:tc>
        <w:tc>
          <w:tcPr>
            <w:tcW w:w="1416" w:type="dxa"/>
            <w:vMerge w:val="restart"/>
            <w:tcBorders>
              <w:top w:val="nil" w:sz="6" w:space="0" w:color="auto"/>
              <w:left w:val="single" w:sz="4" w:space="0" w:color="000000"/>
              <w:right w:val="single" w:sz="4" w:space="0" w:color="000000"/>
            </w:tcBorders>
            <w:shd w:val="clear" w:color="auto" w:fill="D2D2D2"/>
          </w:tcPr>
          <w:p>
            <w:pPr>
              <w:pStyle w:val="TableParagraph"/>
              <w:spacing w:line="262" w:lineRule="exact"/>
              <w:ind w:left="283"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194" w:hRule="exact"/>
        </w:trPr>
        <w:tc>
          <w:tcPr>
            <w:tcW w:w="2529" w:type="dxa"/>
            <w:vMerge w:val="restart"/>
            <w:tcBorders>
              <w:top w:val="single" w:sz="4" w:space="0" w:color="FFFFFF"/>
              <w:left w:val="single" w:sz="4" w:space="0" w:color="000000"/>
              <w:right w:val="single" w:sz="4" w:space="0" w:color="000000"/>
            </w:tcBorders>
            <w:shd w:val="clear" w:color="auto" w:fill="D2D2D2"/>
          </w:tcPr>
          <w:p>
            <w:pPr/>
          </w:p>
        </w:tc>
        <w:tc>
          <w:tcPr>
            <w:tcW w:w="1430"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26"/>
              <w:ind w:left="1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50"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26"/>
              <w:ind w:left="208"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277"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26"/>
              <w:ind w:left="42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08"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bottom w:val="nil" w:sz="6" w:space="0" w:color="auto"/>
              <w:right w:val="single" w:sz="4" w:space="0" w:color="000000"/>
            </w:tcBorders>
            <w:shd w:val="clear" w:color="auto" w:fill="D2D2D2"/>
          </w:tcPr>
          <w:p>
            <w:pPr/>
          </w:p>
        </w:tc>
        <w:tc>
          <w:tcPr>
            <w:tcW w:w="14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0"/>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5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0"/>
              <w:ind w:left="211"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2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0"/>
              <w:ind w:left="420"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08" w:type="dxa"/>
            <w:vMerge/>
            <w:tcBorders>
              <w:left w:val="single" w:sz="4" w:space="0" w:color="000000"/>
              <w:right w:val="single" w:sz="4" w:space="0" w:color="000000"/>
            </w:tcBorders>
            <w:shd w:val="clear" w:color="auto" w:fill="D2D2D2"/>
          </w:tcPr>
          <w:p>
            <w:pPr/>
          </w:p>
        </w:tc>
        <w:tc>
          <w:tcPr>
            <w:tcW w:w="1416" w:type="dxa"/>
            <w:vMerge/>
            <w:tcBorders>
              <w:left w:val="single" w:sz="4" w:space="0" w:color="000000"/>
              <w:bottom w:val="nil" w:sz="6" w:space="0" w:color="auto"/>
              <w:right w:val="single" w:sz="4" w:space="0" w:color="000000"/>
            </w:tcBorders>
            <w:shd w:val="clear" w:color="auto" w:fill="D2D2D2"/>
          </w:tcPr>
          <w:p>
            <w:pPr/>
          </w:p>
        </w:tc>
      </w:tr>
      <w:tr>
        <w:trPr>
          <w:trHeight w:val="199" w:hRule="exact"/>
        </w:trPr>
        <w:tc>
          <w:tcPr>
            <w:tcW w:w="2529" w:type="dxa"/>
            <w:vMerge/>
            <w:tcBorders>
              <w:left w:val="single" w:sz="4" w:space="0" w:color="000000"/>
              <w:right w:val="single" w:sz="4" w:space="0" w:color="000000"/>
            </w:tcBorders>
            <w:shd w:val="clear" w:color="auto" w:fill="D2D2D2"/>
          </w:tcPr>
          <w:p>
            <w:pPr/>
          </w:p>
        </w:tc>
        <w:tc>
          <w:tcPr>
            <w:tcW w:w="1430" w:type="dxa"/>
            <w:vMerge/>
            <w:tcBorders>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1419" w:type="dxa"/>
            <w:vMerge w:val="restart"/>
            <w:tcBorders>
              <w:top w:val="nil" w:sz="6" w:space="0" w:color="auto"/>
              <w:left w:val="single" w:sz="4" w:space="0" w:color="000000"/>
              <w:right w:val="single" w:sz="4" w:space="0" w:color="000000"/>
            </w:tcBorders>
            <w:shd w:val="clear" w:color="auto" w:fill="D2D2D2"/>
          </w:tcPr>
          <w:p>
            <w:pPr/>
          </w:p>
        </w:tc>
        <w:tc>
          <w:tcPr>
            <w:tcW w:w="1416" w:type="dxa"/>
            <w:vMerge/>
            <w:tcBorders>
              <w:left w:val="single" w:sz="4" w:space="0" w:color="000000"/>
              <w:bottom w:val="nil" w:sz="6" w:space="0" w:color="auto"/>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1416"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529" w:type="dxa"/>
            <w:vMerge/>
            <w:tcBorders>
              <w:left w:val="single" w:sz="4" w:space="0" w:color="000000"/>
              <w:bottom w:val="single" w:sz="4" w:space="0" w:color="000000"/>
              <w:right w:val="single" w:sz="4" w:space="0" w:color="000000"/>
            </w:tcBorders>
            <w:shd w:val="clear" w:color="auto" w:fill="D2D2D2"/>
          </w:tcPr>
          <w:p>
            <w:pPr/>
          </w:p>
        </w:tc>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1419" w:type="dxa"/>
            <w:vMerge/>
            <w:tcBorders>
              <w:left w:val="single" w:sz="4" w:space="0" w:color="000000"/>
              <w:bottom w:val="single" w:sz="4" w:space="0" w:color="000000"/>
              <w:right w:val="single" w:sz="4" w:space="0" w:color="000000"/>
            </w:tcBorders>
            <w:shd w:val="clear" w:color="auto" w:fill="D2D2D2"/>
          </w:tcPr>
          <w:p>
            <w:pPr/>
          </w:p>
        </w:tc>
        <w:tc>
          <w:tcPr>
            <w:tcW w:w="14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52"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1416"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1" w:right="191"/>
              <w:jc w:val="left"/>
              <w:rPr>
                <w:rFonts w:ascii="宋体" w:hAnsi="宋体" w:cs="宋体" w:eastAsia="宋体" w:hint="default"/>
                <w:sz w:val="21"/>
                <w:szCs w:val="21"/>
              </w:rPr>
            </w:pPr>
            <w:r>
              <w:rPr>
                <w:rFonts w:ascii="宋体" w:hAnsi="宋体" w:cs="宋体" w:eastAsia="宋体" w:hint="default"/>
                <w:spacing w:val="-2"/>
                <w:sz w:val="21"/>
                <w:szCs w:val="21"/>
              </w:rPr>
              <w:t>按信用风险特征组合计提</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坏账准备的应收账款</w:t>
            </w:r>
          </w:p>
        </w:tc>
        <w:tc>
          <w:tcPr>
            <w:tcW w:w="143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54" w:right="0"/>
              <w:jc w:val="center"/>
              <w:rPr>
                <w:rFonts w:ascii="Times New Roman" w:hAnsi="Times New Roman" w:cs="Times New Roman" w:eastAsia="Times New Roman" w:hint="default"/>
                <w:sz w:val="21"/>
                <w:szCs w:val="21"/>
              </w:rPr>
            </w:pPr>
            <w:r>
              <w:rPr>
                <w:rFonts w:ascii="Times New Roman"/>
                <w:sz w:val="21"/>
              </w:rPr>
              <w:t>194,576,888.96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41" w:right="0"/>
              <w:jc w:val="center"/>
              <w:rPr>
                <w:rFonts w:ascii="Times New Roman" w:hAnsi="Times New Roman" w:cs="Times New Roman" w:eastAsia="Times New Roman" w:hint="default"/>
                <w:sz w:val="21"/>
                <w:szCs w:val="21"/>
              </w:rPr>
            </w:pPr>
            <w:r>
              <w:rPr>
                <w:rFonts w:ascii="Times New Roman"/>
                <w:sz w:val="21"/>
              </w:rPr>
              <w:t>100.00%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1,072,214.52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0.55%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54" w:right="0"/>
              <w:jc w:val="center"/>
              <w:rPr>
                <w:rFonts w:ascii="Times New Roman" w:hAnsi="Times New Roman" w:cs="Times New Roman" w:eastAsia="Times New Roman" w:hint="default"/>
                <w:sz w:val="21"/>
                <w:szCs w:val="21"/>
              </w:rPr>
            </w:pPr>
            <w:r>
              <w:rPr>
                <w:rFonts w:ascii="Times New Roman"/>
                <w:sz w:val="21"/>
              </w:rPr>
              <w:t>193,504,674.44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356,277,169.71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z w:val="21"/>
              </w:rPr>
              <w:t>100.00%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2"/>
                <w:sz w:val="21"/>
              </w:rPr>
              <w:t>1,110,413.60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z w:val="21"/>
              </w:rPr>
              <w:t>0.31%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60" w:right="0"/>
              <w:jc w:val="center"/>
              <w:rPr>
                <w:rFonts w:ascii="Times New Roman" w:hAnsi="Times New Roman" w:cs="Times New Roman" w:eastAsia="Times New Roman" w:hint="default"/>
                <w:sz w:val="21"/>
                <w:szCs w:val="21"/>
              </w:rPr>
            </w:pPr>
            <w:r>
              <w:rPr>
                <w:rFonts w:ascii="Times New Roman"/>
                <w:sz w:val="21"/>
              </w:rPr>
              <w:t>355,166,756.11</w:t>
            </w:r>
          </w:p>
        </w:tc>
      </w:tr>
      <w:tr>
        <w:trPr>
          <w:trHeight w:val="401"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3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left="54" w:right="0"/>
              <w:jc w:val="center"/>
              <w:rPr>
                <w:rFonts w:ascii="Times New Roman" w:hAnsi="Times New Roman" w:cs="Times New Roman" w:eastAsia="Times New Roman" w:hint="default"/>
                <w:sz w:val="21"/>
                <w:szCs w:val="21"/>
              </w:rPr>
            </w:pPr>
            <w:r>
              <w:rPr>
                <w:rFonts w:ascii="Times New Roman"/>
                <w:sz w:val="21"/>
              </w:rPr>
              <w:t>194,576,888.96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1" w:right="0"/>
              <w:jc w:val="center"/>
              <w:rPr>
                <w:rFonts w:ascii="Times New Roman" w:hAnsi="Times New Roman" w:cs="Times New Roman" w:eastAsia="Times New Roman" w:hint="default"/>
                <w:sz w:val="21"/>
                <w:szCs w:val="21"/>
              </w:rPr>
            </w:pPr>
            <w:r>
              <w:rPr>
                <w:rFonts w:ascii="Times New Roman"/>
                <w:sz w:val="21"/>
              </w:rPr>
              <w:t>100.00%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1,072,214.52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0.55%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4" w:right="0"/>
              <w:jc w:val="center"/>
              <w:rPr>
                <w:rFonts w:ascii="Times New Roman" w:hAnsi="Times New Roman" w:cs="Times New Roman" w:eastAsia="Times New Roman" w:hint="default"/>
                <w:sz w:val="21"/>
                <w:szCs w:val="21"/>
              </w:rPr>
            </w:pPr>
            <w:r>
              <w:rPr>
                <w:rFonts w:ascii="Times New Roman"/>
                <w:sz w:val="21"/>
              </w:rPr>
              <w:t>193,504,674.44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356,277,169.71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100.00%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2"/>
                <w:sz w:val="21"/>
              </w:rPr>
              <w:t>1,110,413.60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0.31%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60" w:right="0"/>
              <w:jc w:val="center"/>
              <w:rPr>
                <w:rFonts w:ascii="Times New Roman" w:hAnsi="Times New Roman" w:cs="Times New Roman" w:eastAsia="Times New Roman" w:hint="default"/>
                <w:sz w:val="21"/>
                <w:szCs w:val="21"/>
              </w:rPr>
            </w:pPr>
            <w:r>
              <w:rPr>
                <w:rFonts w:ascii="Times New Roman"/>
                <w:sz w:val="21"/>
              </w:rPr>
              <w:t>355,166,756.11</w:t>
            </w:r>
          </w:p>
        </w:tc>
      </w:tr>
    </w:tbl>
    <w:p>
      <w:pPr>
        <w:pStyle w:val="BodyText"/>
        <w:tabs>
          <w:tab w:pos="12289" w:val="left" w:leader="none"/>
        </w:tabs>
        <w:spacing w:line="240" w:lineRule="auto" w:before="28"/>
        <w:ind w:left="0" w:right="198"/>
        <w:jc w:val="right"/>
      </w:pPr>
      <w:r>
        <w:rPr>
          <w:spacing w:val="-2"/>
        </w:rPr>
        <w:t>期末单项金额重大并单项计提坏账准备的应收账款：</w:t>
        <w:tab/>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spacing w:val="-1"/>
        </w:rPr>
        <w:t>不适用</w:t>
      </w:r>
    </w:p>
    <w:p>
      <w:pPr>
        <w:pStyle w:val="BodyText"/>
        <w:tabs>
          <w:tab w:pos="12287" w:val="left" w:leader="none"/>
        </w:tabs>
        <w:spacing w:line="240" w:lineRule="auto" w:before="62"/>
        <w:ind w:left="0" w:right="200"/>
        <w:jc w:val="right"/>
      </w:pPr>
      <w:r>
        <w:rPr>
          <w:spacing w:val="-2"/>
        </w:rPr>
        <w:t>组合中，按账龄分析法计提坏账准备的应收账款：</w:t>
        <w:tab/>
      </w:r>
      <w:r>
        <w:rPr>
          <w:rFonts w:ascii="Times New Roman" w:hAnsi="Times New Roman" w:cs="Times New Roman" w:eastAsia="Times New Roman" w:hint="default"/>
        </w:rPr>
        <w:t>√  </w:t>
      </w:r>
      <w:r>
        <w:rPr>
          <w:spacing w:val="-2"/>
        </w:rPr>
        <w:t>适用</w:t>
      </w:r>
      <w:r>
        <w:rPr/>
        <w:t> </w:t>
      </w:r>
      <w:r>
        <w:rPr>
          <w:rFonts w:ascii="Times New Roman" w:hAnsi="Times New Roman" w:cs="Times New Roman" w:eastAsia="Times New Roman" w:hint="default"/>
        </w:rPr>
        <w:t>□ </w:t>
      </w:r>
      <w:r>
        <w:rPr>
          <w:rFonts w:ascii="Times New Roman" w:hAnsi="Times New Roman" w:cs="Times New Roman" w:eastAsia="Times New Roman" w:hint="default"/>
          <w:spacing w:val="4"/>
        </w:rPr>
        <w:t> </w:t>
      </w:r>
      <w:r>
        <w:rPr>
          <w:spacing w:val="-1"/>
        </w:rPr>
        <w:t>不适用</w:t>
      </w:r>
    </w:p>
    <w:p>
      <w:pPr>
        <w:pStyle w:val="BodyText"/>
        <w:spacing w:line="240" w:lineRule="auto" w:before="59"/>
        <w:ind w:left="0" w:right="239"/>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35" w:type="dxa"/>
        <w:tblLayout w:type="fixed"/>
        <w:tblCellMar>
          <w:top w:w="0" w:type="dxa"/>
          <w:left w:w="0" w:type="dxa"/>
          <w:bottom w:w="0" w:type="dxa"/>
          <w:right w:w="0" w:type="dxa"/>
        </w:tblCellMar>
        <w:tblLook w:val="01E0"/>
      </w:tblPr>
      <w:tblGrid>
        <w:gridCol w:w="2552"/>
        <w:gridCol w:w="1315"/>
        <w:gridCol w:w="2465"/>
        <w:gridCol w:w="3780"/>
        <w:gridCol w:w="3781"/>
      </w:tblGrid>
      <w:tr>
        <w:trPr>
          <w:trHeight w:val="403" w:hRule="exact"/>
        </w:trPr>
        <w:tc>
          <w:tcPr>
            <w:tcW w:w="25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1134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401" w:hRule="exact"/>
        </w:trPr>
        <w:tc>
          <w:tcPr>
            <w:tcW w:w="2552" w:type="dxa"/>
            <w:vMerge/>
            <w:tcBorders>
              <w:left w:val="single" w:sz="4" w:space="0" w:color="000000"/>
              <w:bottom w:val="single" w:sz="4" w:space="0" w:color="000000"/>
              <w:right w:val="single" w:sz="4" w:space="0" w:color="000000"/>
            </w:tcBorders>
            <w:shd w:val="clear" w:color="auto" w:fill="D2D2D2"/>
          </w:tcPr>
          <w:p>
            <w:pPr/>
          </w:p>
        </w:tc>
        <w:tc>
          <w:tcPr>
            <w:tcW w:w="37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应收账款</w:t>
            </w:r>
          </w:p>
        </w:tc>
        <w:tc>
          <w:tcPr>
            <w:tcW w:w="3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坏账准备</w:t>
            </w:r>
          </w:p>
        </w:tc>
        <w:tc>
          <w:tcPr>
            <w:tcW w:w="3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计提比例</w:t>
            </w:r>
          </w:p>
        </w:tc>
      </w:tr>
      <w:tr>
        <w:trPr>
          <w:trHeight w:val="403" w:hRule="exact"/>
        </w:trPr>
        <w:tc>
          <w:tcPr>
            <w:tcW w:w="138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年以内分项</w:t>
            </w: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个月以内（含</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个月）</w:t>
            </w:r>
          </w:p>
        </w:tc>
        <w:tc>
          <w:tcPr>
            <w:tcW w:w="37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436" w:right="0"/>
              <w:jc w:val="left"/>
              <w:rPr>
                <w:rFonts w:ascii="Times New Roman" w:hAnsi="Times New Roman" w:cs="Times New Roman" w:eastAsia="Times New Roman" w:hint="default"/>
                <w:sz w:val="21"/>
                <w:szCs w:val="21"/>
              </w:rPr>
            </w:pPr>
            <w:r>
              <w:rPr>
                <w:rFonts w:ascii="Times New Roman"/>
                <w:sz w:val="21"/>
              </w:rPr>
              <w:t>182,618,720.02</w:t>
            </w:r>
          </w:p>
        </w:tc>
        <w:tc>
          <w:tcPr>
            <w:tcW w:w="3780" w:type="dxa"/>
            <w:tcBorders>
              <w:top w:val="single" w:sz="4" w:space="0" w:color="000000"/>
              <w:left w:val="single" w:sz="4" w:space="0" w:color="000000"/>
              <w:bottom w:val="single" w:sz="4" w:space="0" w:color="000000"/>
              <w:right w:val="single" w:sz="4" w:space="0" w:color="000000"/>
            </w:tcBorders>
          </w:tcPr>
          <w:p>
            <w:pPr/>
          </w:p>
        </w:tc>
        <w:tc>
          <w:tcPr>
            <w:tcW w:w="378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52"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个月至</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pacing w:val="-20"/>
                <w:sz w:val="21"/>
                <w:szCs w:val="21"/>
              </w:rPr>
              <w:t>个月（含</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w:t>
            </w:r>
          </w:p>
        </w:tc>
        <w:tc>
          <w:tcPr>
            <w:tcW w:w="1315" w:type="dxa"/>
            <w:tcBorders>
              <w:top w:val="single" w:sz="4" w:space="0" w:color="000000"/>
              <w:left w:val="single" w:sz="10" w:space="0" w:color="FFFFFF"/>
              <w:bottom w:val="single" w:sz="4" w:space="0" w:color="000000"/>
              <w:right w:val="nil" w:sz="6" w:space="0" w:color="auto"/>
            </w:tcBorders>
          </w:tcPr>
          <w:p>
            <w:pPr/>
          </w:p>
        </w:tc>
        <w:tc>
          <w:tcPr>
            <w:tcW w:w="24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38" w:right="0"/>
              <w:jc w:val="left"/>
              <w:rPr>
                <w:rFonts w:ascii="Times New Roman" w:hAnsi="Times New Roman" w:cs="Times New Roman" w:eastAsia="Times New Roman" w:hint="default"/>
                <w:sz w:val="21"/>
                <w:szCs w:val="21"/>
              </w:rPr>
            </w:pPr>
            <w:r>
              <w:rPr>
                <w:rFonts w:ascii="Times New Roman"/>
                <w:sz w:val="21"/>
              </w:rPr>
              <w:t>11,333,345.59</w:t>
            </w: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566,667.28</w:t>
            </w:r>
          </w:p>
        </w:tc>
        <w:tc>
          <w:tcPr>
            <w:tcW w:w="3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5.00%</w:t>
            </w: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个月至</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年（含</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37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238,552.22</w:t>
            </w: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3"/>
                <w:sz w:val="21"/>
              </w:rPr>
              <w:t>119,276.11</w:t>
            </w:r>
          </w:p>
        </w:tc>
        <w:tc>
          <w:tcPr>
            <w:tcW w:w="3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50.00%</w:t>
            </w: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年以内小计</w:t>
            </w:r>
          </w:p>
        </w:tc>
        <w:tc>
          <w:tcPr>
            <w:tcW w:w="37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436" w:right="0"/>
              <w:jc w:val="left"/>
              <w:rPr>
                <w:rFonts w:ascii="Times New Roman" w:hAnsi="Times New Roman" w:cs="Times New Roman" w:eastAsia="Times New Roman" w:hint="default"/>
                <w:sz w:val="21"/>
                <w:szCs w:val="21"/>
              </w:rPr>
            </w:pPr>
            <w:r>
              <w:rPr>
                <w:rFonts w:ascii="Times New Roman"/>
                <w:sz w:val="21"/>
              </w:rPr>
              <w:t>194,190,617.83</w:t>
            </w: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685,943.39</w:t>
            </w:r>
          </w:p>
        </w:tc>
        <w:tc>
          <w:tcPr>
            <w:tcW w:w="3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0.35%</w:t>
            </w: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37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386,271.13</w:t>
            </w: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386,271.13</w:t>
            </w:r>
          </w:p>
        </w:tc>
        <w:tc>
          <w:tcPr>
            <w:tcW w:w="3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100.00%</w:t>
            </w: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7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436" w:right="0"/>
              <w:jc w:val="left"/>
              <w:rPr>
                <w:rFonts w:ascii="Times New Roman" w:hAnsi="Times New Roman" w:cs="Times New Roman" w:eastAsia="Times New Roman" w:hint="default"/>
                <w:sz w:val="21"/>
                <w:szCs w:val="21"/>
              </w:rPr>
            </w:pPr>
            <w:r>
              <w:rPr>
                <w:rFonts w:ascii="Times New Roman"/>
                <w:sz w:val="21"/>
              </w:rPr>
              <w:t>194,576,888.96</w:t>
            </w: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1,072,214.52</w:t>
            </w:r>
          </w:p>
        </w:tc>
        <w:tc>
          <w:tcPr>
            <w:tcW w:w="3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0.55%</w:t>
            </w:r>
          </w:p>
        </w:tc>
      </w:tr>
    </w:tbl>
    <w:p>
      <w:pPr>
        <w:spacing w:before="7"/>
        <w:ind w:left="0" w:right="134" w:firstLine="0"/>
        <w:jc w:val="right"/>
        <w:rPr>
          <w:rFonts w:ascii="Times New Roman" w:hAnsi="Times New Roman" w:cs="Times New Roman" w:eastAsia="Times New Roman" w:hint="default"/>
          <w:sz w:val="18"/>
          <w:szCs w:val="18"/>
        </w:rPr>
      </w:pPr>
      <w:r>
        <w:rPr/>
        <w:pict>
          <v:shape style="position:absolute;margin-left:172.100006pt;margin-top:-100.587654pt;width:215.2pt;height:19.7pt;mso-position-horizontal-relative:page;mso-position-vertical-relative:paragraph;z-index:-665464" type="#_x0000_t202" filled="false" stroked="false">
            <v:textbox inset="0,0,0,0">
              <w:txbxContent>
                <w:p>
                  <w:pPr>
                    <w:pStyle w:val="BodyText"/>
                    <w:spacing w:line="240" w:lineRule="auto" w:before="28"/>
                    <w:ind w:left="0" w:right="0"/>
                    <w:jc w:val="left"/>
                  </w:pPr>
                  <w:r>
                    <w:rPr>
                      <w:spacing w:val="-3"/>
                    </w:rPr>
                    <w:t>个月）</w:t>
                  </w:r>
                  <w:r>
                    <w:rPr/>
                  </w:r>
                </w:p>
              </w:txbxContent>
            </v:textbox>
            <w10:wrap type="none"/>
          </v:shape>
        </w:pict>
      </w:r>
      <w:r>
        <w:rPr/>
        <w:pict>
          <v:group style="position:absolute;margin-left:201.020004pt;margin-top:-100.587654pt;width:186.3pt;height:19.7pt;mso-position-horizontal-relative:page;mso-position-vertical-relative:paragraph;z-index:-665416" coordorigin="4020,-2012" coordsize="3726,394">
            <v:shape style="position:absolute;left:4020;top:-2012;width:3726;height:394" coordorigin="4020,-2012" coordsize="3726,394" path="m4020,-1618l7746,-1618,7746,-2012,4020,-2012,4020,-1618xe" filled="true" fillcolor="#ffffff" stroked="false">
              <v:path arrowok="t"/>
              <v:fill type="solid"/>
            </v:shape>
            <w10:wrap type="none"/>
          </v:group>
        </w:pict>
      </w:r>
      <w:r>
        <w:rPr>
          <w:rFonts w:ascii="Times New Roman"/>
          <w:spacing w:val="-2"/>
          <w:sz w:val="18"/>
        </w:rPr>
        <w:t>116</w:t>
      </w:r>
    </w:p>
    <w:p>
      <w:pPr>
        <w:spacing w:after="0"/>
        <w:jc w:val="right"/>
        <w:rPr>
          <w:rFonts w:ascii="Times New Roman" w:hAnsi="Times New Roman" w:cs="Times New Roman" w:eastAsia="Times New Roman" w:hint="default"/>
          <w:sz w:val="18"/>
          <w:szCs w:val="18"/>
        </w:rPr>
        <w:sectPr>
          <w:type w:val="continuous"/>
          <w:pgSz w:w="16840" w:h="11910" w:orient="landscape"/>
          <w:pgMar w:top="1060" w:bottom="1160" w:left="1300" w:right="1300"/>
        </w:sectPr>
      </w:pPr>
    </w:p>
    <w:p>
      <w:pPr>
        <w:spacing w:line="240" w:lineRule="auto" w:before="8"/>
        <w:rPr>
          <w:rFonts w:ascii="Times New Roman" w:hAnsi="Times New Roman" w:cs="Times New Roman" w:eastAsia="Times New Roman" w:hint="default"/>
          <w:sz w:val="23"/>
          <w:szCs w:val="23"/>
        </w:rPr>
      </w:pPr>
    </w:p>
    <w:p>
      <w:pPr>
        <w:pStyle w:val="BodyText"/>
        <w:tabs>
          <w:tab w:pos="8139" w:val="left" w:leader="none"/>
        </w:tabs>
        <w:spacing w:line="290" w:lineRule="auto" w:before="36"/>
        <w:ind w:right="147"/>
        <w:jc w:val="left"/>
      </w:pPr>
      <w:r>
        <w:rPr>
          <w:spacing w:val="-2"/>
        </w:rPr>
        <w:t>确定该组合依据的说明：公司根据以前年度与之相同或相类似的、具有类似信用风险特征的应收款项组合</w:t>
      </w:r>
      <w:r>
        <w:rPr>
          <w:spacing w:val="-42"/>
        </w:rPr>
        <w:t> </w:t>
      </w:r>
      <w:r>
        <w:rPr>
          <w:spacing w:val="-42"/>
        </w:rPr>
      </w:r>
      <w:r>
        <w:rPr/>
        <w:t>的实际损失率为基础，结合现时情况确定本期各项组合计提坏账准备的比例。</w:t>
      </w:r>
      <w:r>
        <w:rPr>
          <w:w w:val="100"/>
        </w:rPr>
        <w:t> </w:t>
      </w:r>
      <w:r>
        <w:rPr>
          <w:spacing w:val="-2"/>
        </w:rPr>
        <w:t>组合中，采用余额百分比法计提坏账准备的应收账款：</w:t>
        <w:tab/>
      </w:r>
      <w:r>
        <w:rPr>
          <w:rFonts w:ascii="Times New Roman" w:hAnsi="Times New Roman" w:cs="Times New Roman" w:eastAsia="Times New Roman" w:hint="default"/>
        </w:rPr>
        <w:t>□  </w:t>
      </w:r>
      <w:r>
        <w:rPr>
          <w:spacing w:val="-2"/>
        </w:rPr>
        <w:t>适用</w:t>
      </w:r>
      <w:r>
        <w:rPr/>
        <w:t>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spacing w:val="-1"/>
        </w:rPr>
        <w:t>不适用</w:t>
      </w:r>
    </w:p>
    <w:p>
      <w:pPr>
        <w:pStyle w:val="BodyText"/>
        <w:tabs>
          <w:tab w:pos="8137" w:val="left" w:leader="none"/>
        </w:tabs>
        <w:spacing w:line="240" w:lineRule="auto" w:before="11"/>
        <w:ind w:right="0"/>
        <w:jc w:val="left"/>
      </w:pPr>
      <w:r>
        <w:rPr>
          <w:spacing w:val="-2"/>
        </w:rPr>
        <w:t>组合中，采用其他方法计提坏账准备的应收账款：</w:t>
        <w:tab/>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spacing w:val="-1"/>
        </w:rPr>
        <w:t>不适用</w:t>
      </w:r>
    </w:p>
    <w:p>
      <w:pPr>
        <w:pStyle w:val="Heading4"/>
        <w:spacing w:line="240" w:lineRule="auto" w:before="62"/>
        <w:ind w:right="0"/>
        <w:jc w:val="left"/>
        <w:rPr>
          <w:b w:val="0"/>
          <w:bCs w:val="0"/>
        </w:rPr>
      </w:pPr>
      <w:r>
        <w:rPr/>
        <w:t>（</w:t>
      </w:r>
      <w:r>
        <w:rPr>
          <w:rFonts w:ascii="Times New Roman" w:hAnsi="Times New Roman" w:cs="Times New Roman" w:eastAsia="Times New Roman" w:hint="default"/>
        </w:rPr>
        <w:t>2</w:t>
      </w:r>
      <w:r>
        <w:rPr/>
        <w:t>）本期计提坏账准备</w:t>
      </w:r>
      <w:r>
        <w:rPr>
          <w:rFonts w:ascii="Times New Roman" w:hAnsi="Times New Roman" w:cs="Times New Roman" w:eastAsia="Times New Roman" w:hint="default"/>
        </w:rPr>
        <w:t>-38,199.08</w:t>
      </w:r>
      <w:r>
        <w:rPr>
          <w:rFonts w:ascii="Times New Roman" w:hAnsi="Times New Roman" w:cs="Times New Roman" w:eastAsia="Times New Roman" w:hint="default"/>
          <w:spacing w:val="-2"/>
        </w:rPr>
        <w:t> </w:t>
      </w:r>
      <w:r>
        <w:rPr/>
        <w:t>元；本期无收回或转回的坏账准备。</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）本期无实际核销的应收账款。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7"/>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387"/>
        <w:gridCol w:w="1802"/>
        <w:gridCol w:w="1791"/>
        <w:gridCol w:w="1791"/>
        <w:gridCol w:w="1790"/>
      </w:tblGrid>
      <w:tr>
        <w:trPr>
          <w:trHeight w:val="122" w:hRule="exact"/>
        </w:trPr>
        <w:tc>
          <w:tcPr>
            <w:tcW w:w="2387" w:type="dxa"/>
            <w:tcBorders>
              <w:top w:val="single" w:sz="4" w:space="0" w:color="000000"/>
              <w:left w:val="single" w:sz="4" w:space="0" w:color="000000"/>
              <w:bottom w:val="nil" w:sz="6" w:space="0" w:color="auto"/>
              <w:right w:val="single" w:sz="4" w:space="0" w:color="000000"/>
            </w:tcBorders>
            <w:shd w:val="clear" w:color="auto" w:fill="D2D2D2"/>
          </w:tcPr>
          <w:p>
            <w:pPr/>
          </w:p>
        </w:tc>
        <w:tc>
          <w:tcPr>
            <w:tcW w:w="1802" w:type="dxa"/>
            <w:tcBorders>
              <w:top w:val="single" w:sz="4" w:space="0" w:color="000000"/>
              <w:left w:val="single" w:sz="4" w:space="0" w:color="000000"/>
              <w:bottom w:val="nil" w:sz="6" w:space="0" w:color="auto"/>
              <w:right w:val="single" w:sz="4" w:space="0" w:color="000000"/>
            </w:tcBorders>
            <w:shd w:val="clear" w:color="auto" w:fill="D2D2D2"/>
          </w:tcPr>
          <w:p>
            <w:pPr/>
          </w:p>
        </w:tc>
        <w:tc>
          <w:tcPr>
            <w:tcW w:w="1791" w:type="dxa"/>
            <w:vMerge w:val="restart"/>
            <w:tcBorders>
              <w:top w:val="single" w:sz="4" w:space="0" w:color="000000"/>
              <w:left w:val="single" w:sz="4" w:space="0" w:color="000000"/>
              <w:right w:val="single" w:sz="4" w:space="0" w:color="000000"/>
            </w:tcBorders>
            <w:shd w:val="clear" w:color="auto" w:fill="D2D2D2"/>
          </w:tcPr>
          <w:p>
            <w:pPr>
              <w:pStyle w:val="TableParagraph"/>
              <w:spacing w:line="262" w:lineRule="exact"/>
              <w:ind w:left="47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791"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ind w:left="573" w:right="46" w:hanging="524"/>
              <w:jc w:val="left"/>
              <w:rPr>
                <w:rFonts w:ascii="宋体" w:hAnsi="宋体" w:cs="宋体" w:eastAsia="宋体" w:hint="default"/>
                <w:sz w:val="21"/>
                <w:szCs w:val="21"/>
              </w:rPr>
            </w:pPr>
            <w:r>
              <w:rPr>
                <w:rFonts w:ascii="宋体" w:hAnsi="宋体" w:cs="宋体" w:eastAsia="宋体" w:hint="default"/>
                <w:sz w:val="21"/>
                <w:szCs w:val="21"/>
              </w:rPr>
              <w:t>占应收账款合计数</w:t>
            </w:r>
            <w:r>
              <w:rPr>
                <w:rFonts w:ascii="宋体" w:hAnsi="宋体" w:cs="宋体" w:eastAsia="宋体" w:hint="default"/>
                <w:w w:val="100"/>
                <w:sz w:val="21"/>
                <w:szCs w:val="21"/>
              </w:rPr>
              <w:t> </w:t>
            </w:r>
            <w:r>
              <w:rPr>
                <w:rFonts w:ascii="宋体" w:hAnsi="宋体" w:cs="宋体" w:eastAsia="宋体" w:hint="default"/>
                <w:sz w:val="21"/>
                <w:szCs w:val="21"/>
              </w:rPr>
              <w:t>的比例</w:t>
            </w:r>
          </w:p>
        </w:tc>
        <w:tc>
          <w:tcPr>
            <w:tcW w:w="1790" w:type="dxa"/>
            <w:vMerge w:val="restart"/>
            <w:tcBorders>
              <w:top w:val="single" w:sz="4" w:space="0" w:color="000000"/>
              <w:left w:val="single" w:sz="4" w:space="0" w:color="000000"/>
              <w:right w:val="single" w:sz="4" w:space="0" w:color="000000"/>
            </w:tcBorders>
            <w:shd w:val="clear" w:color="auto" w:fill="D2D2D2"/>
          </w:tcPr>
          <w:p>
            <w:pPr>
              <w:pStyle w:val="TableParagraph"/>
              <w:spacing w:line="262" w:lineRule="exact"/>
              <w:ind w:left="470"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194" w:hRule="exact"/>
        </w:trPr>
        <w:tc>
          <w:tcPr>
            <w:tcW w:w="238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768"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80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481"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791" w:type="dxa"/>
            <w:vMerge/>
            <w:tcBorders>
              <w:left w:val="single" w:sz="4" w:space="0" w:color="000000"/>
              <w:bottom w:val="nil" w:sz="6" w:space="0" w:color="auto"/>
              <w:right w:val="single" w:sz="4" w:space="0" w:color="000000"/>
            </w:tcBorders>
            <w:shd w:val="clear" w:color="auto" w:fill="D2D2D2"/>
          </w:tcPr>
          <w:p>
            <w:pPr/>
          </w:p>
        </w:tc>
        <w:tc>
          <w:tcPr>
            <w:tcW w:w="1791" w:type="dxa"/>
            <w:vMerge/>
            <w:tcBorders>
              <w:left w:val="single" w:sz="4" w:space="0" w:color="000000"/>
              <w:right w:val="single" w:sz="4" w:space="0" w:color="000000"/>
            </w:tcBorders>
            <w:shd w:val="clear" w:color="auto" w:fill="D2D2D2"/>
          </w:tcPr>
          <w:p>
            <w:pPr/>
          </w:p>
        </w:tc>
        <w:tc>
          <w:tcPr>
            <w:tcW w:w="1790"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2387" w:type="dxa"/>
            <w:vMerge/>
            <w:tcBorders>
              <w:left w:val="single" w:sz="4" w:space="0" w:color="000000"/>
              <w:bottom w:val="single" w:sz="4" w:space="0" w:color="000000"/>
              <w:right w:val="single" w:sz="4" w:space="0" w:color="000000"/>
            </w:tcBorders>
            <w:shd w:val="clear" w:color="auto" w:fill="D2D2D2"/>
          </w:tcPr>
          <w:p>
            <w:pPr/>
          </w:p>
        </w:tc>
        <w:tc>
          <w:tcPr>
            <w:tcW w:w="1802" w:type="dxa"/>
            <w:vMerge/>
            <w:tcBorders>
              <w:left w:val="single" w:sz="4" w:space="0" w:color="000000"/>
              <w:bottom w:val="single" w:sz="4" w:space="0" w:color="000000"/>
              <w:right w:val="single" w:sz="4" w:space="0" w:color="000000"/>
            </w:tcBorders>
            <w:shd w:val="clear" w:color="auto" w:fill="D2D2D2"/>
          </w:tcPr>
          <w:p>
            <w:pPr/>
          </w:p>
        </w:tc>
        <w:tc>
          <w:tcPr>
            <w:tcW w:w="1791" w:type="dxa"/>
            <w:tcBorders>
              <w:top w:val="nil" w:sz="6" w:space="0" w:color="auto"/>
              <w:left w:val="single" w:sz="4" w:space="0" w:color="000000"/>
              <w:bottom w:val="single" w:sz="4" w:space="0" w:color="000000"/>
              <w:right w:val="single" w:sz="4" w:space="0" w:color="000000"/>
            </w:tcBorders>
            <w:shd w:val="clear" w:color="auto" w:fill="D2D2D2"/>
          </w:tcPr>
          <w:p>
            <w:pPr/>
          </w:p>
        </w:tc>
        <w:tc>
          <w:tcPr>
            <w:tcW w:w="1791" w:type="dxa"/>
            <w:vMerge/>
            <w:tcBorders>
              <w:left w:val="single" w:sz="4" w:space="0" w:color="000000"/>
              <w:bottom w:val="single" w:sz="4" w:space="0" w:color="000000"/>
              <w:right w:val="single" w:sz="4" w:space="0" w:color="000000"/>
            </w:tcBorders>
            <w:shd w:val="clear" w:color="auto" w:fill="D2D2D2"/>
          </w:tcPr>
          <w:p>
            <w:pPr/>
          </w:p>
        </w:tc>
        <w:tc>
          <w:tcPr>
            <w:tcW w:w="179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2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第一名</w:t>
            </w:r>
          </w:p>
        </w:tc>
        <w:tc>
          <w:tcPr>
            <w:tcW w:w="1802" w:type="dxa"/>
            <w:tcBorders>
              <w:top w:val="single" w:sz="46" w:space="0" w:color="D2D2D2"/>
              <w:left w:val="single" w:sz="10" w:space="0" w:color="D2D2D2"/>
              <w:bottom w:val="single" w:sz="4" w:space="0" w:color="000000"/>
              <w:right w:val="single" w:sz="4" w:space="0" w:color="000000"/>
            </w:tcBorders>
          </w:tcPr>
          <w:p>
            <w:pPr>
              <w:pStyle w:val="TableParagraph"/>
              <w:spacing w:line="223" w:lineRule="exact"/>
              <w:ind w:right="19"/>
              <w:jc w:val="right"/>
              <w:rPr>
                <w:rFonts w:ascii="Times New Roman" w:hAnsi="Times New Roman" w:cs="Times New Roman" w:eastAsia="Times New Roman" w:hint="default"/>
                <w:sz w:val="21"/>
                <w:szCs w:val="21"/>
              </w:rPr>
            </w:pPr>
            <w:r>
              <w:rPr>
                <w:rFonts w:ascii="Times New Roman"/>
                <w:spacing w:val="-1"/>
                <w:sz w:val="21"/>
              </w:rPr>
              <w:t>124,542,639.01</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124,583,516.71</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sz w:val="21"/>
              </w:rPr>
              <w:t>64.03%</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40,877.70</w:t>
            </w:r>
          </w:p>
        </w:tc>
      </w:tr>
      <w:tr>
        <w:trPr>
          <w:trHeight w:val="324"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2" w:right="0"/>
              <w:jc w:val="left"/>
              <w:rPr>
                <w:rFonts w:ascii="宋体" w:hAnsi="宋体" w:cs="宋体" w:eastAsia="宋体" w:hint="default"/>
                <w:sz w:val="21"/>
                <w:szCs w:val="21"/>
              </w:rPr>
            </w:pPr>
            <w:r>
              <w:rPr>
                <w:rFonts w:ascii="宋体" w:hAnsi="宋体" w:cs="宋体" w:eastAsia="宋体" w:hint="default"/>
                <w:sz w:val="21"/>
                <w:szCs w:val="21"/>
              </w:rPr>
              <w:t>第二名</w:t>
            </w:r>
          </w:p>
        </w:tc>
        <w:tc>
          <w:tcPr>
            <w:tcW w:w="1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21"/>
                <w:szCs w:val="21"/>
              </w:rPr>
            </w:pPr>
            <w:r>
              <w:rPr>
                <w:rFonts w:ascii="Times New Roman"/>
                <w:spacing w:val="-1"/>
                <w:sz w:val="21"/>
              </w:rPr>
              <w:t>12,876,674.75</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21"/>
                <w:szCs w:val="21"/>
              </w:rPr>
            </w:pPr>
            <w:r>
              <w:rPr>
                <w:rFonts w:ascii="Times New Roman"/>
                <w:spacing w:val="-1"/>
                <w:sz w:val="21"/>
              </w:rPr>
              <w:t>12,876,774.75</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8"/>
              <w:jc w:val="right"/>
              <w:rPr>
                <w:rFonts w:ascii="Times New Roman" w:hAnsi="Times New Roman" w:cs="Times New Roman" w:eastAsia="Times New Roman" w:hint="default"/>
                <w:sz w:val="21"/>
                <w:szCs w:val="21"/>
              </w:rPr>
            </w:pPr>
            <w:r>
              <w:rPr>
                <w:rFonts w:ascii="Times New Roman"/>
                <w:sz w:val="21"/>
              </w:rPr>
              <w:t>6.62%</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21"/>
                <w:szCs w:val="21"/>
              </w:rPr>
            </w:pPr>
            <w:r>
              <w:rPr>
                <w:rFonts w:ascii="Times New Roman"/>
                <w:sz w:val="21"/>
              </w:rPr>
              <w:t>100.00</w:t>
            </w:r>
          </w:p>
        </w:tc>
      </w:tr>
      <w:tr>
        <w:trPr>
          <w:trHeight w:val="32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第三名</w:t>
            </w:r>
          </w:p>
        </w:tc>
        <w:tc>
          <w:tcPr>
            <w:tcW w:w="1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9,922,505.26</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10,112,025.68</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sz w:val="21"/>
              </w:rPr>
              <w:t>5.20%</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189,520.42</w:t>
            </w:r>
          </w:p>
        </w:tc>
      </w:tr>
      <w:tr>
        <w:trPr>
          <w:trHeight w:val="32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第四名</w:t>
            </w:r>
          </w:p>
        </w:tc>
        <w:tc>
          <w:tcPr>
            <w:tcW w:w="1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7,555,128.13</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7,797,925.82</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sz w:val="21"/>
              </w:rPr>
              <w:t>4.01%</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242,797.69</w:t>
            </w:r>
          </w:p>
        </w:tc>
      </w:tr>
      <w:tr>
        <w:trPr>
          <w:trHeight w:val="32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第五名</w:t>
            </w:r>
          </w:p>
        </w:tc>
        <w:tc>
          <w:tcPr>
            <w:tcW w:w="1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7,368,812.64</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7,578,749.43</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sz w:val="21"/>
              </w:rPr>
              <w:t>3.89%</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209,936.79</w:t>
            </w:r>
          </w:p>
        </w:tc>
      </w:tr>
      <w:tr>
        <w:trPr>
          <w:trHeight w:val="32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162,265,759.79</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162,948,992.39</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sz w:val="21"/>
              </w:rPr>
              <w:t>83.75%</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683,232.60</w:t>
            </w:r>
          </w:p>
        </w:tc>
      </w:tr>
    </w:tbl>
    <w:p>
      <w:pPr>
        <w:spacing w:line="240" w:lineRule="auto" w:before="3"/>
        <w:rPr>
          <w:rFonts w:ascii="宋体" w:hAnsi="宋体" w:cs="宋体" w:eastAsia="宋体" w:hint="default"/>
          <w:b/>
          <w:bCs/>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5</w:t>
      </w:r>
      <w:r>
        <w:rPr/>
        <w:t>）本期无因金融资产转移而终止确认的应收账款。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6</w:t>
      </w:r>
      <w:r>
        <w:rPr/>
        <w:t>）本期无转移应收账款且继续涉入形成的资产、负债。</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5"/>
          <w:szCs w:val="25"/>
        </w:rPr>
      </w:pPr>
    </w:p>
    <w:p>
      <w:pPr>
        <w:spacing w:before="76"/>
        <w:ind w:left="0" w:right="150" w:firstLine="0"/>
        <w:jc w:val="right"/>
        <w:rPr>
          <w:rFonts w:ascii="Times New Roman" w:hAnsi="Times New Roman" w:cs="Times New Roman" w:eastAsia="Times New Roman" w:hint="default"/>
          <w:sz w:val="18"/>
          <w:szCs w:val="18"/>
        </w:rPr>
      </w:pPr>
      <w:r>
        <w:rPr>
          <w:rFonts w:ascii="Times New Roman"/>
          <w:spacing w:val="-2"/>
          <w:sz w:val="18"/>
        </w:rPr>
        <w:t>117</w:t>
      </w:r>
    </w:p>
    <w:p>
      <w:pPr>
        <w:spacing w:after="0"/>
        <w:jc w:val="right"/>
        <w:rPr>
          <w:rFonts w:ascii="Times New Roman" w:hAnsi="Times New Roman" w:cs="Times New Roman" w:eastAsia="Times New Roman" w:hint="default"/>
          <w:sz w:val="18"/>
          <w:szCs w:val="18"/>
        </w:rPr>
        <w:sectPr>
          <w:headerReference w:type="default" r:id="rId42"/>
          <w:footerReference w:type="default" r:id="rId43"/>
          <w:pgSz w:w="11910" w:h="16840"/>
          <w:pgMar w:header="877" w:footer="0" w:top="1100" w:bottom="280" w:left="980" w:right="980"/>
        </w:sectPr>
      </w:pPr>
    </w:p>
    <w:p>
      <w:pPr>
        <w:spacing w:line="240" w:lineRule="auto" w:before="4"/>
        <w:rPr>
          <w:rFonts w:ascii="Times New Roman" w:hAnsi="Times New Roman" w:cs="Times New Roman" w:eastAsia="Times New Roman" w:hint="default"/>
          <w:sz w:val="27"/>
          <w:szCs w:val="27"/>
        </w:rPr>
      </w:pPr>
    </w:p>
    <w:p>
      <w:pPr>
        <w:pStyle w:val="Heading4"/>
        <w:spacing w:line="240" w:lineRule="auto"/>
        <w:ind w:left="140" w:right="-18"/>
        <w:jc w:val="left"/>
        <w:rPr>
          <w:b w:val="0"/>
          <w:bCs w:val="0"/>
        </w:rPr>
      </w:pPr>
      <w:r>
        <w:rPr/>
        <w:pict>
          <v:group style="position:absolute;margin-left:70.559998pt;margin-top:-.476309pt;width:700.9pt;height:.1pt;mso-position-horizontal-relative:page;mso-position-vertical-relative:paragraph;z-index:3424" coordorigin="1411,-10" coordsize="14018,2">
            <v:shape style="position:absolute;left:1411;top:-10;width:14018;height:2" coordorigin="1411,-10" coordsize="14018,0" path="m1411,-10l15429,-10e" filled="false" stroked="true" strokeweight=".72pt" strokecolor="#000000">
              <v:path arrowok="t"/>
            </v:shape>
            <w10:wrap type="none"/>
          </v:group>
        </w:pict>
      </w:r>
      <w:r>
        <w:rPr>
          <w:rFonts w:ascii="Times New Roman" w:hAnsi="Times New Roman" w:cs="Times New Roman" w:eastAsia="Times New Roman" w:hint="default"/>
        </w:rPr>
        <w:t>2</w:t>
      </w:r>
      <w:r>
        <w:rPr/>
        <w:t>、其他应收款</w:t>
      </w:r>
      <w:r>
        <w:rPr>
          <w:b w:val="0"/>
          <w:bCs w:val="0"/>
        </w:rPr>
      </w:r>
    </w:p>
    <w:p>
      <w:pPr>
        <w:spacing w:before="15"/>
        <w:ind w:left="140"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广东华声电器股份有限公司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p>
      <w:pPr>
        <w:spacing w:after="0"/>
        <w:jc w:val="left"/>
        <w:rPr>
          <w:rFonts w:ascii="宋体" w:hAnsi="宋体" w:cs="宋体" w:eastAsia="宋体" w:hint="default"/>
          <w:sz w:val="18"/>
          <w:szCs w:val="18"/>
        </w:rPr>
        <w:sectPr>
          <w:headerReference w:type="default" r:id="rId44"/>
          <w:footerReference w:type="default" r:id="rId45"/>
          <w:pgSz w:w="16840" w:h="11910" w:orient="landscape"/>
          <w:pgMar w:header="0" w:footer="0" w:top="800" w:bottom="280" w:left="1300" w:right="1300"/>
          <w:cols w:num="2" w:equalWidth="0">
            <w:col w:w="1513" w:space="8755"/>
            <w:col w:w="3972"/>
          </w:cols>
        </w:sectPr>
      </w:pPr>
    </w:p>
    <w:p>
      <w:pPr>
        <w:spacing w:line="240" w:lineRule="auto" w:before="13"/>
        <w:rPr>
          <w:rFonts w:ascii="宋体" w:hAnsi="宋体" w:cs="宋体" w:eastAsia="宋体" w:hint="default"/>
          <w:sz w:val="21"/>
          <w:szCs w:val="21"/>
        </w:rPr>
      </w:pPr>
    </w:p>
    <w:p>
      <w:pPr>
        <w:tabs>
          <w:tab w:pos="13106" w:val="left" w:leader="none"/>
        </w:tabs>
        <w:spacing w:before="36"/>
        <w:ind w:left="140" w:right="0"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Times New Roman" w:hAnsi="Times New Roman" w:cs="Times New Roman" w:eastAsia="Times New Roman" w:hint="default"/>
          <w:b/>
          <w:bCs/>
          <w:spacing w:val="-1"/>
          <w:sz w:val="21"/>
          <w:szCs w:val="21"/>
        </w:rPr>
        <w:t>1</w:t>
      </w:r>
      <w:r>
        <w:rPr>
          <w:rFonts w:ascii="宋体" w:hAnsi="宋体" w:cs="宋体" w:eastAsia="宋体" w:hint="default"/>
          <w:b/>
          <w:bCs/>
          <w:spacing w:val="-1"/>
          <w:sz w:val="21"/>
          <w:szCs w:val="21"/>
        </w:rPr>
        <w:t>）其他应收款分类披露</w:t>
        <w:tab/>
      </w:r>
      <w:r>
        <w:rPr>
          <w:rFonts w:ascii="宋体" w:hAnsi="宋体" w:cs="宋体" w:eastAsia="宋体" w:hint="default"/>
          <w:spacing w:val="-1"/>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9"/>
        <w:rPr>
          <w:rFonts w:ascii="宋体" w:hAnsi="宋体" w:cs="宋体" w:eastAsia="宋体" w:hint="default"/>
          <w:sz w:val="25"/>
          <w:szCs w:val="25"/>
        </w:rPr>
      </w:pPr>
    </w:p>
    <w:tbl>
      <w:tblPr>
        <w:tblW w:w="0" w:type="auto"/>
        <w:jc w:val="left"/>
        <w:tblInd w:w="147" w:type="dxa"/>
        <w:tblLayout w:type="fixed"/>
        <w:tblCellMar>
          <w:top w:w="0" w:type="dxa"/>
          <w:left w:w="0" w:type="dxa"/>
          <w:bottom w:w="0" w:type="dxa"/>
          <w:right w:w="0" w:type="dxa"/>
        </w:tblCellMar>
        <w:tblLook w:val="01E0"/>
      </w:tblPr>
      <w:tblGrid>
        <w:gridCol w:w="3096"/>
        <w:gridCol w:w="1570"/>
        <w:gridCol w:w="994"/>
        <w:gridCol w:w="991"/>
        <w:gridCol w:w="850"/>
        <w:gridCol w:w="1418"/>
        <w:gridCol w:w="1135"/>
        <w:gridCol w:w="992"/>
        <w:gridCol w:w="991"/>
        <w:gridCol w:w="710"/>
        <w:gridCol w:w="1133"/>
      </w:tblGrid>
      <w:tr>
        <w:trPr>
          <w:trHeight w:val="396" w:hRule="exact"/>
        </w:trPr>
        <w:tc>
          <w:tcPr>
            <w:tcW w:w="3096" w:type="dxa"/>
            <w:vMerge w:val="restart"/>
            <w:tcBorders>
              <w:top w:val="single" w:sz="4" w:space="0" w:color="000000"/>
              <w:left w:val="single" w:sz="4" w:space="0" w:color="000000"/>
              <w:right w:val="single" w:sz="4" w:space="0" w:color="000000"/>
            </w:tcBorders>
            <w:shd w:val="clear" w:color="auto" w:fill="D2D2D2"/>
          </w:tcPr>
          <w:p>
            <w:pPr/>
          </w:p>
        </w:tc>
        <w:tc>
          <w:tcPr>
            <w:tcW w:w="582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96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187" w:hRule="exact"/>
        </w:trPr>
        <w:tc>
          <w:tcPr>
            <w:tcW w:w="3096" w:type="dxa"/>
            <w:vMerge/>
            <w:tcBorders>
              <w:left w:val="single" w:sz="4" w:space="0" w:color="000000"/>
              <w:bottom w:val="nil" w:sz="6" w:space="0" w:color="auto"/>
              <w:right w:val="single" w:sz="4" w:space="0" w:color="000000"/>
            </w:tcBorders>
            <w:shd w:val="clear" w:color="auto" w:fill="D2D2D2"/>
          </w:tcPr>
          <w:p>
            <w:pPr/>
          </w:p>
        </w:tc>
        <w:tc>
          <w:tcPr>
            <w:tcW w:w="256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86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49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18" w:type="dxa"/>
            <w:vMerge w:val="restart"/>
            <w:tcBorders>
              <w:top w:val="single" w:sz="4" w:space="0" w:color="000000"/>
              <w:left w:val="single" w:sz="4" w:space="0" w:color="000000"/>
              <w:right w:val="single" w:sz="4" w:space="0" w:color="000000"/>
            </w:tcBorders>
            <w:shd w:val="clear" w:color="auto" w:fill="D2D2D2"/>
          </w:tcPr>
          <w:p>
            <w:pPr/>
          </w:p>
        </w:tc>
        <w:tc>
          <w:tcPr>
            <w:tcW w:w="21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63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70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42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133" w:type="dxa"/>
            <w:vMerge w:val="restart"/>
            <w:tcBorders>
              <w:top w:val="single" w:sz="4" w:space="0" w:color="000000"/>
              <w:left w:val="single" w:sz="4" w:space="0" w:color="000000"/>
              <w:right w:val="single" w:sz="4" w:space="0" w:color="000000"/>
            </w:tcBorders>
            <w:shd w:val="clear" w:color="auto" w:fill="D2D2D2"/>
          </w:tcPr>
          <w:p>
            <w:pPr/>
          </w:p>
        </w:tc>
      </w:tr>
      <w:tr>
        <w:trPr>
          <w:trHeight w:val="221" w:hRule="exact"/>
        </w:trPr>
        <w:tc>
          <w:tcPr>
            <w:tcW w:w="30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2564" w:type="dxa"/>
            <w:gridSpan w:val="2"/>
            <w:vMerge/>
            <w:tcBorders>
              <w:left w:val="single" w:sz="4" w:space="0" w:color="000000"/>
              <w:bottom w:val="single" w:sz="4" w:space="0" w:color="000000"/>
              <w:right w:val="single" w:sz="4" w:space="0" w:color="000000"/>
            </w:tcBorders>
            <w:shd w:val="clear" w:color="auto" w:fill="D2D2D2"/>
          </w:tcPr>
          <w:p>
            <w:pPr/>
          </w:p>
        </w:tc>
        <w:tc>
          <w:tcPr>
            <w:tcW w:w="1841" w:type="dxa"/>
            <w:gridSpan w:val="2"/>
            <w:vMerge/>
            <w:tcBorders>
              <w:left w:val="single" w:sz="4" w:space="0" w:color="000000"/>
              <w:bottom w:val="single" w:sz="4" w:space="0" w:color="000000"/>
              <w:right w:val="single" w:sz="4" w:space="0" w:color="000000"/>
            </w:tcBorders>
            <w:shd w:val="clear" w:color="auto" w:fill="D2D2D2"/>
          </w:tcPr>
          <w:p>
            <w:pPr/>
          </w:p>
        </w:tc>
        <w:tc>
          <w:tcPr>
            <w:tcW w:w="1418" w:type="dxa"/>
            <w:vMerge/>
            <w:tcBorders>
              <w:left w:val="single" w:sz="4" w:space="0" w:color="000000"/>
              <w:bottom w:val="nil" w:sz="6" w:space="0" w:color="auto"/>
              <w:right w:val="single" w:sz="4" w:space="0" w:color="000000"/>
            </w:tcBorders>
            <w:shd w:val="clear" w:color="auto" w:fill="D2D2D2"/>
          </w:tcPr>
          <w:p>
            <w:pPr/>
          </w:p>
        </w:tc>
        <w:tc>
          <w:tcPr>
            <w:tcW w:w="2127" w:type="dxa"/>
            <w:gridSpan w:val="2"/>
            <w:vMerge/>
            <w:tcBorders>
              <w:left w:val="single" w:sz="4" w:space="0" w:color="000000"/>
              <w:bottom w:val="single" w:sz="4" w:space="0" w:color="000000"/>
              <w:right w:val="single" w:sz="4" w:space="0" w:color="000000"/>
            </w:tcBorders>
            <w:shd w:val="clear" w:color="auto" w:fill="D2D2D2"/>
          </w:tcPr>
          <w:p>
            <w:pPr/>
          </w:p>
        </w:tc>
        <w:tc>
          <w:tcPr>
            <w:tcW w:w="1702" w:type="dxa"/>
            <w:gridSpan w:val="2"/>
            <w:vMerge/>
            <w:tcBorders>
              <w:left w:val="single" w:sz="4" w:space="0" w:color="000000"/>
              <w:bottom w:val="single" w:sz="4" w:space="0" w:color="000000"/>
              <w:right w:val="single" w:sz="4" w:space="0" w:color="000000"/>
            </w:tcBorders>
            <w:shd w:val="clear" w:color="auto" w:fill="D2D2D2"/>
          </w:tcPr>
          <w:p>
            <w:pPr/>
          </w:p>
        </w:tc>
        <w:tc>
          <w:tcPr>
            <w:tcW w:w="1133" w:type="dxa"/>
            <w:vMerge/>
            <w:tcBorders>
              <w:left w:val="single" w:sz="4" w:space="0" w:color="000000"/>
              <w:bottom w:val="nil" w:sz="6" w:space="0" w:color="auto"/>
              <w:right w:val="single" w:sz="4" w:space="0" w:color="000000"/>
            </w:tcBorders>
            <w:shd w:val="clear" w:color="auto" w:fill="D2D2D2"/>
          </w:tcPr>
          <w:p>
            <w:pPr/>
          </w:p>
        </w:tc>
      </w:tr>
      <w:tr>
        <w:trPr>
          <w:trHeight w:val="178" w:hRule="exact"/>
        </w:trPr>
        <w:tc>
          <w:tcPr>
            <w:tcW w:w="3096" w:type="dxa"/>
            <w:vMerge/>
            <w:tcBorders>
              <w:left w:val="single" w:sz="4" w:space="0" w:color="000000"/>
              <w:bottom w:val="single" w:sz="4" w:space="0" w:color="FFFFFF"/>
              <w:right w:val="single" w:sz="4" w:space="0" w:color="000000"/>
            </w:tcBorders>
            <w:shd w:val="clear" w:color="auto" w:fill="D2D2D2"/>
          </w:tcPr>
          <w:p>
            <w:pPr/>
          </w:p>
        </w:tc>
        <w:tc>
          <w:tcPr>
            <w:tcW w:w="1570"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99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99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47"/>
              <w:ind w:left="314" w:right="99" w:hanging="209"/>
              <w:jc w:val="left"/>
              <w:rPr>
                <w:rFonts w:ascii="宋体" w:hAnsi="宋体" w:cs="宋体" w:eastAsia="宋体" w:hint="default"/>
                <w:sz w:val="21"/>
                <w:szCs w:val="21"/>
              </w:rPr>
            </w:pPr>
            <w:r>
              <w:rPr>
                <w:rFonts w:ascii="宋体" w:hAnsi="宋体" w:cs="宋体" w:eastAsia="宋体" w:hint="default"/>
                <w:sz w:val="21"/>
                <w:szCs w:val="21"/>
              </w:rPr>
              <w:t>计提比</w:t>
            </w:r>
            <w:r>
              <w:rPr>
                <w:rFonts w:ascii="宋体" w:hAnsi="宋体" w:cs="宋体" w:eastAsia="宋体" w:hint="default"/>
                <w:spacing w:val="-102"/>
                <w:sz w:val="21"/>
                <w:szCs w:val="21"/>
              </w:rPr>
              <w:t> </w:t>
            </w:r>
            <w:r>
              <w:rPr>
                <w:rFonts w:ascii="宋体" w:hAnsi="宋体" w:cs="宋体" w:eastAsia="宋体" w:hint="default"/>
                <w:sz w:val="21"/>
                <w:szCs w:val="21"/>
              </w:rPr>
              <w:t>例</w:t>
            </w:r>
          </w:p>
        </w:tc>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
              <w:ind w:left="285"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135" w:type="dxa"/>
            <w:tcBorders>
              <w:top w:val="single" w:sz="4" w:space="0" w:color="000000"/>
              <w:left w:val="single" w:sz="4" w:space="0" w:color="000000"/>
              <w:bottom w:val="nil" w:sz="6" w:space="0" w:color="auto"/>
              <w:right w:val="single" w:sz="4" w:space="0" w:color="000000"/>
            </w:tcBorders>
            <w:shd w:val="clear" w:color="auto" w:fill="D2D2D2"/>
          </w:tcPr>
          <w:p>
            <w:pPr/>
          </w:p>
        </w:tc>
        <w:tc>
          <w:tcPr>
            <w:tcW w:w="992" w:type="dxa"/>
            <w:tcBorders>
              <w:top w:val="single" w:sz="4" w:space="0" w:color="000000"/>
              <w:left w:val="single" w:sz="4" w:space="0" w:color="000000"/>
              <w:bottom w:val="nil" w:sz="6" w:space="0" w:color="auto"/>
              <w:right w:val="single" w:sz="4" w:space="0" w:color="000000"/>
            </w:tcBorders>
            <w:shd w:val="clear" w:color="auto" w:fill="D2D2D2"/>
          </w:tcPr>
          <w:p>
            <w:pPr/>
          </w:p>
        </w:tc>
        <w:tc>
          <w:tcPr>
            <w:tcW w:w="991"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 w:type="dxa"/>
            <w:vMerge w:val="restart"/>
            <w:tcBorders>
              <w:top w:val="single" w:sz="4" w:space="0" w:color="000000"/>
              <w:left w:val="single" w:sz="4" w:space="0" w:color="000000"/>
              <w:right w:val="single" w:sz="4" w:space="0" w:color="000000"/>
            </w:tcBorders>
            <w:shd w:val="clear" w:color="auto" w:fill="D2D2D2"/>
          </w:tcPr>
          <w:p>
            <w:pPr>
              <w:pStyle w:val="TableParagraph"/>
              <w:spacing w:line="307" w:lineRule="auto" w:before="28"/>
              <w:ind w:left="139" w:right="137"/>
              <w:jc w:val="left"/>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pacing w:val="-103"/>
                <w:sz w:val="21"/>
                <w:szCs w:val="21"/>
              </w:rPr>
              <w:t> </w:t>
            </w:r>
            <w:r>
              <w:rPr>
                <w:rFonts w:ascii="宋体" w:hAnsi="宋体" w:cs="宋体" w:eastAsia="宋体" w:hint="default"/>
                <w:sz w:val="21"/>
                <w:szCs w:val="21"/>
              </w:rPr>
              <w:t>比例</w:t>
            </w:r>
          </w:p>
        </w:tc>
        <w:tc>
          <w:tcPr>
            <w:tcW w:w="113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
              <w:ind w:left="139"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194" w:hRule="exact"/>
        </w:trPr>
        <w:tc>
          <w:tcPr>
            <w:tcW w:w="3096" w:type="dxa"/>
            <w:vMerge w:val="restart"/>
            <w:tcBorders>
              <w:top w:val="single" w:sz="4" w:space="0" w:color="FFFFFF"/>
              <w:left w:val="single" w:sz="4" w:space="0" w:color="000000"/>
              <w:right w:val="single" w:sz="4" w:space="0" w:color="000000"/>
            </w:tcBorders>
            <w:shd w:val="clear" w:color="auto" w:fill="D2D2D2"/>
          </w:tcPr>
          <w:p>
            <w:pPr/>
          </w:p>
        </w:tc>
        <w:tc>
          <w:tcPr>
            <w:tcW w:w="1570"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26"/>
              <w:ind w:left="8"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9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26"/>
              <w:ind w:left="280"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99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26"/>
              <w:ind w:left="278"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850"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bottom w:val="nil" w:sz="6" w:space="0" w:color="auto"/>
              <w:right w:val="single" w:sz="4" w:space="0" w:color="000000"/>
            </w:tcBorders>
            <w:shd w:val="clear" w:color="auto" w:fill="D2D2D2"/>
          </w:tcPr>
          <w:p>
            <w:pPr/>
          </w:p>
        </w:tc>
        <w:tc>
          <w:tcPr>
            <w:tcW w:w="11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left="35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9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left="278"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9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left="280"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10"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3096" w:type="dxa"/>
            <w:vMerge/>
            <w:tcBorders>
              <w:left w:val="single" w:sz="4" w:space="0" w:color="000000"/>
              <w:right w:val="single" w:sz="4" w:space="0" w:color="000000"/>
            </w:tcBorders>
            <w:shd w:val="clear" w:color="auto" w:fill="D2D2D2"/>
          </w:tcPr>
          <w:p>
            <w:pPr/>
          </w:p>
        </w:tc>
        <w:tc>
          <w:tcPr>
            <w:tcW w:w="1570" w:type="dxa"/>
            <w:vMerge/>
            <w:tcBorders>
              <w:left w:val="single" w:sz="4" w:space="0" w:color="000000"/>
              <w:bottom w:val="nil" w:sz="6" w:space="0" w:color="auto"/>
              <w:right w:val="single" w:sz="4" w:space="0" w:color="000000"/>
            </w:tcBorders>
            <w:shd w:val="clear" w:color="auto" w:fill="D2D2D2"/>
          </w:tcPr>
          <w:p>
            <w:pPr/>
          </w:p>
        </w:tc>
        <w:tc>
          <w:tcPr>
            <w:tcW w:w="994" w:type="dxa"/>
            <w:vMerge/>
            <w:tcBorders>
              <w:left w:val="single" w:sz="4" w:space="0" w:color="000000"/>
              <w:bottom w:val="nil" w:sz="6" w:space="0" w:color="auto"/>
              <w:right w:val="single" w:sz="4" w:space="0" w:color="000000"/>
            </w:tcBorders>
            <w:shd w:val="clear" w:color="auto" w:fill="D2D2D2"/>
          </w:tcPr>
          <w:p>
            <w:pPr/>
          </w:p>
        </w:tc>
        <w:tc>
          <w:tcPr>
            <w:tcW w:w="991" w:type="dxa"/>
            <w:vMerge/>
            <w:tcBorders>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1418" w:type="dxa"/>
            <w:vMerge w:val="restart"/>
            <w:tcBorders>
              <w:top w:val="nil" w:sz="6" w:space="0" w:color="auto"/>
              <w:left w:val="single" w:sz="4" w:space="0" w:color="000000"/>
              <w:right w:val="single" w:sz="4" w:space="0" w:color="000000"/>
            </w:tcBorders>
            <w:shd w:val="clear" w:color="auto" w:fill="D2D2D2"/>
          </w:tcPr>
          <w:p>
            <w:pPr/>
          </w:p>
        </w:tc>
        <w:tc>
          <w:tcPr>
            <w:tcW w:w="1135" w:type="dxa"/>
            <w:vMerge/>
            <w:tcBorders>
              <w:left w:val="single" w:sz="4" w:space="0" w:color="000000"/>
              <w:bottom w:val="nil" w:sz="6" w:space="0" w:color="auto"/>
              <w:right w:val="single" w:sz="4" w:space="0" w:color="000000"/>
            </w:tcBorders>
            <w:shd w:val="clear" w:color="auto" w:fill="D2D2D2"/>
          </w:tcPr>
          <w:p>
            <w:pPr/>
          </w:p>
        </w:tc>
        <w:tc>
          <w:tcPr>
            <w:tcW w:w="992" w:type="dxa"/>
            <w:vMerge/>
            <w:tcBorders>
              <w:left w:val="single" w:sz="4" w:space="0" w:color="000000"/>
              <w:bottom w:val="nil" w:sz="6" w:space="0" w:color="auto"/>
              <w:right w:val="single" w:sz="4" w:space="0" w:color="000000"/>
            </w:tcBorders>
            <w:shd w:val="clear" w:color="auto" w:fill="D2D2D2"/>
          </w:tcPr>
          <w:p>
            <w:pPr/>
          </w:p>
        </w:tc>
        <w:tc>
          <w:tcPr>
            <w:tcW w:w="991" w:type="dxa"/>
            <w:vMerge/>
            <w:tcBorders>
              <w:left w:val="single" w:sz="4" w:space="0" w:color="000000"/>
              <w:bottom w:val="nil" w:sz="6" w:space="0" w:color="auto"/>
              <w:right w:val="single" w:sz="4" w:space="0" w:color="000000"/>
            </w:tcBorders>
            <w:shd w:val="clear" w:color="auto" w:fill="D2D2D2"/>
          </w:tcPr>
          <w:p>
            <w:pPr/>
          </w:p>
        </w:tc>
        <w:tc>
          <w:tcPr>
            <w:tcW w:w="710" w:type="dxa"/>
            <w:vMerge/>
            <w:tcBorders>
              <w:left w:val="single" w:sz="4" w:space="0" w:color="000000"/>
              <w:right w:val="single" w:sz="4" w:space="0" w:color="000000"/>
            </w:tcBorders>
            <w:shd w:val="clear" w:color="auto" w:fill="D2D2D2"/>
          </w:tcPr>
          <w:p>
            <w:pPr/>
          </w:p>
        </w:tc>
        <w:tc>
          <w:tcPr>
            <w:tcW w:w="1133" w:type="dxa"/>
            <w:vMerge w:val="restart"/>
            <w:tcBorders>
              <w:top w:val="nil" w:sz="6" w:space="0" w:color="auto"/>
              <w:left w:val="single" w:sz="4" w:space="0" w:color="000000"/>
              <w:right w:val="single" w:sz="4" w:space="0" w:color="000000"/>
            </w:tcBorders>
            <w:shd w:val="clear" w:color="auto" w:fill="D2D2D2"/>
          </w:tcPr>
          <w:p>
            <w:pPr/>
          </w:p>
        </w:tc>
      </w:tr>
      <w:tr>
        <w:trPr>
          <w:trHeight w:val="182" w:hRule="exact"/>
        </w:trPr>
        <w:tc>
          <w:tcPr>
            <w:tcW w:w="3096" w:type="dxa"/>
            <w:vMerge/>
            <w:tcBorders>
              <w:left w:val="single" w:sz="4" w:space="0" w:color="000000"/>
              <w:bottom w:val="single" w:sz="4" w:space="0" w:color="000000"/>
              <w:right w:val="single" w:sz="4" w:space="0" w:color="000000"/>
            </w:tcBorders>
            <w:shd w:val="clear" w:color="auto" w:fill="D2D2D2"/>
          </w:tcPr>
          <w:p>
            <w:pPr/>
          </w:p>
        </w:tc>
        <w:tc>
          <w:tcPr>
            <w:tcW w:w="1570" w:type="dxa"/>
            <w:tcBorders>
              <w:top w:val="nil" w:sz="6" w:space="0" w:color="auto"/>
              <w:left w:val="single" w:sz="4" w:space="0" w:color="000000"/>
              <w:bottom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1418" w:type="dxa"/>
            <w:vMerge/>
            <w:tcBorders>
              <w:left w:val="single" w:sz="4" w:space="0" w:color="000000"/>
              <w:bottom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single" w:sz="4" w:space="0" w:color="000000"/>
              <w:right w:val="single" w:sz="4" w:space="0" w:color="000000"/>
            </w:tcBorders>
            <w:shd w:val="clear" w:color="auto" w:fill="D2D2D2"/>
          </w:tcPr>
          <w:p>
            <w:pPr/>
          </w:p>
        </w:tc>
        <w:tc>
          <w:tcPr>
            <w:tcW w:w="710" w:type="dxa"/>
            <w:vMerge/>
            <w:tcBorders>
              <w:left w:val="single" w:sz="4" w:space="0" w:color="000000"/>
              <w:bottom w:val="single" w:sz="4" w:space="0" w:color="000000"/>
              <w:right w:val="single" w:sz="4" w:space="0" w:color="000000"/>
            </w:tcBorders>
            <w:shd w:val="clear" w:color="auto" w:fill="D2D2D2"/>
          </w:tcPr>
          <w:p>
            <w:pPr/>
          </w:p>
        </w:tc>
        <w:tc>
          <w:tcPr>
            <w:tcW w:w="1133"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1" w:right="127"/>
              <w:jc w:val="left"/>
              <w:rPr>
                <w:rFonts w:ascii="宋体" w:hAnsi="宋体" w:cs="宋体" w:eastAsia="宋体" w:hint="default"/>
                <w:sz w:val="21"/>
                <w:szCs w:val="21"/>
              </w:rPr>
            </w:pPr>
            <w:r>
              <w:rPr>
                <w:rFonts w:ascii="宋体" w:hAnsi="宋体" w:cs="宋体" w:eastAsia="宋体" w:hint="default"/>
                <w:spacing w:val="-2"/>
                <w:sz w:val="21"/>
                <w:szCs w:val="21"/>
              </w:rPr>
              <w:t>按信用风险特征组合计提坏账准</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备的其他应收款</w:t>
            </w:r>
          </w:p>
        </w:tc>
        <w:tc>
          <w:tcPr>
            <w:tcW w:w="15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46,918,952.95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z w:val="21"/>
              </w:rPr>
              <w:t>100.00%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3,441.70</w:t>
            </w:r>
          </w:p>
        </w:tc>
        <w:tc>
          <w:tcPr>
            <w:tcW w:w="850" w:type="dxa"/>
            <w:tcBorders>
              <w:top w:val="single" w:sz="9" w:space="0" w:color="D2D2D2"/>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0.01%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2"/>
                <w:sz w:val="21"/>
              </w:rPr>
              <w:t>46,915,511.25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363,046.79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100.00%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2,506.99</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13" w:right="0"/>
              <w:jc w:val="center"/>
              <w:rPr>
                <w:rFonts w:ascii="Times New Roman" w:hAnsi="Times New Roman" w:cs="Times New Roman" w:eastAsia="Times New Roman" w:hint="default"/>
                <w:sz w:val="21"/>
                <w:szCs w:val="21"/>
              </w:rPr>
            </w:pPr>
            <w:r>
              <w:rPr>
                <w:rFonts w:ascii="Times New Roman"/>
                <w:sz w:val="21"/>
              </w:rPr>
              <w:t>0.69%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32" w:right="0"/>
              <w:jc w:val="center"/>
              <w:rPr>
                <w:rFonts w:ascii="Times New Roman" w:hAnsi="Times New Roman" w:cs="Times New Roman" w:eastAsia="Times New Roman" w:hint="default"/>
                <w:sz w:val="21"/>
                <w:szCs w:val="21"/>
              </w:rPr>
            </w:pPr>
            <w:r>
              <w:rPr>
                <w:rFonts w:ascii="Times New Roman"/>
                <w:sz w:val="21"/>
              </w:rPr>
              <w:t>360,539.80</w:t>
            </w:r>
          </w:p>
        </w:tc>
      </w:tr>
      <w:tr>
        <w:trPr>
          <w:trHeight w:val="403"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46,918,952.95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100.00%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3,441.70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0.01%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2"/>
                <w:sz w:val="21"/>
              </w:rPr>
              <w:t>46,915,511.25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363,046.79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100.00%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2,506.99</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13" w:right="0"/>
              <w:jc w:val="center"/>
              <w:rPr>
                <w:rFonts w:ascii="Times New Roman" w:hAnsi="Times New Roman" w:cs="Times New Roman" w:eastAsia="Times New Roman" w:hint="default"/>
                <w:sz w:val="21"/>
                <w:szCs w:val="21"/>
              </w:rPr>
            </w:pPr>
            <w:r>
              <w:rPr>
                <w:rFonts w:ascii="Times New Roman"/>
                <w:sz w:val="21"/>
              </w:rPr>
              <w:t>0.69%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32" w:right="0"/>
              <w:jc w:val="center"/>
              <w:rPr>
                <w:rFonts w:ascii="Times New Roman" w:hAnsi="Times New Roman" w:cs="Times New Roman" w:eastAsia="Times New Roman" w:hint="default"/>
                <w:sz w:val="21"/>
                <w:szCs w:val="21"/>
              </w:rPr>
            </w:pPr>
            <w:r>
              <w:rPr>
                <w:rFonts w:ascii="Times New Roman"/>
                <w:sz w:val="21"/>
              </w:rPr>
              <w:t>360,539.80</w:t>
            </w:r>
          </w:p>
        </w:tc>
      </w:tr>
    </w:tbl>
    <w:p>
      <w:pPr>
        <w:pStyle w:val="BodyText"/>
        <w:tabs>
          <w:tab w:pos="12289" w:val="left" w:leader="none"/>
        </w:tabs>
        <w:spacing w:line="240" w:lineRule="auto" w:before="28"/>
        <w:ind w:left="0" w:right="198"/>
        <w:jc w:val="right"/>
      </w:pPr>
      <w:r>
        <w:rPr>
          <w:spacing w:val="-2"/>
        </w:rPr>
        <w:t>期末单项金额重大并单项计提坏账准备的其他应收款：</w:t>
        <w:tab/>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spacing w:val="-1"/>
        </w:rPr>
        <w:t>不适用</w:t>
      </w:r>
    </w:p>
    <w:p>
      <w:pPr>
        <w:pStyle w:val="BodyText"/>
        <w:tabs>
          <w:tab w:pos="12289" w:val="left" w:leader="none"/>
        </w:tabs>
        <w:spacing w:line="240" w:lineRule="auto" w:before="59"/>
        <w:ind w:left="0" w:right="198"/>
        <w:jc w:val="right"/>
      </w:pPr>
      <w:r>
        <w:rPr>
          <w:spacing w:val="-2"/>
        </w:rPr>
        <w:t>组合中，按账龄分析法计提坏账准备的其他应收款：</w:t>
        <w:tab/>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spacing w:val="-1"/>
        </w:rPr>
        <w:t>不适用</w:t>
      </w:r>
    </w:p>
    <w:p>
      <w:pPr>
        <w:pStyle w:val="BodyText"/>
        <w:spacing w:line="240" w:lineRule="auto" w:before="62"/>
        <w:ind w:left="0" w:right="239"/>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35" w:type="dxa"/>
        <w:tblLayout w:type="fixed"/>
        <w:tblCellMar>
          <w:top w:w="0" w:type="dxa"/>
          <w:left w:w="0" w:type="dxa"/>
          <w:bottom w:w="0" w:type="dxa"/>
          <w:right w:w="0" w:type="dxa"/>
        </w:tblCellMar>
        <w:tblLook w:val="01E0"/>
      </w:tblPr>
      <w:tblGrid>
        <w:gridCol w:w="3120"/>
        <w:gridCol w:w="3591"/>
        <w:gridCol w:w="3591"/>
        <w:gridCol w:w="3591"/>
      </w:tblGrid>
      <w:tr>
        <w:trPr>
          <w:trHeight w:val="401" w:hRule="exact"/>
        </w:trPr>
        <w:tc>
          <w:tcPr>
            <w:tcW w:w="312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1077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403" w:hRule="exact"/>
        </w:trPr>
        <w:tc>
          <w:tcPr>
            <w:tcW w:w="3120" w:type="dxa"/>
            <w:vMerge/>
            <w:tcBorders>
              <w:left w:val="single" w:sz="4" w:space="0" w:color="000000"/>
              <w:bottom w:val="single" w:sz="4" w:space="0" w:color="000000"/>
              <w:right w:val="single" w:sz="4" w:space="0" w:color="000000"/>
            </w:tcBorders>
            <w:shd w:val="clear" w:color="auto" w:fill="D2D2D2"/>
          </w:tcPr>
          <w:p>
            <w:pPr/>
          </w:p>
        </w:tc>
        <w:tc>
          <w:tcPr>
            <w:tcW w:w="3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sz w:val="21"/>
                <w:szCs w:val="21"/>
              </w:rPr>
              <w:t>其他应收款</w:t>
            </w:r>
          </w:p>
        </w:tc>
        <w:tc>
          <w:tcPr>
            <w:tcW w:w="3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sz w:val="21"/>
                <w:szCs w:val="21"/>
              </w:rPr>
              <w:t>坏账准备</w:t>
            </w:r>
          </w:p>
        </w:tc>
        <w:tc>
          <w:tcPr>
            <w:tcW w:w="3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计提比例</w:t>
            </w:r>
          </w:p>
        </w:tc>
      </w:tr>
      <w:tr>
        <w:trPr>
          <w:trHeight w:val="401" w:hRule="exact"/>
        </w:trPr>
        <w:tc>
          <w:tcPr>
            <w:tcW w:w="1389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年以内分项</w:t>
            </w:r>
          </w:p>
        </w:tc>
      </w:tr>
      <w:tr>
        <w:trPr>
          <w:trHeight w:val="403"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个月以内（含</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个月）</w:t>
            </w:r>
          </w:p>
        </w:tc>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46,311,573.83</w:t>
            </w:r>
          </w:p>
        </w:tc>
        <w:tc>
          <w:tcPr>
            <w:tcW w:w="3591" w:type="dxa"/>
            <w:tcBorders>
              <w:top w:val="single" w:sz="4" w:space="0" w:color="000000"/>
              <w:left w:val="single" w:sz="4" w:space="0" w:color="000000"/>
              <w:bottom w:val="single" w:sz="4" w:space="0" w:color="000000"/>
              <w:right w:val="single" w:sz="4" w:space="0" w:color="000000"/>
            </w:tcBorders>
          </w:tcPr>
          <w:p>
            <w:pPr/>
          </w:p>
        </w:tc>
        <w:tc>
          <w:tcPr>
            <w:tcW w:w="35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个月（含</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个月）</w:t>
            </w:r>
          </w:p>
        </w:tc>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539,289.75</w:t>
            </w:r>
          </w:p>
        </w:tc>
        <w:tc>
          <w:tcPr>
            <w:tcW w:w="3591" w:type="dxa"/>
            <w:tcBorders>
              <w:top w:val="single" w:sz="4" w:space="0" w:color="000000"/>
              <w:left w:val="single" w:sz="4" w:space="0" w:color="000000"/>
              <w:bottom w:val="single" w:sz="4" w:space="0" w:color="000000"/>
              <w:right w:val="single" w:sz="4" w:space="0" w:color="000000"/>
            </w:tcBorders>
          </w:tcPr>
          <w:p>
            <w:pPr/>
          </w:p>
        </w:tc>
        <w:tc>
          <w:tcPr>
            <w:tcW w:w="359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个月至</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年（含</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67,344.71</w:t>
            </w:r>
          </w:p>
        </w:tc>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3,367.23</w:t>
            </w:r>
          </w:p>
        </w:tc>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5.00%</w:t>
            </w:r>
          </w:p>
        </w:tc>
      </w:tr>
      <w:tr>
        <w:trPr>
          <w:trHeight w:val="401" w:hRule="exact"/>
        </w:trPr>
        <w:tc>
          <w:tcPr>
            <w:tcW w:w="3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年以内小计</w:t>
            </w:r>
          </w:p>
        </w:tc>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46,918,208.29</w:t>
            </w:r>
          </w:p>
        </w:tc>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3,367.23</w:t>
            </w:r>
          </w:p>
        </w:tc>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0.01%</w:t>
            </w:r>
          </w:p>
        </w:tc>
      </w:tr>
      <w:tr>
        <w:trPr>
          <w:trHeight w:val="403" w:hRule="exact"/>
        </w:trPr>
        <w:tc>
          <w:tcPr>
            <w:tcW w:w="3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744.66</w:t>
            </w:r>
          </w:p>
        </w:tc>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74.47</w:t>
            </w:r>
          </w:p>
        </w:tc>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10.00%</w:t>
            </w:r>
          </w:p>
        </w:tc>
      </w:tr>
      <w:tr>
        <w:trPr>
          <w:trHeight w:val="401" w:hRule="exact"/>
        </w:trPr>
        <w:tc>
          <w:tcPr>
            <w:tcW w:w="3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46,918,952.95</w:t>
            </w:r>
          </w:p>
        </w:tc>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3,441.70</w:t>
            </w:r>
          </w:p>
        </w:tc>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0.01%</w:t>
            </w:r>
          </w:p>
        </w:tc>
      </w:tr>
    </w:tbl>
    <w:p>
      <w:pPr>
        <w:pStyle w:val="BodyText"/>
        <w:spacing w:line="273" w:lineRule="auto" w:before="28"/>
        <w:ind w:left="140" w:right="0"/>
        <w:jc w:val="left"/>
      </w:pPr>
      <w:r>
        <w:rPr>
          <w:spacing w:val="-2"/>
        </w:rPr>
        <w:t>确定该组合依据的说明：公司根据以前年度与之相同或相类似的、具有类似信用风险特征的应收款项组合的实际损失率为基础，结合现时情况确定本期</w:t>
      </w:r>
      <w:r>
        <w:rPr>
          <w:spacing w:val="18"/>
        </w:rPr>
        <w:t> </w:t>
      </w:r>
      <w:r>
        <w:rPr>
          <w:spacing w:val="18"/>
        </w:rPr>
      </w:r>
      <w:r>
        <w:rPr/>
        <w:t>各项组合计提坏账准备的比例。</w:t>
      </w:r>
    </w:p>
    <w:p>
      <w:pPr>
        <w:spacing w:line="240" w:lineRule="auto" w:before="3"/>
        <w:rPr>
          <w:rFonts w:ascii="宋体" w:hAnsi="宋体" w:cs="宋体" w:eastAsia="宋体" w:hint="default"/>
          <w:sz w:val="16"/>
          <w:szCs w:val="16"/>
        </w:rPr>
      </w:pPr>
    </w:p>
    <w:p>
      <w:pPr>
        <w:spacing w:before="76"/>
        <w:ind w:left="0" w:right="134" w:firstLine="0"/>
        <w:jc w:val="right"/>
        <w:rPr>
          <w:rFonts w:ascii="Times New Roman" w:hAnsi="Times New Roman" w:cs="Times New Roman" w:eastAsia="Times New Roman" w:hint="default"/>
          <w:sz w:val="18"/>
          <w:szCs w:val="18"/>
        </w:rPr>
      </w:pPr>
      <w:r>
        <w:rPr>
          <w:rFonts w:ascii="Times New Roman"/>
          <w:spacing w:val="-2"/>
          <w:sz w:val="18"/>
        </w:rPr>
        <w:t>118</w:t>
      </w:r>
    </w:p>
    <w:p>
      <w:pPr>
        <w:spacing w:after="0"/>
        <w:jc w:val="right"/>
        <w:rPr>
          <w:rFonts w:ascii="Times New Roman" w:hAnsi="Times New Roman" w:cs="Times New Roman" w:eastAsia="Times New Roman" w:hint="default"/>
          <w:sz w:val="18"/>
          <w:szCs w:val="18"/>
        </w:rPr>
        <w:sectPr>
          <w:type w:val="continuous"/>
          <w:pgSz w:w="16840" w:h="11910" w:orient="landscape"/>
          <w:pgMar w:top="1060" w:bottom="1160" w:left="1300" w:right="1300"/>
        </w:sectPr>
      </w:pPr>
    </w:p>
    <w:p>
      <w:pPr>
        <w:spacing w:line="240" w:lineRule="auto" w:before="8"/>
        <w:rPr>
          <w:rFonts w:ascii="Times New Roman" w:hAnsi="Times New Roman" w:cs="Times New Roman" w:eastAsia="Times New Roman" w:hint="default"/>
          <w:sz w:val="23"/>
          <w:szCs w:val="23"/>
        </w:rPr>
      </w:pPr>
    </w:p>
    <w:p>
      <w:pPr>
        <w:pStyle w:val="BodyText"/>
        <w:tabs>
          <w:tab w:pos="8187" w:val="left" w:leader="none"/>
        </w:tabs>
        <w:spacing w:line="240" w:lineRule="auto" w:before="36"/>
        <w:ind w:right="0"/>
        <w:jc w:val="left"/>
      </w:pPr>
      <w:r>
        <w:rPr>
          <w:spacing w:val="-3"/>
        </w:rPr>
        <w:t>组合中，采用余额百分比法计提坏账准备的其他应收款：</w:t>
        <w:tab/>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pStyle w:val="BodyText"/>
        <w:tabs>
          <w:tab w:pos="8187" w:val="left" w:leader="none"/>
        </w:tabs>
        <w:spacing w:line="240" w:lineRule="auto" w:before="62"/>
        <w:ind w:right="0"/>
        <w:jc w:val="left"/>
      </w:pPr>
      <w:r>
        <w:rPr>
          <w:spacing w:val="-3"/>
        </w:rPr>
        <w:t>组合中，采用其他方法计提坏账准备的其他应收款：</w:t>
        <w:tab/>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5"/>
        <w:rPr>
          <w:rFonts w:ascii="宋体" w:hAnsi="宋体" w:cs="宋体" w:eastAsia="宋体" w:hint="default"/>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）本期计提坏账准备</w:t>
      </w:r>
      <w:r>
        <w:rPr>
          <w:spacing w:val="-54"/>
        </w:rPr>
        <w:t> </w:t>
      </w:r>
      <w:r>
        <w:rPr>
          <w:rFonts w:ascii="Times New Roman" w:hAnsi="Times New Roman" w:cs="Times New Roman" w:eastAsia="Times New Roman" w:hint="default"/>
        </w:rPr>
        <w:t>934.71</w:t>
      </w:r>
      <w:r>
        <w:rPr>
          <w:rFonts w:ascii="Times New Roman" w:hAnsi="Times New Roman" w:cs="Times New Roman" w:eastAsia="Times New Roman" w:hint="default"/>
          <w:spacing w:val="-2"/>
        </w:rPr>
        <w:t> </w:t>
      </w:r>
      <w:r>
        <w:rPr/>
        <w:t>元；本期无收回或转回的坏账准备。</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）本期无实际核销的其他应收款。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0" w:right="254"/>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368"/>
        <w:gridCol w:w="3101"/>
        <w:gridCol w:w="3101"/>
      </w:tblGrid>
      <w:tr>
        <w:trPr>
          <w:trHeight w:val="401"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14"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15"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404"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4"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9"/>
              <w:jc w:val="right"/>
              <w:rPr>
                <w:rFonts w:ascii="Times New Roman" w:hAnsi="Times New Roman" w:cs="Times New Roman" w:eastAsia="Times New Roman" w:hint="default"/>
                <w:sz w:val="21"/>
                <w:szCs w:val="21"/>
              </w:rPr>
            </w:pPr>
            <w:r>
              <w:rPr>
                <w:rFonts w:ascii="Times New Roman"/>
                <w:spacing w:val="-1"/>
                <w:sz w:val="21"/>
              </w:rPr>
              <w:t>230,626.45</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9"/>
              <w:jc w:val="right"/>
              <w:rPr>
                <w:rFonts w:ascii="Times New Roman" w:hAnsi="Times New Roman" w:cs="Times New Roman" w:eastAsia="Times New Roman" w:hint="default"/>
                <w:sz w:val="21"/>
                <w:szCs w:val="21"/>
              </w:rPr>
            </w:pPr>
            <w:r>
              <w:rPr>
                <w:rFonts w:ascii="Times New Roman"/>
                <w:spacing w:val="-1"/>
                <w:sz w:val="21"/>
              </w:rPr>
              <w:t>277,646.79</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46,521,926.50</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30,000.00</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押金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146,400.00</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55,400.00</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20,000.00</w:t>
            </w:r>
          </w:p>
        </w:tc>
        <w:tc>
          <w:tcPr>
            <w:tcW w:w="31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46,918,952.95</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363,046.79</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left="0" w:right="254"/>
        <w:jc w:val="right"/>
      </w:pPr>
      <w:r>
        <w:rPr/>
        <w:t>单位：</w:t>
      </w:r>
      <w:r>
        <w:rPr>
          <w:spacing w:val="2"/>
        </w:rPr>
        <w:t> </w:t>
      </w:r>
      <w:r>
        <w:rPr/>
        <w:t>元</w:t>
      </w:r>
    </w:p>
    <w:p>
      <w:pPr>
        <w:spacing w:line="240" w:lineRule="auto" w:before="10"/>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410"/>
        <w:gridCol w:w="826"/>
        <w:gridCol w:w="1553"/>
        <w:gridCol w:w="1875"/>
        <w:gridCol w:w="676"/>
        <w:gridCol w:w="1168"/>
        <w:gridCol w:w="1063"/>
      </w:tblGrid>
      <w:tr>
        <w:trPr>
          <w:trHeight w:val="716"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780"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97" w:right="89" w:hanging="106"/>
              <w:jc w:val="left"/>
              <w:rPr>
                <w:rFonts w:ascii="宋体" w:hAnsi="宋体" w:cs="宋体" w:eastAsia="宋体" w:hint="default"/>
                <w:sz w:val="21"/>
                <w:szCs w:val="21"/>
              </w:rPr>
            </w:pPr>
            <w:r>
              <w:rPr>
                <w:rFonts w:ascii="宋体" w:hAnsi="宋体" w:cs="宋体" w:eastAsia="宋体" w:hint="default"/>
                <w:sz w:val="21"/>
                <w:szCs w:val="21"/>
              </w:rPr>
              <w:t>款项的</w:t>
            </w:r>
            <w:r>
              <w:rPr>
                <w:rFonts w:ascii="宋体" w:hAnsi="宋体" w:cs="宋体" w:eastAsia="宋体" w:hint="default"/>
                <w:spacing w:val="-102"/>
                <w:sz w:val="21"/>
                <w:szCs w:val="21"/>
              </w:rPr>
              <w:t> </w:t>
            </w:r>
            <w:r>
              <w:rPr>
                <w:rFonts w:ascii="宋体" w:hAnsi="宋体" w:cs="宋体" w:eastAsia="宋体" w:hint="default"/>
                <w:sz w:val="21"/>
                <w:szCs w:val="21"/>
              </w:rPr>
              <w:t>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350"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18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76" w:right="72"/>
              <w:jc w:val="left"/>
              <w:rPr>
                <w:rFonts w:ascii="宋体" w:hAnsi="宋体" w:cs="宋体" w:eastAsia="宋体" w:hint="default"/>
                <w:sz w:val="21"/>
                <w:szCs w:val="21"/>
              </w:rPr>
            </w:pPr>
            <w:r>
              <w:rPr>
                <w:rFonts w:ascii="宋体" w:hAnsi="宋体" w:cs="宋体" w:eastAsia="宋体" w:hint="default"/>
                <w:sz w:val="21"/>
                <w:szCs w:val="21"/>
              </w:rPr>
              <w:t>占其他应收款期末</w:t>
            </w:r>
            <w:r>
              <w:rPr>
                <w:rFonts w:ascii="宋体" w:hAnsi="宋体" w:cs="宋体" w:eastAsia="宋体" w:hint="default"/>
                <w:w w:val="100"/>
                <w:sz w:val="21"/>
                <w:szCs w:val="21"/>
              </w:rPr>
              <w:t> </w:t>
            </w:r>
            <w:r>
              <w:rPr>
                <w:rFonts w:ascii="宋体" w:hAnsi="宋体" w:cs="宋体" w:eastAsia="宋体" w:hint="default"/>
                <w:sz w:val="21"/>
                <w:szCs w:val="21"/>
              </w:rPr>
              <w:t>余额合计数的比例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07" w:right="101"/>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p>
        </w:tc>
      </w:tr>
      <w:tr>
        <w:trPr>
          <w:trHeight w:val="71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60"/>
              <w:jc w:val="left"/>
              <w:rPr>
                <w:rFonts w:ascii="宋体" w:hAnsi="宋体" w:cs="宋体" w:eastAsia="宋体" w:hint="default"/>
                <w:sz w:val="21"/>
                <w:szCs w:val="21"/>
              </w:rPr>
            </w:pPr>
            <w:r>
              <w:rPr>
                <w:rFonts w:ascii="宋体" w:hAnsi="宋体" w:cs="宋体" w:eastAsia="宋体" w:hint="default"/>
                <w:spacing w:val="-2"/>
                <w:sz w:val="21"/>
                <w:szCs w:val="21"/>
              </w:rPr>
              <w:t>扬州华声电子实业有限公</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司</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34"/>
              <w:jc w:val="center"/>
              <w:rPr>
                <w:rFonts w:ascii="宋体" w:hAnsi="宋体" w:cs="宋体" w:eastAsia="宋体" w:hint="default"/>
                <w:sz w:val="21"/>
                <w:szCs w:val="21"/>
              </w:rPr>
            </w:pPr>
            <w:r>
              <w:rPr>
                <w:rFonts w:ascii="宋体" w:hAnsi="宋体" w:cs="宋体" w:eastAsia="宋体" w:hint="default"/>
                <w:sz w:val="21"/>
                <w:szCs w:val="21"/>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45,847,782.99</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个月以内</w:t>
            </w:r>
          </w:p>
        </w:tc>
        <w:tc>
          <w:tcPr>
            <w:tcW w:w="18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162" w:right="0"/>
              <w:jc w:val="left"/>
              <w:rPr>
                <w:rFonts w:ascii="Times New Roman" w:hAnsi="Times New Roman" w:cs="Times New Roman" w:eastAsia="Times New Roman" w:hint="default"/>
                <w:sz w:val="21"/>
                <w:szCs w:val="21"/>
              </w:rPr>
            </w:pPr>
            <w:r>
              <w:rPr>
                <w:rFonts w:ascii="Times New Roman"/>
                <w:sz w:val="21"/>
              </w:rPr>
              <w:t>97.72%</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广东华声电缆有限公司</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34"/>
              <w:jc w:val="center"/>
              <w:rPr>
                <w:rFonts w:ascii="宋体" w:hAnsi="宋体" w:cs="宋体" w:eastAsia="宋体" w:hint="default"/>
                <w:sz w:val="21"/>
                <w:szCs w:val="21"/>
              </w:rPr>
            </w:pPr>
            <w:r>
              <w:rPr>
                <w:rFonts w:ascii="宋体" w:hAnsi="宋体" w:cs="宋体" w:eastAsia="宋体" w:hint="default"/>
                <w:sz w:val="21"/>
                <w:szCs w:val="21"/>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134,777.92</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个月以内</w:t>
            </w:r>
          </w:p>
        </w:tc>
        <w:tc>
          <w:tcPr>
            <w:tcW w:w="18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0.29%</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60"/>
              <w:jc w:val="left"/>
              <w:rPr>
                <w:rFonts w:ascii="宋体" w:hAnsi="宋体" w:cs="宋体" w:eastAsia="宋体" w:hint="default"/>
                <w:sz w:val="21"/>
                <w:szCs w:val="21"/>
              </w:rPr>
            </w:pPr>
            <w:r>
              <w:rPr>
                <w:rFonts w:ascii="宋体" w:hAnsi="宋体" w:cs="宋体" w:eastAsia="宋体" w:hint="default"/>
                <w:spacing w:val="-2"/>
                <w:sz w:val="21"/>
                <w:szCs w:val="21"/>
              </w:rPr>
              <w:t>中国太平洋财产保险股份</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有限公司广东分公司</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34"/>
              <w:jc w:val="center"/>
              <w:rPr>
                <w:rFonts w:ascii="宋体" w:hAnsi="宋体" w:cs="宋体" w:eastAsia="宋体" w:hint="default"/>
                <w:sz w:val="21"/>
                <w:szCs w:val="21"/>
              </w:rPr>
            </w:pPr>
            <w:r>
              <w:rPr>
                <w:rFonts w:ascii="宋体" w:hAnsi="宋体" w:cs="宋体" w:eastAsia="宋体" w:hint="default"/>
                <w:sz w:val="21"/>
                <w:szCs w:val="21"/>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275,682.61</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个月至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个月</w:t>
            </w:r>
          </w:p>
        </w:tc>
        <w:tc>
          <w:tcPr>
            <w:tcW w:w="18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z w:val="21"/>
              </w:rPr>
              <w:t>0.59%</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员工</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34"/>
              <w:jc w:val="center"/>
              <w:rPr>
                <w:rFonts w:ascii="宋体" w:hAnsi="宋体" w:cs="宋体" w:eastAsia="宋体" w:hint="default"/>
                <w:sz w:val="21"/>
                <w:szCs w:val="21"/>
              </w:rPr>
            </w:pPr>
            <w:r>
              <w:rPr>
                <w:rFonts w:ascii="宋体" w:hAnsi="宋体" w:cs="宋体" w:eastAsia="宋体" w:hint="default"/>
                <w:sz w:val="21"/>
                <w:szCs w:val="21"/>
              </w:rPr>
              <w:t>备用金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230,626.45</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个月以内、</w:t>
            </w:r>
            <w:r>
              <w:rPr>
                <w:rFonts w:ascii="Times New Roman" w:hAnsi="Times New Roman" w:cs="Times New Roman" w:eastAsia="Times New Roman" w:hint="default"/>
                <w:sz w:val="21"/>
                <w:szCs w:val="21"/>
              </w:rPr>
              <w:t>3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w:t>
            </w:r>
          </w:p>
          <w:p>
            <w:pPr>
              <w:pStyle w:val="TableParagraph"/>
              <w:spacing w:line="240" w:lineRule="auto" w:before="21"/>
              <w:ind w:left="23" w:right="0"/>
              <w:jc w:val="left"/>
              <w:rPr>
                <w:rFonts w:ascii="Times New Roman" w:hAnsi="Times New Roman" w:cs="Times New Roman" w:eastAsia="Times New Roman" w:hint="default"/>
                <w:sz w:val="21"/>
                <w:szCs w:val="21"/>
              </w:rPr>
            </w:pPr>
            <w:r>
              <w:rPr>
                <w:rFonts w:ascii="宋体" w:hAnsi="宋体" w:cs="宋体" w:eastAsia="宋体" w:hint="default"/>
                <w:w w:val="100"/>
                <w:sz w:val="21"/>
                <w:szCs w:val="21"/>
              </w:rPr>
              <w:t>个月</w:t>
            </w:r>
            <w:r>
              <w:rPr>
                <w:rFonts w:ascii="宋体" w:hAnsi="宋体" w:cs="宋体" w:eastAsia="宋体" w:hint="default"/>
                <w:spacing w:val="-106"/>
                <w:w w:val="100"/>
                <w:sz w:val="21"/>
                <w:szCs w:val="21"/>
              </w:rPr>
              <w:t>、</w:t>
            </w:r>
            <w:r>
              <w:rPr>
                <w:rFonts w:ascii="Times New Roman" w:hAnsi="Times New Roman" w:cs="Times New Roman" w:eastAsia="Times New Roman" w:hint="default"/>
                <w:w w:val="100"/>
                <w:sz w:val="21"/>
                <w:szCs w:val="21"/>
              </w:rPr>
              <w:t>6</w:t>
            </w:r>
            <w:r>
              <w:rPr>
                <w:rFonts w:ascii="Times New Roman" w:hAnsi="Times New Roman" w:cs="Times New Roman" w:eastAsia="Times New Roman" w:hint="default"/>
                <w:spacing w:val="-10"/>
                <w:sz w:val="21"/>
                <w:szCs w:val="21"/>
              </w:rPr>
              <w:t> </w:t>
            </w:r>
            <w:r>
              <w:rPr>
                <w:rFonts w:ascii="宋体" w:hAnsi="宋体" w:cs="宋体" w:eastAsia="宋体" w:hint="default"/>
                <w:w w:val="100"/>
                <w:sz w:val="21"/>
                <w:szCs w:val="21"/>
              </w:rPr>
              <w:t>个月至</w:t>
            </w:r>
            <w:r>
              <w:rPr>
                <w:rFonts w:ascii="宋体" w:hAnsi="宋体" w:cs="宋体" w:eastAsia="宋体" w:hint="default"/>
                <w:spacing w:val="-60"/>
                <w:sz w:val="21"/>
                <w:szCs w:val="21"/>
              </w:rPr>
              <w:t> </w:t>
            </w:r>
            <w:r>
              <w:rPr>
                <w:rFonts w:ascii="Times New Roman" w:hAnsi="Times New Roman" w:cs="Times New Roman" w:eastAsia="Times New Roman" w:hint="default"/>
                <w:w w:val="100"/>
                <w:sz w:val="21"/>
                <w:szCs w:val="21"/>
              </w:rPr>
              <w:t>1</w:t>
            </w:r>
          </w:p>
          <w:p>
            <w:pPr>
              <w:pStyle w:val="TableParagraph"/>
              <w:spacing w:line="240" w:lineRule="auto" w:before="21"/>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676" w:type="dxa"/>
            <w:tcBorders>
              <w:top w:val="single" w:sz="4" w:space="0" w:color="000000"/>
              <w:left w:val="single" w:sz="4" w:space="0" w:color="000000"/>
              <w:bottom w:val="single" w:sz="4" w:space="0" w:color="000000"/>
              <w:right w:val="nil" w:sz="6" w:space="0" w:color="auto"/>
            </w:tcBorders>
          </w:tcPr>
          <w:p>
            <w:pPr/>
          </w:p>
        </w:tc>
        <w:tc>
          <w:tcPr>
            <w:tcW w:w="11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596" w:right="0"/>
              <w:jc w:val="left"/>
              <w:rPr>
                <w:rFonts w:ascii="Times New Roman" w:hAnsi="Times New Roman" w:cs="Times New Roman" w:eastAsia="Times New Roman" w:hint="default"/>
                <w:sz w:val="21"/>
                <w:szCs w:val="21"/>
              </w:rPr>
            </w:pPr>
            <w:r>
              <w:rPr>
                <w:rFonts w:ascii="Times New Roman"/>
                <w:sz w:val="21"/>
              </w:rPr>
              <w:t>0.49%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3,441.71</w:t>
            </w:r>
          </w:p>
        </w:tc>
      </w:tr>
      <w:tr>
        <w:trPr>
          <w:trHeight w:val="71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9"/>
              <w:ind w:left="24" w:right="60"/>
              <w:jc w:val="left"/>
              <w:rPr>
                <w:rFonts w:ascii="宋体" w:hAnsi="宋体" w:cs="宋体" w:eastAsia="宋体" w:hint="default"/>
                <w:sz w:val="21"/>
                <w:szCs w:val="21"/>
              </w:rPr>
            </w:pPr>
            <w:r>
              <w:rPr>
                <w:rFonts w:ascii="宋体" w:hAnsi="宋体" w:cs="宋体" w:eastAsia="宋体" w:hint="default"/>
                <w:spacing w:val="-2"/>
                <w:sz w:val="21"/>
                <w:szCs w:val="21"/>
              </w:rPr>
              <w:t>上海泛微网络科技股份有</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限公司</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34"/>
              <w:jc w:val="center"/>
              <w:rPr>
                <w:rFonts w:ascii="宋体" w:hAnsi="宋体" w:cs="宋体" w:eastAsia="宋体" w:hint="default"/>
                <w:sz w:val="21"/>
                <w:szCs w:val="21"/>
              </w:rPr>
            </w:pPr>
            <w:r>
              <w:rPr>
                <w:rFonts w:ascii="宋体" w:hAnsi="宋体" w:cs="宋体" w:eastAsia="宋体" w:hint="default"/>
                <w:sz w:val="21"/>
                <w:szCs w:val="21"/>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133,333.34</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个月以内，</w:t>
            </w:r>
            <w:r>
              <w:rPr>
                <w:rFonts w:ascii="Times New Roman" w:hAnsi="Times New Roman" w:cs="Times New Roman" w:eastAsia="Times New Roman" w:hint="default"/>
                <w:sz w:val="21"/>
                <w:szCs w:val="21"/>
              </w:rPr>
              <w:t>3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个月</w:t>
            </w:r>
          </w:p>
        </w:tc>
        <w:tc>
          <w:tcPr>
            <w:tcW w:w="18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z w:val="21"/>
              </w:rPr>
              <w:t>0.28%</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c>
          <w:tcPr>
            <w:tcW w:w="155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46,622,203.31</w:t>
            </w:r>
          </w:p>
        </w:tc>
        <w:tc>
          <w:tcPr>
            <w:tcW w:w="1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sz w:val="21"/>
              </w:rPr>
              <w:t>--</w:t>
            </w:r>
          </w:p>
        </w:tc>
        <w:tc>
          <w:tcPr>
            <w:tcW w:w="18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162" w:right="0"/>
              <w:jc w:val="left"/>
              <w:rPr>
                <w:rFonts w:ascii="Times New Roman" w:hAnsi="Times New Roman" w:cs="Times New Roman" w:eastAsia="Times New Roman" w:hint="default"/>
                <w:sz w:val="21"/>
                <w:szCs w:val="21"/>
              </w:rPr>
            </w:pPr>
            <w:r>
              <w:rPr>
                <w:rFonts w:ascii="Times New Roman"/>
                <w:sz w:val="21"/>
              </w:rPr>
              <w:t>99.37%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3,441.71</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pict>
          <v:shape style="position:absolute;margin-left:372.910004pt;margin-top:-104.166328pt;width:107.8pt;height:19.7pt;mso-position-horizontal-relative:page;mso-position-vertical-relative:paragraph;z-index:-665368" type="#_x0000_t202" filled="false" stroked="false">
            <v:textbox inset="0,0,0,0">
              <w:txbxContent>
                <w:p>
                  <w:pPr>
                    <w:pStyle w:val="BodyText"/>
                    <w:spacing w:line="240" w:lineRule="auto" w:before="28"/>
                    <w:ind w:left="0" w:right="0"/>
                    <w:jc w:val="left"/>
                  </w:pPr>
                  <w:r>
                    <w:rPr>
                      <w:spacing w:val="-3"/>
                    </w:rPr>
                    <w:t>年、</w:t>
                  </w:r>
                  <w:r>
                    <w:rPr/>
                  </w:r>
                </w:p>
              </w:txbxContent>
            </v:textbox>
            <w10:wrap type="none"/>
          </v:shape>
        </w:pict>
      </w:r>
      <w:r>
        <w:rPr/>
        <w:pict>
          <v:group style="position:absolute;margin-left:390.190002pt;margin-top:-104.706329pt;width:90.55pt;height:20.8pt;mso-position-horizontal-relative:page;mso-position-vertical-relative:paragraph;z-index:-665344" coordorigin="7804,-2094" coordsize="1811,416">
            <v:group style="position:absolute;left:7815;top:-2083;width:2;height:394" coordorigin="7815,-2083" coordsize="2,394">
              <v:shape style="position:absolute;left:7815;top:-2083;width:2;height:394" coordorigin="7815,-2083" coordsize="0,394" path="m7815,-2083l7815,-1690e" filled="false" stroked="true" strokeweight="1.08pt" strokecolor="#ffffff">
                <v:path arrowok="t"/>
              </v:shape>
            </v:group>
            <v:group style="position:absolute;left:7825;top:-2083;width:1789;height:394" coordorigin="7825,-2083" coordsize="1789,394">
              <v:shape style="position:absolute;left:7825;top:-2083;width:1789;height:394" coordorigin="7825,-2083" coordsize="1789,394" path="m7825,-1690l9614,-1690,9614,-2083,7825,-2083,7825,-1690xe" filled="true" fillcolor="#ffffff" stroked="false">
                <v:path arrowok="t"/>
                <v:fill type="solid"/>
              </v:shape>
            </v:group>
            <w10:wrap type="none"/>
          </v:group>
        </w:pict>
      </w:r>
      <w:r>
        <w:rPr/>
        <w:t>（</w:t>
      </w:r>
      <w:r>
        <w:rPr>
          <w:rFonts w:ascii="Times New Roman" w:hAnsi="Times New Roman" w:cs="Times New Roman" w:eastAsia="Times New Roman" w:hint="default"/>
        </w:rPr>
        <w:t>6</w:t>
      </w:r>
      <w:r>
        <w:rPr/>
        <w:t>）本期无涉及政府补助的应收款项。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after="0" w:line="240" w:lineRule="auto"/>
        <w:jc w:val="left"/>
        <w:sectPr>
          <w:footerReference w:type="default" r:id="rId46"/>
          <w:pgSz w:w="11910" w:h="16840"/>
          <w:pgMar w:footer="979" w:header="0" w:top="1100" w:bottom="1160" w:left="980" w:right="980"/>
          <w:pgNumType w:start="119"/>
        </w:sectPr>
      </w:pPr>
    </w:p>
    <w:p>
      <w:pPr>
        <w:spacing w:line="240" w:lineRule="auto" w:before="11"/>
        <w:rPr>
          <w:rFonts w:ascii="宋体" w:hAnsi="宋体" w:cs="宋体" w:eastAsia="宋体" w:hint="default"/>
          <w:b/>
          <w:bCs/>
          <w:sz w:val="20"/>
          <w:szCs w:val="20"/>
        </w:rPr>
      </w:pPr>
    </w:p>
    <w:p>
      <w:pPr>
        <w:pStyle w:val="Heading4"/>
        <w:spacing w:line="240" w:lineRule="auto" w:before="36"/>
        <w:ind w:right="0"/>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left="0" w:right="254"/>
        <w:jc w:val="right"/>
      </w:pPr>
      <w:r>
        <w:rPr/>
        <w:t>单位：</w:t>
      </w:r>
      <w:r>
        <w:rPr>
          <w:spacing w:val="2"/>
        </w:rPr>
        <w:t> </w:t>
      </w:r>
      <w:r>
        <w:rPr/>
        <w:t>元</w:t>
      </w:r>
    </w:p>
    <w:p>
      <w:pPr>
        <w:spacing w:line="240" w:lineRule="auto" w:before="10"/>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1356"/>
        <w:gridCol w:w="1369"/>
        <w:gridCol w:w="1368"/>
        <w:gridCol w:w="1366"/>
        <w:gridCol w:w="1476"/>
        <w:gridCol w:w="1136"/>
        <w:gridCol w:w="1490"/>
      </w:tblGrid>
      <w:tr>
        <w:trPr>
          <w:trHeight w:val="206"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192" w:hRule="exact"/>
        </w:trPr>
        <w:tc>
          <w:tcPr>
            <w:tcW w:w="135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right="4"/>
              <w:jc w:val="center"/>
              <w:rPr>
                <w:rFonts w:ascii="宋体" w:hAnsi="宋体" w:cs="宋体" w:eastAsia="宋体" w:hint="default"/>
                <w:sz w:val="21"/>
                <w:szCs w:val="21"/>
              </w:rPr>
            </w:pPr>
            <w:r>
              <w:rPr>
                <w:rFonts w:ascii="宋体" w:hAnsi="宋体" w:cs="宋体" w:eastAsia="宋体" w:hint="default"/>
                <w:sz w:val="21"/>
                <w:szCs w:val="21"/>
              </w:rPr>
              <w:t>项目</w:t>
            </w:r>
          </w:p>
        </w:tc>
        <w:tc>
          <w:tcPr>
            <w:tcW w:w="410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356" w:type="dxa"/>
            <w:vMerge/>
            <w:tcBorders>
              <w:left w:val="single" w:sz="4" w:space="0" w:color="000000"/>
              <w:bottom w:val="nil" w:sz="6" w:space="0" w:color="auto"/>
              <w:right w:val="single" w:sz="4" w:space="0" w:color="000000"/>
            </w:tcBorders>
            <w:shd w:val="clear" w:color="auto" w:fill="D2D2D2"/>
          </w:tcPr>
          <w:p>
            <w:pP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25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259"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259"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4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31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141"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4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321"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06"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476" w:type="dxa"/>
            <w:vMerge/>
            <w:tcBorders>
              <w:left w:val="single" w:sz="4" w:space="0" w:color="000000"/>
              <w:bottom w:val="single" w:sz="4" w:space="0" w:color="000000"/>
              <w:right w:val="single" w:sz="4" w:space="0" w:color="000000"/>
            </w:tcBorders>
            <w:shd w:val="clear" w:color="auto" w:fill="D2D2D2"/>
          </w:tcPr>
          <w:p>
            <w:pPr/>
          </w:p>
        </w:tc>
        <w:tc>
          <w:tcPr>
            <w:tcW w:w="1136" w:type="dxa"/>
            <w:vMerge/>
            <w:tcBorders>
              <w:left w:val="single" w:sz="4" w:space="0" w:color="000000"/>
              <w:bottom w:val="single" w:sz="4" w:space="0" w:color="000000"/>
              <w:right w:val="single" w:sz="4" w:space="0" w:color="000000"/>
            </w:tcBorders>
            <w:shd w:val="clear" w:color="auto" w:fill="D2D2D2"/>
          </w:tcPr>
          <w:p>
            <w:pPr/>
          </w:p>
        </w:tc>
        <w:tc>
          <w:tcPr>
            <w:tcW w:w="1490"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对子公司投资</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141,112,700.00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9" w:right="0"/>
              <w:jc w:val="center"/>
              <w:rPr>
                <w:rFonts w:ascii="Times New Roman" w:hAnsi="Times New Roman" w:cs="Times New Roman" w:eastAsia="Times New Roman" w:hint="default"/>
                <w:sz w:val="21"/>
                <w:szCs w:val="21"/>
              </w:rPr>
            </w:pPr>
            <w:r>
              <w:rPr>
                <w:rFonts w:ascii="Times New Roman"/>
                <w:sz w:val="21"/>
              </w:rPr>
              <w:t>141,112,700.00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129,012,700.00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129,012,700.00</w:t>
            </w: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141,112,700.00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9" w:right="0"/>
              <w:jc w:val="center"/>
              <w:rPr>
                <w:rFonts w:ascii="Times New Roman" w:hAnsi="Times New Roman" w:cs="Times New Roman" w:eastAsia="Times New Roman" w:hint="default"/>
                <w:sz w:val="21"/>
                <w:szCs w:val="21"/>
              </w:rPr>
            </w:pPr>
            <w:r>
              <w:rPr>
                <w:rFonts w:ascii="Times New Roman"/>
                <w:sz w:val="21"/>
              </w:rPr>
              <w:t>141,112,700.00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129,012,700.00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129,012,700.00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left="0" w:right="254"/>
        <w:jc w:val="right"/>
      </w:pPr>
      <w:r>
        <w:rPr/>
        <w:t>单位：</w:t>
      </w:r>
      <w:r>
        <w:rPr>
          <w:spacing w:val="2"/>
        </w:rPr>
        <w:t> </w:t>
      </w:r>
      <w:r>
        <w:rPr/>
        <w:t>元</w:t>
      </w:r>
    </w:p>
    <w:p>
      <w:pPr>
        <w:spacing w:line="240" w:lineRule="auto" w:before="13"/>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696"/>
        <w:gridCol w:w="1416"/>
        <w:gridCol w:w="1419"/>
        <w:gridCol w:w="566"/>
        <w:gridCol w:w="1417"/>
        <w:gridCol w:w="994"/>
        <w:gridCol w:w="1061"/>
      </w:tblGrid>
      <w:tr>
        <w:trPr>
          <w:trHeight w:val="713"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816"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8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8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69" w:right="62"/>
              <w:jc w:val="left"/>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减少</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83"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74" w:right="65"/>
              <w:jc w:val="left"/>
              <w:rPr>
                <w:rFonts w:ascii="宋体" w:hAnsi="宋体" w:cs="宋体" w:eastAsia="宋体" w:hint="default"/>
                <w:sz w:val="21"/>
                <w:szCs w:val="21"/>
              </w:rPr>
            </w:pPr>
            <w:r>
              <w:rPr>
                <w:rFonts w:ascii="宋体" w:hAnsi="宋体" w:cs="宋体" w:eastAsia="宋体" w:hint="default"/>
                <w:sz w:val="21"/>
                <w:szCs w:val="21"/>
              </w:rPr>
              <w:t>本期计提</w:t>
            </w:r>
            <w:r>
              <w:rPr>
                <w:rFonts w:ascii="宋体" w:hAnsi="宋体" w:cs="宋体" w:eastAsia="宋体" w:hint="default"/>
                <w:w w:val="100"/>
                <w:sz w:val="21"/>
                <w:szCs w:val="21"/>
              </w:rPr>
              <w:t> </w:t>
            </w:r>
            <w:r>
              <w:rPr>
                <w:rFonts w:ascii="宋体" w:hAnsi="宋体" w:cs="宋体" w:eastAsia="宋体" w:hint="default"/>
                <w:sz w:val="21"/>
                <w:szCs w:val="21"/>
              </w:rPr>
              <w:t>减值准备</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105" w:right="101"/>
              <w:jc w:val="left"/>
              <w:rPr>
                <w:rFonts w:ascii="宋体" w:hAnsi="宋体" w:cs="宋体" w:eastAsia="宋体" w:hint="default"/>
                <w:sz w:val="21"/>
                <w:szCs w:val="21"/>
              </w:rPr>
            </w:pPr>
            <w:r>
              <w:rPr>
                <w:rFonts w:ascii="宋体" w:hAnsi="宋体" w:cs="宋体" w:eastAsia="宋体" w:hint="default"/>
                <w:sz w:val="21"/>
                <w:szCs w:val="21"/>
              </w:rPr>
              <w:t>减值准备</w:t>
            </w:r>
            <w:r>
              <w:rPr>
                <w:rFonts w:ascii="宋体" w:hAnsi="宋体" w:cs="宋体" w:eastAsia="宋体" w:hint="default"/>
                <w:w w:val="100"/>
                <w:sz w:val="21"/>
                <w:szCs w:val="21"/>
              </w:rPr>
              <w:t> </w:t>
            </w:r>
            <w:r>
              <w:rPr>
                <w:rFonts w:ascii="宋体" w:hAnsi="宋体" w:cs="宋体" w:eastAsia="宋体" w:hint="default"/>
                <w:sz w:val="21"/>
                <w:szCs w:val="21"/>
              </w:rPr>
              <w:t>期末余额</w:t>
            </w:r>
          </w:p>
        </w:tc>
      </w:tr>
      <w:tr>
        <w:trPr>
          <w:trHeight w:val="40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扬州华声电子实业有限公司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119,012,700.00</w:t>
            </w: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119,012,700.00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扬州华声电器装配有限公司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5,000,000.00</w:t>
            </w: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5,000,000.00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37"/>
              <w:jc w:val="left"/>
              <w:rPr>
                <w:rFonts w:ascii="宋体" w:hAnsi="宋体" w:cs="宋体" w:eastAsia="宋体" w:hint="default"/>
                <w:sz w:val="21"/>
                <w:szCs w:val="21"/>
              </w:rPr>
            </w:pPr>
            <w:r>
              <w:rPr>
                <w:rFonts w:ascii="宋体" w:hAnsi="宋体" w:cs="宋体" w:eastAsia="宋体" w:hint="default"/>
                <w:spacing w:val="-2"/>
                <w:sz w:val="21"/>
                <w:szCs w:val="21"/>
              </w:rPr>
              <w:t>佛山市华声电子装配有限责</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任公司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5,000,000.00</w:t>
            </w: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5,000,000.00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广东华声电缆有限公司</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9,000,000.00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9,000,000.00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深圳华声前海投资有限公司</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2,500,000.00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2,500,000.00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广东华声电器实业有限公司</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600,000.00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600,000.00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129,012,700.00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12,100,000.00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141,112,700.00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）本期无对联营、合营企业投资。</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left="0" w:right="254"/>
        <w:jc w:val="right"/>
      </w:pPr>
      <w:r>
        <w:rPr/>
        <w:t>单位：</w:t>
      </w:r>
      <w:r>
        <w:rPr>
          <w:spacing w:val="2"/>
        </w:rPr>
        <w:t> </w:t>
      </w:r>
      <w:r>
        <w:rPr/>
        <w:t>元</w:t>
      </w:r>
    </w:p>
    <w:p>
      <w:pPr>
        <w:spacing w:line="240" w:lineRule="auto" w:before="10"/>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1972"/>
        <w:gridCol w:w="1847"/>
        <w:gridCol w:w="1913"/>
        <w:gridCol w:w="1913"/>
        <w:gridCol w:w="1915"/>
      </w:tblGrid>
      <w:tr>
        <w:trPr>
          <w:trHeight w:val="206" w:hRule="exact"/>
        </w:trPr>
        <w:tc>
          <w:tcPr>
            <w:tcW w:w="1972" w:type="dxa"/>
            <w:tcBorders>
              <w:top w:val="single" w:sz="4" w:space="0" w:color="000000"/>
              <w:left w:val="single" w:sz="4" w:space="0" w:color="000000"/>
              <w:bottom w:val="nil" w:sz="6" w:space="0" w:color="auto"/>
              <w:right w:val="single" w:sz="4" w:space="0" w:color="000000"/>
            </w:tcBorders>
            <w:shd w:val="clear" w:color="auto" w:fill="D2D2D2"/>
          </w:tcPr>
          <w:p>
            <w:pPr/>
          </w:p>
        </w:tc>
        <w:tc>
          <w:tcPr>
            <w:tcW w:w="376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13"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192" w:hRule="exact"/>
        </w:trPr>
        <w:tc>
          <w:tcPr>
            <w:tcW w:w="197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6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72" w:type="dxa"/>
            <w:vMerge/>
            <w:tcBorders>
              <w:left w:val="single" w:sz="4" w:space="0" w:color="000000"/>
              <w:bottom w:val="nil" w:sz="6" w:space="0" w:color="auto"/>
              <w:right w:val="single" w:sz="4" w:space="0" w:color="000000"/>
            </w:tcBorders>
            <w:shd w:val="clear" w:color="auto" w:fill="D2D2D2"/>
          </w:tcPr>
          <w:p>
            <w:pPr/>
          </w:p>
        </w:tc>
        <w:tc>
          <w:tcPr>
            <w:tcW w:w="184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13"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2"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1"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4"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04" w:hRule="exact"/>
        </w:trPr>
        <w:tc>
          <w:tcPr>
            <w:tcW w:w="1972" w:type="dxa"/>
            <w:tcBorders>
              <w:top w:val="nil" w:sz="6" w:space="0" w:color="auto"/>
              <w:left w:val="single" w:sz="4" w:space="0" w:color="000000"/>
              <w:bottom w:val="single" w:sz="4" w:space="0" w:color="000000"/>
              <w:right w:val="single" w:sz="4" w:space="0" w:color="000000"/>
            </w:tcBorders>
            <w:shd w:val="clear" w:color="auto" w:fill="D2D2D2"/>
          </w:tcPr>
          <w:p>
            <w:pPr/>
          </w:p>
        </w:tc>
        <w:tc>
          <w:tcPr>
            <w:tcW w:w="1847"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left="12" w:right="0"/>
              <w:jc w:val="left"/>
              <w:rPr>
                <w:rFonts w:ascii="宋体" w:hAnsi="宋体" w:cs="宋体" w:eastAsia="宋体" w:hint="default"/>
                <w:sz w:val="21"/>
                <w:szCs w:val="21"/>
              </w:rPr>
            </w:pPr>
            <w:r>
              <w:rPr>
                <w:rFonts w:ascii="宋体" w:hAnsi="宋体" w:cs="宋体" w:eastAsia="宋体" w:hint="default"/>
                <w:sz w:val="21"/>
                <w:szCs w:val="21"/>
              </w:rPr>
              <w:t>主营业务</w:t>
            </w:r>
          </w:p>
        </w:tc>
        <w:tc>
          <w:tcPr>
            <w:tcW w:w="18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8"/>
              <w:ind w:right="17"/>
              <w:jc w:val="right"/>
              <w:rPr>
                <w:rFonts w:ascii="Times New Roman" w:hAnsi="Times New Roman" w:cs="Times New Roman" w:eastAsia="Times New Roman" w:hint="default"/>
                <w:sz w:val="21"/>
                <w:szCs w:val="21"/>
              </w:rPr>
            </w:pPr>
            <w:r>
              <w:rPr>
                <w:rFonts w:ascii="Times New Roman"/>
                <w:spacing w:val="-1"/>
                <w:sz w:val="21"/>
              </w:rPr>
              <w:t>802,310,838.05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7"/>
              <w:jc w:val="right"/>
              <w:rPr>
                <w:rFonts w:ascii="Times New Roman" w:hAnsi="Times New Roman" w:cs="Times New Roman" w:eastAsia="Times New Roman" w:hint="default"/>
                <w:sz w:val="21"/>
                <w:szCs w:val="21"/>
              </w:rPr>
            </w:pPr>
            <w:r>
              <w:rPr>
                <w:rFonts w:ascii="Times New Roman"/>
                <w:spacing w:val="-1"/>
                <w:sz w:val="21"/>
              </w:rPr>
              <w:t>721,665,655.08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7"/>
              <w:jc w:val="right"/>
              <w:rPr>
                <w:rFonts w:ascii="Times New Roman" w:hAnsi="Times New Roman" w:cs="Times New Roman" w:eastAsia="Times New Roman" w:hint="default"/>
                <w:sz w:val="21"/>
                <w:szCs w:val="21"/>
              </w:rPr>
            </w:pPr>
            <w:r>
              <w:rPr>
                <w:rFonts w:ascii="Times New Roman"/>
                <w:spacing w:val="-1"/>
                <w:sz w:val="21"/>
              </w:rPr>
              <w:t>1,462,095,757.84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7"/>
              <w:jc w:val="right"/>
              <w:rPr>
                <w:rFonts w:ascii="Times New Roman" w:hAnsi="Times New Roman" w:cs="Times New Roman" w:eastAsia="Times New Roman" w:hint="default"/>
                <w:sz w:val="21"/>
                <w:szCs w:val="21"/>
              </w:rPr>
            </w:pPr>
            <w:r>
              <w:rPr>
                <w:rFonts w:ascii="Times New Roman"/>
                <w:spacing w:val="-1"/>
                <w:sz w:val="21"/>
              </w:rPr>
              <w:t>1,290,924,202.49</w:t>
            </w:r>
          </w:p>
        </w:tc>
      </w:tr>
      <w:tr>
        <w:trPr>
          <w:trHeight w:val="401" w:hRule="exact"/>
        </w:trPr>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其他业务</w:t>
            </w:r>
          </w:p>
        </w:tc>
        <w:tc>
          <w:tcPr>
            <w:tcW w:w="18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23,844,909.04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22,682,267.56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36,170,219.18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36,252,527.30</w:t>
            </w:r>
          </w:p>
        </w:tc>
      </w:tr>
      <w:tr>
        <w:trPr>
          <w:trHeight w:val="403" w:hRule="exact"/>
        </w:trPr>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826,155,747.09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744,347,922.64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1,498,265,977.02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1,327,176,729.79</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left="0" w:right="254"/>
        <w:jc w:val="right"/>
      </w:pPr>
      <w:r>
        <w:rPr/>
        <w:t>单位：</w:t>
      </w:r>
      <w:r>
        <w:rPr>
          <w:spacing w:val="2"/>
        </w:rPr>
        <w:t> </w:t>
      </w:r>
      <w:r>
        <w:rPr/>
        <w:t>元</w:t>
      </w:r>
    </w:p>
    <w:p>
      <w:pPr>
        <w:spacing w:line="240" w:lineRule="auto" w:before="10"/>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5"/>
      </w:tblGrid>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00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06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3071" w:type="dxa"/>
            <w:tcBorders>
              <w:top w:val="single" w:sz="4" w:space="0" w:color="000000"/>
              <w:left w:val="single" w:sz="9"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946" w:right="0"/>
              <w:jc w:val="left"/>
              <w:rPr>
                <w:rFonts w:ascii="Times New Roman" w:hAnsi="Times New Roman" w:cs="Times New Roman" w:eastAsia="Times New Roman" w:hint="default"/>
                <w:sz w:val="21"/>
                <w:szCs w:val="21"/>
              </w:rPr>
            </w:pPr>
            <w:r>
              <w:rPr>
                <w:rFonts w:ascii="Times New Roman"/>
                <w:sz w:val="21"/>
              </w:rPr>
              <w:t>30,000,000.00</w:t>
            </w:r>
          </w:p>
        </w:tc>
      </w:tr>
    </w:tbl>
    <w:p>
      <w:pPr>
        <w:spacing w:after="0" w:line="240" w:lineRule="auto"/>
        <w:jc w:val="left"/>
        <w:rPr>
          <w:rFonts w:ascii="Times New Roman" w:hAnsi="Times New Roman" w:cs="Times New Roman" w:eastAsia="Times New Roman" w:hint="default"/>
          <w:sz w:val="21"/>
          <w:szCs w:val="21"/>
        </w:rPr>
        <w:sectPr>
          <w:footerReference w:type="default" r:id="rId47"/>
          <w:pgSz w:w="11910" w:h="16840"/>
          <w:pgMar w:footer="979" w:header="0" w:top="1100" w:bottom="1160" w:left="980" w:right="980"/>
          <w:pgNumType w:start="12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324"/>
        <w:gridCol w:w="3060"/>
        <w:gridCol w:w="3185"/>
      </w:tblGrid>
      <w:tr>
        <w:trPr>
          <w:trHeight w:val="40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060" w:type="dxa"/>
            <w:tcBorders>
              <w:top w:val="single" w:sz="4" w:space="0" w:color="000000"/>
              <w:left w:val="single" w:sz="4" w:space="0" w:color="000000"/>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946" w:right="0"/>
              <w:jc w:val="left"/>
              <w:rPr>
                <w:rFonts w:ascii="Times New Roman" w:hAnsi="Times New Roman" w:cs="Times New Roman" w:eastAsia="Times New Roman" w:hint="default"/>
                <w:sz w:val="21"/>
                <w:szCs w:val="21"/>
              </w:rPr>
            </w:pPr>
            <w:r>
              <w:rPr>
                <w:rFonts w:ascii="Times New Roman"/>
                <w:sz w:val="21"/>
              </w:rPr>
              <w:t>30,000,000.00</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十八、补充资料</w:t>
      </w:r>
      <w:r>
        <w:rPr>
          <w:b w:val="0"/>
          <w:bCs w:val="0"/>
        </w:rPr>
      </w:r>
    </w:p>
    <w:p>
      <w:pPr>
        <w:spacing w:line="240" w:lineRule="auto" w:before="9"/>
        <w:rPr>
          <w:rFonts w:ascii="宋体" w:hAnsi="宋体" w:cs="宋体" w:eastAsia="宋体" w:hint="default"/>
          <w:b/>
          <w:bCs/>
          <w:sz w:val="24"/>
          <w:szCs w:val="24"/>
        </w:rPr>
      </w:pPr>
    </w:p>
    <w:p>
      <w:pPr>
        <w:tabs>
          <w:tab w:pos="8013" w:val="left" w:leader="none"/>
        </w:tabs>
        <w:spacing w:before="0"/>
        <w:ind w:left="0" w:right="170" w:firstLine="0"/>
        <w:jc w:val="righ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1</w:t>
      </w:r>
      <w:r>
        <w:rPr>
          <w:rFonts w:ascii="宋体" w:hAnsi="宋体" w:cs="宋体" w:eastAsia="宋体" w:hint="default"/>
          <w:b/>
          <w:bCs/>
          <w:spacing w:val="-1"/>
          <w:sz w:val="21"/>
          <w:szCs w:val="21"/>
        </w:rPr>
        <w:t>、当期非经常性损益明细表</w:t>
        <w:tab/>
      </w:r>
      <w:r>
        <w:rPr>
          <w:rFonts w:ascii="Times New Roman" w:hAnsi="Times New Roman" w:cs="Times New Roman" w:eastAsia="Times New Roman" w:hint="default"/>
          <w:sz w:val="21"/>
          <w:szCs w:val="21"/>
        </w:rPr>
        <w:t>√  </w:t>
      </w:r>
      <w:r>
        <w:rPr>
          <w:rFonts w:ascii="宋体" w:hAnsi="宋体" w:cs="宋体" w:eastAsia="宋体" w:hint="default"/>
          <w:spacing w:val="-2"/>
          <w:sz w:val="21"/>
          <w:szCs w:val="21"/>
        </w:rPr>
        <w:t>适用</w:t>
      </w:r>
      <w:r>
        <w:rPr>
          <w:rFonts w:ascii="宋体" w:hAnsi="宋体" w:cs="宋体" w:eastAsia="宋体" w:hint="default"/>
          <w:sz w:val="21"/>
          <w:szCs w:val="21"/>
        </w:rPr>
        <w:t>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4"/>
          <w:sz w:val="21"/>
          <w:szCs w:val="21"/>
        </w:rPr>
        <w:t> </w:t>
      </w:r>
      <w:r>
        <w:rPr>
          <w:rFonts w:ascii="宋体" w:hAnsi="宋体" w:cs="宋体" w:eastAsia="宋体" w:hint="default"/>
          <w:spacing w:val="-1"/>
          <w:sz w:val="21"/>
          <w:szCs w:val="21"/>
        </w:rPr>
        <w:t>不适用</w:t>
      </w:r>
    </w:p>
    <w:p>
      <w:pPr>
        <w:spacing w:line="240" w:lineRule="auto" w:before="10"/>
        <w:rPr>
          <w:rFonts w:ascii="宋体" w:hAnsi="宋体" w:cs="宋体" w:eastAsia="宋体" w:hint="default"/>
          <w:sz w:val="24"/>
          <w:szCs w:val="24"/>
        </w:rPr>
      </w:pPr>
    </w:p>
    <w:p>
      <w:pPr>
        <w:pStyle w:val="BodyText"/>
        <w:spacing w:line="240" w:lineRule="auto"/>
        <w:ind w:left="0" w:right="254"/>
        <w:jc w:val="right"/>
      </w:pPr>
      <w:r>
        <w:rPr/>
        <w:t>单位：</w:t>
      </w:r>
      <w:r>
        <w:rPr>
          <w:spacing w:val="2"/>
        </w:rPr>
        <w:t> </w:t>
      </w:r>
      <w:r>
        <w:rPr/>
        <w:t>元</w:t>
      </w:r>
    </w:p>
    <w:p>
      <w:pPr>
        <w:spacing w:line="240" w:lineRule="auto" w:before="10"/>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4941"/>
        <w:gridCol w:w="3130"/>
        <w:gridCol w:w="1488"/>
      </w:tblGrid>
      <w:tr>
        <w:trPr>
          <w:trHeight w:val="403" w:hRule="exact"/>
        </w:trPr>
        <w:tc>
          <w:tcPr>
            <w:tcW w:w="4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3"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402" w:hRule="exact"/>
        </w:trPr>
        <w:tc>
          <w:tcPr>
            <w:tcW w:w="4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31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-1,085,927.24</w:t>
            </w: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4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9"/>
              <w:ind w:left="12" w:right="82"/>
              <w:jc w:val="left"/>
              <w:rPr>
                <w:rFonts w:ascii="宋体" w:hAnsi="宋体" w:cs="宋体" w:eastAsia="宋体" w:hint="default"/>
                <w:sz w:val="21"/>
                <w:szCs w:val="21"/>
              </w:rPr>
            </w:pPr>
            <w:r>
              <w:rPr>
                <w:rFonts w:ascii="宋体" w:hAnsi="宋体" w:cs="宋体" w:eastAsia="宋体" w:hint="default"/>
                <w:spacing w:val="-2"/>
                <w:sz w:val="21"/>
                <w:szCs w:val="21"/>
              </w:rPr>
              <w:t>计入当期损益的政府补助（与企业业务密切相关，按</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照国家统一标准定额或定量享受的政府补助除外）</w:t>
            </w:r>
          </w:p>
        </w:tc>
        <w:tc>
          <w:tcPr>
            <w:tcW w:w="31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4,532,794.50</w:t>
            </w: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31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-215,605.20</w:t>
            </w: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宋体" w:hAnsi="宋体" w:cs="宋体" w:eastAsia="宋体" w:hint="default"/>
                <w:sz w:val="21"/>
                <w:szCs w:val="21"/>
              </w:rPr>
              <w:t>减：所得税影响额</w:t>
            </w:r>
          </w:p>
        </w:tc>
        <w:tc>
          <w:tcPr>
            <w:tcW w:w="31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550,766.02</w:t>
            </w: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31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-77.07</w:t>
            </w: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30"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76"/>
              <w:ind w:right="5"/>
              <w:jc w:val="right"/>
              <w:rPr>
                <w:rFonts w:ascii="Times New Roman" w:hAnsi="Times New Roman" w:cs="Times New Roman" w:eastAsia="Times New Roman" w:hint="default"/>
                <w:sz w:val="21"/>
                <w:szCs w:val="21"/>
              </w:rPr>
            </w:pPr>
            <w:r>
              <w:rPr>
                <w:rFonts w:ascii="Times New Roman"/>
                <w:spacing w:val="-2"/>
                <w:sz w:val="21"/>
              </w:rPr>
              <w:t>2,680,573.11</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w:t>
            </w:r>
          </w:p>
        </w:tc>
      </w:tr>
    </w:tbl>
    <w:p>
      <w:pPr>
        <w:pStyle w:val="BodyText"/>
        <w:spacing w:line="240" w:lineRule="auto" w:before="28"/>
        <w:ind w:right="0"/>
        <w:jc w:val="left"/>
      </w:pPr>
      <w:r>
        <w:rPr>
          <w:spacing w:val="-2"/>
        </w:rPr>
        <w:t>对公司根据《公开发行证券的公司信息披露解释性公告第</w:t>
      </w:r>
      <w:r>
        <w:rPr/>
        <w:t> </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spacing w:val="-2"/>
        </w:rPr>
        <w:t>号</w:t>
      </w:r>
      <w:r>
        <w:rPr>
          <w:rFonts w:ascii="Times New Roman" w:hAnsi="Times New Roman" w:cs="Times New Roman" w:eastAsia="Times New Roman" w:hint="default"/>
          <w:spacing w:val="-2"/>
        </w:rPr>
        <w:t>——</w:t>
      </w:r>
      <w:r>
        <w:rPr>
          <w:spacing w:val="-2"/>
        </w:rPr>
        <w:t>非经常性损益》定义界定的非经常性损</w:t>
      </w:r>
    </w:p>
    <w:p>
      <w:pPr>
        <w:pStyle w:val="BodyText"/>
        <w:tabs>
          <w:tab w:pos="8137" w:val="left" w:leader="none"/>
        </w:tabs>
        <w:spacing w:line="256" w:lineRule="auto" w:before="21"/>
        <w:ind w:right="146"/>
        <w:jc w:val="left"/>
      </w:pPr>
      <w:r>
        <w:rPr>
          <w:spacing w:val="-2"/>
        </w:rPr>
        <w:t>益项目，以及把《公开发行证券的公司信息披露解释性公告第</w:t>
      </w:r>
      <w:r>
        <w:rPr/>
        <w:t> </w:t>
      </w:r>
      <w:r>
        <w:rPr>
          <w:rFonts w:ascii="Times New Roman" w:hAnsi="Times New Roman" w:cs="Times New Roman" w:eastAsia="Times New Roman" w:hint="default"/>
        </w:rPr>
        <w:t>1 </w:t>
      </w:r>
      <w:r>
        <w:rPr>
          <w:spacing w:val="-2"/>
        </w:rPr>
        <w:t>号</w:t>
      </w:r>
      <w:r>
        <w:rPr>
          <w:rFonts w:ascii="Times New Roman" w:hAnsi="Times New Roman" w:cs="Times New Roman" w:eastAsia="Times New Roman" w:hint="default"/>
          <w:spacing w:val="-2"/>
        </w:rPr>
        <w:t>——</w:t>
      </w:r>
      <w:r>
        <w:rPr>
          <w:spacing w:val="-2"/>
        </w:rPr>
        <w:t>非经常性损益》中列举的非经常性</w:t>
      </w:r>
      <w:r>
        <w:rPr>
          <w:spacing w:val="-99"/>
        </w:rPr>
        <w:t> </w:t>
      </w:r>
      <w:r>
        <w:rPr>
          <w:spacing w:val="-99"/>
        </w:rPr>
      </w:r>
      <w:r>
        <w:rPr>
          <w:spacing w:val="-2"/>
        </w:rPr>
        <w:t>损益项目界定为经常性损益的项目，应说明原因。</w:t>
        <w:tab/>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spacing w:val="-1"/>
        </w:rPr>
        <w:t>不适用</w:t>
      </w:r>
    </w:p>
    <w:p>
      <w:pPr>
        <w:spacing w:line="240" w:lineRule="auto" w:before="2"/>
        <w:rPr>
          <w:rFonts w:ascii="宋体" w:hAnsi="宋体" w:cs="宋体" w:eastAsia="宋体" w:hint="default"/>
          <w:sz w:val="23"/>
          <w:szCs w:val="23"/>
        </w:rPr>
      </w:pPr>
    </w:p>
    <w:p>
      <w:pPr>
        <w:pStyle w:val="Heading4"/>
        <w:spacing w:line="240" w:lineRule="auto"/>
        <w:ind w:right="0"/>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6"/>
          <w:szCs w:val="16"/>
        </w:rPr>
      </w:pPr>
    </w:p>
    <w:p>
      <w:pPr>
        <w:pStyle w:val="BodyText"/>
        <w:spacing w:line="240" w:lineRule="auto" w:before="36"/>
        <w:ind w:left="0" w:right="139"/>
        <w:jc w:val="right"/>
      </w:pPr>
      <w:r>
        <w:rPr/>
        <w:pict>
          <v:shape style="position:absolute;margin-left:414.549988pt;margin-top:.383661pt;width:119.2pt;height:19.6pt;mso-position-horizontal-relative:page;mso-position-vertical-relative:paragraph;z-index:-665320" type="#_x0000_t202" filled="false" stroked="false">
            <v:textbox inset="0,0,0,0">
              <w:txbxContent>
                <w:p>
                  <w:pPr>
                    <w:pStyle w:val="BodyText"/>
                    <w:spacing w:line="240" w:lineRule="auto" w:before="28"/>
                    <w:ind w:left="0" w:right="0"/>
                    <w:jc w:val="left"/>
                  </w:pPr>
                  <w:r>
                    <w:rPr/>
                    <w:t>股）</w:t>
                  </w:r>
                </w:p>
              </w:txbxContent>
            </v:textbox>
            <w10:wrap type="none"/>
          </v:shape>
        </w:pict>
      </w:r>
      <w:r>
        <w:rPr/>
        <w:pict>
          <v:shape style="position:absolute;margin-left:57pt;margin-top:-20.256350pt;width:478.7pt;height:96.5pt;mso-position-horizontal-relative:page;mso-position-vertical-relative:paragraph;z-index:35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09"/>
                    <w:gridCol w:w="2268"/>
                    <w:gridCol w:w="2125"/>
                    <w:gridCol w:w="2057"/>
                  </w:tblGrid>
                  <w:tr>
                    <w:trPr>
                      <w:trHeight w:val="206" w:hRule="exact"/>
                    </w:trPr>
                    <w:tc>
                      <w:tcPr>
                        <w:tcW w:w="3109" w:type="dxa"/>
                        <w:tcBorders>
                          <w:top w:val="single" w:sz="4" w:space="0" w:color="000000"/>
                          <w:left w:val="single" w:sz="4" w:space="0" w:color="000000"/>
                          <w:bottom w:val="nil" w:sz="6" w:space="0" w:color="auto"/>
                          <w:right w:val="single" w:sz="4" w:space="0" w:color="000000"/>
                        </w:tcBorders>
                        <w:shd w:val="clear" w:color="auto" w:fill="D2D2D2"/>
                      </w:tcPr>
                      <w:p>
                        <w:pPr/>
                      </w:p>
                    </w:tc>
                    <w:tc>
                      <w:tcPr>
                        <w:tcW w:w="22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8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192" w:hRule="exact"/>
                    </w:trPr>
                    <w:tc>
                      <w:tcPr>
                        <w:tcW w:w="310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1018" w:right="0"/>
                          <w:jc w:val="left"/>
                          <w:rPr>
                            <w:rFonts w:ascii="宋体" w:hAnsi="宋体" w:cs="宋体" w:eastAsia="宋体" w:hint="default"/>
                            <w:sz w:val="21"/>
                            <w:szCs w:val="21"/>
                          </w:rPr>
                        </w:pPr>
                        <w:r>
                          <w:rPr>
                            <w:rFonts w:ascii="宋体" w:hAnsi="宋体" w:cs="宋体" w:eastAsia="宋体" w:hint="default"/>
                            <w:sz w:val="21"/>
                            <w:szCs w:val="21"/>
                          </w:rPr>
                          <w:t>报告期利润</w:t>
                        </w:r>
                      </w:p>
                    </w:tc>
                    <w:tc>
                      <w:tcPr>
                        <w:tcW w:w="22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79"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p>
                    </w:tc>
                    <w:tc>
                      <w:tcPr>
                        <w:tcW w:w="4181"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3109" w:type="dxa"/>
                        <w:vMerge/>
                        <w:tcBorders>
                          <w:left w:val="single" w:sz="4" w:space="0" w:color="000000"/>
                          <w:bottom w:val="nil" w:sz="6" w:space="0" w:color="auto"/>
                          <w:right w:val="single" w:sz="4" w:space="0" w:color="000000"/>
                        </w:tcBorders>
                        <w:shd w:val="clear" w:color="auto" w:fill="D2D2D2"/>
                      </w:tcPr>
                      <w:p>
                        <w:pPr/>
                      </w:p>
                    </w:tc>
                    <w:tc>
                      <w:tcPr>
                        <w:tcW w:w="2268" w:type="dxa"/>
                        <w:vMerge/>
                        <w:tcBorders>
                          <w:left w:val="single" w:sz="4" w:space="0" w:color="000000"/>
                          <w:bottom w:val="nil" w:sz="6" w:space="0" w:color="auto"/>
                          <w:right w:val="single" w:sz="4" w:space="0" w:color="000000"/>
                        </w:tcBorders>
                        <w:shd w:val="clear" w:color="auto" w:fill="D2D2D2"/>
                      </w:tcPr>
                      <w:p>
                        <w:pPr/>
                      </w:p>
                    </w:tc>
                    <w:tc>
                      <w:tcPr>
                        <w:tcW w:w="21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2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基本每股收益（元</w:t>
                        </w:r>
                        <w:r>
                          <w:rPr>
                            <w:rFonts w:ascii="Times New Roman" w:hAnsi="Times New Roman" w:cs="Times New Roman" w:eastAsia="Times New Roman" w:hint="default"/>
                            <w:sz w:val="21"/>
                            <w:szCs w:val="21"/>
                          </w:rPr>
                          <w:t>/</w:t>
                        </w:r>
                      </w:p>
                    </w:tc>
                    <w:tc>
                      <w:tcPr>
                        <w:tcW w:w="2057" w:type="dxa"/>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33"/>
                          <w:ind w:left="26" w:right="0"/>
                          <w:jc w:val="left"/>
                          <w:rPr>
                            <w:rFonts w:ascii="宋体" w:hAnsi="宋体" w:cs="宋体" w:eastAsia="宋体" w:hint="default"/>
                            <w:sz w:val="21"/>
                            <w:szCs w:val="21"/>
                          </w:rPr>
                        </w:pPr>
                        <w:r>
                          <w:rPr>
                            <w:rFonts w:ascii="宋体" w:hAnsi="宋体" w:cs="宋体" w:eastAsia="宋体" w:hint="default"/>
                            <w:spacing w:val="-7"/>
                            <w:sz w:val="21"/>
                            <w:szCs w:val="21"/>
                          </w:rPr>
                          <w:t>稀释每股收益（元</w:t>
                        </w:r>
                        <w:r>
                          <w:rPr>
                            <w:rFonts w:ascii="Times New Roman" w:hAnsi="Times New Roman" w:cs="Times New Roman" w:eastAsia="Times New Roman" w:hint="default"/>
                            <w:spacing w:val="-7"/>
                            <w:sz w:val="21"/>
                            <w:szCs w:val="21"/>
                          </w:rPr>
                          <w:t>/</w:t>
                        </w:r>
                        <w:r>
                          <w:rPr>
                            <w:rFonts w:ascii="宋体" w:hAnsi="宋体" w:cs="宋体" w:eastAsia="宋体" w:hint="default"/>
                            <w:spacing w:val="-7"/>
                            <w:sz w:val="21"/>
                            <w:szCs w:val="21"/>
                          </w:rPr>
                          <w:t>股</w:t>
                        </w:r>
                      </w:p>
                    </w:tc>
                  </w:tr>
                  <w:tr>
                    <w:trPr>
                      <w:trHeight w:val="204" w:hRule="exact"/>
                    </w:trPr>
                    <w:tc>
                      <w:tcPr>
                        <w:tcW w:w="3109" w:type="dxa"/>
                        <w:tcBorders>
                          <w:top w:val="nil" w:sz="6" w:space="0" w:color="auto"/>
                          <w:left w:val="single" w:sz="4" w:space="0" w:color="000000"/>
                          <w:bottom w:val="single" w:sz="4" w:space="0" w:color="000000"/>
                          <w:right w:val="single" w:sz="4" w:space="0" w:color="000000"/>
                        </w:tcBorders>
                        <w:shd w:val="clear" w:color="auto" w:fill="D2D2D2"/>
                      </w:tcPr>
                      <w:p>
                        <w:pPr/>
                      </w:p>
                    </w:tc>
                    <w:tc>
                      <w:tcPr>
                        <w:tcW w:w="2268" w:type="dxa"/>
                        <w:tcBorders>
                          <w:top w:val="nil" w:sz="6" w:space="0" w:color="auto"/>
                          <w:left w:val="single" w:sz="4" w:space="0" w:color="000000"/>
                          <w:bottom w:val="single" w:sz="4" w:space="0" w:color="000000"/>
                          <w:right w:val="single" w:sz="4" w:space="0" w:color="000000"/>
                        </w:tcBorders>
                        <w:shd w:val="clear" w:color="auto" w:fill="D2D2D2"/>
                      </w:tcPr>
                      <w:p>
                        <w:pPr/>
                      </w:p>
                    </w:tc>
                    <w:tc>
                      <w:tcPr>
                        <w:tcW w:w="2125" w:type="dxa"/>
                        <w:vMerge/>
                        <w:tcBorders>
                          <w:left w:val="single" w:sz="4" w:space="0" w:color="000000"/>
                          <w:bottom w:val="single" w:sz="4" w:space="0" w:color="000000"/>
                          <w:right w:val="single" w:sz="4" w:space="0" w:color="000000"/>
                        </w:tcBorders>
                        <w:shd w:val="clear" w:color="auto" w:fill="D2D2D2"/>
                      </w:tcPr>
                      <w:p>
                        <w:pPr/>
                      </w:p>
                    </w:tc>
                    <w:tc>
                      <w:tcPr>
                        <w:tcW w:w="2057" w:type="dxa"/>
                        <w:vMerge/>
                        <w:tcBorders>
                          <w:left w:val="single" w:sz="4" w:space="0" w:color="000000"/>
                          <w:bottom w:val="single" w:sz="4" w:space="0" w:color="000000"/>
                          <w:right w:val="nil" w:sz="6" w:space="0" w:color="auto"/>
                        </w:tcBorders>
                        <w:shd w:val="clear" w:color="auto" w:fill="D2D2D2"/>
                      </w:tcPr>
                      <w:p>
                        <w:pPr/>
                      </w:p>
                    </w:tc>
                  </w:tr>
                  <w:tr>
                    <w:trPr>
                      <w:trHeight w:val="403" w:hRule="exact"/>
                    </w:trPr>
                    <w:tc>
                      <w:tcPr>
                        <w:tcW w:w="3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22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3.12%</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5"/>
                          <w:jc w:val="right"/>
                          <w:rPr>
                            <w:rFonts w:ascii="Times New Roman" w:hAnsi="Times New Roman" w:cs="Times New Roman" w:eastAsia="Times New Roman" w:hint="default"/>
                            <w:sz w:val="21"/>
                            <w:szCs w:val="21"/>
                          </w:rPr>
                        </w:pPr>
                        <w:r>
                          <w:rPr>
                            <w:rFonts w:ascii="Times New Roman"/>
                            <w:sz w:val="21"/>
                          </w:rPr>
                          <w:t>0.1308</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0.1308</w:t>
                        </w:r>
                      </w:p>
                    </w:tc>
                  </w:tr>
                  <w:tr>
                    <w:trPr>
                      <w:trHeight w:val="713" w:hRule="exact"/>
                    </w:trPr>
                    <w:tc>
                      <w:tcPr>
                        <w:tcW w:w="3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140"/>
                          <w:jc w:val="left"/>
                          <w:rPr>
                            <w:rFonts w:ascii="宋体" w:hAnsi="宋体" w:cs="宋体" w:eastAsia="宋体" w:hint="default"/>
                            <w:sz w:val="21"/>
                            <w:szCs w:val="21"/>
                          </w:rPr>
                        </w:pPr>
                        <w:r>
                          <w:rPr>
                            <w:rFonts w:ascii="宋体" w:hAnsi="宋体" w:cs="宋体" w:eastAsia="宋体" w:hint="default"/>
                            <w:spacing w:val="-2"/>
                            <w:sz w:val="21"/>
                            <w:szCs w:val="21"/>
                          </w:rPr>
                          <w:t>扣除非经常性损益后归属于公司</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普通股股东的净利润</w:t>
                        </w:r>
                      </w:p>
                    </w:tc>
                    <w:tc>
                      <w:tcPr>
                        <w:tcW w:w="22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2.80%</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5"/>
                          <w:jc w:val="right"/>
                          <w:rPr>
                            <w:rFonts w:ascii="Times New Roman" w:hAnsi="Times New Roman" w:cs="Times New Roman" w:eastAsia="Times New Roman" w:hint="default"/>
                            <w:sz w:val="21"/>
                            <w:szCs w:val="21"/>
                          </w:rPr>
                        </w:pPr>
                        <w:r>
                          <w:rPr>
                            <w:rFonts w:ascii="Times New Roman"/>
                            <w:spacing w:val="-2"/>
                            <w:sz w:val="21"/>
                          </w:rPr>
                          <w:t>0.1174</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2"/>
                            <w:sz w:val="21"/>
                          </w:rPr>
                          <w:t>0.1174</w:t>
                        </w:r>
                      </w:p>
                    </w:tc>
                  </w:tr>
                </w:tbl>
                <w:p>
                  <w:pPr/>
                </w:p>
              </w:txbxContent>
            </v:textbox>
            <w10:wrap type="none"/>
          </v:shape>
        </w:pict>
      </w:r>
      <w:r>
        <w:rPr>
          <w:w w:val="100"/>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92"/>
        <w:ind w:right="0"/>
        <w:jc w:val="left"/>
        <w:rPr>
          <w:b w:val="0"/>
          <w:bCs w:val="0"/>
        </w:rPr>
      </w:pPr>
      <w:r>
        <w:rPr>
          <w:rFonts w:ascii="Times New Roman" w:hAnsi="Times New Roman" w:cs="Times New Roman" w:eastAsia="Times New Roman" w:hint="default"/>
        </w:rPr>
        <w:t>3</w:t>
      </w:r>
      <w:r>
        <w:rPr/>
        <w:t>、境内外会计准则下会计数据差异</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7"/>
        <w:rPr>
          <w:rFonts w:ascii="宋体" w:hAnsi="宋体" w:cs="宋体" w:eastAsia="宋体" w:hint="default"/>
          <w:sz w:val="24"/>
          <w:szCs w:val="24"/>
        </w:rPr>
      </w:pPr>
    </w:p>
    <w:p>
      <w:pPr>
        <w:pStyle w:val="Heading4"/>
        <w:spacing w:line="259" w:lineRule="auto"/>
        <w:ind w:right="0"/>
        <w:jc w:val="left"/>
        <w:rPr>
          <w:b w:val="0"/>
          <w:bCs w:val="0"/>
        </w:rPr>
      </w:pP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61"/>
        </w:rPr>
        <w:t> </w:t>
      </w:r>
      <w:r>
        <w:rPr>
          <w:spacing w:val="-61"/>
        </w:rPr>
      </w:r>
      <w:r>
        <w:rPr/>
        <w:t>明该境外机构的名称</w:t>
      </w:r>
      <w:r>
        <w:rPr>
          <w:b w:val="0"/>
          <w:bCs w:val="0"/>
        </w:rPr>
      </w:r>
    </w:p>
    <w:p>
      <w:pPr>
        <w:spacing w:line="240" w:lineRule="auto" w:before="6"/>
        <w:rPr>
          <w:rFonts w:ascii="宋体" w:hAnsi="宋体" w:cs="宋体" w:eastAsia="宋体" w:hint="default"/>
          <w:b/>
          <w:bCs/>
          <w:sz w:val="24"/>
          <w:szCs w:val="24"/>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0" w:footer="979" w:top="1100" w:bottom="1160" w:left="980" w:right="98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Heading1"/>
        <w:spacing w:line="240" w:lineRule="auto"/>
        <w:ind w:left="3285" w:right="0"/>
        <w:jc w:val="left"/>
        <w:rPr>
          <w:b w:val="0"/>
          <w:bCs w:val="0"/>
        </w:rPr>
      </w:pPr>
      <w:bookmarkStart w:name="_bookmark9" w:id="10"/>
      <w:bookmarkEnd w:id="10"/>
      <w:r>
        <w:rPr>
          <w:b w:val="0"/>
          <w:bCs w:val="0"/>
        </w:rPr>
      </w:r>
      <w:r>
        <w:rPr/>
        <w:t>第十一节</w:t>
      </w:r>
      <w:r>
        <w:rPr>
          <w:spacing w:val="-6"/>
        </w:rPr>
        <w:t> </w:t>
      </w:r>
      <w:r>
        <w:rPr/>
        <w:t>备查文件目录</w:t>
      </w:r>
      <w:r>
        <w:rPr>
          <w:b w:val="0"/>
          <w:bCs w:val="0"/>
        </w:rPr>
      </w:r>
    </w:p>
    <w:p>
      <w:pPr>
        <w:spacing w:line="240" w:lineRule="auto" w:before="12"/>
        <w:rPr>
          <w:rFonts w:ascii="宋体" w:hAnsi="宋体" w:cs="宋体" w:eastAsia="宋体" w:hint="default"/>
          <w:b/>
          <w:bCs/>
          <w:sz w:val="40"/>
          <w:szCs w:val="40"/>
        </w:rPr>
      </w:pPr>
    </w:p>
    <w:p>
      <w:pPr>
        <w:pStyle w:val="BodyText"/>
        <w:spacing w:line="273" w:lineRule="auto"/>
        <w:ind w:right="0"/>
        <w:jc w:val="left"/>
      </w:pPr>
      <w:r>
        <w:rPr>
          <w:spacing w:val="-2"/>
        </w:rPr>
        <w:t>一、载有公司法定代表人、主管会计工作的负责人、会计机构负责人签名并盖章的财务报表。</w:t>
      </w:r>
      <w:r>
        <w:rPr>
          <w:spacing w:val="-28"/>
        </w:rPr>
        <w:t> </w:t>
      </w:r>
      <w:r>
        <w:rPr>
          <w:spacing w:val="-28"/>
        </w:rPr>
      </w:r>
      <w:r>
        <w:rPr/>
        <w:t>二、载有会计师事务所盖章、注册会计师签名并盖章的审计报告原件。</w:t>
      </w:r>
      <w:r>
        <w:rPr>
          <w:w w:val="100"/>
        </w:rPr>
        <w:t> </w:t>
      </w:r>
      <w:r>
        <w:rPr/>
        <w:t>三、报告期内在中国证监会指定网站上公开披露过的所有公司文件的正本及公告的原稿。</w:t>
      </w:r>
      <w:r>
        <w:rPr>
          <w:w w:val="100"/>
        </w:rPr>
        <w:t> </w:t>
      </w:r>
      <w:r>
        <w:rPr/>
        <w:t>四、其他有关资料。</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Heading2"/>
        <w:spacing w:line="477" w:lineRule="auto"/>
        <w:ind w:left="6528" w:right="507"/>
        <w:jc w:val="left"/>
        <w:rPr>
          <w:b w:val="0"/>
          <w:bCs w:val="0"/>
        </w:rPr>
      </w:pPr>
      <w:r>
        <w:rPr/>
        <w:t>董事长：杜力</w:t>
      </w:r>
      <w:r>
        <w:rPr>
          <w:w w:val="99"/>
        </w:rPr>
        <w:t> </w:t>
      </w:r>
      <w:r>
        <w:rPr/>
        <w:t>广东华声电器股份有限公司</w:t>
      </w:r>
      <w:r>
        <w:rPr>
          <w:w w:val="99"/>
        </w:rPr>
        <w:t> </w:t>
      </w:r>
      <w:r>
        <w:rPr/>
        <w:t>二〇一六年四月二十一日</w:t>
      </w:r>
      <w:r>
        <w:rPr>
          <w:b w:val="0"/>
          <w:bCs w:val="0"/>
        </w:rPr>
      </w:r>
    </w:p>
    <w:sectPr>
      <w:pgSz w:w="11910" w:h="16840"/>
      <w:pgMar w:header="0" w:footer="979" w:top="1100" w:bottom="116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099976pt;margin-top:795.637939pt;width:6.5pt;height:11pt;mso-position-horizontal-relative:page;mso-position-vertical-relative:page;z-index:-66776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57947pt;width:13.15pt;height:11pt;mso-position-horizontal-relative:page;mso-position-vertical-relative:page;z-index:-6674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89</w:t>
                </w:r>
                <w:r>
                  <w:rPr/>
                  <w:fldChar w:fldCharType="end"/>
                </w:r>
                <w:r>
                  <w:rPr>
                    <w:rFonts w:ascii="Times New Roman"/>
                    <w:spacing w:val="1"/>
                    <w:sz w:val="18"/>
                  </w:rPr>
                </w:r>
                <w:r>
                  <w:rPr>
                    <w:rFonts w:ascii="Times New Roman"/>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57947pt;width:13.15pt;height:11pt;mso-position-horizontal-relative:page;mso-position-vertical-relative:page;z-index:-6673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95</w:t>
                </w:r>
                <w:r>
                  <w:rPr/>
                  <w:fldChar w:fldCharType="end"/>
                </w:r>
                <w:r>
                  <w:rPr>
                    <w:rFonts w:ascii="Times New Roman"/>
                    <w:spacing w:val="1"/>
                    <w:sz w:val="18"/>
                  </w:rPr>
                </w:r>
                <w:r>
                  <w:rPr>
                    <w:rFonts w:ascii="Times New Roman"/>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099976pt;margin-top:781.957947pt;width:15.7pt;height:11pt;mso-position-horizontal-relative:page;mso-position-vertical-relative:page;z-index:-66736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57947pt;width:17.7pt;height:11pt;mso-position-horizontal-relative:page;mso-position-vertical-relative:page;z-index:-6673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r>
                  <w:rPr>
                    <w:rFonts w:ascii="Times New Roman"/>
                    <w:spacing w:val="1"/>
                    <w:sz w:val="18"/>
                  </w:rPr>
                </w:r>
                <w:r>
                  <w:rPr>
                    <w:rFonts w:ascii="Times New Roman"/>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460022pt;margin-top:781.957947pt;width:17.3pt;height:11pt;mso-position-horizontal-relative:page;mso-position-vertical-relative:page;z-index:-6673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57947pt;width:13.15pt;height:11pt;mso-position-horizontal-relative:page;mso-position-vertical-relative:page;z-index:-6677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460022pt;margin-top:781.957947pt;width:17.3pt;height:11pt;mso-position-horizontal-relative:page;mso-position-vertical-relative:page;z-index:-6672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119</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57947pt;width:17.7pt;height:11pt;mso-position-horizontal-relative:page;mso-position-vertical-relative:page;z-index:-6672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r>
                  <w:rPr>
                    <w:rFonts w:ascii="Times New Roman"/>
                    <w:spacing w:val="1"/>
                    <w:sz w:val="18"/>
                  </w:rPr>
                </w:r>
                <w:r>
                  <w:rPr>
                    <w:rFonts w:ascii="Times New Roman"/>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9.02002pt;margin-top:535.357971pt;width:13.15pt;height:11pt;mso-position-horizontal-relative:page;mso-position-vertical-relative:page;z-index:-6676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16</w:t>
                </w:r>
                <w:r>
                  <w:rPr/>
                  <w:fldChar w:fldCharType="end"/>
                </w:r>
                <w:r>
                  <w:rPr>
                    <w:rFonts w:ascii="Times New Roman"/>
                    <w:spacing w:val="1"/>
                    <w:sz w:val="18"/>
                  </w:rPr>
                </w:r>
                <w:r>
                  <w:rPr>
                    <w:rFonts w:ascii="Times New Roman"/>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57947pt;width:13.15pt;height:11pt;mso-position-horizontal-relative:page;mso-position-vertical-relative:page;z-index:-6676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19</w:t>
                </w:r>
                <w:r>
                  <w:rPr/>
                  <w:fldChar w:fldCharType="end"/>
                </w:r>
                <w:r>
                  <w:rPr>
                    <w:rFonts w:ascii="Times New Roman"/>
                    <w:spacing w:val="1"/>
                    <w:sz w:val="18"/>
                  </w:rPr>
                </w:r>
                <w:r>
                  <w:rPr>
                    <w:rFonts w:ascii="Times New Roman"/>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9.02002pt;margin-top:535.357971pt;width:13.15pt;height:11pt;mso-position-horizontal-relative:page;mso-position-vertical-relative:page;z-index:-6675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61</w:t>
                </w:r>
                <w:r>
                  <w:rPr/>
                  <w:fldChar w:fldCharType="end"/>
                </w:r>
                <w:r>
                  <w:rPr>
                    <w:rFonts w:ascii="Times New Roman"/>
                    <w:spacing w:val="1"/>
                    <w:sz w:val="18"/>
                  </w:rPr>
                </w:r>
                <w:r>
                  <w:rPr>
                    <w:rFonts w:ascii="Times New Roman"/>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57947pt;width:13.15pt;height:11pt;mso-position-horizontal-relative:page;mso-position-vertical-relative:page;z-index:-6675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68</w:t>
                </w:r>
                <w:r>
                  <w:rPr/>
                  <w:fldChar w:fldCharType="end"/>
                </w:r>
                <w:r>
                  <w:rPr>
                    <w:rFonts w:ascii="Times New Roman"/>
                    <w:spacing w:val="1"/>
                    <w:sz w:val="18"/>
                  </w:rPr>
                </w:r>
                <w:r>
                  <w:rPr>
                    <w:rFonts w:ascii="Times New Roman"/>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57947pt;width:13.15pt;height:11pt;mso-position-horizontal-relative:page;mso-position-vertical-relative:page;z-index:-6674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86</w:t>
                </w:r>
                <w:r>
                  <w:rPr/>
                  <w:fldChar w:fldCharType="end"/>
                </w:r>
                <w:r>
                  <w:rPr>
                    <w:rFonts w:ascii="Times New Roman"/>
                    <w:spacing w:val="1"/>
                    <w:sz w:val="18"/>
                  </w:rPr>
                </w:r>
                <w:r>
                  <w:rPr>
                    <w:rFonts w:ascii="Times New Roman"/>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53.070007pt;margin-top:36.265610pt;width:186.75pt;height:11.5pt;mso-position-horizontal-relative:page;mso-position-vertical-relative:page;z-index:-66779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广东华声电器股份有限公司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667288"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53.070007pt;margin-top:42.865608pt;width:186.75pt;height:11.5pt;mso-position-horizontal-relative:page;mso-position-vertical-relative:page;z-index:-66726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广东华声电器股份有限公司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4.429993pt;margin-top:42.865631pt;width:186.75pt;height:11.5pt;mso-position-horizontal-relative:page;mso-position-vertical-relative:page;z-index:-66772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广东华声电器股份有限公司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667672"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53.070007pt;margin-top:42.865608pt;width:186.75pt;height:11.5pt;mso-position-horizontal-relative:page;mso-position-vertical-relative:page;z-index:-66764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广东华声电器股份有限公司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4.429993pt;margin-top:42.865631pt;width:186.75pt;height:11.5pt;mso-position-horizontal-relative:page;mso-position-vertical-relative:page;z-index:-66760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广东华声电器股份有限公司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667552"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53.070007pt;margin-top:42.865608pt;width:186.75pt;height:11.5pt;mso-position-horizontal-relative:page;mso-position-vertical-relative:page;z-index:-66752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广东华声电器股份有限公司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667432"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53.070007pt;margin-top:42.865608pt;width:186.75pt;height:11.5pt;mso-position-horizontal-relative:page;mso-position-vertical-relative:page;z-index:-66740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广东华声电器股份有限公司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2"/>
    </w:pPr>
    <w:rPr>
      <w:rFonts w:ascii="宋体" w:hAnsi="宋体" w:eastAsia="宋体"/>
      <w:b/>
      <w:bCs/>
      <w:sz w:val="24"/>
      <w:szCs w:val="24"/>
    </w:rPr>
  </w:style>
  <w:style w:styleId="BodyText" w:type="paragraph">
    <w:name w:val="Body Text"/>
    <w:basedOn w:val="Normal"/>
    <w:uiPriority w:val="1"/>
    <w:qFormat/>
    <w:pPr>
      <w:ind w:left="152"/>
    </w:pPr>
    <w:rPr>
      <w:rFonts w:ascii="宋体" w:hAnsi="宋体" w:eastAsia="宋体"/>
      <w:sz w:val="21"/>
      <w:szCs w:val="21"/>
    </w:rPr>
  </w:style>
  <w:style w:styleId="Heading1" w:type="paragraph">
    <w:name w:val="Heading 1"/>
    <w:basedOn w:val="Normal"/>
    <w:uiPriority w:val="1"/>
    <w:qFormat/>
    <w:pPr>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4"/>
      <w:szCs w:val="24"/>
    </w:rPr>
  </w:style>
  <w:style w:styleId="Heading3" w:type="paragraph">
    <w:name w:val="Heading 3"/>
    <w:basedOn w:val="Normal"/>
    <w:uiPriority w:val="1"/>
    <w:qFormat/>
    <w:pPr>
      <w:spacing w:before="72"/>
      <w:outlineLvl w:val="3"/>
    </w:pPr>
    <w:rPr>
      <w:rFonts w:ascii="宋体" w:hAnsi="宋体" w:eastAsia="宋体"/>
      <w:b/>
      <w:bCs/>
      <w:sz w:val="22"/>
      <w:szCs w:val="22"/>
    </w:rPr>
  </w:style>
  <w:style w:styleId="Heading4" w:type="paragraph">
    <w:name w:val="Heading 4"/>
    <w:basedOn w:val="Normal"/>
    <w:uiPriority w:val="1"/>
    <w:qFormat/>
    <w:pPr>
      <w:ind w:left="152"/>
      <w:outlineLvl w:val="4"/>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footer" Target="footer2.xml"/><Relationship Id="rId9" Type="http://schemas.openxmlformats.org/officeDocument/2006/relationships/hyperlink" Target="http://www.wasung.com/" TargetMode="External"/><Relationship Id="rId10" Type="http://schemas.openxmlformats.org/officeDocument/2006/relationships/hyperlink" Target="mailto:zqb@wasung.com" TargetMode="External"/><Relationship Id="rId11" Type="http://schemas.openxmlformats.org/officeDocument/2006/relationships/hyperlink" Target="http://www.cninfo.com.cn/" TargetMode="Externa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header" Target="header3.xml"/><Relationship Id="rId15" Type="http://schemas.openxmlformats.org/officeDocument/2006/relationships/footer" Target="footer4.xml"/><Relationship Id="rId16" Type="http://schemas.openxmlformats.org/officeDocument/2006/relationships/header" Target="header4.xml"/><Relationship Id="rId17" Type="http://schemas.openxmlformats.org/officeDocument/2006/relationships/footer" Target="footer5.xml"/><Relationship Id="rId18" Type="http://schemas.openxmlformats.org/officeDocument/2006/relationships/header" Target="header5.xml"/><Relationship Id="rId19" Type="http://schemas.openxmlformats.org/officeDocument/2006/relationships/footer" Target="footer6.xml"/><Relationship Id="rId20" Type="http://schemas.openxmlformats.org/officeDocument/2006/relationships/image" Target="media/image2.png"/><Relationship Id="rId21" Type="http://schemas.openxmlformats.org/officeDocument/2006/relationships/image" Target="media/image3.png"/><Relationship Id="rId22" Type="http://schemas.openxmlformats.org/officeDocument/2006/relationships/image" Target="media/image4.png"/><Relationship Id="rId23" Type="http://schemas.openxmlformats.org/officeDocument/2006/relationships/image" Target="media/image5.png"/><Relationship Id="rId24" Type="http://schemas.openxmlformats.org/officeDocument/2006/relationships/header" Target="header6.xml"/><Relationship Id="rId25" Type="http://schemas.openxmlformats.org/officeDocument/2006/relationships/footer" Target="footer7.xml"/><Relationship Id="rId26" Type="http://schemas.openxmlformats.org/officeDocument/2006/relationships/footer" Target="footer8.xml"/><Relationship Id="rId27" Type="http://schemas.openxmlformats.org/officeDocument/2006/relationships/header" Target="header7.xml"/><Relationship Id="rId28" Type="http://schemas.openxmlformats.org/officeDocument/2006/relationships/footer" Target="footer9.xml"/><Relationship Id="rId29" Type="http://schemas.openxmlformats.org/officeDocument/2006/relationships/footer" Target="footer10.xml"/><Relationship Id="rId30" Type="http://schemas.openxmlformats.org/officeDocument/2006/relationships/header" Target="header8.xml"/><Relationship Id="rId31" Type="http://schemas.openxmlformats.org/officeDocument/2006/relationships/footer" Target="footer11.xml"/><Relationship Id="rId32" Type="http://schemas.openxmlformats.org/officeDocument/2006/relationships/header" Target="header9.xml"/><Relationship Id="rId33" Type="http://schemas.openxmlformats.org/officeDocument/2006/relationships/footer" Target="footer12.xml"/><Relationship Id="rId34" Type="http://schemas.openxmlformats.org/officeDocument/2006/relationships/header" Target="header10.xml"/><Relationship Id="rId35" Type="http://schemas.openxmlformats.org/officeDocument/2006/relationships/footer" Target="footer13.xml"/><Relationship Id="rId36" Type="http://schemas.openxmlformats.org/officeDocument/2006/relationships/footer" Target="footer14.xml"/><Relationship Id="rId37" Type="http://schemas.openxmlformats.org/officeDocument/2006/relationships/footer" Target="footer15.xml"/><Relationship Id="rId38" Type="http://schemas.openxmlformats.org/officeDocument/2006/relationships/footer" Target="footer16.xml"/><Relationship Id="rId39" Type="http://schemas.openxmlformats.org/officeDocument/2006/relationships/footer" Target="footer17.xml"/><Relationship Id="rId40" Type="http://schemas.openxmlformats.org/officeDocument/2006/relationships/header" Target="header11.xml"/><Relationship Id="rId41" Type="http://schemas.openxmlformats.org/officeDocument/2006/relationships/footer" Target="footer18.xml"/><Relationship Id="rId42" Type="http://schemas.openxmlformats.org/officeDocument/2006/relationships/header" Target="header12.xml"/><Relationship Id="rId43" Type="http://schemas.openxmlformats.org/officeDocument/2006/relationships/footer" Target="footer19.xml"/><Relationship Id="rId44" Type="http://schemas.openxmlformats.org/officeDocument/2006/relationships/header" Target="header13.xml"/><Relationship Id="rId45" Type="http://schemas.openxmlformats.org/officeDocument/2006/relationships/footer" Target="footer20.xml"/><Relationship Id="rId46" Type="http://schemas.openxmlformats.org/officeDocument/2006/relationships/footer" Target="footer21.xml"/><Relationship Id="rId47" Type="http://schemas.openxmlformats.org/officeDocument/2006/relationships/footer" Target="footer2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广东华声电器股份有限公司</dc:creator>
  <dc:title>广东华声电器股份有限公司2015年年度报告全文</dc:title>
  <dcterms:created xsi:type="dcterms:W3CDTF">2020-05-04T14:25:43Z</dcterms:created>
  <dcterms:modified xsi:type="dcterms:W3CDTF">2020-05-04T14:25:43Z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2016-04-21T00:00:00Z</vt:filetime>
  </property>
  <property fmtid="{D5CDD505-2E9C-101B-9397-08002B2CF9AE}" pid="3" name="Creator">
    <vt:lpwstr>Microsoft® Office Word 2007</vt:lpwstr>
  </property>
  <property fmtid="{D5CDD505-2E9C-101B-9397-08002B2CF9AE}" pid="4" name="LastSaved">
    <vt:filetime>2020-05-04T00:00:00Z</vt:filetime>
  </property>
</Properties>
</file>